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40"/>
        <w:gridCol w:w="6645"/>
        <w:gridCol w:w="1287"/>
      </w:tblGrid>
      <w:tr w:rsidR="00412474" w:rsidRPr="00215667" w14:paraId="68A00978" w14:textId="77777777" w:rsidTr="00435E3A">
        <w:tc>
          <w:tcPr>
            <w:tcW w:w="1077" w:type="dxa"/>
          </w:tcPr>
          <w:p w14:paraId="0617DADF" w14:textId="77777777" w:rsidR="00412474" w:rsidRPr="00215667" w:rsidRDefault="00412474" w:rsidP="00435E3A">
            <w:pPr>
              <w:jc w:val="center"/>
              <w:rPr>
                <w:rFonts w:ascii="Times New Roman" w:hAnsi="Times New Roman" w:cs="Times New Roman"/>
                <w:b/>
                <w:sz w:val="24"/>
                <w:szCs w:val="24"/>
              </w:rPr>
            </w:pPr>
            <w:r w:rsidRPr="00215667">
              <w:rPr>
                <w:rFonts w:ascii="Times New Roman" w:hAnsi="Times New Roman" w:cs="Times New Roman"/>
                <w:noProof/>
                <w:sz w:val="24"/>
                <w:szCs w:val="24"/>
                <w:lang w:val="en-US"/>
              </w:rPr>
              <w:drawing>
                <wp:anchor distT="0" distB="0" distL="114300" distR="114300" simplePos="0" relativeHeight="251658240" behindDoc="0" locked="0" layoutInCell="1" allowOverlap="1" wp14:anchorId="5B7198BB" wp14:editId="50BBF2A8">
                  <wp:simplePos x="0" y="0"/>
                  <wp:positionH relativeFrom="margin">
                    <wp:posOffset>5062</wp:posOffset>
                  </wp:positionH>
                  <wp:positionV relativeFrom="margin">
                    <wp:posOffset>9916</wp:posOffset>
                  </wp:positionV>
                  <wp:extent cx="720000" cy="802511"/>
                  <wp:effectExtent l="0" t="0" r="4445" b="0"/>
                  <wp:wrapSquare wrapText="bothSides"/>
                  <wp:docPr id="1010699233" name="Picture 1010699233" descr="A gold medallion with a couple of people holding a colum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699233" name="Picture 1010699233" descr="A gold medallion with a couple of people holding a column&#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0000" cy="80251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804" w:type="dxa"/>
            <w:vAlign w:val="center"/>
          </w:tcPr>
          <w:p w14:paraId="5C344BD7" w14:textId="4DFC8ACC" w:rsidR="00412474" w:rsidRPr="00215667" w:rsidRDefault="00412474" w:rsidP="00435E3A">
            <w:pPr>
              <w:jc w:val="center"/>
              <w:rPr>
                <w:rFonts w:ascii="Times New Roman" w:hAnsi="Times New Roman" w:cs="Times New Roman"/>
                <w:b/>
                <w:sz w:val="24"/>
                <w:szCs w:val="24"/>
              </w:rPr>
            </w:pPr>
            <w:r w:rsidRPr="00215667">
              <w:rPr>
                <w:rFonts w:ascii="Times New Roman" w:hAnsi="Times New Roman" w:cs="Times New Roman"/>
                <w:b/>
                <w:sz w:val="24"/>
                <w:szCs w:val="24"/>
              </w:rPr>
              <w:t>УНИВЕРЗИТЕТ „КИРИЛ И МЕТОДИЈ</w:t>
            </w:r>
            <w:r w:rsidR="000642BA">
              <w:rPr>
                <w:rFonts w:ascii="Times New Roman" w:hAnsi="Times New Roman" w:cs="Times New Roman"/>
                <w:b/>
                <w:sz w:val="24"/>
                <w:szCs w:val="24"/>
              </w:rPr>
              <w:t xml:space="preserve">“ </w:t>
            </w:r>
            <w:r w:rsidRPr="00215667">
              <w:rPr>
                <w:rFonts w:ascii="Times New Roman" w:hAnsi="Times New Roman" w:cs="Times New Roman"/>
                <w:b/>
                <w:sz w:val="24"/>
                <w:szCs w:val="24"/>
              </w:rPr>
              <w:t>ВО СКОПЈЕ</w:t>
            </w:r>
          </w:p>
          <w:p w14:paraId="5F54A379" w14:textId="0422CF23" w:rsidR="00412474" w:rsidRPr="00215667" w:rsidRDefault="00412474" w:rsidP="00435E3A">
            <w:pPr>
              <w:spacing w:before="120"/>
              <w:jc w:val="center"/>
              <w:rPr>
                <w:rFonts w:ascii="Times New Roman" w:hAnsi="Times New Roman" w:cs="Times New Roman"/>
                <w:b/>
                <w:sz w:val="24"/>
                <w:szCs w:val="24"/>
              </w:rPr>
            </w:pPr>
            <w:r w:rsidRPr="00215667">
              <w:rPr>
                <w:rFonts w:ascii="Times New Roman" w:hAnsi="Times New Roman" w:cs="Times New Roman"/>
                <w:b/>
                <w:sz w:val="24"/>
                <w:szCs w:val="24"/>
              </w:rPr>
              <w:t>СТОМАТОЛОШКИ ФАКУЛТЕТ – СКОПЈЕ</w:t>
            </w:r>
          </w:p>
          <w:p w14:paraId="5D4E6519" w14:textId="595528A1" w:rsidR="00412474" w:rsidRPr="00215667" w:rsidRDefault="00412474" w:rsidP="00435E3A">
            <w:pPr>
              <w:spacing w:before="120"/>
              <w:jc w:val="center"/>
              <w:rPr>
                <w:rFonts w:ascii="Times New Roman" w:hAnsi="Times New Roman" w:cs="Times New Roman"/>
                <w:b/>
                <w:sz w:val="24"/>
                <w:szCs w:val="24"/>
              </w:rPr>
            </w:pPr>
            <w:r w:rsidRPr="00215667">
              <w:rPr>
                <w:rFonts w:ascii="Times New Roman" w:hAnsi="Times New Roman" w:cs="Times New Roman"/>
                <w:b/>
                <w:sz w:val="24"/>
                <w:szCs w:val="24"/>
              </w:rPr>
              <w:t>КАТЕДРА ЗА МАКСИЛОФАЦИЈАЛНА ХИРУРГИЈА</w:t>
            </w:r>
          </w:p>
        </w:tc>
        <w:tc>
          <w:tcPr>
            <w:tcW w:w="1077" w:type="dxa"/>
            <w:vAlign w:val="center"/>
          </w:tcPr>
          <w:p w14:paraId="238962CD" w14:textId="63A6884F"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noProof/>
                <w:sz w:val="24"/>
                <w:szCs w:val="24"/>
                <w:lang w:val="en-US"/>
                <w14:ligatures w14:val="standardContextual"/>
              </w:rPr>
              <w:drawing>
                <wp:inline distT="0" distB="0" distL="0" distR="0" wp14:anchorId="06C835B0" wp14:editId="7FC7495A">
                  <wp:extent cx="817685" cy="817685"/>
                  <wp:effectExtent l="0" t="0" r="0" b="0"/>
                  <wp:docPr id="2080680186" name="Picture 1" descr="A logo with a circle and a circle with a circle and a circle with a circle and a circle with a circle and a circle with a circle and a circle with a circle and a circle wi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680186" name="Picture 1" descr="A logo with a circle and a circle with a circle and a circle with a circle and a circle with a circle and a circle with a circle and a circle with a circle and a circle with&#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834840" cy="834840"/>
                          </a:xfrm>
                          <a:prstGeom prst="rect">
                            <a:avLst/>
                          </a:prstGeom>
                        </pic:spPr>
                      </pic:pic>
                    </a:graphicData>
                  </a:graphic>
                </wp:inline>
              </w:drawing>
            </w:r>
          </w:p>
        </w:tc>
      </w:tr>
    </w:tbl>
    <w:p w14:paraId="5E9826DF" w14:textId="77777777" w:rsidR="00412474" w:rsidRPr="00215667" w:rsidRDefault="00412474" w:rsidP="00412474">
      <w:pPr>
        <w:spacing w:after="0" w:line="240" w:lineRule="auto"/>
        <w:jc w:val="center"/>
        <w:rPr>
          <w:rFonts w:ascii="Times New Roman" w:hAnsi="Times New Roman" w:cs="Times New Roman"/>
          <w:sz w:val="24"/>
          <w:szCs w:val="24"/>
        </w:rPr>
      </w:pPr>
    </w:p>
    <w:p w14:paraId="0E181088" w14:textId="77777777" w:rsidR="00412474" w:rsidRPr="00215667" w:rsidRDefault="00412474" w:rsidP="00412474">
      <w:pPr>
        <w:spacing w:after="0" w:line="240" w:lineRule="auto"/>
        <w:jc w:val="center"/>
        <w:rPr>
          <w:rFonts w:ascii="Times New Roman" w:hAnsi="Times New Roman" w:cs="Times New Roman"/>
          <w:sz w:val="24"/>
          <w:szCs w:val="24"/>
        </w:rPr>
      </w:pPr>
    </w:p>
    <w:p w14:paraId="4C3EEAE0" w14:textId="77777777" w:rsidR="00412474" w:rsidRPr="00215667" w:rsidRDefault="00412474" w:rsidP="00412474">
      <w:pPr>
        <w:tabs>
          <w:tab w:val="left" w:pos="686"/>
        </w:tabs>
        <w:spacing w:after="0" w:line="240" w:lineRule="auto"/>
        <w:jc w:val="center"/>
        <w:rPr>
          <w:rFonts w:ascii="Times New Roman" w:hAnsi="Times New Roman" w:cs="Times New Roman"/>
          <w:sz w:val="24"/>
          <w:szCs w:val="24"/>
        </w:rPr>
      </w:pPr>
    </w:p>
    <w:p w14:paraId="3C57543C" w14:textId="77777777" w:rsidR="00412474" w:rsidRPr="00215667" w:rsidRDefault="00412474" w:rsidP="00412474">
      <w:pPr>
        <w:tabs>
          <w:tab w:val="left" w:pos="686"/>
        </w:tabs>
        <w:spacing w:after="0" w:line="240" w:lineRule="auto"/>
        <w:jc w:val="center"/>
        <w:rPr>
          <w:rFonts w:ascii="Times New Roman" w:hAnsi="Times New Roman" w:cs="Times New Roman"/>
          <w:sz w:val="24"/>
          <w:szCs w:val="24"/>
        </w:rPr>
      </w:pPr>
    </w:p>
    <w:p w14:paraId="7D4766B9" w14:textId="77777777" w:rsidR="00412474" w:rsidRPr="00215667" w:rsidRDefault="00412474" w:rsidP="00412474">
      <w:pPr>
        <w:spacing w:after="0" w:line="240" w:lineRule="auto"/>
        <w:jc w:val="center"/>
        <w:rPr>
          <w:rFonts w:ascii="Times New Roman" w:hAnsi="Times New Roman" w:cs="Times New Roman"/>
          <w:sz w:val="24"/>
          <w:szCs w:val="24"/>
        </w:rPr>
      </w:pPr>
    </w:p>
    <w:p w14:paraId="373CBABF" w14:textId="77777777" w:rsidR="00412474" w:rsidRPr="00215667" w:rsidRDefault="00412474" w:rsidP="00412474">
      <w:pPr>
        <w:spacing w:after="0" w:line="240" w:lineRule="auto"/>
        <w:jc w:val="center"/>
        <w:rPr>
          <w:rFonts w:ascii="Times New Roman" w:hAnsi="Times New Roman" w:cs="Times New Roman"/>
          <w:sz w:val="24"/>
          <w:szCs w:val="24"/>
        </w:rPr>
      </w:pPr>
    </w:p>
    <w:p w14:paraId="2FD50EAC" w14:textId="77777777" w:rsidR="00412474" w:rsidRPr="00215667" w:rsidRDefault="00412474" w:rsidP="00412474">
      <w:pPr>
        <w:spacing w:after="0" w:line="240" w:lineRule="auto"/>
        <w:jc w:val="center"/>
        <w:rPr>
          <w:rFonts w:ascii="Times New Roman" w:hAnsi="Times New Roman" w:cs="Times New Roman"/>
          <w:sz w:val="24"/>
          <w:szCs w:val="24"/>
        </w:rPr>
      </w:pPr>
    </w:p>
    <w:p w14:paraId="1BA0BBCC" w14:textId="77777777" w:rsidR="00412474" w:rsidRPr="00215667" w:rsidRDefault="00412474" w:rsidP="00412474">
      <w:pPr>
        <w:spacing w:after="0" w:line="240" w:lineRule="auto"/>
        <w:jc w:val="center"/>
        <w:rPr>
          <w:rFonts w:ascii="Times New Roman" w:hAnsi="Times New Roman" w:cs="Times New Roman"/>
          <w:sz w:val="24"/>
          <w:szCs w:val="24"/>
        </w:rPr>
      </w:pPr>
    </w:p>
    <w:p w14:paraId="00513663" w14:textId="77777777" w:rsidR="00412474" w:rsidRPr="00215667" w:rsidRDefault="00412474" w:rsidP="00412474">
      <w:pPr>
        <w:spacing w:after="0" w:line="240" w:lineRule="auto"/>
        <w:jc w:val="center"/>
        <w:rPr>
          <w:rFonts w:ascii="Times New Roman" w:hAnsi="Times New Roman" w:cs="Times New Roman"/>
          <w:sz w:val="24"/>
          <w:szCs w:val="24"/>
        </w:rPr>
      </w:pPr>
    </w:p>
    <w:p w14:paraId="46A02D0F" w14:textId="77777777" w:rsidR="00412474" w:rsidRPr="00215667" w:rsidRDefault="00412474" w:rsidP="00412474">
      <w:pPr>
        <w:spacing w:after="0" w:line="240" w:lineRule="auto"/>
        <w:jc w:val="center"/>
        <w:rPr>
          <w:rFonts w:ascii="Times New Roman" w:hAnsi="Times New Roman" w:cs="Times New Roman"/>
          <w:sz w:val="24"/>
          <w:szCs w:val="24"/>
        </w:rPr>
      </w:pPr>
    </w:p>
    <w:p w14:paraId="09ED8207" w14:textId="0D4BA8BD" w:rsidR="00412474" w:rsidRPr="00215667" w:rsidRDefault="00412474" w:rsidP="00412474">
      <w:pPr>
        <w:spacing w:after="0" w:line="240" w:lineRule="auto"/>
        <w:jc w:val="center"/>
        <w:rPr>
          <w:rFonts w:ascii="Times New Roman" w:hAnsi="Times New Roman" w:cs="Times New Roman"/>
          <w:b/>
          <w:sz w:val="24"/>
          <w:szCs w:val="24"/>
        </w:rPr>
      </w:pPr>
      <w:r w:rsidRPr="00215667">
        <w:rPr>
          <w:rFonts w:ascii="Times New Roman" w:hAnsi="Times New Roman" w:cs="Times New Roman"/>
          <w:b/>
          <w:sz w:val="24"/>
          <w:szCs w:val="24"/>
        </w:rPr>
        <w:t>Ш</w:t>
      </w:r>
      <w:r w:rsidR="000642BA">
        <w:rPr>
          <w:rFonts w:ascii="Times New Roman" w:hAnsi="Times New Roman" w:cs="Times New Roman"/>
          <w:b/>
          <w:sz w:val="24"/>
          <w:szCs w:val="24"/>
        </w:rPr>
        <w:t>ќ</w:t>
      </w:r>
      <w:r w:rsidRPr="00215667">
        <w:rPr>
          <w:rFonts w:ascii="Times New Roman" w:hAnsi="Times New Roman" w:cs="Times New Roman"/>
          <w:b/>
          <w:sz w:val="24"/>
          <w:szCs w:val="24"/>
        </w:rPr>
        <w:t xml:space="preserve">ипоње </w:t>
      </w:r>
      <w:r w:rsidR="00C70FF0">
        <w:rPr>
          <w:rFonts w:ascii="Times New Roman" w:hAnsi="Times New Roman" w:cs="Times New Roman"/>
          <w:b/>
          <w:sz w:val="24"/>
          <w:szCs w:val="24"/>
        </w:rPr>
        <w:t>Рифат</w:t>
      </w:r>
      <w:r w:rsidRPr="00215667">
        <w:rPr>
          <w:rFonts w:ascii="Times New Roman" w:hAnsi="Times New Roman" w:cs="Times New Roman"/>
          <w:b/>
          <w:sz w:val="24"/>
          <w:szCs w:val="24"/>
        </w:rPr>
        <w:t xml:space="preserve"> Гаши</w:t>
      </w:r>
    </w:p>
    <w:p w14:paraId="77A205C8" w14:textId="77777777" w:rsidR="00412474" w:rsidRPr="00215667" w:rsidRDefault="00412474" w:rsidP="00412474">
      <w:pPr>
        <w:spacing w:after="0" w:line="240" w:lineRule="auto"/>
        <w:jc w:val="center"/>
        <w:rPr>
          <w:rFonts w:ascii="Times New Roman" w:hAnsi="Times New Roman" w:cs="Times New Roman"/>
          <w:b/>
          <w:sz w:val="24"/>
          <w:szCs w:val="24"/>
        </w:rPr>
      </w:pPr>
    </w:p>
    <w:p w14:paraId="1DC4AF30" w14:textId="77777777" w:rsidR="00412474" w:rsidRPr="00215667" w:rsidRDefault="00412474" w:rsidP="00412474">
      <w:pPr>
        <w:spacing w:after="0" w:line="240" w:lineRule="auto"/>
        <w:jc w:val="center"/>
        <w:rPr>
          <w:rFonts w:ascii="Times New Roman" w:hAnsi="Times New Roman" w:cs="Times New Roman"/>
          <w:b/>
          <w:sz w:val="24"/>
          <w:szCs w:val="24"/>
        </w:rPr>
      </w:pPr>
    </w:p>
    <w:p w14:paraId="276A7A00" w14:textId="77777777" w:rsidR="00412474" w:rsidRPr="00215667" w:rsidRDefault="00412474" w:rsidP="00D35942">
      <w:pPr>
        <w:spacing w:line="360" w:lineRule="auto"/>
        <w:ind w:left="142" w:right="-1"/>
        <w:jc w:val="center"/>
        <w:rPr>
          <w:rFonts w:ascii="Times New Roman" w:hAnsi="Times New Roman" w:cs="Times New Roman"/>
          <w:b/>
          <w:sz w:val="24"/>
          <w:szCs w:val="24"/>
        </w:rPr>
      </w:pPr>
      <w:r w:rsidRPr="00215667">
        <w:rPr>
          <w:rFonts w:ascii="Times New Roman" w:hAnsi="Times New Roman" w:cs="Times New Roman"/>
          <w:b/>
          <w:sz w:val="24"/>
          <w:szCs w:val="24"/>
        </w:rPr>
        <w:t>ДЕНТОАЛВЕОЛАРНО- ПЕРИОПЕРАТИВНО МЕНАЏИРАЊЕ НА КРВАВЕЊЕ КАЈ ПАЦИЕНТИ СО ТРОМБОЦИТНА ХИПОАГРЕГАБИЛНОСТ И ПАЦИЕНТИ КОИ ПРИМААТ ОРАЛНА АНТИКОАГУЛАЦИОНА И АНТИАГРЕГАЦИОНА ТЕРАПИЈА</w:t>
      </w:r>
    </w:p>
    <w:p w14:paraId="0B9A1568" w14:textId="77777777" w:rsidR="00412474" w:rsidRPr="00215667" w:rsidRDefault="00412474" w:rsidP="00412474">
      <w:pPr>
        <w:spacing w:after="0" w:line="240" w:lineRule="auto"/>
        <w:jc w:val="center"/>
        <w:rPr>
          <w:rFonts w:ascii="Times New Roman" w:hAnsi="Times New Roman" w:cs="Times New Roman"/>
          <w:b/>
          <w:sz w:val="24"/>
          <w:szCs w:val="24"/>
        </w:rPr>
      </w:pPr>
    </w:p>
    <w:p w14:paraId="3133EE9B" w14:textId="77777777" w:rsidR="00412474" w:rsidRPr="00215667" w:rsidRDefault="00412474" w:rsidP="00412474">
      <w:pPr>
        <w:spacing w:after="0" w:line="240" w:lineRule="auto"/>
        <w:jc w:val="center"/>
        <w:rPr>
          <w:rFonts w:ascii="Times New Roman" w:hAnsi="Times New Roman" w:cs="Times New Roman"/>
          <w:b/>
          <w:sz w:val="24"/>
          <w:szCs w:val="24"/>
        </w:rPr>
      </w:pPr>
      <w:r w:rsidRPr="00215667">
        <w:rPr>
          <w:rFonts w:ascii="Times New Roman" w:hAnsi="Times New Roman" w:cs="Times New Roman"/>
          <w:b/>
          <w:sz w:val="24"/>
          <w:szCs w:val="24"/>
        </w:rPr>
        <w:t>Докторски труд</w:t>
      </w:r>
    </w:p>
    <w:p w14:paraId="30557026" w14:textId="77777777" w:rsidR="00412474" w:rsidRPr="00215667" w:rsidRDefault="00412474" w:rsidP="00412474">
      <w:pPr>
        <w:spacing w:after="0" w:line="240" w:lineRule="auto"/>
        <w:jc w:val="center"/>
        <w:rPr>
          <w:rFonts w:ascii="Times New Roman" w:hAnsi="Times New Roman" w:cs="Times New Roman"/>
          <w:sz w:val="24"/>
          <w:szCs w:val="24"/>
        </w:rPr>
      </w:pPr>
    </w:p>
    <w:p w14:paraId="58BC325A" w14:textId="77777777" w:rsidR="00412474" w:rsidRPr="00215667" w:rsidRDefault="00412474" w:rsidP="00412474">
      <w:pPr>
        <w:spacing w:after="0" w:line="240" w:lineRule="auto"/>
        <w:jc w:val="center"/>
        <w:rPr>
          <w:rFonts w:ascii="Times New Roman" w:hAnsi="Times New Roman" w:cs="Times New Roman"/>
          <w:sz w:val="24"/>
          <w:szCs w:val="24"/>
        </w:rPr>
      </w:pPr>
    </w:p>
    <w:p w14:paraId="46E48AA6" w14:textId="77777777" w:rsidR="00412474" w:rsidRPr="00215667" w:rsidRDefault="00412474" w:rsidP="00412474">
      <w:pPr>
        <w:spacing w:after="0" w:line="240" w:lineRule="auto"/>
        <w:jc w:val="center"/>
        <w:rPr>
          <w:rFonts w:ascii="Times New Roman" w:hAnsi="Times New Roman" w:cs="Times New Roman"/>
          <w:sz w:val="24"/>
          <w:szCs w:val="24"/>
        </w:rPr>
      </w:pPr>
    </w:p>
    <w:p w14:paraId="48A7E7FB" w14:textId="77777777" w:rsidR="00412474" w:rsidRPr="00215667" w:rsidRDefault="00412474" w:rsidP="00412474">
      <w:pPr>
        <w:spacing w:after="0" w:line="240" w:lineRule="auto"/>
        <w:jc w:val="center"/>
        <w:rPr>
          <w:rFonts w:ascii="Times New Roman" w:hAnsi="Times New Roman" w:cs="Times New Roman"/>
          <w:sz w:val="24"/>
          <w:szCs w:val="24"/>
        </w:rPr>
      </w:pPr>
    </w:p>
    <w:p w14:paraId="6C7B74AD" w14:textId="77777777" w:rsidR="00412474" w:rsidRPr="00215667" w:rsidRDefault="00412474" w:rsidP="00412474">
      <w:pPr>
        <w:spacing w:after="0" w:line="240" w:lineRule="auto"/>
        <w:jc w:val="center"/>
        <w:rPr>
          <w:rFonts w:ascii="Times New Roman" w:hAnsi="Times New Roman" w:cs="Times New Roman"/>
          <w:sz w:val="24"/>
          <w:szCs w:val="24"/>
        </w:rPr>
      </w:pPr>
    </w:p>
    <w:p w14:paraId="573811A6" w14:textId="77777777" w:rsidR="00412474" w:rsidRPr="00215667" w:rsidRDefault="00412474" w:rsidP="00412474">
      <w:pPr>
        <w:spacing w:after="0" w:line="240" w:lineRule="auto"/>
        <w:jc w:val="center"/>
        <w:rPr>
          <w:rFonts w:ascii="Times New Roman" w:hAnsi="Times New Roman" w:cs="Times New Roman"/>
          <w:sz w:val="24"/>
          <w:szCs w:val="24"/>
        </w:rPr>
      </w:pPr>
    </w:p>
    <w:p w14:paraId="1D09F070" w14:textId="77777777" w:rsidR="00412474" w:rsidRPr="00215667" w:rsidRDefault="00412474" w:rsidP="00412474">
      <w:pPr>
        <w:spacing w:after="0" w:line="240" w:lineRule="auto"/>
        <w:jc w:val="center"/>
        <w:rPr>
          <w:rFonts w:ascii="Times New Roman" w:hAnsi="Times New Roman" w:cs="Times New Roman"/>
          <w:sz w:val="24"/>
          <w:szCs w:val="24"/>
        </w:rPr>
      </w:pPr>
    </w:p>
    <w:p w14:paraId="2159B814" w14:textId="77777777" w:rsidR="00412474" w:rsidRPr="00215667" w:rsidRDefault="00412474" w:rsidP="00412474">
      <w:pPr>
        <w:spacing w:after="0" w:line="240" w:lineRule="auto"/>
        <w:jc w:val="center"/>
        <w:rPr>
          <w:rFonts w:ascii="Times New Roman" w:hAnsi="Times New Roman" w:cs="Times New Roman"/>
          <w:sz w:val="24"/>
          <w:szCs w:val="24"/>
        </w:rPr>
      </w:pPr>
    </w:p>
    <w:p w14:paraId="09F7A45F" w14:textId="77777777" w:rsidR="00412474" w:rsidRPr="00215667" w:rsidRDefault="00412474" w:rsidP="00412474">
      <w:pPr>
        <w:spacing w:after="0" w:line="240" w:lineRule="auto"/>
        <w:jc w:val="center"/>
        <w:rPr>
          <w:rFonts w:ascii="Times New Roman" w:hAnsi="Times New Roman" w:cs="Times New Roman"/>
          <w:sz w:val="24"/>
          <w:szCs w:val="24"/>
        </w:rPr>
      </w:pPr>
    </w:p>
    <w:p w14:paraId="7C698076" w14:textId="77777777" w:rsidR="00412474" w:rsidRPr="00215667" w:rsidRDefault="00412474" w:rsidP="00412474">
      <w:pPr>
        <w:spacing w:after="0" w:line="240" w:lineRule="auto"/>
        <w:jc w:val="center"/>
        <w:rPr>
          <w:rFonts w:ascii="Times New Roman" w:hAnsi="Times New Roman" w:cs="Times New Roman"/>
          <w:sz w:val="24"/>
          <w:szCs w:val="24"/>
        </w:rPr>
      </w:pPr>
    </w:p>
    <w:p w14:paraId="767238A8" w14:textId="77777777" w:rsidR="00412474" w:rsidRPr="00215667" w:rsidRDefault="00412474" w:rsidP="00412474">
      <w:pPr>
        <w:spacing w:after="0" w:line="240" w:lineRule="auto"/>
        <w:jc w:val="center"/>
        <w:rPr>
          <w:rFonts w:ascii="Times New Roman" w:hAnsi="Times New Roman" w:cs="Times New Roman"/>
          <w:sz w:val="24"/>
          <w:szCs w:val="24"/>
        </w:rPr>
      </w:pPr>
    </w:p>
    <w:p w14:paraId="16F486BC" w14:textId="77777777" w:rsidR="00412474" w:rsidRPr="00215667" w:rsidRDefault="00412474" w:rsidP="00412474">
      <w:pPr>
        <w:spacing w:after="0" w:line="240" w:lineRule="auto"/>
        <w:jc w:val="center"/>
        <w:rPr>
          <w:rFonts w:ascii="Times New Roman" w:hAnsi="Times New Roman" w:cs="Times New Roman"/>
          <w:sz w:val="24"/>
          <w:szCs w:val="24"/>
        </w:rPr>
      </w:pPr>
    </w:p>
    <w:p w14:paraId="3DE19DF5" w14:textId="77777777" w:rsidR="00412474" w:rsidRPr="00215667" w:rsidRDefault="00412474" w:rsidP="00412474">
      <w:pPr>
        <w:spacing w:after="0" w:line="240" w:lineRule="auto"/>
        <w:jc w:val="center"/>
        <w:rPr>
          <w:rFonts w:ascii="Times New Roman" w:hAnsi="Times New Roman" w:cs="Times New Roman"/>
          <w:sz w:val="24"/>
          <w:szCs w:val="24"/>
        </w:rPr>
      </w:pPr>
    </w:p>
    <w:p w14:paraId="13759AAC" w14:textId="77777777" w:rsidR="00412474" w:rsidRPr="00215667" w:rsidRDefault="00412474" w:rsidP="00412474">
      <w:pPr>
        <w:spacing w:after="0" w:line="240" w:lineRule="auto"/>
        <w:jc w:val="center"/>
        <w:rPr>
          <w:rFonts w:ascii="Times New Roman" w:hAnsi="Times New Roman" w:cs="Times New Roman"/>
          <w:sz w:val="24"/>
          <w:szCs w:val="24"/>
        </w:rPr>
      </w:pPr>
    </w:p>
    <w:p w14:paraId="21BB63B8" w14:textId="77777777" w:rsidR="00412474" w:rsidRPr="00215667" w:rsidRDefault="00412474" w:rsidP="00412474">
      <w:pPr>
        <w:spacing w:after="0" w:line="240" w:lineRule="auto"/>
        <w:jc w:val="center"/>
        <w:rPr>
          <w:rFonts w:ascii="Times New Roman" w:hAnsi="Times New Roman" w:cs="Times New Roman"/>
          <w:sz w:val="24"/>
          <w:szCs w:val="24"/>
        </w:rPr>
      </w:pPr>
    </w:p>
    <w:p w14:paraId="2CED5C44" w14:textId="77777777" w:rsidR="00412474" w:rsidRPr="00215667" w:rsidRDefault="00412474" w:rsidP="00412474">
      <w:pPr>
        <w:spacing w:after="0" w:line="240" w:lineRule="auto"/>
        <w:jc w:val="center"/>
        <w:rPr>
          <w:rFonts w:ascii="Times New Roman" w:hAnsi="Times New Roman" w:cs="Times New Roman"/>
          <w:sz w:val="24"/>
          <w:szCs w:val="24"/>
        </w:rPr>
      </w:pPr>
    </w:p>
    <w:p w14:paraId="28F96F0D" w14:textId="77777777" w:rsidR="00412474" w:rsidRPr="00215667" w:rsidRDefault="00412474" w:rsidP="00412474">
      <w:pPr>
        <w:spacing w:after="0" w:line="240" w:lineRule="auto"/>
        <w:jc w:val="center"/>
        <w:rPr>
          <w:rFonts w:ascii="Times New Roman" w:hAnsi="Times New Roman" w:cs="Times New Roman"/>
          <w:sz w:val="24"/>
          <w:szCs w:val="24"/>
        </w:rPr>
      </w:pPr>
    </w:p>
    <w:p w14:paraId="0C86F12B" w14:textId="77777777" w:rsidR="00412474" w:rsidRPr="00215667" w:rsidRDefault="00412474" w:rsidP="00412474">
      <w:pPr>
        <w:spacing w:after="0" w:line="240" w:lineRule="auto"/>
        <w:jc w:val="center"/>
        <w:rPr>
          <w:rFonts w:ascii="Times New Roman" w:hAnsi="Times New Roman" w:cs="Times New Roman"/>
          <w:sz w:val="24"/>
          <w:szCs w:val="24"/>
        </w:rPr>
      </w:pPr>
    </w:p>
    <w:p w14:paraId="0CED600F" w14:textId="77777777" w:rsidR="00412474" w:rsidRPr="00215667" w:rsidRDefault="00412474" w:rsidP="00412474">
      <w:pPr>
        <w:spacing w:after="0" w:line="240" w:lineRule="auto"/>
        <w:jc w:val="center"/>
        <w:rPr>
          <w:rFonts w:ascii="Times New Roman" w:hAnsi="Times New Roman" w:cs="Times New Roman"/>
          <w:sz w:val="24"/>
          <w:szCs w:val="24"/>
        </w:rPr>
      </w:pPr>
    </w:p>
    <w:p w14:paraId="300C65C7" w14:textId="77777777" w:rsidR="00412474" w:rsidRPr="00215667" w:rsidRDefault="00412474" w:rsidP="00412474">
      <w:pPr>
        <w:spacing w:after="0" w:line="240" w:lineRule="auto"/>
        <w:jc w:val="center"/>
        <w:rPr>
          <w:rFonts w:ascii="Times New Roman" w:hAnsi="Times New Roman" w:cs="Times New Roman"/>
          <w:sz w:val="24"/>
          <w:szCs w:val="24"/>
        </w:rPr>
      </w:pPr>
    </w:p>
    <w:p w14:paraId="0827CE9D" w14:textId="77777777" w:rsidR="00412474" w:rsidRPr="00215667" w:rsidRDefault="00412474" w:rsidP="00C70FF0">
      <w:pPr>
        <w:spacing w:after="0" w:line="240" w:lineRule="auto"/>
        <w:rPr>
          <w:rFonts w:ascii="Times New Roman" w:hAnsi="Times New Roman" w:cs="Times New Roman"/>
          <w:sz w:val="24"/>
          <w:szCs w:val="24"/>
        </w:rPr>
      </w:pPr>
    </w:p>
    <w:p w14:paraId="436AE1F2" w14:textId="2D2594F7" w:rsidR="00412474" w:rsidRPr="00215667" w:rsidRDefault="00412474" w:rsidP="00412474">
      <w:pPr>
        <w:tabs>
          <w:tab w:val="left" w:pos="408"/>
          <w:tab w:val="center" w:pos="4513"/>
        </w:tabs>
        <w:spacing w:after="0" w:line="240" w:lineRule="auto"/>
        <w:jc w:val="center"/>
        <w:rPr>
          <w:rFonts w:ascii="Times New Roman" w:hAnsi="Times New Roman" w:cs="Times New Roman"/>
          <w:b/>
          <w:sz w:val="24"/>
          <w:szCs w:val="24"/>
        </w:rPr>
        <w:sectPr w:rsidR="00412474" w:rsidRPr="00215667" w:rsidSect="00215667">
          <w:headerReference w:type="default" r:id="rId10"/>
          <w:footerReference w:type="even" r:id="rId11"/>
          <w:footerReference w:type="default" r:id="rId12"/>
          <w:pgSz w:w="11906" w:h="16838" w:code="9"/>
          <w:pgMar w:top="1418" w:right="1418" w:bottom="1418" w:left="1418" w:header="851" w:footer="851" w:gutter="0"/>
          <w:cols w:space="708"/>
          <w:titlePg/>
          <w:docGrid w:linePitch="360"/>
        </w:sectPr>
      </w:pPr>
      <w:r w:rsidRPr="00215667">
        <w:rPr>
          <w:rFonts w:ascii="Times New Roman" w:hAnsi="Times New Roman" w:cs="Times New Roman"/>
          <w:b/>
          <w:sz w:val="24"/>
          <w:szCs w:val="24"/>
        </w:rPr>
        <w:t>Скопје, 2025</w:t>
      </w:r>
    </w:p>
    <w:p w14:paraId="769E200F" w14:textId="3C52B0DB" w:rsidR="00412474" w:rsidRPr="00215667" w:rsidRDefault="00215667" w:rsidP="00412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Д</w:t>
      </w:r>
      <w:r w:rsidR="00412474" w:rsidRPr="00215667">
        <w:rPr>
          <w:rFonts w:ascii="Times New Roman" w:hAnsi="Times New Roman" w:cs="Times New Roman"/>
          <w:sz w:val="24"/>
          <w:szCs w:val="24"/>
        </w:rPr>
        <w:t xml:space="preserve">окторанд: </w:t>
      </w:r>
    </w:p>
    <w:p w14:paraId="2B40DB15" w14:textId="048F12CE" w:rsidR="00412474" w:rsidRDefault="00412474" w:rsidP="00412474">
      <w:pPr>
        <w:spacing w:after="0" w:line="240" w:lineRule="auto"/>
        <w:jc w:val="both"/>
        <w:rPr>
          <w:rFonts w:ascii="Times New Roman" w:hAnsi="Times New Roman" w:cs="Times New Roman"/>
          <w:sz w:val="24"/>
          <w:szCs w:val="24"/>
        </w:rPr>
      </w:pPr>
      <w:r w:rsidRPr="00215667">
        <w:rPr>
          <w:rFonts w:ascii="Times New Roman" w:hAnsi="Times New Roman" w:cs="Times New Roman"/>
          <w:sz w:val="24"/>
          <w:szCs w:val="24"/>
        </w:rPr>
        <w:t>Ш</w:t>
      </w:r>
      <w:r w:rsidR="001F3ABB">
        <w:rPr>
          <w:rFonts w:ascii="Times New Roman" w:hAnsi="Times New Roman" w:cs="Times New Roman"/>
          <w:sz w:val="24"/>
          <w:szCs w:val="24"/>
        </w:rPr>
        <w:t>Ќ</w:t>
      </w:r>
      <w:r w:rsidRPr="00215667">
        <w:rPr>
          <w:rFonts w:ascii="Times New Roman" w:hAnsi="Times New Roman" w:cs="Times New Roman"/>
          <w:sz w:val="24"/>
          <w:szCs w:val="24"/>
        </w:rPr>
        <w:t xml:space="preserve">ИПОЊЕ </w:t>
      </w:r>
      <w:r w:rsidR="00C70FF0">
        <w:rPr>
          <w:rFonts w:ascii="Times New Roman" w:hAnsi="Times New Roman" w:cs="Times New Roman"/>
          <w:sz w:val="24"/>
          <w:szCs w:val="24"/>
        </w:rPr>
        <w:t xml:space="preserve">РИФАТ </w:t>
      </w:r>
      <w:r w:rsidRPr="00215667">
        <w:rPr>
          <w:rFonts w:ascii="Times New Roman" w:hAnsi="Times New Roman" w:cs="Times New Roman"/>
          <w:sz w:val="24"/>
          <w:szCs w:val="24"/>
        </w:rPr>
        <w:t>ГАШИ</w:t>
      </w:r>
    </w:p>
    <w:p w14:paraId="1878EEE4" w14:textId="77777777" w:rsidR="00C70FF0" w:rsidRPr="00215667" w:rsidRDefault="00C70FF0" w:rsidP="00412474">
      <w:pPr>
        <w:spacing w:after="0" w:line="240" w:lineRule="auto"/>
        <w:jc w:val="both"/>
        <w:rPr>
          <w:rFonts w:ascii="Times New Roman" w:hAnsi="Times New Roman" w:cs="Times New Roman"/>
          <w:sz w:val="24"/>
          <w:szCs w:val="24"/>
        </w:rPr>
      </w:pPr>
    </w:p>
    <w:p w14:paraId="7221833A" w14:textId="77777777" w:rsidR="00412474" w:rsidRPr="00215667" w:rsidRDefault="00412474" w:rsidP="00412474">
      <w:pPr>
        <w:spacing w:after="0" w:line="240" w:lineRule="auto"/>
        <w:jc w:val="both"/>
        <w:rPr>
          <w:rFonts w:ascii="Times New Roman" w:hAnsi="Times New Roman" w:cs="Times New Roman"/>
          <w:sz w:val="24"/>
          <w:szCs w:val="24"/>
        </w:rPr>
      </w:pPr>
      <w:r w:rsidRPr="00215667">
        <w:rPr>
          <w:rFonts w:ascii="Times New Roman" w:hAnsi="Times New Roman" w:cs="Times New Roman"/>
          <w:sz w:val="24"/>
          <w:szCs w:val="24"/>
        </w:rPr>
        <w:t xml:space="preserve">Тема: </w:t>
      </w:r>
    </w:p>
    <w:p w14:paraId="6018BFCB" w14:textId="6915235B" w:rsidR="00412474" w:rsidRPr="00215667" w:rsidRDefault="00412474" w:rsidP="000642BA">
      <w:pPr>
        <w:ind w:right="-1"/>
        <w:jc w:val="both"/>
        <w:rPr>
          <w:rFonts w:ascii="Times New Roman" w:hAnsi="Times New Roman" w:cs="Times New Roman"/>
          <w:bCs/>
          <w:sz w:val="24"/>
          <w:szCs w:val="24"/>
        </w:rPr>
      </w:pPr>
      <w:r w:rsidRPr="00215667">
        <w:rPr>
          <w:rFonts w:ascii="Times New Roman" w:hAnsi="Times New Roman" w:cs="Times New Roman"/>
          <w:bCs/>
          <w:sz w:val="24"/>
          <w:szCs w:val="24"/>
        </w:rPr>
        <w:t>ДЕНТОАЛВЕОЛАРНО-ПЕРИОПЕРАТИВНО МЕНАЏИРАЊЕ НА КРВАВЕЊЕ КАЈ ПАЦИЕНТИ СО ТРОМБОЦИТНА ХИПОАГРЕГАБИЛНОСТ И ПАЦИЕНТИ КОИ ПРИМААТ ОРАЛНА АНТИКОАГУЛАЦИОНА И АНТИАГРЕГАЦИОНА ТЕРАПИЈА</w:t>
      </w:r>
    </w:p>
    <w:p w14:paraId="0AB436AB" w14:textId="3082C403" w:rsidR="00412474" w:rsidRPr="00215667" w:rsidRDefault="00412474" w:rsidP="00412474">
      <w:pPr>
        <w:spacing w:after="0" w:line="240" w:lineRule="auto"/>
        <w:jc w:val="both"/>
        <w:rPr>
          <w:rFonts w:ascii="Times New Roman" w:hAnsi="Times New Roman" w:cs="Times New Roman"/>
          <w:sz w:val="24"/>
          <w:szCs w:val="24"/>
        </w:rPr>
      </w:pPr>
    </w:p>
    <w:p w14:paraId="36CDB551" w14:textId="77777777" w:rsidR="00412474" w:rsidRPr="00215667" w:rsidRDefault="00412474" w:rsidP="00412474">
      <w:pPr>
        <w:spacing w:after="0" w:line="240" w:lineRule="auto"/>
        <w:jc w:val="both"/>
        <w:rPr>
          <w:rFonts w:ascii="Times New Roman" w:hAnsi="Times New Roman" w:cs="Times New Roman"/>
          <w:sz w:val="24"/>
          <w:szCs w:val="24"/>
        </w:rPr>
      </w:pPr>
    </w:p>
    <w:p w14:paraId="0CB1C623" w14:textId="77777777" w:rsidR="00412474" w:rsidRPr="00215667" w:rsidRDefault="00412474" w:rsidP="00412474">
      <w:pPr>
        <w:spacing w:after="0" w:line="240" w:lineRule="auto"/>
        <w:jc w:val="both"/>
        <w:rPr>
          <w:rFonts w:ascii="Times New Roman" w:hAnsi="Times New Roman" w:cs="Times New Roman"/>
          <w:sz w:val="24"/>
          <w:szCs w:val="24"/>
        </w:rPr>
      </w:pPr>
    </w:p>
    <w:p w14:paraId="1B0ADACC" w14:textId="77777777" w:rsidR="00412474" w:rsidRPr="00215667" w:rsidRDefault="00412474" w:rsidP="00412474">
      <w:pPr>
        <w:spacing w:after="0" w:line="240" w:lineRule="auto"/>
        <w:jc w:val="both"/>
        <w:rPr>
          <w:rFonts w:ascii="Times New Roman" w:hAnsi="Times New Roman" w:cs="Times New Roman"/>
          <w:sz w:val="24"/>
          <w:szCs w:val="24"/>
        </w:rPr>
      </w:pPr>
      <w:r w:rsidRPr="00215667">
        <w:rPr>
          <w:rFonts w:ascii="Times New Roman" w:hAnsi="Times New Roman" w:cs="Times New Roman"/>
          <w:sz w:val="24"/>
          <w:szCs w:val="24"/>
        </w:rPr>
        <w:t>Ментор:</w:t>
      </w:r>
    </w:p>
    <w:p w14:paraId="0A7892CA" w14:textId="0B0C8109" w:rsidR="00412474" w:rsidRPr="00215667" w:rsidRDefault="000642BA" w:rsidP="00412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412474" w:rsidRPr="00215667">
        <w:rPr>
          <w:rFonts w:ascii="Times New Roman" w:hAnsi="Times New Roman" w:cs="Times New Roman"/>
          <w:sz w:val="24"/>
          <w:szCs w:val="24"/>
        </w:rPr>
        <w:t>роф. д-р Сузана Двојаковска,</w:t>
      </w:r>
    </w:p>
    <w:p w14:paraId="4EA3F838" w14:textId="5C4E3ED6" w:rsidR="00412474" w:rsidRPr="00215667" w:rsidRDefault="00412474" w:rsidP="00412474">
      <w:pPr>
        <w:spacing w:after="0" w:line="240" w:lineRule="auto"/>
        <w:jc w:val="both"/>
        <w:rPr>
          <w:rFonts w:ascii="Times New Roman" w:hAnsi="Times New Roman" w:cs="Times New Roman"/>
          <w:sz w:val="24"/>
          <w:szCs w:val="24"/>
        </w:rPr>
      </w:pPr>
      <w:r w:rsidRPr="00215667">
        <w:rPr>
          <w:rFonts w:ascii="Times New Roman" w:hAnsi="Times New Roman" w:cs="Times New Roman"/>
          <w:sz w:val="24"/>
          <w:szCs w:val="24"/>
        </w:rPr>
        <w:t>Универзитет „Св. Кирил и Методиј“ во Скопје</w:t>
      </w:r>
    </w:p>
    <w:p w14:paraId="295F3B31" w14:textId="167F9542" w:rsidR="00412474" w:rsidRPr="00215667" w:rsidRDefault="00412474" w:rsidP="00412474">
      <w:pPr>
        <w:spacing w:after="0" w:line="240" w:lineRule="auto"/>
        <w:jc w:val="both"/>
        <w:rPr>
          <w:rFonts w:ascii="Times New Roman" w:hAnsi="Times New Roman" w:cs="Times New Roman"/>
          <w:sz w:val="24"/>
          <w:szCs w:val="24"/>
        </w:rPr>
      </w:pPr>
      <w:r w:rsidRPr="00215667">
        <w:rPr>
          <w:rFonts w:ascii="Times New Roman" w:hAnsi="Times New Roman" w:cs="Times New Roman"/>
          <w:sz w:val="24"/>
          <w:szCs w:val="24"/>
        </w:rPr>
        <w:t>Стоматолошки факултет – Скопје</w:t>
      </w:r>
    </w:p>
    <w:p w14:paraId="4E22B737" w14:textId="109A2DBA" w:rsidR="00412474" w:rsidRPr="00215667" w:rsidRDefault="00412474" w:rsidP="00412474">
      <w:pPr>
        <w:spacing w:after="0" w:line="240" w:lineRule="auto"/>
        <w:jc w:val="both"/>
        <w:rPr>
          <w:rFonts w:ascii="Times New Roman" w:hAnsi="Times New Roman" w:cs="Times New Roman"/>
          <w:sz w:val="24"/>
          <w:szCs w:val="24"/>
        </w:rPr>
      </w:pPr>
      <w:r w:rsidRPr="00215667">
        <w:rPr>
          <w:rFonts w:ascii="Times New Roman" w:hAnsi="Times New Roman" w:cs="Times New Roman"/>
          <w:sz w:val="24"/>
          <w:szCs w:val="24"/>
        </w:rPr>
        <w:t xml:space="preserve">ЈЗУ Универзитетска клиника за хирургија на лице, вилици и врат – </w:t>
      </w:r>
    </w:p>
    <w:p w14:paraId="6172C3B2" w14:textId="3E2A18DC" w:rsidR="00412474" w:rsidRPr="00215667" w:rsidRDefault="00412474" w:rsidP="00412474">
      <w:pPr>
        <w:spacing w:after="0" w:line="240" w:lineRule="auto"/>
        <w:jc w:val="both"/>
        <w:rPr>
          <w:rFonts w:ascii="Times New Roman" w:hAnsi="Times New Roman" w:cs="Times New Roman"/>
          <w:sz w:val="24"/>
          <w:szCs w:val="24"/>
        </w:rPr>
      </w:pPr>
      <w:r w:rsidRPr="00215667">
        <w:rPr>
          <w:rFonts w:ascii="Times New Roman" w:hAnsi="Times New Roman" w:cs="Times New Roman"/>
          <w:sz w:val="24"/>
          <w:szCs w:val="24"/>
        </w:rPr>
        <w:t>Максилофацијална хирургија – Академик Илија Васков, Скопје</w:t>
      </w:r>
    </w:p>
    <w:p w14:paraId="037655F6" w14:textId="77777777" w:rsidR="00412474" w:rsidRPr="00215667" w:rsidRDefault="00412474" w:rsidP="00412474">
      <w:pPr>
        <w:spacing w:after="0" w:line="240" w:lineRule="auto"/>
        <w:jc w:val="both"/>
        <w:rPr>
          <w:rFonts w:ascii="Times New Roman" w:hAnsi="Times New Roman" w:cs="Times New Roman"/>
          <w:sz w:val="24"/>
          <w:szCs w:val="24"/>
        </w:rPr>
      </w:pPr>
    </w:p>
    <w:p w14:paraId="6DCC7B22" w14:textId="77777777" w:rsidR="00412474" w:rsidRPr="00215667" w:rsidRDefault="00412474" w:rsidP="00412474">
      <w:pPr>
        <w:spacing w:after="0" w:line="240" w:lineRule="auto"/>
        <w:jc w:val="both"/>
        <w:rPr>
          <w:rFonts w:ascii="Times New Roman" w:hAnsi="Times New Roman" w:cs="Times New Roman"/>
          <w:sz w:val="24"/>
          <w:szCs w:val="24"/>
        </w:rPr>
      </w:pPr>
    </w:p>
    <w:p w14:paraId="589CAD1A" w14:textId="77777777" w:rsidR="00412474" w:rsidRPr="00215667" w:rsidRDefault="00412474" w:rsidP="00412474">
      <w:pPr>
        <w:spacing w:after="0" w:line="240" w:lineRule="auto"/>
        <w:jc w:val="both"/>
        <w:rPr>
          <w:rFonts w:ascii="Times New Roman" w:hAnsi="Times New Roman" w:cs="Times New Roman"/>
          <w:sz w:val="24"/>
          <w:szCs w:val="24"/>
        </w:rPr>
      </w:pPr>
    </w:p>
    <w:p w14:paraId="0DA9B1EA" w14:textId="77777777" w:rsidR="00412474" w:rsidRPr="00215667" w:rsidRDefault="00412474" w:rsidP="00412474">
      <w:pPr>
        <w:spacing w:after="0" w:line="240" w:lineRule="auto"/>
        <w:jc w:val="both"/>
        <w:rPr>
          <w:rFonts w:ascii="Times New Roman" w:hAnsi="Times New Roman" w:cs="Times New Roman"/>
          <w:sz w:val="24"/>
          <w:szCs w:val="24"/>
        </w:rPr>
      </w:pPr>
      <w:r w:rsidRPr="00215667">
        <w:rPr>
          <w:rFonts w:ascii="Times New Roman" w:hAnsi="Times New Roman" w:cs="Times New Roman"/>
          <w:sz w:val="24"/>
          <w:szCs w:val="24"/>
        </w:rPr>
        <w:t>Комисија за одбрана:</w:t>
      </w:r>
    </w:p>
    <w:p w14:paraId="421B0DF6" w14:textId="2B95DC02" w:rsidR="00412474" w:rsidRPr="00215667" w:rsidRDefault="000642BA" w:rsidP="00412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412474" w:rsidRPr="00215667">
        <w:rPr>
          <w:rFonts w:ascii="Times New Roman" w:hAnsi="Times New Roman" w:cs="Times New Roman"/>
          <w:sz w:val="24"/>
          <w:szCs w:val="24"/>
        </w:rPr>
        <w:t>роф.д-р ИМЕ И ПРЕЗИМЕ (претседател)</w:t>
      </w:r>
    </w:p>
    <w:p w14:paraId="22F379CD" w14:textId="77777777" w:rsidR="00412474" w:rsidRPr="00215667" w:rsidRDefault="00412474" w:rsidP="00412474">
      <w:pPr>
        <w:spacing w:after="0" w:line="240" w:lineRule="auto"/>
        <w:jc w:val="both"/>
        <w:rPr>
          <w:rFonts w:ascii="Times New Roman" w:hAnsi="Times New Roman" w:cs="Times New Roman"/>
          <w:sz w:val="24"/>
          <w:szCs w:val="24"/>
        </w:rPr>
      </w:pPr>
      <w:r w:rsidRPr="00215667">
        <w:rPr>
          <w:rFonts w:ascii="Times New Roman" w:hAnsi="Times New Roman" w:cs="Times New Roman"/>
          <w:sz w:val="24"/>
          <w:szCs w:val="24"/>
        </w:rPr>
        <w:t>Установа од која доаѓа</w:t>
      </w:r>
    </w:p>
    <w:p w14:paraId="7194625F" w14:textId="77777777" w:rsidR="00412474" w:rsidRPr="00215667" w:rsidRDefault="00412474" w:rsidP="00412474">
      <w:pPr>
        <w:spacing w:after="0" w:line="240" w:lineRule="auto"/>
        <w:jc w:val="both"/>
        <w:rPr>
          <w:rFonts w:ascii="Times New Roman" w:hAnsi="Times New Roman" w:cs="Times New Roman"/>
          <w:sz w:val="24"/>
          <w:szCs w:val="24"/>
        </w:rPr>
      </w:pPr>
    </w:p>
    <w:p w14:paraId="648EB97D" w14:textId="623B9B00" w:rsidR="00412474" w:rsidRPr="00215667" w:rsidRDefault="000642BA" w:rsidP="00412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412474" w:rsidRPr="00215667">
        <w:rPr>
          <w:rFonts w:ascii="Times New Roman" w:hAnsi="Times New Roman" w:cs="Times New Roman"/>
          <w:sz w:val="24"/>
          <w:szCs w:val="24"/>
        </w:rPr>
        <w:t>роф.д-р ИМЕ И ПРЕЗИМЕ,</w:t>
      </w:r>
    </w:p>
    <w:p w14:paraId="526EEEAA" w14:textId="77777777" w:rsidR="00412474" w:rsidRPr="00215667" w:rsidRDefault="00412474" w:rsidP="00412474">
      <w:pPr>
        <w:spacing w:after="0" w:line="240" w:lineRule="auto"/>
        <w:jc w:val="both"/>
        <w:rPr>
          <w:rFonts w:ascii="Times New Roman" w:hAnsi="Times New Roman" w:cs="Times New Roman"/>
          <w:sz w:val="24"/>
          <w:szCs w:val="24"/>
        </w:rPr>
      </w:pPr>
      <w:r w:rsidRPr="00215667">
        <w:rPr>
          <w:rFonts w:ascii="Times New Roman" w:hAnsi="Times New Roman" w:cs="Times New Roman"/>
          <w:sz w:val="24"/>
          <w:szCs w:val="24"/>
        </w:rPr>
        <w:t>Установа од која доаѓа</w:t>
      </w:r>
    </w:p>
    <w:p w14:paraId="04C6CC13" w14:textId="77777777" w:rsidR="00412474" w:rsidRPr="00215667" w:rsidRDefault="00412474" w:rsidP="00412474">
      <w:pPr>
        <w:spacing w:after="0" w:line="240" w:lineRule="auto"/>
        <w:jc w:val="both"/>
        <w:rPr>
          <w:rFonts w:ascii="Times New Roman" w:hAnsi="Times New Roman" w:cs="Times New Roman"/>
          <w:sz w:val="24"/>
          <w:szCs w:val="24"/>
        </w:rPr>
      </w:pPr>
    </w:p>
    <w:p w14:paraId="598F9FFC" w14:textId="23349922" w:rsidR="00412474" w:rsidRPr="00215667" w:rsidRDefault="000642BA" w:rsidP="00412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412474" w:rsidRPr="00215667">
        <w:rPr>
          <w:rFonts w:ascii="Times New Roman" w:hAnsi="Times New Roman" w:cs="Times New Roman"/>
          <w:sz w:val="24"/>
          <w:szCs w:val="24"/>
        </w:rPr>
        <w:t>роф.д-р ИМЕ И ПРЕЗИМЕ,</w:t>
      </w:r>
    </w:p>
    <w:p w14:paraId="75F97164" w14:textId="77777777" w:rsidR="00412474" w:rsidRPr="00215667" w:rsidRDefault="00412474" w:rsidP="00412474">
      <w:pPr>
        <w:spacing w:after="0" w:line="240" w:lineRule="auto"/>
        <w:jc w:val="both"/>
        <w:rPr>
          <w:rFonts w:ascii="Times New Roman" w:hAnsi="Times New Roman" w:cs="Times New Roman"/>
          <w:sz w:val="24"/>
          <w:szCs w:val="24"/>
        </w:rPr>
      </w:pPr>
      <w:r w:rsidRPr="00215667">
        <w:rPr>
          <w:rFonts w:ascii="Times New Roman" w:hAnsi="Times New Roman" w:cs="Times New Roman"/>
          <w:sz w:val="24"/>
          <w:szCs w:val="24"/>
        </w:rPr>
        <w:t>Установа од која доаѓа</w:t>
      </w:r>
    </w:p>
    <w:p w14:paraId="7D800A47" w14:textId="77777777" w:rsidR="00412474" w:rsidRPr="00215667" w:rsidRDefault="00412474" w:rsidP="00412474">
      <w:pPr>
        <w:spacing w:after="0" w:line="240" w:lineRule="auto"/>
        <w:jc w:val="both"/>
        <w:rPr>
          <w:rFonts w:ascii="Times New Roman" w:hAnsi="Times New Roman" w:cs="Times New Roman"/>
          <w:sz w:val="24"/>
          <w:szCs w:val="24"/>
        </w:rPr>
      </w:pPr>
    </w:p>
    <w:p w14:paraId="341736DC" w14:textId="3A6A389D" w:rsidR="00412474" w:rsidRPr="00215667" w:rsidRDefault="000642BA" w:rsidP="00412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412474" w:rsidRPr="00215667">
        <w:rPr>
          <w:rFonts w:ascii="Times New Roman" w:hAnsi="Times New Roman" w:cs="Times New Roman"/>
          <w:sz w:val="24"/>
          <w:szCs w:val="24"/>
        </w:rPr>
        <w:t>роф.д-р ИМЕ И ПРЕЗИМЕ,</w:t>
      </w:r>
    </w:p>
    <w:p w14:paraId="79A07381" w14:textId="77777777" w:rsidR="00412474" w:rsidRPr="00215667" w:rsidRDefault="00412474" w:rsidP="00412474">
      <w:pPr>
        <w:spacing w:after="0" w:line="240" w:lineRule="auto"/>
        <w:jc w:val="both"/>
        <w:rPr>
          <w:rFonts w:ascii="Times New Roman" w:hAnsi="Times New Roman" w:cs="Times New Roman"/>
          <w:sz w:val="24"/>
          <w:szCs w:val="24"/>
        </w:rPr>
      </w:pPr>
      <w:r w:rsidRPr="00215667">
        <w:rPr>
          <w:rFonts w:ascii="Times New Roman" w:hAnsi="Times New Roman" w:cs="Times New Roman"/>
          <w:sz w:val="24"/>
          <w:szCs w:val="24"/>
        </w:rPr>
        <w:t>Установа од која доаѓа</w:t>
      </w:r>
    </w:p>
    <w:p w14:paraId="1B7C170C" w14:textId="77777777" w:rsidR="00412474" w:rsidRPr="00215667" w:rsidRDefault="00412474" w:rsidP="00412474">
      <w:pPr>
        <w:spacing w:after="0" w:line="240" w:lineRule="auto"/>
        <w:jc w:val="both"/>
        <w:rPr>
          <w:rFonts w:ascii="Times New Roman" w:hAnsi="Times New Roman" w:cs="Times New Roman"/>
          <w:sz w:val="24"/>
          <w:szCs w:val="24"/>
        </w:rPr>
      </w:pPr>
    </w:p>
    <w:p w14:paraId="028CF284" w14:textId="6B162111" w:rsidR="00412474" w:rsidRPr="00215667" w:rsidRDefault="000642BA" w:rsidP="0041247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412474" w:rsidRPr="00215667">
        <w:rPr>
          <w:rFonts w:ascii="Times New Roman" w:hAnsi="Times New Roman" w:cs="Times New Roman"/>
          <w:sz w:val="24"/>
          <w:szCs w:val="24"/>
        </w:rPr>
        <w:t>роф.д-р ИМЕ И ПРЕЗИМЕ,</w:t>
      </w:r>
    </w:p>
    <w:p w14:paraId="74406C8B" w14:textId="77777777" w:rsidR="00412474" w:rsidRPr="00215667" w:rsidRDefault="00412474" w:rsidP="00412474">
      <w:pPr>
        <w:spacing w:after="0" w:line="240" w:lineRule="auto"/>
        <w:jc w:val="both"/>
        <w:rPr>
          <w:rFonts w:ascii="Times New Roman" w:hAnsi="Times New Roman" w:cs="Times New Roman"/>
          <w:sz w:val="24"/>
          <w:szCs w:val="24"/>
        </w:rPr>
      </w:pPr>
      <w:r w:rsidRPr="00215667">
        <w:rPr>
          <w:rFonts w:ascii="Times New Roman" w:hAnsi="Times New Roman" w:cs="Times New Roman"/>
          <w:sz w:val="24"/>
          <w:szCs w:val="24"/>
        </w:rPr>
        <w:t>Установа од која доаѓа</w:t>
      </w:r>
    </w:p>
    <w:p w14:paraId="66911259" w14:textId="77777777" w:rsidR="00412474" w:rsidRPr="00215667" w:rsidRDefault="00412474" w:rsidP="00412474">
      <w:pPr>
        <w:spacing w:after="0" w:line="240" w:lineRule="auto"/>
        <w:jc w:val="both"/>
        <w:rPr>
          <w:rFonts w:ascii="Times New Roman" w:hAnsi="Times New Roman" w:cs="Times New Roman"/>
          <w:sz w:val="24"/>
          <w:szCs w:val="24"/>
        </w:rPr>
      </w:pPr>
    </w:p>
    <w:p w14:paraId="6679C8DB" w14:textId="77777777" w:rsidR="00412474" w:rsidRPr="00215667" w:rsidRDefault="00412474" w:rsidP="00412474">
      <w:pPr>
        <w:spacing w:after="0" w:line="240" w:lineRule="auto"/>
        <w:jc w:val="both"/>
        <w:rPr>
          <w:rFonts w:ascii="Times New Roman" w:hAnsi="Times New Roman" w:cs="Times New Roman"/>
          <w:b/>
          <w:sz w:val="24"/>
          <w:szCs w:val="24"/>
        </w:rPr>
      </w:pPr>
    </w:p>
    <w:p w14:paraId="691B624E" w14:textId="77777777" w:rsidR="00412474" w:rsidRPr="00215667" w:rsidRDefault="00412474" w:rsidP="00412474">
      <w:pPr>
        <w:spacing w:after="0" w:line="240" w:lineRule="auto"/>
        <w:jc w:val="both"/>
        <w:rPr>
          <w:rFonts w:ascii="Times New Roman" w:hAnsi="Times New Roman" w:cs="Times New Roman"/>
          <w:sz w:val="24"/>
          <w:szCs w:val="24"/>
        </w:rPr>
      </w:pPr>
    </w:p>
    <w:p w14:paraId="5A9747FD" w14:textId="77777777" w:rsidR="00412474" w:rsidRPr="00215667" w:rsidRDefault="00412474" w:rsidP="00412474">
      <w:pPr>
        <w:spacing w:after="0" w:line="240" w:lineRule="auto"/>
        <w:jc w:val="both"/>
        <w:rPr>
          <w:rFonts w:ascii="Times New Roman" w:hAnsi="Times New Roman" w:cs="Times New Roman"/>
          <w:sz w:val="24"/>
          <w:szCs w:val="24"/>
        </w:rPr>
      </w:pPr>
    </w:p>
    <w:p w14:paraId="5241E4F1" w14:textId="77777777" w:rsidR="00412474" w:rsidRPr="00215667" w:rsidRDefault="00412474" w:rsidP="00412474">
      <w:pPr>
        <w:spacing w:after="0" w:line="240" w:lineRule="auto"/>
        <w:jc w:val="both"/>
        <w:rPr>
          <w:rFonts w:ascii="Times New Roman" w:hAnsi="Times New Roman" w:cs="Times New Roman"/>
          <w:sz w:val="24"/>
          <w:szCs w:val="24"/>
        </w:rPr>
      </w:pPr>
    </w:p>
    <w:p w14:paraId="44F8D97A" w14:textId="77777777" w:rsidR="00412474" w:rsidRPr="00215667" w:rsidRDefault="00412474" w:rsidP="00412474">
      <w:pPr>
        <w:spacing w:after="0" w:line="240" w:lineRule="auto"/>
        <w:jc w:val="both"/>
        <w:rPr>
          <w:rFonts w:ascii="Times New Roman" w:hAnsi="Times New Roman" w:cs="Times New Roman"/>
          <w:sz w:val="24"/>
          <w:szCs w:val="24"/>
        </w:rPr>
      </w:pPr>
      <w:r w:rsidRPr="00215667">
        <w:rPr>
          <w:rFonts w:ascii="Times New Roman" w:hAnsi="Times New Roman" w:cs="Times New Roman"/>
          <w:sz w:val="24"/>
          <w:szCs w:val="24"/>
        </w:rPr>
        <w:t xml:space="preserve">Научна област: </w:t>
      </w:r>
    </w:p>
    <w:p w14:paraId="19BBF4B0" w14:textId="0FD762CA" w:rsidR="00412474" w:rsidRPr="00215667" w:rsidRDefault="00412474" w:rsidP="00412474">
      <w:pPr>
        <w:spacing w:after="0" w:line="240" w:lineRule="auto"/>
        <w:jc w:val="both"/>
        <w:rPr>
          <w:rFonts w:ascii="Times New Roman" w:hAnsi="Times New Roman" w:cs="Times New Roman"/>
          <w:sz w:val="24"/>
          <w:szCs w:val="24"/>
        </w:rPr>
      </w:pPr>
      <w:r w:rsidRPr="00215667">
        <w:rPr>
          <w:rFonts w:ascii="Times New Roman" w:hAnsi="Times New Roman" w:cs="Times New Roman"/>
          <w:sz w:val="24"/>
          <w:szCs w:val="24"/>
        </w:rPr>
        <w:t>МАКСИЛОФАЦИЈАЛНА ХИРУРГИЈА</w:t>
      </w:r>
    </w:p>
    <w:p w14:paraId="5AA6D5D5" w14:textId="77777777" w:rsidR="00412474" w:rsidRPr="00215667" w:rsidRDefault="00412474" w:rsidP="00412474">
      <w:pPr>
        <w:spacing w:after="0" w:line="240" w:lineRule="auto"/>
        <w:jc w:val="both"/>
        <w:rPr>
          <w:rFonts w:ascii="Times New Roman" w:hAnsi="Times New Roman" w:cs="Times New Roman"/>
          <w:sz w:val="24"/>
          <w:szCs w:val="24"/>
        </w:rPr>
      </w:pPr>
    </w:p>
    <w:p w14:paraId="4D663AAC" w14:textId="77777777" w:rsidR="00412474" w:rsidRPr="00215667" w:rsidRDefault="00412474" w:rsidP="00412474">
      <w:pPr>
        <w:spacing w:after="0" w:line="240" w:lineRule="auto"/>
        <w:jc w:val="both"/>
        <w:rPr>
          <w:rFonts w:ascii="Times New Roman" w:hAnsi="Times New Roman" w:cs="Times New Roman"/>
          <w:sz w:val="24"/>
          <w:szCs w:val="24"/>
        </w:rPr>
      </w:pPr>
    </w:p>
    <w:p w14:paraId="65E5C0B5" w14:textId="77777777" w:rsidR="00412474" w:rsidRPr="00215667" w:rsidRDefault="00412474" w:rsidP="00412474">
      <w:pPr>
        <w:spacing w:after="0" w:line="240" w:lineRule="auto"/>
        <w:jc w:val="both"/>
        <w:rPr>
          <w:rFonts w:ascii="Times New Roman" w:hAnsi="Times New Roman" w:cs="Times New Roman"/>
          <w:sz w:val="24"/>
          <w:szCs w:val="24"/>
        </w:rPr>
      </w:pPr>
    </w:p>
    <w:p w14:paraId="4B91420C" w14:textId="77777777" w:rsidR="00412474" w:rsidRPr="00215667" w:rsidRDefault="00412474" w:rsidP="00412474">
      <w:pPr>
        <w:spacing w:after="0" w:line="240" w:lineRule="auto"/>
        <w:jc w:val="both"/>
        <w:rPr>
          <w:rFonts w:ascii="Times New Roman" w:hAnsi="Times New Roman" w:cs="Times New Roman"/>
          <w:sz w:val="24"/>
          <w:szCs w:val="24"/>
        </w:rPr>
      </w:pPr>
      <w:r w:rsidRPr="00215667">
        <w:rPr>
          <w:rFonts w:ascii="Times New Roman" w:hAnsi="Times New Roman" w:cs="Times New Roman"/>
          <w:sz w:val="24"/>
          <w:szCs w:val="24"/>
        </w:rPr>
        <w:t>Датум на одбрана:</w:t>
      </w:r>
    </w:p>
    <w:p w14:paraId="31D7102E" w14:textId="349D2495" w:rsidR="00412474" w:rsidRPr="00215667" w:rsidRDefault="000642BA" w:rsidP="00412474">
      <w:pPr>
        <w:spacing w:after="0" w:line="240" w:lineRule="auto"/>
        <w:rPr>
          <w:rFonts w:ascii="Times New Roman" w:eastAsia="Calibri" w:hAnsi="Times New Roman" w:cs="Times New Roman"/>
          <w:b/>
          <w:bCs/>
          <w:sz w:val="24"/>
          <w:szCs w:val="24"/>
        </w:rPr>
      </w:pPr>
      <w:r>
        <w:rPr>
          <w:rFonts w:ascii="Times New Roman" w:eastAsia="Calibri" w:hAnsi="Times New Roman" w:cs="Times New Roman"/>
          <w:b/>
          <w:bCs/>
          <w:sz w:val="24"/>
          <w:szCs w:val="24"/>
        </w:rPr>
        <w:t>-------------------------</w:t>
      </w:r>
    </w:p>
    <w:p w14:paraId="3FEBE7D2" w14:textId="77777777" w:rsidR="00412474" w:rsidRPr="00215667" w:rsidRDefault="00412474" w:rsidP="00D35942">
      <w:pPr>
        <w:spacing w:line="360" w:lineRule="auto"/>
        <w:ind w:right="-1"/>
        <w:jc w:val="center"/>
        <w:rPr>
          <w:rFonts w:ascii="Times New Roman" w:hAnsi="Times New Roman" w:cs="Times New Roman"/>
          <w:b/>
          <w:sz w:val="24"/>
          <w:szCs w:val="24"/>
        </w:rPr>
      </w:pPr>
      <w:r w:rsidRPr="00215667">
        <w:rPr>
          <w:rFonts w:ascii="Times New Roman" w:hAnsi="Times New Roman" w:cs="Times New Roman"/>
          <w:b/>
          <w:sz w:val="24"/>
          <w:szCs w:val="24"/>
        </w:rPr>
        <w:lastRenderedPageBreak/>
        <w:t>ДЕНТОАЛВЕОЛАРНО- ПЕРИОПЕРАТИВНО МЕНАЏИРАЊЕ НА КРВАВЕЊЕ КАЈ ПАЦИЕНТИ СО ТРОМБОЦИТНА ХИПОАГРЕГАБИЛНОСТ И ПАЦИЕНТИ КОИ ПРИМААТ ОРАЛНА АНТИКОАГУЛАЦИОНА И АНТИАГРЕГАЦИОНА ТЕРАПИЈА</w:t>
      </w:r>
    </w:p>
    <w:p w14:paraId="229484BD" w14:textId="21C93B12" w:rsidR="00412474" w:rsidRPr="00215667" w:rsidRDefault="00412474" w:rsidP="00412474">
      <w:pPr>
        <w:spacing w:before="240" w:after="120" w:line="240" w:lineRule="auto"/>
        <w:jc w:val="center"/>
        <w:rPr>
          <w:rFonts w:ascii="Times New Roman" w:hAnsi="Times New Roman" w:cs="Times New Roman"/>
          <w:sz w:val="24"/>
          <w:szCs w:val="24"/>
        </w:rPr>
      </w:pPr>
      <w:r w:rsidRPr="00215667">
        <w:rPr>
          <w:rFonts w:ascii="Times New Roman" w:hAnsi="Times New Roman" w:cs="Times New Roman"/>
          <w:b/>
          <w:sz w:val="24"/>
          <w:szCs w:val="24"/>
        </w:rPr>
        <w:br/>
      </w:r>
      <w:r w:rsidRPr="00215667">
        <w:rPr>
          <w:rFonts w:ascii="Times New Roman" w:hAnsi="Times New Roman" w:cs="Times New Roman"/>
          <w:b/>
          <w:sz w:val="24"/>
          <w:szCs w:val="24"/>
        </w:rPr>
        <w:br/>
        <w:t xml:space="preserve">– </w:t>
      </w:r>
      <w:r w:rsidRPr="00215667">
        <w:rPr>
          <w:rFonts w:ascii="Times New Roman" w:hAnsi="Times New Roman" w:cs="Times New Roman"/>
          <w:sz w:val="24"/>
          <w:szCs w:val="24"/>
        </w:rPr>
        <w:t>А п с т р а к т –</w:t>
      </w:r>
      <w:r w:rsidRPr="00215667">
        <w:rPr>
          <w:rFonts w:ascii="Times New Roman" w:hAnsi="Times New Roman" w:cs="Times New Roman"/>
          <w:sz w:val="24"/>
          <w:szCs w:val="24"/>
        </w:rPr>
        <w:br/>
      </w:r>
    </w:p>
    <w:p w14:paraId="1A3104BF" w14:textId="116272CA" w:rsidR="00215667" w:rsidRPr="00215667" w:rsidRDefault="00215667" w:rsidP="00D35942">
      <w:pPr>
        <w:spacing w:before="240" w:after="120" w:line="360" w:lineRule="auto"/>
        <w:rPr>
          <w:rFonts w:ascii="Times New Roman" w:hAnsi="Times New Roman" w:cs="Times New Roman"/>
          <w:b/>
          <w:bCs/>
          <w:sz w:val="24"/>
          <w:szCs w:val="24"/>
        </w:rPr>
      </w:pPr>
      <w:r w:rsidRPr="006532D8">
        <w:rPr>
          <w:rFonts w:ascii="Times New Roman" w:hAnsi="Times New Roman" w:cs="Times New Roman"/>
          <w:b/>
          <w:bCs/>
          <w:sz w:val="24"/>
          <w:szCs w:val="24"/>
        </w:rPr>
        <w:t>Вовед</w:t>
      </w:r>
    </w:p>
    <w:p w14:paraId="45821BF2" w14:textId="01FCD841" w:rsidR="00215667" w:rsidRPr="00215667" w:rsidRDefault="002725E9" w:rsidP="00D35942">
      <w:pPr>
        <w:pStyle w:val="p1"/>
        <w:spacing w:line="360" w:lineRule="auto"/>
        <w:ind w:firstLine="720"/>
        <w:jc w:val="both"/>
        <w:rPr>
          <w:lang w:val="en-US"/>
        </w:rPr>
      </w:pPr>
      <w:r>
        <w:t>При изведување на дентоалвеоларните процедури, п</w:t>
      </w:r>
      <w:r w:rsidR="00215667" w:rsidRPr="00215667">
        <w:t>родолженото п</w:t>
      </w:r>
      <w:r w:rsidR="002F606B">
        <w:t>ери и пост</w:t>
      </w:r>
      <w:r w:rsidR="00215667" w:rsidRPr="00215667">
        <w:t>оперативно крвавење претставува значаен клинички предизвик кај пациенти со хипоагрегабилност на тромбоцити и оние кои примаат антикоагулантни и антиагрегациони лекови, особено во контекст на орално-хируршки интервенции. Иако хипоагрегабилноста на тромбоцитите често останува недијагностицирана поради субклинички манифестации, нејзиното навремено препознавање</w:t>
      </w:r>
      <w:r w:rsidR="002F606B">
        <w:t xml:space="preserve"> и дијагностицирање</w:t>
      </w:r>
      <w:r w:rsidR="00215667" w:rsidRPr="00215667">
        <w:t xml:space="preserve"> е клучно за превенција на компликации при орално-хируршки зафати, особено поради големиот ризик од периоперативно пролонгирано крвавење. Лабораториските анализи кај пациентите со хипоагрегабилност вклучуваат коагулациски параметри и тестови за агрегација со ADP, ристоцетин и колаген</w:t>
      </w:r>
      <w:r w:rsidR="002F606B">
        <w:rPr>
          <w:lang w:val="en-US"/>
        </w:rPr>
        <w:t xml:space="preserve">, </w:t>
      </w:r>
      <w:r w:rsidR="002F606B">
        <w:t>а нивните намалени вредности директно влијаат на ризикот од крвавење</w:t>
      </w:r>
      <w:r w:rsidR="00215667" w:rsidRPr="00215667">
        <w:t xml:space="preserve">. </w:t>
      </w:r>
      <w:r w:rsidR="002F606B">
        <w:t>Интравенозната и локалната апликација на</w:t>
      </w:r>
      <w:r w:rsidR="00E04E99">
        <w:t xml:space="preserve"> </w:t>
      </w:r>
      <w:r w:rsidR="00F00F01">
        <w:t>транексамична</w:t>
      </w:r>
      <w:r w:rsidR="002F606B">
        <w:t xml:space="preserve">та киселина </w:t>
      </w:r>
      <w:r w:rsidR="006532D8">
        <w:t>сѐ уште</w:t>
      </w:r>
      <w:r w:rsidR="002F606B">
        <w:t xml:space="preserve"> се златен стандард за превенција на крвавење кај овие пациенти. </w:t>
      </w:r>
      <w:r w:rsidR="00215667" w:rsidRPr="00215667">
        <w:t xml:space="preserve">Во литературата не постојат јасни протоколи кај пациентите кои примаат антикоагулантна и антиагрегациона терапија, особено во однос на потребата и времетраењето на нивното прекинување пред изведување на орално-хируршките интервенции. </w:t>
      </w:r>
      <w:r w:rsidR="002F606B">
        <w:t>Одредување на безбедни</w:t>
      </w:r>
      <w:r w:rsidR="00B26153">
        <w:t>те</w:t>
      </w:r>
      <w:r w:rsidR="002F606B">
        <w:t xml:space="preserve"> в</w:t>
      </w:r>
      <w:r w:rsidR="00215667" w:rsidRPr="00215667">
        <w:t xml:space="preserve">редности на </w:t>
      </w:r>
      <w:r w:rsidR="00215667" w:rsidRPr="00215667">
        <w:rPr>
          <w:lang w:val="en-US"/>
        </w:rPr>
        <w:t xml:space="preserve">INR </w:t>
      </w:r>
      <w:r w:rsidR="004F1418">
        <w:t>како значаен предиктор за</w:t>
      </w:r>
      <w:r w:rsidR="00215667" w:rsidRPr="00215667">
        <w:t xml:space="preserve"> и</w:t>
      </w:r>
      <w:r w:rsidR="004F1418">
        <w:t xml:space="preserve">зведувањето на овие интервенции, </w:t>
      </w:r>
      <w:r w:rsidR="00215667" w:rsidRPr="00215667">
        <w:t xml:space="preserve">од аспект на минимизирање на ризикот од појава на изразено постекстракционо крвавење исто така се дискутабилни. Дополнително, мора да се земат </w:t>
      </w:r>
      <w:r w:rsidR="00B26153" w:rsidRPr="00215667">
        <w:t xml:space="preserve">предвид </w:t>
      </w:r>
      <w:r w:rsidR="00215667" w:rsidRPr="00215667">
        <w:t>и други фактори кои се однесуваат на општото здравје, кои може да го зголемат ризикот од крвавење.</w:t>
      </w:r>
    </w:p>
    <w:p w14:paraId="267F592D" w14:textId="77777777" w:rsidR="00D35942" w:rsidRDefault="00D35942" w:rsidP="00D35942">
      <w:pPr>
        <w:pStyle w:val="p1"/>
        <w:spacing w:line="360" w:lineRule="auto"/>
        <w:rPr>
          <w:b/>
          <w:bCs/>
        </w:rPr>
      </w:pPr>
    </w:p>
    <w:p w14:paraId="01A9F3DB" w14:textId="044D59EC" w:rsidR="00215667" w:rsidRPr="00215667" w:rsidRDefault="00215667" w:rsidP="00D35942">
      <w:pPr>
        <w:pStyle w:val="p1"/>
        <w:spacing w:line="360" w:lineRule="auto"/>
        <w:rPr>
          <w:b/>
          <w:bCs/>
        </w:rPr>
      </w:pPr>
      <w:r w:rsidRPr="00215667">
        <w:rPr>
          <w:b/>
          <w:bCs/>
        </w:rPr>
        <w:lastRenderedPageBreak/>
        <w:t>Цел</w:t>
      </w:r>
    </w:p>
    <w:p w14:paraId="5E87E357" w14:textId="28D5B639" w:rsidR="00215667" w:rsidRPr="00215667" w:rsidRDefault="00215667" w:rsidP="00D35942">
      <w:pPr>
        <w:pStyle w:val="p1"/>
        <w:spacing w:line="360" w:lineRule="auto"/>
        <w:ind w:firstLine="720"/>
        <w:jc w:val="both"/>
      </w:pPr>
      <w:r w:rsidRPr="00215667">
        <w:t xml:space="preserve">Целта на ова истражување е да се утврди поврзаноста меѓу тромбоцитната хипоагрегабилност и ризикот од постоперативно крвавење кај пациенти подложени на орално-хируршки интервенции, како и да се процени ефикасноста на </w:t>
      </w:r>
      <w:r w:rsidR="00F00F01">
        <w:t>транексамична</w:t>
      </w:r>
      <w:r w:rsidRPr="00215667">
        <w:t xml:space="preserve">та киселина во негово спречување. Студијата ги анализираше агрегациските параметри (ADP, </w:t>
      </w:r>
      <w:bookmarkStart w:id="0" w:name="_Hlk208494965"/>
      <w:r w:rsidR="00B26153" w:rsidRPr="00215667">
        <w:t>ристоцетин и колаген</w:t>
      </w:r>
      <w:bookmarkEnd w:id="0"/>
      <w:r w:rsidRPr="00215667">
        <w:t xml:space="preserve">) како предиктори за зголемено постекстракционо крвавење. Кај пациените со антикоагулантна и антиагрегациона терапија, целта е да се утврди влијанието на прекинувањето на терапијата врз постекстрационото крвавење, безбедните вредности на </w:t>
      </w:r>
      <w:r w:rsidRPr="00215667">
        <w:rPr>
          <w:lang w:val="en-US"/>
        </w:rPr>
        <w:t>I</w:t>
      </w:r>
      <w:r w:rsidRPr="00215667">
        <w:t xml:space="preserve">NR како и значењето на HAS-BLED </w:t>
      </w:r>
      <w:r w:rsidR="00FA7E6F">
        <w:t>индексот</w:t>
      </w:r>
      <w:r w:rsidRPr="00215667">
        <w:t xml:space="preserve"> во одредувањето на ризикот од крва</w:t>
      </w:r>
      <w:r w:rsidR="00B26153">
        <w:t>в</w:t>
      </w:r>
      <w:r w:rsidRPr="00215667">
        <w:t>ење. Конечно, целта е да се предложат клинички насоки за безбедно менаџирање на пациентите кај кои постои зголемен ризик од постекстракционото крвавење.</w:t>
      </w:r>
    </w:p>
    <w:p w14:paraId="572FFB31" w14:textId="50EA6B68" w:rsidR="00215667" w:rsidRPr="00215667" w:rsidRDefault="00215667" w:rsidP="00D35942">
      <w:pPr>
        <w:pStyle w:val="p1"/>
        <w:spacing w:line="360" w:lineRule="auto"/>
        <w:rPr>
          <w:b/>
          <w:bCs/>
        </w:rPr>
      </w:pPr>
      <w:r w:rsidRPr="00215667">
        <w:rPr>
          <w:b/>
          <w:bCs/>
        </w:rPr>
        <w:t>Материјал и методи</w:t>
      </w:r>
    </w:p>
    <w:p w14:paraId="154A054D" w14:textId="6A800BB0" w:rsidR="00215667" w:rsidRPr="00215667" w:rsidRDefault="00215667" w:rsidP="00D35942">
      <w:pPr>
        <w:pStyle w:val="p1"/>
        <w:spacing w:line="360" w:lineRule="auto"/>
        <w:ind w:firstLine="720"/>
        <w:jc w:val="both"/>
      </w:pPr>
      <w:r w:rsidRPr="00215667">
        <w:t>Во првиот дел од оваа студија беа вклучени пациенти со клинички сомнеж за тромбоцитна хипоагрегабилност, подложени на екстракција на заби или дентоалвеоларни хируршки зафати. Кај сите испитаници беше извршена лабораториска евалуација, вклучувајќи скрининг на коагулациски параметри и тестови за агрегација со ADP, ристоцетин и колаген. Степенот на постоперативно крвавење беше објективно евалуиран со стандардизиран систем за проценка на времето на крвавење. Кај сите пациенти беше применет унифициран предоперативен протокол со системска примена на ТХА (1–1.5 g интравенски) приближно 45 минути пред зафатот, проследено со локални хемостатски мерки.</w:t>
      </w:r>
    </w:p>
    <w:p w14:paraId="7215C119" w14:textId="4AF053D5" w:rsidR="00215667" w:rsidRPr="00215667" w:rsidRDefault="00215667" w:rsidP="00D35942">
      <w:pPr>
        <w:spacing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Кај пациентите кои примаат антикоагулантна и антиагрегациона терапија, варијабилните параметри кои се испитувани се видот на лекот: DOACs, VKAs или NSAIDs, суспендирање на употребата на лекот пред интервенција или континуирано примање на лекот и определување на нивото на INR, како сигнификантен предиктор за појавата на PEB. Пациентите се поделени во 4 групи според нивото на PT-INR (1: PT-INR ≤ 0,96; 2: PT-INR ≤ 1,2; 3: INR ≤  1,6; и  4: PT- INR &gt; 106). Сите овие параметри вкрстено се корелирани со степенот на постекстракционо крвавење за секоја варијабла соодветно, асоцирано со појавата </w:t>
      </w:r>
      <w:r w:rsidRPr="00215667">
        <w:rPr>
          <w:rFonts w:ascii="Times New Roman" w:hAnsi="Times New Roman" w:cs="Times New Roman"/>
          <w:sz w:val="24"/>
          <w:szCs w:val="24"/>
        </w:rPr>
        <w:lastRenderedPageBreak/>
        <w:t xml:space="preserve">на постекстракционо крвавење кај здравата, контролна група. За утврдување на ризикот од појава на крвавење кај овие пациентите, е искористен и HAS-BLED  индексот со цел предоперативно да се идентификуваат пациентите со висок ризик за  крвавење. Варијаблите за процена на ризикот за секој пациент, се добиени од анамнезата и </w:t>
      </w:r>
      <w:r w:rsidR="00D80713">
        <w:rPr>
          <w:rFonts w:ascii="Times New Roman" w:hAnsi="Times New Roman" w:cs="Times New Roman"/>
          <w:sz w:val="24"/>
          <w:szCs w:val="24"/>
        </w:rPr>
        <w:t>лабораториски</w:t>
      </w:r>
      <w:r w:rsidRPr="00215667">
        <w:rPr>
          <w:rFonts w:ascii="Times New Roman" w:hAnsi="Times New Roman" w:cs="Times New Roman"/>
          <w:sz w:val="24"/>
          <w:szCs w:val="24"/>
        </w:rPr>
        <w:t xml:space="preserve">те иследувања на пациентите. </w:t>
      </w:r>
    </w:p>
    <w:p w14:paraId="03B57A75" w14:textId="395978C7" w:rsidR="00215667" w:rsidRPr="00215667" w:rsidRDefault="00215667" w:rsidP="00D35942">
      <w:pPr>
        <w:spacing w:line="360" w:lineRule="auto"/>
        <w:rPr>
          <w:rFonts w:ascii="Times New Roman" w:hAnsi="Times New Roman" w:cs="Times New Roman"/>
          <w:b/>
          <w:bCs/>
          <w:sz w:val="24"/>
          <w:szCs w:val="24"/>
        </w:rPr>
      </w:pPr>
      <w:r w:rsidRPr="00215667">
        <w:rPr>
          <w:rFonts w:ascii="Times New Roman" w:hAnsi="Times New Roman" w:cs="Times New Roman"/>
          <w:b/>
          <w:bCs/>
          <w:sz w:val="24"/>
          <w:szCs w:val="24"/>
        </w:rPr>
        <w:t>Резултати</w:t>
      </w:r>
    </w:p>
    <w:p w14:paraId="0E7B78CF" w14:textId="7D67BFC7" w:rsidR="00215667" w:rsidRPr="00215667" w:rsidRDefault="00215667" w:rsidP="00D35942">
      <w:pPr>
        <w:spacing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Просечното време на самопријавени симптоми на крвавење (BT) пред поставување на дијагноза кај пациентите изнесуваше 6 ± 4 дена, во ранг од еден до 14 дена. Кај 50</w:t>
      </w:r>
      <w:r w:rsidR="00BC0614">
        <w:rPr>
          <w:rFonts w:ascii="Times New Roman" w:hAnsi="Times New Roman" w:cs="Times New Roman"/>
          <w:sz w:val="24"/>
          <w:szCs w:val="24"/>
        </w:rPr>
        <w:t xml:space="preserve"> </w:t>
      </w:r>
      <w:r w:rsidRPr="00215667">
        <w:rPr>
          <w:rFonts w:ascii="Times New Roman" w:hAnsi="Times New Roman" w:cs="Times New Roman"/>
          <w:sz w:val="24"/>
          <w:szCs w:val="24"/>
        </w:rPr>
        <w:t>% од пациентите крвавењето беше над 4 дена</w:t>
      </w:r>
      <w:r w:rsidR="00BC0614">
        <w:rPr>
          <w:rFonts w:ascii="Times New Roman" w:hAnsi="Times New Roman" w:cs="Times New Roman"/>
          <w:sz w:val="24"/>
          <w:szCs w:val="24"/>
        </w:rPr>
        <w:t>.</w:t>
      </w:r>
      <w:r w:rsidRPr="00215667">
        <w:rPr>
          <w:rFonts w:ascii="Times New Roman" w:hAnsi="Times New Roman" w:cs="Times New Roman"/>
          <w:sz w:val="24"/>
          <w:szCs w:val="24"/>
        </w:rPr>
        <w:t xml:space="preserve"> </w:t>
      </w:r>
    </w:p>
    <w:p w14:paraId="31D66714" w14:textId="754487E8" w:rsidR="00215667" w:rsidRPr="00215667" w:rsidRDefault="00215667" w:rsidP="00D35942">
      <w:pPr>
        <w:spacing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Во нашата студија, анализата на резултатите добиени од сите 64 пациенти (100</w:t>
      </w:r>
      <w:r w:rsidR="00BC0614">
        <w:rPr>
          <w:rFonts w:ascii="Times New Roman" w:hAnsi="Times New Roman" w:cs="Times New Roman"/>
          <w:sz w:val="24"/>
          <w:szCs w:val="24"/>
        </w:rPr>
        <w:t xml:space="preserve"> </w:t>
      </w:r>
      <w:r w:rsidRPr="00215667">
        <w:rPr>
          <w:rFonts w:ascii="Times New Roman" w:hAnsi="Times New Roman" w:cs="Times New Roman"/>
          <w:sz w:val="24"/>
          <w:szCs w:val="24"/>
        </w:rPr>
        <w:t xml:space="preserve">%), покажа дека вредностите на ADP, </w:t>
      </w:r>
      <w:r w:rsidR="00BC0614" w:rsidRPr="00BC0614">
        <w:rPr>
          <w:rFonts w:ascii="Times New Roman" w:hAnsi="Times New Roman" w:cs="Times New Roman"/>
          <w:sz w:val="24"/>
          <w:szCs w:val="24"/>
        </w:rPr>
        <w:t>ристоцетин и колаген</w:t>
      </w:r>
      <w:r w:rsidRPr="00215667">
        <w:rPr>
          <w:rFonts w:ascii="Times New Roman" w:hAnsi="Times New Roman" w:cs="Times New Roman"/>
          <w:sz w:val="24"/>
          <w:szCs w:val="24"/>
        </w:rPr>
        <w:t xml:space="preserve"> се повеќе или помалку, но секогаш значајно намалени,  во однос на референтните вредности</w:t>
      </w:r>
      <w:r w:rsidR="00BC0614">
        <w:rPr>
          <w:rFonts w:ascii="Times New Roman" w:hAnsi="Times New Roman" w:cs="Times New Roman"/>
          <w:sz w:val="24"/>
          <w:szCs w:val="24"/>
        </w:rPr>
        <w:t>.</w:t>
      </w:r>
      <w:r w:rsidRPr="00215667">
        <w:rPr>
          <w:rFonts w:ascii="Times New Roman" w:hAnsi="Times New Roman" w:cs="Times New Roman"/>
          <w:sz w:val="24"/>
          <w:szCs w:val="24"/>
        </w:rPr>
        <w:t xml:space="preserve"> </w:t>
      </w:r>
    </w:p>
    <w:p w14:paraId="093D47DB" w14:textId="4FF40CDA" w:rsidR="00215667" w:rsidRPr="00215667" w:rsidRDefault="00215667" w:rsidP="00D35942">
      <w:pPr>
        <w:spacing w:line="360" w:lineRule="auto"/>
        <w:ind w:firstLine="720"/>
        <w:jc w:val="both"/>
        <w:rPr>
          <w:rFonts w:ascii="Times New Roman" w:hAnsi="Times New Roman" w:cs="Times New Roman"/>
          <w:sz w:val="24"/>
          <w:szCs w:val="24"/>
        </w:rPr>
      </w:pPr>
      <w:r w:rsidRPr="00215667">
        <w:rPr>
          <w:rFonts w:ascii="Times New Roman" w:hAnsi="Times New Roman" w:cs="Times New Roman"/>
          <w:bCs/>
          <w:sz w:val="24"/>
          <w:szCs w:val="24"/>
        </w:rPr>
        <w:t>Според интензитетот на појава на пролонгирани крвавења пред поставување на дијагнозата хипоагрегабилна состојба на тромбоцитите, регистриравме: умерени крвавења кај 53.1</w:t>
      </w:r>
      <w:r w:rsidR="00BC0614">
        <w:rPr>
          <w:rFonts w:ascii="Times New Roman" w:hAnsi="Times New Roman" w:cs="Times New Roman"/>
          <w:bCs/>
          <w:sz w:val="24"/>
          <w:szCs w:val="24"/>
        </w:rPr>
        <w:t xml:space="preserve"> </w:t>
      </w:r>
      <w:r w:rsidRPr="00215667">
        <w:rPr>
          <w:rFonts w:ascii="Times New Roman" w:hAnsi="Times New Roman" w:cs="Times New Roman"/>
          <w:bCs/>
          <w:sz w:val="24"/>
          <w:szCs w:val="24"/>
        </w:rPr>
        <w:t>%, тешки крвавења кај 45.3</w:t>
      </w:r>
      <w:r w:rsidR="00BC0614">
        <w:rPr>
          <w:rFonts w:ascii="Times New Roman" w:hAnsi="Times New Roman" w:cs="Times New Roman"/>
          <w:bCs/>
          <w:sz w:val="24"/>
          <w:szCs w:val="24"/>
        </w:rPr>
        <w:t xml:space="preserve"> </w:t>
      </w:r>
      <w:r w:rsidRPr="00215667">
        <w:rPr>
          <w:rFonts w:ascii="Times New Roman" w:hAnsi="Times New Roman" w:cs="Times New Roman"/>
          <w:bCs/>
          <w:sz w:val="24"/>
          <w:szCs w:val="24"/>
        </w:rPr>
        <w:t xml:space="preserve">%, само кај еден пациент лесно крвавење, а кај ниту </w:t>
      </w:r>
      <w:r w:rsidR="00BC0614">
        <w:rPr>
          <w:rFonts w:ascii="Times New Roman" w:hAnsi="Times New Roman" w:cs="Times New Roman"/>
          <w:bCs/>
          <w:sz w:val="24"/>
          <w:szCs w:val="24"/>
        </w:rPr>
        <w:t>е</w:t>
      </w:r>
      <w:r w:rsidRPr="00215667">
        <w:rPr>
          <w:rFonts w:ascii="Times New Roman" w:hAnsi="Times New Roman" w:cs="Times New Roman"/>
          <w:bCs/>
          <w:sz w:val="24"/>
          <w:szCs w:val="24"/>
        </w:rPr>
        <w:t>ден пациент сукрвица во пл</w:t>
      </w:r>
      <w:r w:rsidR="00BC0614">
        <w:rPr>
          <w:rFonts w:ascii="Times New Roman" w:hAnsi="Times New Roman" w:cs="Times New Roman"/>
          <w:bCs/>
          <w:sz w:val="24"/>
          <w:szCs w:val="24"/>
        </w:rPr>
        <w:t>у</w:t>
      </w:r>
      <w:r w:rsidRPr="00215667">
        <w:rPr>
          <w:rFonts w:ascii="Times New Roman" w:hAnsi="Times New Roman" w:cs="Times New Roman"/>
          <w:bCs/>
          <w:sz w:val="24"/>
          <w:szCs w:val="24"/>
        </w:rPr>
        <w:t>нка</w:t>
      </w:r>
      <w:r w:rsidR="00BC0614">
        <w:rPr>
          <w:rFonts w:ascii="Times New Roman" w:hAnsi="Times New Roman" w:cs="Times New Roman"/>
          <w:bCs/>
          <w:sz w:val="24"/>
          <w:szCs w:val="24"/>
        </w:rPr>
        <w:t>.</w:t>
      </w:r>
    </w:p>
    <w:p w14:paraId="6CBD5243" w14:textId="5EDEBDC1" w:rsidR="00215667" w:rsidRPr="00215667" w:rsidRDefault="00215667" w:rsidP="00D35942">
      <w:pPr>
        <w:spacing w:line="360" w:lineRule="auto"/>
        <w:ind w:firstLine="720"/>
        <w:jc w:val="both"/>
        <w:rPr>
          <w:rFonts w:ascii="Times New Roman" w:hAnsi="Times New Roman" w:cs="Times New Roman"/>
          <w:sz w:val="24"/>
          <w:szCs w:val="24"/>
        </w:rPr>
      </w:pPr>
      <w:r w:rsidRPr="00215667">
        <w:rPr>
          <w:rFonts w:ascii="Times New Roman" w:hAnsi="Times New Roman" w:cs="Times New Roman"/>
          <w:bCs/>
          <w:sz w:val="24"/>
          <w:szCs w:val="24"/>
        </w:rPr>
        <w:t>Анализата на резу</w:t>
      </w:r>
      <w:r w:rsidR="00BC0614">
        <w:rPr>
          <w:rFonts w:ascii="Times New Roman" w:hAnsi="Times New Roman" w:cs="Times New Roman"/>
          <w:bCs/>
          <w:sz w:val="24"/>
          <w:szCs w:val="24"/>
        </w:rPr>
        <w:t>л</w:t>
      </w:r>
      <w:r w:rsidRPr="00215667">
        <w:rPr>
          <w:rFonts w:ascii="Times New Roman" w:hAnsi="Times New Roman" w:cs="Times New Roman"/>
          <w:bCs/>
          <w:sz w:val="24"/>
          <w:szCs w:val="24"/>
        </w:rPr>
        <w:t>татите за потврдување на степенот на просечната вредност на ADP кај умерен интензитет на крвавење изнесува 43.8</w:t>
      </w:r>
      <w:r w:rsidR="00BC0614">
        <w:rPr>
          <w:rFonts w:ascii="Times New Roman" w:hAnsi="Times New Roman" w:cs="Times New Roman"/>
          <w:bCs/>
          <w:sz w:val="24"/>
          <w:szCs w:val="24"/>
        </w:rPr>
        <w:t xml:space="preserve"> </w:t>
      </w:r>
      <w:r w:rsidRPr="00215667">
        <w:rPr>
          <w:rFonts w:ascii="Times New Roman" w:hAnsi="Times New Roman" w:cs="Times New Roman"/>
          <w:bCs/>
          <w:sz w:val="24"/>
          <w:szCs w:val="24"/>
        </w:rPr>
        <w:t xml:space="preserve">± 10.4 (во ранг: 7 </w:t>
      </w:r>
      <w:bookmarkStart w:id="1" w:name="_Hlk208495048"/>
      <w:r w:rsidRPr="00215667">
        <w:rPr>
          <w:rFonts w:ascii="Times New Roman" w:hAnsi="Times New Roman" w:cs="Times New Roman"/>
          <w:bCs/>
          <w:sz w:val="24"/>
          <w:szCs w:val="24"/>
        </w:rPr>
        <w:t xml:space="preserve">– </w:t>
      </w:r>
      <w:bookmarkEnd w:id="1"/>
      <w:r w:rsidRPr="00215667">
        <w:rPr>
          <w:rFonts w:ascii="Times New Roman" w:hAnsi="Times New Roman" w:cs="Times New Roman"/>
          <w:bCs/>
          <w:sz w:val="24"/>
          <w:szCs w:val="24"/>
        </w:rPr>
        <w:t>60); кај тежок интензитет на крвавење е понизок и изнесува 27.9 ± 10.5 (во ранг: 7</w:t>
      </w:r>
      <w:r w:rsidR="00BC0614">
        <w:rPr>
          <w:rFonts w:ascii="Times New Roman" w:hAnsi="Times New Roman" w:cs="Times New Roman"/>
          <w:bCs/>
          <w:sz w:val="24"/>
          <w:szCs w:val="24"/>
        </w:rPr>
        <w:t xml:space="preserve"> </w:t>
      </w:r>
      <w:r w:rsidR="00BC0614" w:rsidRPr="00215667">
        <w:rPr>
          <w:rFonts w:ascii="Times New Roman" w:hAnsi="Times New Roman" w:cs="Times New Roman"/>
          <w:bCs/>
          <w:sz w:val="24"/>
          <w:szCs w:val="24"/>
        </w:rPr>
        <w:t xml:space="preserve">– </w:t>
      </w:r>
      <w:r w:rsidRPr="00215667">
        <w:rPr>
          <w:rFonts w:ascii="Times New Roman" w:hAnsi="Times New Roman" w:cs="Times New Roman"/>
          <w:bCs/>
          <w:sz w:val="24"/>
          <w:szCs w:val="24"/>
        </w:rPr>
        <w:t>49) и кај лесен интензитет на крвавење изнесува 58.0 (еден пациент), (табела бр. 9). Исто така анализата на резултатите на степенот на намалувањето на вредностите на</w:t>
      </w:r>
      <w:r w:rsidR="00CB36A6">
        <w:rPr>
          <w:rFonts w:ascii="Times New Roman" w:hAnsi="Times New Roman" w:cs="Times New Roman"/>
          <w:bCs/>
          <w:sz w:val="24"/>
          <w:szCs w:val="24"/>
        </w:rPr>
        <w:t xml:space="preserve"> ристоцетин</w:t>
      </w:r>
      <w:r w:rsidRPr="00215667">
        <w:rPr>
          <w:rFonts w:ascii="Times New Roman" w:hAnsi="Times New Roman" w:cs="Times New Roman"/>
          <w:bCs/>
          <w:sz w:val="24"/>
          <w:szCs w:val="24"/>
        </w:rPr>
        <w:t xml:space="preserve"> покажа дека е индиректно пропорционален со интензитетот на пролонгирано крвавење. Просечната вредност на </w:t>
      </w:r>
      <w:r w:rsidR="00CB36A6">
        <w:rPr>
          <w:rFonts w:ascii="Times New Roman" w:hAnsi="Times New Roman" w:cs="Times New Roman"/>
          <w:bCs/>
          <w:sz w:val="24"/>
          <w:szCs w:val="24"/>
        </w:rPr>
        <w:t>ристоцетин</w:t>
      </w:r>
      <w:r w:rsidR="00CB36A6" w:rsidRPr="00215667">
        <w:rPr>
          <w:rFonts w:ascii="Times New Roman" w:hAnsi="Times New Roman" w:cs="Times New Roman"/>
          <w:bCs/>
          <w:sz w:val="24"/>
          <w:szCs w:val="24"/>
        </w:rPr>
        <w:t xml:space="preserve"> </w:t>
      </w:r>
      <w:r w:rsidRPr="00215667">
        <w:rPr>
          <w:rFonts w:ascii="Times New Roman" w:hAnsi="Times New Roman" w:cs="Times New Roman"/>
          <w:bCs/>
          <w:sz w:val="24"/>
          <w:szCs w:val="24"/>
        </w:rPr>
        <w:t>кај умерен интензитет на крвавење изнесува 66.2</w:t>
      </w:r>
      <w:r w:rsidR="00CB36A6">
        <w:rPr>
          <w:rFonts w:ascii="Times New Roman" w:hAnsi="Times New Roman" w:cs="Times New Roman"/>
          <w:bCs/>
          <w:sz w:val="24"/>
          <w:szCs w:val="24"/>
        </w:rPr>
        <w:t xml:space="preserve"> </w:t>
      </w:r>
      <w:r w:rsidRPr="00215667">
        <w:rPr>
          <w:rFonts w:ascii="Times New Roman" w:hAnsi="Times New Roman" w:cs="Times New Roman"/>
          <w:bCs/>
          <w:sz w:val="24"/>
          <w:szCs w:val="24"/>
        </w:rPr>
        <w:t>± 9.3 (во ранг: 47</w:t>
      </w:r>
      <w:r w:rsidR="00CB36A6">
        <w:rPr>
          <w:rFonts w:ascii="Times New Roman" w:hAnsi="Times New Roman" w:cs="Times New Roman"/>
          <w:bCs/>
          <w:sz w:val="24"/>
          <w:szCs w:val="24"/>
        </w:rPr>
        <w:t xml:space="preserve"> </w:t>
      </w:r>
      <w:r w:rsidR="00CB36A6" w:rsidRPr="00215667">
        <w:rPr>
          <w:rFonts w:ascii="Times New Roman" w:hAnsi="Times New Roman" w:cs="Times New Roman"/>
          <w:bCs/>
          <w:sz w:val="24"/>
          <w:szCs w:val="24"/>
        </w:rPr>
        <w:t xml:space="preserve">– </w:t>
      </w:r>
      <w:r w:rsidRPr="00215667">
        <w:rPr>
          <w:rFonts w:ascii="Times New Roman" w:hAnsi="Times New Roman" w:cs="Times New Roman"/>
          <w:bCs/>
          <w:sz w:val="24"/>
          <w:szCs w:val="24"/>
        </w:rPr>
        <w:t>83); кај тежок  интензитет на крвавење е понизок и изнесува 55.6 ± 16.6, (</w:t>
      </w:r>
      <w:r w:rsidR="00CB36A6">
        <w:rPr>
          <w:rFonts w:ascii="Times New Roman" w:hAnsi="Times New Roman" w:cs="Times New Roman"/>
          <w:bCs/>
          <w:sz w:val="24"/>
          <w:szCs w:val="24"/>
        </w:rPr>
        <w:t>ранг</w:t>
      </w:r>
      <w:r w:rsidRPr="00215667">
        <w:rPr>
          <w:rFonts w:ascii="Times New Roman" w:hAnsi="Times New Roman" w:cs="Times New Roman"/>
          <w:bCs/>
          <w:sz w:val="24"/>
          <w:szCs w:val="24"/>
        </w:rPr>
        <w:t xml:space="preserve">: од 23 до 86 и кај лесен интензитет на крвавење изнесува 68.0 (еден пациент). Резултатите за просечната вредност на </w:t>
      </w:r>
      <w:r w:rsidR="00CB36A6" w:rsidRPr="00CB36A6">
        <w:rPr>
          <w:rFonts w:ascii="Times New Roman" w:hAnsi="Times New Roman" w:cs="Times New Roman"/>
          <w:bCs/>
          <w:sz w:val="24"/>
          <w:szCs w:val="24"/>
        </w:rPr>
        <w:t>колаген</w:t>
      </w:r>
      <w:r w:rsidR="00CB36A6" w:rsidRPr="00215667">
        <w:rPr>
          <w:rFonts w:ascii="Times New Roman" w:hAnsi="Times New Roman" w:cs="Times New Roman"/>
          <w:bCs/>
          <w:sz w:val="24"/>
          <w:szCs w:val="24"/>
        </w:rPr>
        <w:t xml:space="preserve"> </w:t>
      </w:r>
      <w:r w:rsidRPr="00215667">
        <w:rPr>
          <w:rFonts w:ascii="Times New Roman" w:hAnsi="Times New Roman" w:cs="Times New Roman"/>
          <w:bCs/>
          <w:sz w:val="24"/>
          <w:szCs w:val="24"/>
        </w:rPr>
        <w:t>кај умерен интензитет на крвавење изнесува 52.4</w:t>
      </w:r>
      <w:r w:rsidR="00CB36A6">
        <w:rPr>
          <w:rFonts w:ascii="Times New Roman" w:hAnsi="Times New Roman" w:cs="Times New Roman"/>
          <w:bCs/>
          <w:sz w:val="24"/>
          <w:szCs w:val="24"/>
        </w:rPr>
        <w:t xml:space="preserve"> </w:t>
      </w:r>
      <w:r w:rsidRPr="00215667">
        <w:rPr>
          <w:rFonts w:ascii="Times New Roman" w:hAnsi="Times New Roman" w:cs="Times New Roman"/>
          <w:bCs/>
          <w:sz w:val="24"/>
          <w:szCs w:val="24"/>
        </w:rPr>
        <w:t xml:space="preserve">± 11.3 (во ранг: 27 – 86); кај тежок интензитет на крвавење е понизок и изнесува 44.9 ± 18.8, (во ранг: 19 – 90) и кај лесен интензитет  на крвавење изнесува 59.0, кај еден пациент.  Исто така, во нашата студија потврдивме дека, просечното </w:t>
      </w:r>
      <w:r w:rsidRPr="00215667">
        <w:rPr>
          <w:rFonts w:ascii="Times New Roman" w:hAnsi="Times New Roman" w:cs="Times New Roman"/>
          <w:bCs/>
          <w:sz w:val="24"/>
          <w:szCs w:val="24"/>
        </w:rPr>
        <w:lastRenderedPageBreak/>
        <w:t>време на крвавење (PEB), по соодветна протоколарна системска профилакса со апликација на ТХА и со употреба на локалните хемостатски методи кај пациентите изнесуваше 5.1 ± 5.7 часа, во ранг од 0 до 30 часа,</w:t>
      </w:r>
      <w:r w:rsidRPr="00215667">
        <w:rPr>
          <w:rFonts w:ascii="Times New Roman" w:hAnsi="Times New Roman" w:cs="Times New Roman"/>
          <w:bCs/>
          <w:color w:val="0F4761" w:themeColor="accent1" w:themeShade="BF"/>
          <w:sz w:val="24"/>
          <w:szCs w:val="24"/>
        </w:rPr>
        <w:t xml:space="preserve"> </w:t>
      </w:r>
      <w:r w:rsidRPr="00215667">
        <w:rPr>
          <w:rFonts w:ascii="Times New Roman" w:hAnsi="Times New Roman" w:cs="Times New Roman"/>
          <w:bCs/>
          <w:sz w:val="24"/>
          <w:szCs w:val="24"/>
        </w:rPr>
        <w:t>но само слабо крвавење. Кај 50</w:t>
      </w:r>
      <w:r w:rsidR="00CB36A6">
        <w:rPr>
          <w:rFonts w:ascii="Times New Roman" w:hAnsi="Times New Roman" w:cs="Times New Roman"/>
          <w:bCs/>
          <w:sz w:val="24"/>
          <w:szCs w:val="24"/>
        </w:rPr>
        <w:t xml:space="preserve"> </w:t>
      </w:r>
      <w:r w:rsidRPr="00215667">
        <w:rPr>
          <w:rFonts w:ascii="Times New Roman" w:hAnsi="Times New Roman" w:cs="Times New Roman"/>
          <w:bCs/>
          <w:sz w:val="24"/>
          <w:szCs w:val="24"/>
        </w:rPr>
        <w:t>% од пациентите крвавењето траеше под 4 часа. Употребата на ТХА не доведе со сериозн</w:t>
      </w:r>
      <w:r w:rsidR="00CB36A6">
        <w:rPr>
          <w:rFonts w:ascii="Times New Roman" w:hAnsi="Times New Roman" w:cs="Times New Roman"/>
          <w:bCs/>
          <w:sz w:val="24"/>
          <w:szCs w:val="24"/>
        </w:rPr>
        <w:t>и</w:t>
      </w:r>
      <w:r w:rsidRPr="00215667">
        <w:rPr>
          <w:rFonts w:ascii="Times New Roman" w:hAnsi="Times New Roman" w:cs="Times New Roman"/>
          <w:bCs/>
          <w:sz w:val="24"/>
          <w:szCs w:val="24"/>
        </w:rPr>
        <w:t xml:space="preserve"> несакани ефекти.</w:t>
      </w:r>
      <w:r w:rsidRPr="00215667">
        <w:rPr>
          <w:rFonts w:ascii="Times New Roman" w:hAnsi="Times New Roman" w:cs="Times New Roman"/>
          <w:sz w:val="24"/>
          <w:szCs w:val="24"/>
        </w:rPr>
        <w:t xml:space="preserve"> </w:t>
      </w:r>
    </w:p>
    <w:p w14:paraId="5A53881C" w14:textId="1FE482D9" w:rsidR="00215667" w:rsidRPr="00215667" w:rsidRDefault="00215667" w:rsidP="00D35942">
      <w:pPr>
        <w:spacing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Анализата на постекстракционото крвавење кај пациенти кои примаат орална антикоагулантна или антиагрегациона терапија покажа дека овие лекови влијаат на зголемување на PEB. Мултипните вкрстувачки анализи покажаа дека постојат значајни статистички разлики во времето на постекстракционо крвавење кај пациентите кои ја прекинале наспроти пациентите кои не ја прекинале оваа терапија, независно од возраста. Се покажа дека вредноста на INR има големо влијание врз степенот на постекстракционо</w:t>
      </w:r>
      <w:r w:rsidR="00CB36A6">
        <w:rPr>
          <w:rFonts w:ascii="Times New Roman" w:hAnsi="Times New Roman" w:cs="Times New Roman"/>
          <w:sz w:val="24"/>
          <w:szCs w:val="24"/>
        </w:rPr>
        <w:t>то</w:t>
      </w:r>
      <w:r w:rsidRPr="00215667">
        <w:rPr>
          <w:rFonts w:ascii="Times New Roman" w:hAnsi="Times New Roman" w:cs="Times New Roman"/>
          <w:sz w:val="24"/>
          <w:szCs w:val="24"/>
        </w:rPr>
        <w:t xml:space="preserve"> крвавење. Кај групата со највисоки вредности на INR (над 1.65), се добија резултати кои укажуваат на најсилно постекстракционо крвавење. Безбедни вредности на INR за извршување екстракција на заби или дентоалвеоларни хируршки интервенции се под 1.65. HAS-BLED индексот се покажа дека е значаен фактор за вредноста на PEB, особено вредностите на овој индекс над 3. </w:t>
      </w:r>
    </w:p>
    <w:p w14:paraId="2330CA4E" w14:textId="77777777" w:rsidR="00215667" w:rsidRPr="00215667" w:rsidRDefault="00215667" w:rsidP="00D35942">
      <w:pPr>
        <w:pStyle w:val="p1"/>
        <w:spacing w:line="360" w:lineRule="auto"/>
      </w:pPr>
    </w:p>
    <w:p w14:paraId="4D756580" w14:textId="374EE892" w:rsidR="00215667" w:rsidRPr="00215667" w:rsidRDefault="00215667" w:rsidP="00D35942">
      <w:pPr>
        <w:pStyle w:val="p1"/>
        <w:spacing w:line="360" w:lineRule="auto"/>
        <w:rPr>
          <w:b/>
          <w:bCs/>
        </w:rPr>
      </w:pPr>
      <w:r w:rsidRPr="00215667">
        <w:rPr>
          <w:b/>
          <w:bCs/>
        </w:rPr>
        <w:t>Заклучо</w:t>
      </w:r>
      <w:r w:rsidR="00D80713">
        <w:rPr>
          <w:b/>
          <w:bCs/>
        </w:rPr>
        <w:t>к</w:t>
      </w:r>
    </w:p>
    <w:p w14:paraId="7D8259C6" w14:textId="15C82918" w:rsidR="00D80713" w:rsidRDefault="00215667" w:rsidP="00D35942">
      <w:pPr>
        <w:spacing w:line="360" w:lineRule="auto"/>
        <w:ind w:firstLine="720"/>
        <w:jc w:val="both"/>
        <w:rPr>
          <w:rFonts w:ascii="Times New Roman" w:eastAsia="Times New Roman" w:hAnsi="Times New Roman" w:cs="Times New Roman"/>
          <w:color w:val="0E0E0E"/>
          <w:sz w:val="24"/>
          <w:szCs w:val="24"/>
          <w:lang w:eastAsia="en-GB"/>
        </w:rPr>
      </w:pPr>
      <w:r w:rsidRPr="00215667">
        <w:rPr>
          <w:rFonts w:ascii="Times New Roman" w:eastAsia="Times New Roman" w:hAnsi="Times New Roman" w:cs="Times New Roman"/>
          <w:color w:val="0E0E0E"/>
          <w:sz w:val="24"/>
          <w:szCs w:val="24"/>
          <w:lang w:eastAsia="en-GB"/>
        </w:rPr>
        <w:t xml:space="preserve">Може да се заклучи дека клиничкиот ризик од пролонгирано постоперативно крвавење е индиректно поврзан со намалените вредности на агрегациските параметри како што се ADP, </w:t>
      </w:r>
      <w:r w:rsidR="00CB36A6" w:rsidRPr="00CB36A6">
        <w:rPr>
          <w:rFonts w:ascii="Times New Roman" w:eastAsia="Times New Roman" w:hAnsi="Times New Roman" w:cs="Times New Roman"/>
          <w:color w:val="0E0E0E"/>
          <w:sz w:val="24"/>
          <w:szCs w:val="24"/>
          <w:lang w:eastAsia="en-GB"/>
        </w:rPr>
        <w:t>ристоцетин и колаген</w:t>
      </w:r>
      <w:r w:rsidRPr="00215667">
        <w:rPr>
          <w:rFonts w:ascii="Times New Roman" w:eastAsia="Times New Roman" w:hAnsi="Times New Roman" w:cs="Times New Roman"/>
          <w:color w:val="0E0E0E"/>
          <w:sz w:val="24"/>
          <w:szCs w:val="24"/>
          <w:lang w:eastAsia="en-GB"/>
        </w:rPr>
        <w:t xml:space="preserve">, детектирани преку скрининг тестовите. Прецизна предоперативна подготовка на пациентите, спроведена во тесна интердисциплинарна соработка со трансфузиолог, е клучен предуслов за безбедно и успешно спроведување на едноставни дентални екстракции или посложени дентоалвеоларни хируршки зафати. Спроведената студија укажа дека </w:t>
      </w:r>
      <w:r w:rsidR="00F00F01">
        <w:rPr>
          <w:rFonts w:ascii="Times New Roman" w:eastAsia="Times New Roman" w:hAnsi="Times New Roman" w:cs="Times New Roman"/>
          <w:color w:val="0E0E0E"/>
          <w:sz w:val="24"/>
          <w:szCs w:val="24"/>
          <w:lang w:eastAsia="en-GB"/>
        </w:rPr>
        <w:t>транексамична</w:t>
      </w:r>
      <w:r w:rsidRPr="00215667">
        <w:rPr>
          <w:rFonts w:ascii="Times New Roman" w:eastAsia="Times New Roman" w:hAnsi="Times New Roman" w:cs="Times New Roman"/>
          <w:color w:val="0E0E0E"/>
          <w:sz w:val="24"/>
          <w:szCs w:val="24"/>
          <w:lang w:eastAsia="en-GB"/>
        </w:rPr>
        <w:t>та киселина (TXA) поседува хемостатско дејство, при што се забележани минимални несакани реакции.</w:t>
      </w:r>
      <w:r w:rsidRPr="00215667">
        <w:rPr>
          <w:rFonts w:ascii="Times New Roman" w:hAnsi="Times New Roman" w:cs="Times New Roman"/>
          <w:sz w:val="24"/>
          <w:szCs w:val="24"/>
        </w:rPr>
        <w:t xml:space="preserve"> </w:t>
      </w:r>
      <w:r w:rsidRPr="00215667">
        <w:rPr>
          <w:rFonts w:ascii="Times New Roman" w:eastAsia="Times New Roman" w:hAnsi="Times New Roman" w:cs="Times New Roman"/>
          <w:color w:val="0E0E0E"/>
          <w:sz w:val="24"/>
          <w:szCs w:val="24"/>
          <w:lang w:eastAsia="en-GB"/>
        </w:rPr>
        <w:t xml:space="preserve">Предоперативниот протокол за менаџирање на пациенти со хипоагрегабилност вклучува бавна интравенска администрација на 1 до 1,5 грам </w:t>
      </w:r>
      <w:r w:rsidR="00F00F01">
        <w:rPr>
          <w:rFonts w:ascii="Times New Roman" w:eastAsia="Times New Roman" w:hAnsi="Times New Roman" w:cs="Times New Roman"/>
          <w:color w:val="0E0E0E"/>
          <w:sz w:val="24"/>
          <w:szCs w:val="24"/>
          <w:lang w:eastAsia="en-GB"/>
        </w:rPr>
        <w:t>транексамична</w:t>
      </w:r>
      <w:r w:rsidRPr="00215667">
        <w:rPr>
          <w:rFonts w:ascii="Times New Roman" w:eastAsia="Times New Roman" w:hAnsi="Times New Roman" w:cs="Times New Roman"/>
          <w:color w:val="0E0E0E"/>
          <w:sz w:val="24"/>
          <w:szCs w:val="24"/>
          <w:lang w:eastAsia="en-GB"/>
        </w:rPr>
        <w:t xml:space="preserve"> киселина, растворена </w:t>
      </w:r>
      <w:r w:rsidRPr="00215667">
        <w:rPr>
          <w:rFonts w:ascii="Times New Roman" w:eastAsia="Times New Roman" w:hAnsi="Times New Roman" w:cs="Times New Roman"/>
          <w:color w:val="0E0E0E"/>
          <w:sz w:val="24"/>
          <w:szCs w:val="24"/>
          <w:lang w:eastAsia="en-GB"/>
        </w:rPr>
        <w:lastRenderedPageBreak/>
        <w:t>во 500 ml, физиолошки раствор приближно 45 минути пред хируршката интервенција</w:t>
      </w:r>
      <w:r w:rsidR="00CB36A6">
        <w:rPr>
          <w:rFonts w:ascii="Times New Roman" w:eastAsia="Times New Roman" w:hAnsi="Times New Roman" w:cs="Times New Roman"/>
          <w:color w:val="0E0E0E"/>
          <w:sz w:val="24"/>
          <w:szCs w:val="24"/>
          <w:lang w:eastAsia="en-GB"/>
        </w:rPr>
        <w:t>.</w:t>
      </w:r>
    </w:p>
    <w:p w14:paraId="2B3647F4" w14:textId="5FEA4840" w:rsidR="00215667" w:rsidRPr="00CB36A6" w:rsidRDefault="00215667" w:rsidP="00D35942">
      <w:pPr>
        <w:spacing w:line="360" w:lineRule="auto"/>
        <w:ind w:firstLine="720"/>
        <w:jc w:val="both"/>
        <w:rPr>
          <w:rFonts w:ascii="Times New Roman" w:hAnsi="Times New Roman" w:cs="Times New Roman"/>
          <w:sz w:val="24"/>
          <w:szCs w:val="24"/>
        </w:rPr>
      </w:pPr>
      <w:r w:rsidRPr="00215667">
        <w:rPr>
          <w:rStyle w:val="s1"/>
          <w:rFonts w:ascii="Times New Roman" w:eastAsiaTheme="majorEastAsia" w:hAnsi="Times New Roman" w:cs="Times New Roman"/>
          <w:sz w:val="24"/>
          <w:szCs w:val="24"/>
        </w:rPr>
        <w:t>Постои</w:t>
      </w:r>
      <w:r w:rsidRPr="00215667">
        <w:rPr>
          <w:rFonts w:ascii="Times New Roman" w:hAnsi="Times New Roman" w:cs="Times New Roman"/>
          <w:sz w:val="24"/>
          <w:szCs w:val="24"/>
        </w:rPr>
        <w:t xml:space="preserve"> силна асоцијација помеѓу континуирана антикоагулантна/</w:t>
      </w:r>
      <w:r w:rsidR="00D80713">
        <w:rPr>
          <w:rFonts w:ascii="Times New Roman" w:hAnsi="Times New Roman" w:cs="Times New Roman"/>
          <w:sz w:val="24"/>
          <w:szCs w:val="24"/>
        </w:rPr>
        <w:t xml:space="preserve"> </w:t>
      </w:r>
      <w:r w:rsidRPr="00215667">
        <w:rPr>
          <w:rFonts w:ascii="Times New Roman" w:hAnsi="Times New Roman" w:cs="Times New Roman"/>
          <w:sz w:val="24"/>
          <w:szCs w:val="24"/>
        </w:rPr>
        <w:t>антиагрегациона терапија и зголемен ризик од постоперативно крвавење</w:t>
      </w:r>
      <w:r w:rsidRPr="00215667">
        <w:rPr>
          <w:rStyle w:val="s1"/>
          <w:rFonts w:ascii="Times New Roman" w:eastAsiaTheme="majorEastAsia" w:hAnsi="Times New Roman" w:cs="Times New Roman"/>
          <w:sz w:val="24"/>
          <w:szCs w:val="24"/>
        </w:rPr>
        <w:t xml:space="preserve"> по извршување на орално-хируршки интервенции. Може да се заклучи дека пред извршување на екстракција на заб, без разлика од локализацијата на забот и типот на екстракција (обична или хируршка), потребно е да се направи прекин на антикоагулантната и антиагрегационата терапија, во консултација со ординирачкиот лекар, за да се избегне ризикот од продолжено постекстракционо крвавење. Во однос на типот на терапијата, прекинувањето треба да се направи 3-5 дена за пациентите со </w:t>
      </w:r>
      <w:r w:rsidRPr="00215667">
        <w:rPr>
          <w:rStyle w:val="s1"/>
          <w:rFonts w:ascii="Times New Roman" w:eastAsiaTheme="majorEastAsia" w:hAnsi="Times New Roman" w:cs="Times New Roman"/>
          <w:sz w:val="24"/>
          <w:szCs w:val="24"/>
          <w:lang w:val="en-US"/>
        </w:rPr>
        <w:t xml:space="preserve">VKA </w:t>
      </w:r>
      <w:r w:rsidRPr="00215667">
        <w:rPr>
          <w:rStyle w:val="s1"/>
          <w:rFonts w:ascii="Times New Roman" w:eastAsiaTheme="majorEastAsia" w:hAnsi="Times New Roman" w:cs="Times New Roman"/>
          <w:sz w:val="24"/>
          <w:szCs w:val="24"/>
        </w:rPr>
        <w:t xml:space="preserve">и </w:t>
      </w:r>
      <w:r w:rsidRPr="00215667">
        <w:rPr>
          <w:rStyle w:val="s1"/>
          <w:rFonts w:ascii="Times New Roman" w:eastAsiaTheme="majorEastAsia" w:hAnsi="Times New Roman" w:cs="Times New Roman"/>
          <w:sz w:val="24"/>
          <w:szCs w:val="24"/>
          <w:lang w:val="en-US"/>
        </w:rPr>
        <w:t xml:space="preserve">NSAID, </w:t>
      </w:r>
      <w:r w:rsidRPr="00215667">
        <w:rPr>
          <w:rStyle w:val="s1"/>
          <w:rFonts w:ascii="Times New Roman" w:eastAsiaTheme="majorEastAsia" w:hAnsi="Times New Roman" w:cs="Times New Roman"/>
          <w:sz w:val="24"/>
          <w:szCs w:val="24"/>
        </w:rPr>
        <w:t xml:space="preserve">и 24 часа за пациентите кои примаат </w:t>
      </w:r>
      <w:r w:rsidRPr="00215667">
        <w:rPr>
          <w:rStyle w:val="s1"/>
          <w:rFonts w:ascii="Times New Roman" w:eastAsiaTheme="majorEastAsia" w:hAnsi="Times New Roman" w:cs="Times New Roman"/>
          <w:sz w:val="24"/>
          <w:szCs w:val="24"/>
          <w:lang w:val="en-US"/>
        </w:rPr>
        <w:t>DOAC.</w:t>
      </w:r>
      <w:r w:rsidRPr="00215667">
        <w:rPr>
          <w:rFonts w:ascii="Times New Roman" w:hAnsi="Times New Roman" w:cs="Times New Roman"/>
          <w:sz w:val="24"/>
          <w:szCs w:val="24"/>
        </w:rPr>
        <w:t xml:space="preserve"> Пациентите со INR &gt; 1.6 имаат значително повисок ризик за крвавење и INR може да се користи како клучен индикатор при проценка на предоперативниот ризик за крвавење. </w:t>
      </w:r>
      <w:r w:rsidRPr="00215667">
        <w:rPr>
          <w:rStyle w:val="s1"/>
          <w:rFonts w:ascii="Times New Roman" w:eastAsiaTheme="majorEastAsia" w:hAnsi="Times New Roman" w:cs="Times New Roman"/>
          <w:sz w:val="24"/>
          <w:szCs w:val="24"/>
        </w:rPr>
        <w:t>Локацијата на екстракцијата</w:t>
      </w:r>
      <w:r w:rsidRPr="00215667">
        <w:rPr>
          <w:rFonts w:ascii="Times New Roman" w:hAnsi="Times New Roman" w:cs="Times New Roman"/>
          <w:sz w:val="24"/>
          <w:szCs w:val="24"/>
        </w:rPr>
        <w:t xml:space="preserve"> (максила/мандибула) </w:t>
      </w:r>
      <w:r w:rsidRPr="00215667">
        <w:rPr>
          <w:rStyle w:val="s1"/>
          <w:rFonts w:ascii="Times New Roman" w:eastAsiaTheme="majorEastAsia" w:hAnsi="Times New Roman" w:cs="Times New Roman"/>
          <w:sz w:val="24"/>
          <w:szCs w:val="24"/>
        </w:rPr>
        <w:t>може да има влијание врз PEB</w:t>
      </w:r>
      <w:r w:rsidRPr="00215667">
        <w:rPr>
          <w:rFonts w:ascii="Times New Roman" w:hAnsi="Times New Roman" w:cs="Times New Roman"/>
          <w:sz w:val="24"/>
          <w:szCs w:val="24"/>
        </w:rPr>
        <w:t xml:space="preserve"> кај пациенти на VKA, особено ако терапијата не е прекината, иако разликите не се секогаш статистички потврдени. Сумирано, резултатите од ова истражување упатуваат дека HAS-BLED </w:t>
      </w:r>
      <w:r w:rsidR="00FA7E6F">
        <w:rPr>
          <w:rFonts w:ascii="Times New Roman" w:hAnsi="Times New Roman" w:cs="Times New Roman"/>
          <w:sz w:val="24"/>
          <w:szCs w:val="24"/>
        </w:rPr>
        <w:t>индексот</w:t>
      </w:r>
      <w:r w:rsidRPr="00215667">
        <w:rPr>
          <w:rFonts w:ascii="Times New Roman" w:hAnsi="Times New Roman" w:cs="Times New Roman"/>
          <w:sz w:val="24"/>
          <w:szCs w:val="24"/>
        </w:rPr>
        <w:t xml:space="preserve"> претставува доследен и клинички релевантен индикатор за проценка на ризикот од постекстракционо крвавење, како кај пациенти кои примаат орална антикоагулантна (VKA/DOAC), така и кај оние со антиагрегациона терапија (аспирин).</w:t>
      </w:r>
    </w:p>
    <w:p w14:paraId="0CC9357A" w14:textId="77777777" w:rsidR="00412474" w:rsidRPr="00215667" w:rsidRDefault="00412474" w:rsidP="00D35942">
      <w:pPr>
        <w:spacing w:after="0" w:line="360" w:lineRule="auto"/>
        <w:ind w:firstLine="720"/>
        <w:jc w:val="both"/>
        <w:rPr>
          <w:rFonts w:ascii="Times New Roman" w:eastAsia="Calibri" w:hAnsi="Times New Roman" w:cs="Times New Roman"/>
          <w:sz w:val="24"/>
          <w:szCs w:val="24"/>
        </w:rPr>
      </w:pPr>
    </w:p>
    <w:p w14:paraId="5BDF7C4D" w14:textId="77777777" w:rsidR="00CB36A6" w:rsidRDefault="00412474" w:rsidP="00D35942">
      <w:pPr>
        <w:tabs>
          <w:tab w:val="left" w:pos="2115"/>
        </w:tabs>
        <w:spacing w:after="0" w:line="360" w:lineRule="auto"/>
        <w:ind w:left="1758" w:hanging="1758"/>
        <w:rPr>
          <w:rFonts w:ascii="Times New Roman" w:hAnsi="Times New Roman" w:cs="Times New Roman"/>
          <w:b/>
          <w:sz w:val="24"/>
          <w:szCs w:val="24"/>
        </w:rPr>
      </w:pPr>
      <w:r w:rsidRPr="00215667">
        <w:rPr>
          <w:rFonts w:ascii="Times New Roman" w:hAnsi="Times New Roman" w:cs="Times New Roman"/>
          <w:b/>
          <w:sz w:val="24"/>
          <w:szCs w:val="24"/>
        </w:rPr>
        <w:t xml:space="preserve">Клучни зборови: </w:t>
      </w:r>
    </w:p>
    <w:p w14:paraId="1E153CCC" w14:textId="52D4BB6A" w:rsidR="00412474" w:rsidRPr="00215667" w:rsidRDefault="00215667" w:rsidP="00D35942">
      <w:pPr>
        <w:spacing w:line="360" w:lineRule="auto"/>
        <w:jc w:val="both"/>
        <w:rPr>
          <w:rFonts w:ascii="Times New Roman" w:hAnsi="Times New Roman" w:cs="Times New Roman"/>
          <w:bCs/>
          <w:sz w:val="24"/>
          <w:szCs w:val="24"/>
        </w:rPr>
      </w:pPr>
      <w:r w:rsidRPr="00215667">
        <w:rPr>
          <w:rFonts w:ascii="Times New Roman" w:hAnsi="Times New Roman" w:cs="Times New Roman"/>
          <w:bCs/>
          <w:sz w:val="24"/>
          <w:szCs w:val="24"/>
        </w:rPr>
        <w:t xml:space="preserve">хипоагрегабилност на тромбоцити, ристоцетин, </w:t>
      </w:r>
      <w:r w:rsidRPr="00215667">
        <w:rPr>
          <w:rFonts w:ascii="Times New Roman" w:hAnsi="Times New Roman" w:cs="Times New Roman"/>
          <w:bCs/>
          <w:sz w:val="24"/>
          <w:szCs w:val="24"/>
          <w:lang w:val="en-US"/>
        </w:rPr>
        <w:t xml:space="preserve">ADP, </w:t>
      </w:r>
      <w:r w:rsidRPr="00215667">
        <w:rPr>
          <w:rFonts w:ascii="Times New Roman" w:hAnsi="Times New Roman" w:cs="Times New Roman"/>
          <w:bCs/>
          <w:sz w:val="24"/>
          <w:szCs w:val="24"/>
        </w:rPr>
        <w:t>колаген, екстракција на заб,</w:t>
      </w:r>
      <w:r w:rsidR="00CB36A6">
        <w:rPr>
          <w:rFonts w:ascii="Times New Roman" w:hAnsi="Times New Roman" w:cs="Times New Roman"/>
          <w:bCs/>
          <w:sz w:val="24"/>
          <w:szCs w:val="24"/>
        </w:rPr>
        <w:t xml:space="preserve"> </w:t>
      </w:r>
      <w:r w:rsidRPr="00215667">
        <w:rPr>
          <w:rFonts w:ascii="Times New Roman" w:hAnsi="Times New Roman" w:cs="Times New Roman"/>
          <w:bCs/>
          <w:sz w:val="24"/>
          <w:szCs w:val="24"/>
        </w:rPr>
        <w:t xml:space="preserve">постекстракционо крвавење, </w:t>
      </w:r>
      <w:r w:rsidR="00F00F01">
        <w:rPr>
          <w:rFonts w:ascii="Times New Roman" w:hAnsi="Times New Roman" w:cs="Times New Roman"/>
          <w:bCs/>
          <w:sz w:val="24"/>
          <w:szCs w:val="24"/>
        </w:rPr>
        <w:t>транексамична</w:t>
      </w:r>
      <w:r w:rsidRPr="00215667">
        <w:rPr>
          <w:rFonts w:ascii="Times New Roman" w:hAnsi="Times New Roman" w:cs="Times New Roman"/>
          <w:bCs/>
          <w:sz w:val="24"/>
          <w:szCs w:val="24"/>
        </w:rPr>
        <w:t xml:space="preserve"> киселина, антикоагулантна терапија, антиагрегациона терапија, </w:t>
      </w:r>
      <w:r w:rsidRPr="00215667">
        <w:rPr>
          <w:rFonts w:ascii="Times New Roman" w:hAnsi="Times New Roman" w:cs="Times New Roman"/>
          <w:bCs/>
          <w:sz w:val="24"/>
          <w:szCs w:val="24"/>
          <w:lang w:val="en-US"/>
        </w:rPr>
        <w:t xml:space="preserve">INR, HAS-BLED </w:t>
      </w:r>
      <w:r w:rsidRPr="00215667">
        <w:rPr>
          <w:rFonts w:ascii="Times New Roman" w:hAnsi="Times New Roman" w:cs="Times New Roman"/>
          <w:bCs/>
          <w:sz w:val="24"/>
          <w:szCs w:val="24"/>
        </w:rPr>
        <w:t>индекс</w:t>
      </w:r>
    </w:p>
    <w:p w14:paraId="0A0FC3B5" w14:textId="77777777" w:rsidR="00412474" w:rsidRPr="00215667" w:rsidRDefault="00412474" w:rsidP="00215667">
      <w:pPr>
        <w:rPr>
          <w:rFonts w:ascii="Times New Roman" w:hAnsi="Times New Roman" w:cs="Times New Roman"/>
          <w:sz w:val="24"/>
          <w:szCs w:val="24"/>
          <w:lang w:val="en-US"/>
        </w:rPr>
      </w:pPr>
    </w:p>
    <w:p w14:paraId="4F469FA6" w14:textId="77777777" w:rsidR="00412474" w:rsidRPr="00215667" w:rsidRDefault="00412474" w:rsidP="00412474">
      <w:pPr>
        <w:ind w:left="1080" w:hanging="360"/>
        <w:rPr>
          <w:rFonts w:ascii="Times New Roman" w:hAnsi="Times New Roman" w:cs="Times New Roman"/>
          <w:sz w:val="24"/>
          <w:szCs w:val="24"/>
        </w:rPr>
      </w:pPr>
    </w:p>
    <w:p w14:paraId="13F3C938" w14:textId="77777777" w:rsidR="00412474" w:rsidRPr="00215667" w:rsidRDefault="00412474" w:rsidP="00412474">
      <w:pPr>
        <w:ind w:left="1080" w:hanging="360"/>
        <w:rPr>
          <w:rFonts w:ascii="Times New Roman" w:hAnsi="Times New Roman" w:cs="Times New Roman"/>
          <w:sz w:val="24"/>
          <w:szCs w:val="24"/>
        </w:rPr>
      </w:pPr>
    </w:p>
    <w:p w14:paraId="334F1075" w14:textId="77777777" w:rsidR="00412474" w:rsidRPr="00215667" w:rsidRDefault="00412474" w:rsidP="00412474">
      <w:pPr>
        <w:ind w:left="1080" w:hanging="360"/>
        <w:rPr>
          <w:rFonts w:ascii="Times New Roman" w:hAnsi="Times New Roman" w:cs="Times New Roman"/>
          <w:sz w:val="24"/>
          <w:szCs w:val="24"/>
        </w:rPr>
      </w:pPr>
    </w:p>
    <w:p w14:paraId="0EA1B682" w14:textId="77777777" w:rsidR="00412474" w:rsidRPr="00215667" w:rsidRDefault="00412474" w:rsidP="00412474">
      <w:pPr>
        <w:ind w:left="1080" w:hanging="360"/>
        <w:rPr>
          <w:rFonts w:ascii="Times New Roman" w:hAnsi="Times New Roman" w:cs="Times New Roman"/>
          <w:sz w:val="24"/>
          <w:szCs w:val="24"/>
        </w:rPr>
      </w:pPr>
    </w:p>
    <w:p w14:paraId="7C721142" w14:textId="5E734A77" w:rsidR="00412474" w:rsidRPr="00215667" w:rsidRDefault="00412474" w:rsidP="00D35942">
      <w:pPr>
        <w:spacing w:after="0" w:line="360" w:lineRule="auto"/>
        <w:rPr>
          <w:rFonts w:ascii="Times New Roman" w:eastAsia="Calibri" w:hAnsi="Times New Roman" w:cs="Times New Roman"/>
          <w:b/>
          <w:bCs/>
          <w:sz w:val="24"/>
          <w:szCs w:val="24"/>
        </w:rPr>
      </w:pPr>
      <w:r w:rsidRPr="00215667">
        <w:rPr>
          <w:rFonts w:ascii="Times New Roman" w:eastAsia="Calibri" w:hAnsi="Times New Roman" w:cs="Times New Roman"/>
          <w:b/>
          <w:bCs/>
          <w:sz w:val="24"/>
          <w:szCs w:val="24"/>
        </w:rPr>
        <w:lastRenderedPageBreak/>
        <w:t>S</w:t>
      </w:r>
      <w:proofErr w:type="spellStart"/>
      <w:r w:rsidR="00C70FF0">
        <w:rPr>
          <w:rFonts w:ascii="Times New Roman" w:eastAsia="Calibri" w:hAnsi="Times New Roman" w:cs="Times New Roman"/>
          <w:b/>
          <w:bCs/>
          <w:sz w:val="24"/>
          <w:szCs w:val="24"/>
          <w:lang w:val="en-US"/>
        </w:rPr>
        <w:t>hq</w:t>
      </w:r>
      <w:proofErr w:type="spellEnd"/>
      <w:r w:rsidRPr="00215667">
        <w:rPr>
          <w:rFonts w:ascii="Times New Roman" w:eastAsia="Calibri" w:hAnsi="Times New Roman" w:cs="Times New Roman"/>
          <w:b/>
          <w:bCs/>
          <w:sz w:val="24"/>
          <w:szCs w:val="24"/>
        </w:rPr>
        <w:t xml:space="preserve">iponje </w:t>
      </w:r>
      <w:r w:rsidR="00C70FF0">
        <w:rPr>
          <w:rFonts w:ascii="Times New Roman" w:eastAsia="Calibri" w:hAnsi="Times New Roman" w:cs="Times New Roman"/>
          <w:b/>
          <w:bCs/>
          <w:sz w:val="24"/>
          <w:szCs w:val="24"/>
          <w:lang w:val="en-US"/>
        </w:rPr>
        <w:t>Rifat</w:t>
      </w:r>
      <w:r w:rsidRPr="00215667">
        <w:rPr>
          <w:rFonts w:ascii="Times New Roman" w:eastAsia="Calibri" w:hAnsi="Times New Roman" w:cs="Times New Roman"/>
          <w:b/>
          <w:bCs/>
          <w:sz w:val="24"/>
          <w:szCs w:val="24"/>
        </w:rPr>
        <w:t xml:space="preserve"> Gashi</w:t>
      </w:r>
    </w:p>
    <w:p w14:paraId="3F0D1527" w14:textId="77777777" w:rsidR="00412474" w:rsidRPr="00215667" w:rsidRDefault="00412474" w:rsidP="00D35942">
      <w:pPr>
        <w:spacing w:after="0" w:line="360" w:lineRule="auto"/>
        <w:rPr>
          <w:rFonts w:ascii="Times New Roman" w:hAnsi="Times New Roman" w:cs="Times New Roman"/>
          <w:bCs/>
          <w:sz w:val="24"/>
          <w:szCs w:val="24"/>
        </w:rPr>
      </w:pPr>
    </w:p>
    <w:p w14:paraId="40E7C2EA" w14:textId="292F6345" w:rsidR="00412474" w:rsidRPr="00215667" w:rsidRDefault="00412474" w:rsidP="00D35942">
      <w:pPr>
        <w:spacing w:line="360" w:lineRule="auto"/>
        <w:ind w:right="-1"/>
        <w:jc w:val="center"/>
        <w:rPr>
          <w:rFonts w:ascii="Times New Roman" w:hAnsi="Times New Roman" w:cs="Times New Roman"/>
          <w:b/>
          <w:sz w:val="24"/>
          <w:szCs w:val="24"/>
        </w:rPr>
      </w:pPr>
      <w:r w:rsidRPr="00215667">
        <w:rPr>
          <w:rFonts w:ascii="Times New Roman" w:hAnsi="Times New Roman" w:cs="Times New Roman"/>
          <w:b/>
          <w:sz w:val="24"/>
          <w:szCs w:val="24"/>
        </w:rPr>
        <w:t>DENTO-ALVEOLAR PERIOPERATIVE MENAGMENT OF BLEEDING IN PATIENTS WITH PLATELET HIPOAGGREGABILITY AND PATIENTS RECEIVING ORAL ANTICOAGULANT AND ANTIAPLATELET THERAPY</w:t>
      </w:r>
    </w:p>
    <w:p w14:paraId="08ABEC33" w14:textId="233C1B9C" w:rsidR="00412474" w:rsidRPr="00215667" w:rsidRDefault="00412474" w:rsidP="00D35942">
      <w:pPr>
        <w:spacing w:before="240" w:after="120" w:line="360" w:lineRule="auto"/>
        <w:jc w:val="center"/>
        <w:rPr>
          <w:rFonts w:ascii="Times New Roman" w:hAnsi="Times New Roman" w:cs="Times New Roman"/>
          <w:sz w:val="24"/>
          <w:szCs w:val="24"/>
        </w:rPr>
      </w:pPr>
      <w:r w:rsidRPr="00215667">
        <w:rPr>
          <w:rFonts w:ascii="Times New Roman" w:hAnsi="Times New Roman" w:cs="Times New Roman"/>
          <w:b/>
          <w:sz w:val="24"/>
          <w:szCs w:val="24"/>
        </w:rPr>
        <w:br/>
      </w:r>
      <w:r w:rsidRPr="00215667">
        <w:rPr>
          <w:rFonts w:ascii="Times New Roman" w:hAnsi="Times New Roman" w:cs="Times New Roman"/>
          <w:b/>
          <w:sz w:val="24"/>
          <w:szCs w:val="24"/>
        </w:rPr>
        <w:br/>
        <w:t xml:space="preserve">– </w:t>
      </w:r>
      <w:r w:rsidRPr="00215667">
        <w:rPr>
          <w:rFonts w:ascii="Times New Roman" w:hAnsi="Times New Roman" w:cs="Times New Roman"/>
          <w:sz w:val="24"/>
          <w:szCs w:val="24"/>
        </w:rPr>
        <w:t xml:space="preserve"> A B S T R A C T </w:t>
      </w:r>
      <w:r w:rsidR="00215667" w:rsidRPr="00215667">
        <w:rPr>
          <w:rFonts w:ascii="Times New Roman" w:hAnsi="Times New Roman" w:cs="Times New Roman"/>
          <w:sz w:val="24"/>
          <w:szCs w:val="24"/>
        </w:rPr>
        <w:t>–</w:t>
      </w:r>
    </w:p>
    <w:p w14:paraId="76E4C215" w14:textId="4A66E3BF" w:rsidR="00215667" w:rsidRPr="00215667" w:rsidRDefault="00215667" w:rsidP="00D35942">
      <w:pPr>
        <w:pStyle w:val="p1"/>
        <w:spacing w:line="360" w:lineRule="auto"/>
      </w:pPr>
      <w:r w:rsidRPr="00215667">
        <w:rPr>
          <w:b/>
          <w:bCs/>
          <w:lang w:val="en-US"/>
        </w:rPr>
        <w:t>I</w:t>
      </w:r>
      <w:r w:rsidRPr="00215667">
        <w:rPr>
          <w:b/>
          <w:bCs/>
        </w:rPr>
        <w:t>ntroduction</w:t>
      </w:r>
    </w:p>
    <w:p w14:paraId="40F6A800" w14:textId="6E04B1BC" w:rsidR="00215667" w:rsidRPr="00215667" w:rsidRDefault="002725E9" w:rsidP="00D35942">
      <w:pPr>
        <w:pStyle w:val="p2"/>
        <w:spacing w:line="360" w:lineRule="auto"/>
        <w:ind w:firstLine="720"/>
        <w:jc w:val="both"/>
      </w:pPr>
      <w:r>
        <w:rPr>
          <w:lang w:val="en-US"/>
        </w:rPr>
        <w:t>Performing dentoalveolar procedures, p</w:t>
      </w:r>
      <w:r w:rsidR="00215667" w:rsidRPr="00215667">
        <w:t>rolonged p</w:t>
      </w:r>
      <w:proofErr w:type="spellStart"/>
      <w:r w:rsidR="002F606B">
        <w:rPr>
          <w:lang w:val="en-US"/>
        </w:rPr>
        <w:t>eri</w:t>
      </w:r>
      <w:proofErr w:type="spellEnd"/>
      <w:r w:rsidR="00215667" w:rsidRPr="00215667">
        <w:t>operative bleeding presents a significant clinical challenge in patients with thrombocytic hypoaggregability and those receiving anticoagulant or antiplatelet therapy, particularly in the context of oral surgical procedures. Although platelet hypoaggregability often remains undiagnosed due to its subclinical manifestations, its timely recognition</w:t>
      </w:r>
      <w:r w:rsidR="002F606B">
        <w:t xml:space="preserve"> </w:t>
      </w:r>
      <w:r w:rsidR="002F606B">
        <w:rPr>
          <w:lang w:val="en-US"/>
        </w:rPr>
        <w:t>and diagnosis</w:t>
      </w:r>
      <w:r w:rsidR="00215667" w:rsidRPr="00215667">
        <w:t xml:space="preserve"> is crucial for the prevention of complications during oral surgery, given the elevated risk of perioperative prolonged bleeding. Laboratory evaluation of patients with suspected hypoaggregability includes coagulation parameters and platelet aggregation tests using ADP, </w:t>
      </w:r>
      <w:r w:rsidR="0021755D">
        <w:t>ристоцетин</w:t>
      </w:r>
      <w:r w:rsidR="00215667" w:rsidRPr="00215667">
        <w:t xml:space="preserve">, and </w:t>
      </w:r>
      <w:r w:rsidR="0021755D">
        <w:t>колаген</w:t>
      </w:r>
      <w:r w:rsidR="00333B3B" w:rsidRPr="00333B3B">
        <w:t xml:space="preserve"> and their reduced </w:t>
      </w:r>
      <w:r w:rsidR="00333B3B">
        <w:rPr>
          <w:lang w:val="en-US"/>
        </w:rPr>
        <w:t>levels</w:t>
      </w:r>
      <w:r w:rsidR="00333B3B" w:rsidRPr="00333B3B">
        <w:t xml:space="preserve"> ​​directly affect the risk of bleeding.</w:t>
      </w:r>
      <w:r w:rsidR="00215667" w:rsidRPr="00215667">
        <w:t xml:space="preserve"> </w:t>
      </w:r>
      <w:r w:rsidR="00E04E99" w:rsidRPr="00E04E99">
        <w:t>Intravenous and local application of Tranexamic acid are still the gold standard for bleeding prevention in these patients.</w:t>
      </w:r>
      <w:r w:rsidR="00215667" w:rsidRPr="00215667">
        <w:t>The literature lacks clear guidelines for the management of patients on anticoagulant and antiplatelet therapy, especially regarding the necessity and timing of therapy discontinuation prior to oral surgical interventions. The optimal INR values at which these procedures can be safely performed without significant bleeding complications remain debated. Additionally, other systemic health factors must also be considered, as they may further increase the risk of bleeding.</w:t>
      </w:r>
    </w:p>
    <w:p w14:paraId="485E6232" w14:textId="77777777" w:rsidR="00215667" w:rsidRPr="00215667" w:rsidRDefault="00215667" w:rsidP="00D35942">
      <w:pPr>
        <w:pStyle w:val="p1"/>
        <w:spacing w:line="360" w:lineRule="auto"/>
      </w:pPr>
      <w:r w:rsidRPr="00215667">
        <w:rPr>
          <w:b/>
          <w:bCs/>
        </w:rPr>
        <w:t>Aim</w:t>
      </w:r>
    </w:p>
    <w:p w14:paraId="67E9E8DC" w14:textId="78362C14" w:rsidR="00215667" w:rsidRPr="00215667" w:rsidRDefault="00215667" w:rsidP="00D35942">
      <w:pPr>
        <w:pStyle w:val="p2"/>
        <w:spacing w:line="360" w:lineRule="auto"/>
        <w:ind w:firstLine="720"/>
        <w:jc w:val="both"/>
      </w:pPr>
      <w:r w:rsidRPr="00215667">
        <w:t xml:space="preserve">The aim of this study is to determine the association between thrombocytic hypoaggregability and the risk of postoperative bleeding in patients undergoing oral </w:t>
      </w:r>
      <w:r w:rsidRPr="00215667">
        <w:lastRenderedPageBreak/>
        <w:t xml:space="preserve">surgical procedures, as well as to evaluate the efficacy of tranexamic acid in its prevention. The study analyzes platelet aggregation parameters (ADP, </w:t>
      </w:r>
      <w:r w:rsidR="0021755D">
        <w:t>ристоцетин</w:t>
      </w:r>
      <w:r w:rsidRPr="00215667">
        <w:t xml:space="preserve">, </w:t>
      </w:r>
      <w:r w:rsidR="0021755D">
        <w:t>колаген</w:t>
      </w:r>
      <w:r w:rsidRPr="00215667">
        <w:t>) as predictors of increased post-extraction bleeding. In patients receiving anticoagulant or antiplatelet therapy, the objective is to assess the impact of therapy discontinuation on post-extraction bleeding, to identify safe INR thresholds, and to evaluate the predictive value of the HAS-BLED score in estimating bleeding risk. Ultimately, the goal is to propose clinical guidelines for the safe management of patients at elevated risk of post-extraction bleeding.</w:t>
      </w:r>
    </w:p>
    <w:p w14:paraId="77312E3B" w14:textId="683BEBE1" w:rsidR="00215667" w:rsidRPr="00215667" w:rsidRDefault="00215667" w:rsidP="00D35942">
      <w:pPr>
        <w:pStyle w:val="p1"/>
        <w:spacing w:line="360" w:lineRule="auto"/>
      </w:pPr>
      <w:r w:rsidRPr="00215667">
        <w:rPr>
          <w:b/>
          <w:bCs/>
        </w:rPr>
        <w:t>Material and Methods</w:t>
      </w:r>
    </w:p>
    <w:p w14:paraId="34C78818" w14:textId="032C2F2C" w:rsidR="00215667" w:rsidRPr="00215667" w:rsidRDefault="00215667" w:rsidP="00D35942">
      <w:pPr>
        <w:pStyle w:val="p2"/>
        <w:spacing w:line="360" w:lineRule="auto"/>
        <w:ind w:firstLine="720"/>
        <w:jc w:val="both"/>
      </w:pPr>
      <w:r w:rsidRPr="00215667">
        <w:t xml:space="preserve">The first part of this study included patients with clinical suspicion of thrombocytic hypoaggregability undergoing tooth extraction or dentoalveolar surgical procedures. All participants underwent laboratory evaluation, including screening of coagulation parameters and platelet aggregation tests using ADP, </w:t>
      </w:r>
      <w:r w:rsidR="0021755D">
        <w:t>ристоцетин</w:t>
      </w:r>
      <w:r w:rsidRPr="00215667">
        <w:t xml:space="preserve">, and </w:t>
      </w:r>
      <w:r w:rsidR="0021755D">
        <w:t>колаген</w:t>
      </w:r>
      <w:r w:rsidRPr="00215667">
        <w:t>. The extent of postoperative bleeding was objectively assessed using a standardized bleeding time evaluation system. A unified preoperative protocol was implemented for all patients, involving systemic administration of tranexamic acid (TXA) at a dose of 1–1.5 g intravenously approximately 45 minutes prior to the procedure, followed by the application of local hemostatic measures.</w:t>
      </w:r>
    </w:p>
    <w:p w14:paraId="204A92AC" w14:textId="22273CE8" w:rsidR="00215667" w:rsidRPr="00215667" w:rsidRDefault="00215667" w:rsidP="00D35942">
      <w:pPr>
        <w:pStyle w:val="p2"/>
        <w:spacing w:line="360" w:lineRule="auto"/>
        <w:ind w:firstLine="720"/>
        <w:jc w:val="both"/>
      </w:pPr>
      <w:r w:rsidRPr="00215667">
        <w:t>For patients receiving anticoagulant or antiplatelet therapy, the following variables were analyzed: type of medication (DOACs, VKAs, or NSAIDs), whether the medication was discontinued or continued before the intervention, and INR level as a significant predictor of post-extraction bleeding (PEB). Patients were categorized into four groups based on PT-INR levels (1: PT-INR ≤ 0.96; 2: PT-INR ≤ 1.2; 3: INR ≤ 1.6; and 4: PT-INR &gt; 1.6). These variables were cross-analyzed with the degree of post-extraction bleeding in each group, and compared to a healthy control group. To further assess bleeding risk, the HAS-BLED score was utilized to identify patients at high risk prior to the procedure. Risk variables for each patient were derived from clinical history and laboratory tests.</w:t>
      </w:r>
    </w:p>
    <w:p w14:paraId="67E994AB" w14:textId="77777777" w:rsidR="00215667" w:rsidRPr="00215667" w:rsidRDefault="00215667" w:rsidP="00D35942">
      <w:pPr>
        <w:pStyle w:val="p1"/>
        <w:spacing w:line="360" w:lineRule="auto"/>
      </w:pPr>
      <w:r w:rsidRPr="00215667">
        <w:rPr>
          <w:b/>
          <w:bCs/>
        </w:rPr>
        <w:t>Results</w:t>
      </w:r>
    </w:p>
    <w:p w14:paraId="7810DC9E" w14:textId="7B3C4B53" w:rsidR="00215667" w:rsidRPr="00215667" w:rsidRDefault="00215667" w:rsidP="00D35942">
      <w:pPr>
        <w:pStyle w:val="p2"/>
        <w:spacing w:line="360" w:lineRule="auto"/>
        <w:ind w:firstLine="720"/>
        <w:jc w:val="both"/>
      </w:pPr>
      <w:r w:rsidRPr="00215667">
        <w:lastRenderedPageBreak/>
        <w:t xml:space="preserve">The average duration of self-reported bleeding symptoms (BT) prior to diagnosis was 6 ± 4 days (range: 1–14 days), with 50% of patients reporting bleeding lasting more than 4 days.In our study, the analysis of all 64 patients (100%) showed that values of ADP, </w:t>
      </w:r>
      <w:r w:rsidR="0021755D">
        <w:t>ристоцетин</w:t>
      </w:r>
      <w:r w:rsidRPr="00215667">
        <w:t xml:space="preserve">, and </w:t>
      </w:r>
      <w:r w:rsidR="0021755D">
        <w:t>колаген</w:t>
      </w:r>
      <w:r w:rsidRPr="00215667">
        <w:t xml:space="preserve"> were consistently and significantly reduced compared to reference ranges.According to the intensity of pre-diagnostic bleeding episodes, we observed moderate bleeding in 53.1% of patients, severe bleeding in 45.3%, and mild bleeding in only one patient; no patients reported blood-tinged saliva only.</w:t>
      </w:r>
    </w:p>
    <w:p w14:paraId="32B07F0D" w14:textId="722A24C6" w:rsidR="00215667" w:rsidRPr="00215667" w:rsidRDefault="00215667" w:rsidP="00D35942">
      <w:pPr>
        <w:pStyle w:val="p2"/>
        <w:spacing w:line="360" w:lineRule="auto"/>
        <w:ind w:firstLine="720"/>
        <w:jc w:val="both"/>
      </w:pPr>
      <w:r w:rsidRPr="00215667">
        <w:t>Mean ADP values by bleeding intensity were: moderate – 43.8 ± 10.4 (range: 7–60), severe – 27.9 ± 10.5 (range: 7–49), and mild – 58.0 (one patient).</w:t>
      </w:r>
      <w:r w:rsidR="0021755D">
        <w:t>Ристоцетин</w:t>
      </w:r>
      <w:r w:rsidRPr="00215667">
        <w:t xml:space="preserve"> values also showed an inverse relationship with bleeding severity: moderate – 66.2 ± 9.3 (range: 47–83), severe – 55.6 ± 16.6 (range: 23–86), and mild – 68.0 (one patient).</w:t>
      </w:r>
      <w:r w:rsidR="0021755D">
        <w:t>Колаген</w:t>
      </w:r>
      <w:r w:rsidRPr="00215667">
        <w:t xml:space="preserve"> levels followed a similar trend: moderate – 52.4 ± 11.3 (range: 27–86), severe – 44.9 ± 18.8 (range: 19–90), and mild – 59.0 (one patient).The average duration of bleeding (PEB) after the standardized prophylactic TXA protocol and use of local hemostatic techniques was 5.1 ± 5.7 hours (range: 0–30 hours), with only mild bleeding reported. In 50% of patients, bleeding lasted less than 4 hours. TXA use was not associated with significant adverse effects.</w:t>
      </w:r>
    </w:p>
    <w:p w14:paraId="3806F1CF" w14:textId="77777777" w:rsidR="00215667" w:rsidRPr="00215667" w:rsidRDefault="00215667" w:rsidP="00D35942">
      <w:pPr>
        <w:pStyle w:val="p2"/>
        <w:spacing w:line="360" w:lineRule="auto"/>
        <w:ind w:firstLine="720"/>
        <w:jc w:val="both"/>
      </w:pPr>
      <w:r w:rsidRPr="00215667">
        <w:t>Analysis of post-extraction bleeding in patients receiving oral anticoagulant or antiplatelet therapy showed that these medications contributed to increased PEB. Cross-analysis revealed statistically significant differences in PEB duration between patients who discontinued versus those who continued therapy, regardless of age. INR levels were found to have a strong influence on bleeding risk, with patients having INR &gt; 1.65 experiencing the most severe bleeding. INR values below 1.65 were considered safe for performing extractions or dentoalveolar surgeries. A HAS-BLED score above 3 was also a significant predictor of increased PEB.</w:t>
      </w:r>
    </w:p>
    <w:p w14:paraId="6AD45DA7" w14:textId="0CBB03C2" w:rsidR="00215667" w:rsidRPr="00215667" w:rsidRDefault="00215667" w:rsidP="00D35942">
      <w:pPr>
        <w:pStyle w:val="p1"/>
        <w:spacing w:line="360" w:lineRule="auto"/>
      </w:pPr>
      <w:r w:rsidRPr="00215667">
        <w:rPr>
          <w:b/>
          <w:bCs/>
        </w:rPr>
        <w:t>Conclusion</w:t>
      </w:r>
    </w:p>
    <w:p w14:paraId="21DA9E59" w14:textId="665AFCFF" w:rsidR="00215667" w:rsidRPr="00215667" w:rsidRDefault="00215667" w:rsidP="00D35942">
      <w:pPr>
        <w:pStyle w:val="p2"/>
        <w:spacing w:line="360" w:lineRule="auto"/>
        <w:ind w:firstLine="720"/>
        <w:jc w:val="both"/>
      </w:pPr>
      <w:r w:rsidRPr="00215667">
        <w:t xml:space="preserve">The clinical risk of prolonged postoperative bleeding is indirectly associated with reduced aggregation parameters (ADP, </w:t>
      </w:r>
      <w:r w:rsidR="0021755D">
        <w:t>ристоцетин</w:t>
      </w:r>
      <w:r w:rsidRPr="00215667">
        <w:t xml:space="preserve">, and </w:t>
      </w:r>
      <w:r w:rsidR="0021755D">
        <w:t>колаген</w:t>
      </w:r>
      <w:r w:rsidRPr="00215667">
        <w:t xml:space="preserve">) detected through screening tests. Accurate preoperative preparation, conducted in close </w:t>
      </w:r>
      <w:r w:rsidRPr="00215667">
        <w:lastRenderedPageBreak/>
        <w:t>interdisciplinary collaboration with a transfusion specialist, is essential for the safe and successful execution of simple dental extractions and complex dentoalveolar surgeries. The study confirmed the hemostatic efficacy of tranexamic acid (TXA), with minimal observed adverse effects. The preoperative protocol included slow intravenous administration of 1–1.5 g TXA diluted in 500 ml normal saline approximately 45 minutes before surgery.  There is a strong association between continuous anticoagulant/antiplatelet therapy and increased risk of postoperative bleeding after oral surgery. Therefore, discontinuation of these therapies—3–5 days for VKAs and NSAIDs, and 24 hours for DOACs—is recommended in consultation with the prescribing physician before any extraction, regardless of the tooth location or type of extraction (simple or surgical). Patients with INR &gt; 1.6 are at significantly higher risk of bleeding, making INR a key indicator in preoperative risk assessment. The location of the extraction (maxilla/mandible) may influence PEB in VKA patients, especially if therapy is not discontinued, though differences are not always statistically significant. Overall, the findings support the HAS-BLED score as a consistent and clinically relevant tool for assessing post-extraction bleeding risk in patients on either oral anticoagulant (VKA/DOAC) or antiplatelet therapy (aspirin).</w:t>
      </w:r>
    </w:p>
    <w:p w14:paraId="46911C3F" w14:textId="77777777" w:rsidR="00412474" w:rsidRPr="00215667" w:rsidRDefault="00412474" w:rsidP="00D35942">
      <w:pPr>
        <w:spacing w:after="0" w:line="360" w:lineRule="auto"/>
        <w:jc w:val="both"/>
        <w:rPr>
          <w:rFonts w:ascii="Times New Roman" w:eastAsia="Calibri" w:hAnsi="Times New Roman" w:cs="Times New Roman"/>
          <w:sz w:val="24"/>
          <w:szCs w:val="24"/>
        </w:rPr>
      </w:pPr>
    </w:p>
    <w:p w14:paraId="171DB13B" w14:textId="21CC405C" w:rsidR="00215667" w:rsidRPr="00215667" w:rsidRDefault="00412474" w:rsidP="00D35942">
      <w:pPr>
        <w:pStyle w:val="p1"/>
        <w:spacing w:line="360" w:lineRule="auto"/>
        <w:jc w:val="both"/>
      </w:pPr>
      <w:r w:rsidRPr="00215667">
        <w:rPr>
          <w:b/>
        </w:rPr>
        <w:t xml:space="preserve">Keywords: </w:t>
      </w:r>
      <w:r w:rsidR="00215667" w:rsidRPr="00215667">
        <w:t xml:space="preserve">platelet hypoaggregability, </w:t>
      </w:r>
      <w:r w:rsidR="0021755D">
        <w:t>ристоцетин</w:t>
      </w:r>
      <w:r w:rsidR="00215667" w:rsidRPr="00215667">
        <w:t xml:space="preserve">, ADP, </w:t>
      </w:r>
      <w:r w:rsidR="0021755D">
        <w:t>колаген</w:t>
      </w:r>
      <w:r w:rsidR="00215667" w:rsidRPr="00215667">
        <w:t>, tooth extraction, post-extraction bleeding, tranexamic acid, anticoagulant therapy, antiplatelet therapy, INR, HAS-BLED score.</w:t>
      </w:r>
    </w:p>
    <w:p w14:paraId="47F56DCF" w14:textId="6924D2AA" w:rsidR="00412474" w:rsidRPr="00215667" w:rsidRDefault="00412474" w:rsidP="00412474">
      <w:pPr>
        <w:tabs>
          <w:tab w:val="left" w:pos="2115"/>
        </w:tabs>
        <w:spacing w:after="0" w:line="240" w:lineRule="auto"/>
        <w:ind w:left="1758" w:hanging="1758"/>
        <w:rPr>
          <w:rFonts w:ascii="Times New Roman" w:hAnsi="Times New Roman" w:cs="Times New Roman"/>
          <w:sz w:val="24"/>
          <w:szCs w:val="24"/>
        </w:rPr>
      </w:pPr>
    </w:p>
    <w:p w14:paraId="2D827EA2" w14:textId="77777777" w:rsidR="00412474" w:rsidRPr="00215667" w:rsidRDefault="00412474" w:rsidP="00412474">
      <w:pPr>
        <w:ind w:left="1080" w:hanging="360"/>
        <w:rPr>
          <w:rFonts w:ascii="Times New Roman" w:hAnsi="Times New Roman" w:cs="Times New Roman"/>
          <w:sz w:val="24"/>
          <w:szCs w:val="24"/>
        </w:rPr>
      </w:pPr>
    </w:p>
    <w:p w14:paraId="7DE4A74C" w14:textId="77777777" w:rsidR="00412474" w:rsidRPr="00215667" w:rsidRDefault="00412474" w:rsidP="00412474">
      <w:pPr>
        <w:ind w:left="1080" w:hanging="360"/>
        <w:rPr>
          <w:rFonts w:ascii="Times New Roman" w:hAnsi="Times New Roman" w:cs="Times New Roman"/>
          <w:sz w:val="24"/>
          <w:szCs w:val="24"/>
        </w:rPr>
      </w:pPr>
    </w:p>
    <w:p w14:paraId="4F2ADA29" w14:textId="77777777" w:rsidR="00412474" w:rsidRPr="00215667" w:rsidRDefault="00412474" w:rsidP="00412474">
      <w:pPr>
        <w:ind w:left="1080" w:hanging="360"/>
        <w:rPr>
          <w:rFonts w:ascii="Times New Roman" w:hAnsi="Times New Roman" w:cs="Times New Roman"/>
          <w:sz w:val="24"/>
          <w:szCs w:val="24"/>
        </w:rPr>
      </w:pPr>
    </w:p>
    <w:p w14:paraId="3634B8A2" w14:textId="77777777" w:rsidR="00412474" w:rsidRPr="00215667" w:rsidRDefault="00412474" w:rsidP="00412474">
      <w:pPr>
        <w:ind w:left="1080" w:hanging="360"/>
        <w:rPr>
          <w:rFonts w:ascii="Times New Roman" w:hAnsi="Times New Roman" w:cs="Times New Roman"/>
          <w:sz w:val="24"/>
          <w:szCs w:val="24"/>
        </w:rPr>
      </w:pPr>
    </w:p>
    <w:p w14:paraId="3964C0BB" w14:textId="77777777" w:rsidR="00412474" w:rsidRPr="00215667" w:rsidRDefault="00412474" w:rsidP="00412474">
      <w:pPr>
        <w:ind w:left="1080" w:hanging="360"/>
        <w:rPr>
          <w:rFonts w:ascii="Times New Roman" w:hAnsi="Times New Roman" w:cs="Times New Roman"/>
          <w:sz w:val="24"/>
          <w:szCs w:val="24"/>
        </w:rPr>
      </w:pPr>
    </w:p>
    <w:p w14:paraId="3904429D" w14:textId="77777777" w:rsidR="00412474" w:rsidRPr="00215667" w:rsidRDefault="00412474" w:rsidP="00412474">
      <w:pPr>
        <w:ind w:left="1080" w:hanging="360"/>
        <w:rPr>
          <w:rFonts w:ascii="Times New Roman" w:hAnsi="Times New Roman" w:cs="Times New Roman"/>
          <w:sz w:val="24"/>
          <w:szCs w:val="24"/>
        </w:rPr>
      </w:pPr>
    </w:p>
    <w:p w14:paraId="0618A525" w14:textId="77777777" w:rsidR="00412474" w:rsidRPr="00215667" w:rsidRDefault="00412474" w:rsidP="00412474">
      <w:pPr>
        <w:ind w:left="1080" w:hanging="360"/>
        <w:rPr>
          <w:rFonts w:ascii="Times New Roman" w:hAnsi="Times New Roman" w:cs="Times New Roman"/>
          <w:sz w:val="24"/>
          <w:szCs w:val="24"/>
        </w:rPr>
      </w:pPr>
    </w:p>
    <w:p w14:paraId="3AE76AC9" w14:textId="77777777" w:rsidR="00412474" w:rsidRPr="00215667" w:rsidRDefault="00412474" w:rsidP="00412474">
      <w:pPr>
        <w:ind w:left="1080" w:hanging="360"/>
        <w:rPr>
          <w:rFonts w:ascii="Times New Roman" w:hAnsi="Times New Roman" w:cs="Times New Roman"/>
          <w:sz w:val="24"/>
          <w:szCs w:val="24"/>
        </w:rPr>
      </w:pPr>
    </w:p>
    <w:p w14:paraId="0AE70C14" w14:textId="77777777" w:rsidR="00412474" w:rsidRPr="00215667" w:rsidRDefault="00412474" w:rsidP="00412474">
      <w:pPr>
        <w:ind w:left="1080" w:hanging="360"/>
        <w:rPr>
          <w:rFonts w:ascii="Times New Roman" w:hAnsi="Times New Roman" w:cs="Times New Roman"/>
          <w:sz w:val="24"/>
          <w:szCs w:val="24"/>
        </w:rPr>
      </w:pPr>
    </w:p>
    <w:p w14:paraId="4195792B" w14:textId="77777777" w:rsidR="00412474" w:rsidRPr="00215667" w:rsidRDefault="00412474" w:rsidP="00C70FF0">
      <w:pPr>
        <w:rPr>
          <w:rFonts w:ascii="Times New Roman" w:hAnsi="Times New Roman" w:cs="Times New Roman"/>
          <w:sz w:val="24"/>
          <w:szCs w:val="24"/>
        </w:rPr>
      </w:pPr>
    </w:p>
    <w:p w14:paraId="6BD1991C" w14:textId="77777777" w:rsidR="00412474" w:rsidRPr="00215667" w:rsidRDefault="00412474" w:rsidP="00412474">
      <w:pPr>
        <w:ind w:left="1080" w:hanging="360"/>
        <w:rPr>
          <w:rFonts w:ascii="Times New Roman" w:hAnsi="Times New Roman" w:cs="Times New Roman"/>
          <w:sz w:val="24"/>
          <w:szCs w:val="24"/>
        </w:rPr>
      </w:pPr>
    </w:p>
    <w:p w14:paraId="06D72775" w14:textId="77777777" w:rsidR="00412474" w:rsidRPr="00215667" w:rsidRDefault="00412474" w:rsidP="00412474">
      <w:pPr>
        <w:ind w:left="1080" w:hanging="360"/>
        <w:rPr>
          <w:rFonts w:ascii="Times New Roman" w:hAnsi="Times New Roman" w:cs="Times New Roman"/>
          <w:sz w:val="24"/>
          <w:szCs w:val="24"/>
        </w:rPr>
      </w:pPr>
    </w:p>
    <w:p w14:paraId="43210BEA" w14:textId="77777777" w:rsidR="00412474" w:rsidRPr="00215667" w:rsidRDefault="00412474" w:rsidP="00412474">
      <w:pPr>
        <w:ind w:left="1080" w:hanging="360"/>
        <w:rPr>
          <w:rFonts w:ascii="Times New Roman" w:hAnsi="Times New Roman" w:cs="Times New Roman"/>
          <w:sz w:val="24"/>
          <w:szCs w:val="24"/>
        </w:rPr>
      </w:pPr>
    </w:p>
    <w:p w14:paraId="66E66110" w14:textId="77777777" w:rsidR="00412474" w:rsidRPr="00215667" w:rsidRDefault="00412474" w:rsidP="00412474">
      <w:pPr>
        <w:ind w:left="1080" w:hanging="360"/>
        <w:rPr>
          <w:rFonts w:ascii="Times New Roman" w:hAnsi="Times New Roman" w:cs="Times New Roman"/>
          <w:sz w:val="24"/>
          <w:szCs w:val="24"/>
        </w:rPr>
      </w:pPr>
    </w:p>
    <w:p w14:paraId="5C78E21A" w14:textId="77777777" w:rsidR="00412474" w:rsidRPr="00215667" w:rsidRDefault="00412474" w:rsidP="00412474">
      <w:pPr>
        <w:ind w:left="1080" w:hanging="360"/>
        <w:rPr>
          <w:rFonts w:ascii="Times New Roman" w:hAnsi="Times New Roman" w:cs="Times New Roman"/>
          <w:sz w:val="24"/>
          <w:szCs w:val="24"/>
        </w:rPr>
      </w:pPr>
    </w:p>
    <w:p w14:paraId="1416BE28" w14:textId="0E09BE82" w:rsidR="00412474" w:rsidRDefault="00C70FF0" w:rsidP="00D35942">
      <w:pPr>
        <w:spacing w:after="0" w:line="360" w:lineRule="auto"/>
        <w:ind w:left="4536" w:firstLine="504"/>
        <w:jc w:val="both"/>
        <w:rPr>
          <w:rFonts w:ascii="Times New Roman" w:hAnsi="Times New Roman" w:cs="Times New Roman"/>
          <w:sz w:val="24"/>
          <w:szCs w:val="24"/>
        </w:rPr>
      </w:pPr>
      <w:r>
        <w:rPr>
          <w:rFonts w:ascii="Times New Roman" w:hAnsi="Times New Roman" w:cs="Times New Roman"/>
          <w:sz w:val="24"/>
          <w:szCs w:val="24"/>
        </w:rPr>
        <w:t>Изразувам искрена и голема благодарност до моето семејство и мојата менторка за помошта и поддршката во текот на докторските студии и изработката на овој докторски труд.</w:t>
      </w:r>
    </w:p>
    <w:p w14:paraId="44FCCA27" w14:textId="77777777" w:rsidR="00C70FF0" w:rsidRDefault="00C70FF0" w:rsidP="00D35942">
      <w:pPr>
        <w:spacing w:after="0" w:line="360" w:lineRule="auto"/>
        <w:ind w:left="4536" w:firstLine="720"/>
        <w:rPr>
          <w:rFonts w:ascii="Times New Roman" w:hAnsi="Times New Roman" w:cs="Times New Roman"/>
          <w:sz w:val="24"/>
          <w:szCs w:val="24"/>
        </w:rPr>
      </w:pPr>
    </w:p>
    <w:p w14:paraId="39E5F6A1" w14:textId="3D8B0A56" w:rsidR="00C70FF0" w:rsidRPr="00C70FF0" w:rsidRDefault="00C70FF0" w:rsidP="00D35942">
      <w:pPr>
        <w:spacing w:after="0" w:line="360" w:lineRule="auto"/>
        <w:ind w:left="4536" w:firstLine="504"/>
        <w:jc w:val="both"/>
        <w:rPr>
          <w:rFonts w:ascii="Times New Roman" w:hAnsi="Times New Roman" w:cs="Times New Roman"/>
          <w:sz w:val="24"/>
          <w:szCs w:val="24"/>
        </w:rPr>
      </w:pPr>
      <w:r>
        <w:rPr>
          <w:rFonts w:ascii="Times New Roman" w:hAnsi="Times New Roman" w:cs="Times New Roman"/>
          <w:sz w:val="24"/>
          <w:szCs w:val="24"/>
        </w:rPr>
        <w:t xml:space="preserve">Овој труд го посветувам на мојата мајка, со чувство на бескрајна благодарност и вечно сеќавање. </w:t>
      </w:r>
    </w:p>
    <w:p w14:paraId="4FCE3408" w14:textId="77777777" w:rsidR="00412474" w:rsidRPr="00215667" w:rsidRDefault="00412474" w:rsidP="00412474">
      <w:pPr>
        <w:spacing w:after="0" w:line="240" w:lineRule="auto"/>
        <w:ind w:left="4536" w:firstLine="720"/>
        <w:jc w:val="both"/>
        <w:rPr>
          <w:rFonts w:ascii="Times New Roman" w:hAnsi="Times New Roman" w:cs="Times New Roman"/>
          <w:sz w:val="24"/>
          <w:szCs w:val="24"/>
        </w:rPr>
      </w:pPr>
    </w:p>
    <w:p w14:paraId="7C625A2C" w14:textId="77777777" w:rsidR="00C70FF0" w:rsidRPr="00215667" w:rsidRDefault="00C70FF0" w:rsidP="00C70FF0">
      <w:pPr>
        <w:spacing w:after="0" w:line="240" w:lineRule="auto"/>
        <w:rPr>
          <w:rFonts w:ascii="Times New Roman" w:hAnsi="Times New Roman" w:cs="Times New Roman"/>
          <w:sz w:val="24"/>
          <w:szCs w:val="24"/>
        </w:rPr>
      </w:pPr>
    </w:p>
    <w:p w14:paraId="710A52C5" w14:textId="77777777" w:rsidR="00412474" w:rsidRPr="00215667" w:rsidRDefault="00412474" w:rsidP="00412474">
      <w:pPr>
        <w:spacing w:after="0" w:line="240" w:lineRule="auto"/>
        <w:jc w:val="center"/>
        <w:rPr>
          <w:rFonts w:ascii="Times New Roman" w:hAnsi="Times New Roman" w:cs="Times New Roman"/>
          <w:sz w:val="24"/>
          <w:szCs w:val="24"/>
        </w:rPr>
      </w:pPr>
    </w:p>
    <w:p w14:paraId="341632C6" w14:textId="77777777" w:rsidR="00412474" w:rsidRDefault="00412474" w:rsidP="00412474">
      <w:pPr>
        <w:spacing w:after="0" w:line="240" w:lineRule="auto"/>
        <w:jc w:val="center"/>
        <w:rPr>
          <w:rFonts w:ascii="Times New Roman" w:hAnsi="Times New Roman" w:cs="Times New Roman"/>
          <w:sz w:val="24"/>
          <w:szCs w:val="24"/>
        </w:rPr>
      </w:pPr>
    </w:p>
    <w:p w14:paraId="05C1B3A1" w14:textId="77777777" w:rsidR="00C70FF0" w:rsidRDefault="00C70FF0" w:rsidP="00412474">
      <w:pPr>
        <w:spacing w:after="0" w:line="240" w:lineRule="auto"/>
        <w:jc w:val="center"/>
        <w:rPr>
          <w:rFonts w:ascii="Times New Roman" w:hAnsi="Times New Roman" w:cs="Times New Roman"/>
          <w:sz w:val="24"/>
          <w:szCs w:val="24"/>
        </w:rPr>
      </w:pPr>
    </w:p>
    <w:p w14:paraId="7F6686D3" w14:textId="77777777" w:rsidR="00C70FF0" w:rsidRDefault="00C70FF0" w:rsidP="00412474">
      <w:pPr>
        <w:spacing w:after="0" w:line="240" w:lineRule="auto"/>
        <w:jc w:val="center"/>
        <w:rPr>
          <w:rFonts w:ascii="Times New Roman" w:hAnsi="Times New Roman" w:cs="Times New Roman"/>
          <w:sz w:val="24"/>
          <w:szCs w:val="24"/>
        </w:rPr>
      </w:pPr>
    </w:p>
    <w:p w14:paraId="4CCE3919" w14:textId="77777777" w:rsidR="00C70FF0" w:rsidRDefault="00C70FF0" w:rsidP="00412474">
      <w:pPr>
        <w:spacing w:after="0" w:line="240" w:lineRule="auto"/>
        <w:jc w:val="center"/>
        <w:rPr>
          <w:rFonts w:ascii="Times New Roman" w:hAnsi="Times New Roman" w:cs="Times New Roman"/>
          <w:sz w:val="24"/>
          <w:szCs w:val="24"/>
        </w:rPr>
      </w:pPr>
    </w:p>
    <w:p w14:paraId="7BDB477F" w14:textId="77777777" w:rsidR="00C70FF0" w:rsidRDefault="00C70FF0" w:rsidP="00412474">
      <w:pPr>
        <w:spacing w:after="0" w:line="240" w:lineRule="auto"/>
        <w:jc w:val="center"/>
        <w:rPr>
          <w:rFonts w:ascii="Times New Roman" w:hAnsi="Times New Roman" w:cs="Times New Roman"/>
          <w:sz w:val="24"/>
          <w:szCs w:val="24"/>
        </w:rPr>
      </w:pPr>
    </w:p>
    <w:p w14:paraId="53DE52A1" w14:textId="77777777" w:rsidR="00C70FF0" w:rsidRDefault="00C70FF0" w:rsidP="00412474">
      <w:pPr>
        <w:spacing w:after="0" w:line="240" w:lineRule="auto"/>
        <w:jc w:val="center"/>
        <w:rPr>
          <w:rFonts w:ascii="Times New Roman" w:hAnsi="Times New Roman" w:cs="Times New Roman"/>
          <w:sz w:val="24"/>
          <w:szCs w:val="24"/>
        </w:rPr>
      </w:pPr>
    </w:p>
    <w:p w14:paraId="1EAE3CD6" w14:textId="77777777" w:rsidR="00C70FF0" w:rsidRDefault="00C70FF0" w:rsidP="00412474">
      <w:pPr>
        <w:spacing w:after="0" w:line="240" w:lineRule="auto"/>
        <w:jc w:val="center"/>
        <w:rPr>
          <w:rFonts w:ascii="Times New Roman" w:hAnsi="Times New Roman" w:cs="Times New Roman"/>
          <w:sz w:val="24"/>
          <w:szCs w:val="24"/>
        </w:rPr>
      </w:pPr>
    </w:p>
    <w:p w14:paraId="1FB5203B" w14:textId="77777777" w:rsidR="00C70FF0" w:rsidRPr="00215667" w:rsidRDefault="00C70FF0" w:rsidP="00412474">
      <w:pPr>
        <w:spacing w:after="0" w:line="240" w:lineRule="auto"/>
        <w:jc w:val="center"/>
        <w:rPr>
          <w:rFonts w:ascii="Times New Roman" w:hAnsi="Times New Roman" w:cs="Times New Roman"/>
          <w:sz w:val="24"/>
          <w:szCs w:val="24"/>
        </w:rPr>
      </w:pPr>
    </w:p>
    <w:p w14:paraId="52A69C49" w14:textId="77777777" w:rsidR="00412474" w:rsidRPr="00215667" w:rsidRDefault="00412474" w:rsidP="00412474">
      <w:pPr>
        <w:spacing w:after="0" w:line="240" w:lineRule="auto"/>
        <w:jc w:val="both"/>
        <w:rPr>
          <w:rFonts w:ascii="Times New Roman" w:hAnsi="Times New Roman" w:cs="Times New Roman"/>
          <w:sz w:val="24"/>
          <w:szCs w:val="24"/>
        </w:rPr>
      </w:pPr>
    </w:p>
    <w:p w14:paraId="3B2A6B87" w14:textId="77777777" w:rsidR="00D30728" w:rsidRDefault="00D30728" w:rsidP="00412474">
      <w:pPr>
        <w:spacing w:after="0" w:line="240" w:lineRule="auto"/>
        <w:jc w:val="both"/>
        <w:rPr>
          <w:rFonts w:ascii="Times New Roman" w:hAnsi="Times New Roman" w:cs="Times New Roman"/>
          <w:sz w:val="24"/>
          <w:szCs w:val="24"/>
        </w:rPr>
      </w:pPr>
    </w:p>
    <w:p w14:paraId="79F0B157" w14:textId="77777777" w:rsidR="00D30728" w:rsidRDefault="00D30728" w:rsidP="00412474">
      <w:pPr>
        <w:spacing w:after="0" w:line="240" w:lineRule="auto"/>
        <w:jc w:val="both"/>
        <w:rPr>
          <w:rFonts w:ascii="Times New Roman" w:hAnsi="Times New Roman" w:cs="Times New Roman"/>
          <w:sz w:val="24"/>
          <w:szCs w:val="24"/>
        </w:rPr>
      </w:pPr>
    </w:p>
    <w:p w14:paraId="4D9CB79B" w14:textId="77777777" w:rsidR="00D30728" w:rsidRDefault="00D30728" w:rsidP="00412474">
      <w:pPr>
        <w:spacing w:after="0" w:line="240" w:lineRule="auto"/>
        <w:jc w:val="both"/>
        <w:rPr>
          <w:rFonts w:ascii="Times New Roman" w:hAnsi="Times New Roman" w:cs="Times New Roman"/>
          <w:sz w:val="24"/>
          <w:szCs w:val="24"/>
        </w:rPr>
      </w:pPr>
    </w:p>
    <w:p w14:paraId="7E101930" w14:textId="77777777" w:rsidR="00D30728" w:rsidRDefault="00D30728" w:rsidP="00412474">
      <w:pPr>
        <w:spacing w:after="0" w:line="240" w:lineRule="auto"/>
        <w:jc w:val="both"/>
        <w:rPr>
          <w:rFonts w:ascii="Times New Roman" w:hAnsi="Times New Roman" w:cs="Times New Roman"/>
          <w:sz w:val="24"/>
          <w:szCs w:val="24"/>
        </w:rPr>
      </w:pPr>
    </w:p>
    <w:p w14:paraId="76412315" w14:textId="77777777" w:rsidR="00D30728" w:rsidRDefault="00D30728" w:rsidP="00412474">
      <w:pPr>
        <w:spacing w:after="0" w:line="240" w:lineRule="auto"/>
        <w:jc w:val="both"/>
        <w:rPr>
          <w:rFonts w:ascii="Times New Roman" w:hAnsi="Times New Roman" w:cs="Times New Roman"/>
          <w:sz w:val="24"/>
          <w:szCs w:val="24"/>
        </w:rPr>
      </w:pPr>
    </w:p>
    <w:p w14:paraId="5FFCE64C" w14:textId="77777777" w:rsidR="00D30728" w:rsidRDefault="00D30728" w:rsidP="00412474">
      <w:pPr>
        <w:spacing w:after="0" w:line="240" w:lineRule="auto"/>
        <w:jc w:val="both"/>
        <w:rPr>
          <w:rFonts w:ascii="Times New Roman" w:hAnsi="Times New Roman" w:cs="Times New Roman"/>
          <w:sz w:val="24"/>
          <w:szCs w:val="24"/>
        </w:rPr>
      </w:pPr>
    </w:p>
    <w:p w14:paraId="3C5849EB" w14:textId="77777777" w:rsidR="00D30728" w:rsidRDefault="00D30728" w:rsidP="00412474">
      <w:pPr>
        <w:spacing w:after="0" w:line="240" w:lineRule="auto"/>
        <w:jc w:val="both"/>
        <w:rPr>
          <w:rFonts w:ascii="Times New Roman" w:hAnsi="Times New Roman" w:cs="Times New Roman"/>
          <w:sz w:val="24"/>
          <w:szCs w:val="24"/>
        </w:rPr>
      </w:pPr>
    </w:p>
    <w:p w14:paraId="260AB2FD" w14:textId="77777777" w:rsidR="00D30728" w:rsidRDefault="00D30728" w:rsidP="00412474">
      <w:pPr>
        <w:spacing w:after="0" w:line="240" w:lineRule="auto"/>
        <w:jc w:val="both"/>
        <w:rPr>
          <w:rFonts w:ascii="Times New Roman" w:hAnsi="Times New Roman" w:cs="Times New Roman"/>
          <w:sz w:val="24"/>
          <w:szCs w:val="24"/>
        </w:rPr>
      </w:pPr>
    </w:p>
    <w:p w14:paraId="12518A7E" w14:textId="77777777" w:rsidR="00D30728" w:rsidRDefault="00D30728" w:rsidP="00412474">
      <w:pPr>
        <w:spacing w:after="0" w:line="240" w:lineRule="auto"/>
        <w:jc w:val="both"/>
        <w:rPr>
          <w:rFonts w:ascii="Times New Roman" w:hAnsi="Times New Roman" w:cs="Times New Roman"/>
          <w:sz w:val="24"/>
          <w:szCs w:val="24"/>
        </w:rPr>
      </w:pPr>
    </w:p>
    <w:p w14:paraId="31D9B54F" w14:textId="77777777" w:rsidR="00D30728" w:rsidRDefault="00D30728" w:rsidP="00412474">
      <w:pPr>
        <w:spacing w:after="0" w:line="240" w:lineRule="auto"/>
        <w:jc w:val="both"/>
        <w:rPr>
          <w:rFonts w:ascii="Times New Roman" w:hAnsi="Times New Roman" w:cs="Times New Roman"/>
          <w:sz w:val="24"/>
          <w:szCs w:val="24"/>
        </w:rPr>
      </w:pPr>
    </w:p>
    <w:p w14:paraId="05EC36C4" w14:textId="77777777" w:rsidR="00D30728" w:rsidRDefault="00D30728" w:rsidP="00412474">
      <w:pPr>
        <w:spacing w:after="0" w:line="240" w:lineRule="auto"/>
        <w:jc w:val="both"/>
        <w:rPr>
          <w:rFonts w:ascii="Times New Roman" w:hAnsi="Times New Roman" w:cs="Times New Roman"/>
          <w:sz w:val="24"/>
          <w:szCs w:val="24"/>
        </w:rPr>
      </w:pPr>
    </w:p>
    <w:p w14:paraId="0DEE23B0" w14:textId="77777777" w:rsidR="00D30728" w:rsidRDefault="00D30728" w:rsidP="00412474">
      <w:pPr>
        <w:spacing w:after="0" w:line="240" w:lineRule="auto"/>
        <w:jc w:val="both"/>
        <w:rPr>
          <w:rFonts w:ascii="Times New Roman" w:hAnsi="Times New Roman" w:cs="Times New Roman"/>
          <w:sz w:val="24"/>
          <w:szCs w:val="24"/>
        </w:rPr>
      </w:pPr>
    </w:p>
    <w:p w14:paraId="203949F8" w14:textId="77777777" w:rsidR="00D30728" w:rsidRDefault="00D30728" w:rsidP="00412474">
      <w:pPr>
        <w:spacing w:after="0" w:line="240" w:lineRule="auto"/>
        <w:jc w:val="both"/>
        <w:rPr>
          <w:rFonts w:ascii="Times New Roman" w:hAnsi="Times New Roman" w:cs="Times New Roman"/>
          <w:sz w:val="24"/>
          <w:szCs w:val="24"/>
        </w:rPr>
      </w:pPr>
    </w:p>
    <w:p w14:paraId="745D10A5" w14:textId="77777777" w:rsidR="00D30728" w:rsidRDefault="00D30728" w:rsidP="00412474">
      <w:pPr>
        <w:spacing w:after="0" w:line="240" w:lineRule="auto"/>
        <w:jc w:val="both"/>
        <w:rPr>
          <w:rFonts w:ascii="Times New Roman" w:hAnsi="Times New Roman" w:cs="Times New Roman"/>
          <w:sz w:val="24"/>
          <w:szCs w:val="24"/>
        </w:rPr>
      </w:pPr>
    </w:p>
    <w:p w14:paraId="116A349B" w14:textId="77777777" w:rsidR="00D30728" w:rsidRDefault="00D30728" w:rsidP="00412474">
      <w:pPr>
        <w:spacing w:after="0" w:line="240" w:lineRule="auto"/>
        <w:jc w:val="both"/>
        <w:rPr>
          <w:rFonts w:ascii="Times New Roman" w:hAnsi="Times New Roman" w:cs="Times New Roman"/>
          <w:sz w:val="24"/>
          <w:szCs w:val="24"/>
        </w:rPr>
      </w:pPr>
    </w:p>
    <w:p w14:paraId="2D9CF8A6" w14:textId="77777777" w:rsidR="00D30728" w:rsidRDefault="00D30728" w:rsidP="00412474">
      <w:pPr>
        <w:spacing w:after="0" w:line="240" w:lineRule="auto"/>
        <w:jc w:val="both"/>
        <w:rPr>
          <w:rFonts w:ascii="Times New Roman" w:hAnsi="Times New Roman" w:cs="Times New Roman"/>
          <w:sz w:val="24"/>
          <w:szCs w:val="24"/>
        </w:rPr>
      </w:pPr>
    </w:p>
    <w:p w14:paraId="4B91946F" w14:textId="77777777" w:rsidR="00D30728" w:rsidRDefault="00D30728" w:rsidP="00412474">
      <w:pPr>
        <w:spacing w:after="0" w:line="240" w:lineRule="auto"/>
        <w:jc w:val="both"/>
        <w:rPr>
          <w:rFonts w:ascii="Times New Roman" w:hAnsi="Times New Roman" w:cs="Times New Roman"/>
          <w:sz w:val="24"/>
          <w:szCs w:val="24"/>
        </w:rPr>
      </w:pPr>
    </w:p>
    <w:p w14:paraId="1112D950" w14:textId="77777777" w:rsidR="00D30728" w:rsidRDefault="00D30728" w:rsidP="00412474">
      <w:pPr>
        <w:spacing w:after="0" w:line="240" w:lineRule="auto"/>
        <w:jc w:val="both"/>
        <w:rPr>
          <w:rFonts w:ascii="Times New Roman" w:hAnsi="Times New Roman" w:cs="Times New Roman"/>
          <w:sz w:val="24"/>
          <w:szCs w:val="24"/>
        </w:rPr>
      </w:pPr>
    </w:p>
    <w:p w14:paraId="561E1219" w14:textId="77777777" w:rsidR="00D30728" w:rsidRDefault="00D30728" w:rsidP="00412474">
      <w:pPr>
        <w:spacing w:after="0" w:line="240" w:lineRule="auto"/>
        <w:jc w:val="both"/>
        <w:rPr>
          <w:rFonts w:ascii="Times New Roman" w:hAnsi="Times New Roman" w:cs="Times New Roman"/>
          <w:sz w:val="24"/>
          <w:szCs w:val="24"/>
        </w:rPr>
      </w:pPr>
    </w:p>
    <w:p w14:paraId="26098545" w14:textId="77777777" w:rsidR="00D30728" w:rsidRDefault="00D30728" w:rsidP="00412474">
      <w:pPr>
        <w:spacing w:after="0" w:line="240" w:lineRule="auto"/>
        <w:jc w:val="both"/>
        <w:rPr>
          <w:rFonts w:ascii="Times New Roman" w:hAnsi="Times New Roman" w:cs="Times New Roman"/>
          <w:sz w:val="24"/>
          <w:szCs w:val="24"/>
        </w:rPr>
      </w:pPr>
    </w:p>
    <w:p w14:paraId="00D150B4" w14:textId="77777777" w:rsidR="00D30728" w:rsidRDefault="00D30728" w:rsidP="00412474">
      <w:pPr>
        <w:spacing w:after="0" w:line="240" w:lineRule="auto"/>
        <w:jc w:val="both"/>
        <w:rPr>
          <w:rFonts w:ascii="Times New Roman" w:hAnsi="Times New Roman" w:cs="Times New Roman"/>
          <w:sz w:val="24"/>
          <w:szCs w:val="24"/>
        </w:rPr>
      </w:pPr>
    </w:p>
    <w:p w14:paraId="36C6F67F" w14:textId="77777777" w:rsidR="00D30728" w:rsidRDefault="00D30728" w:rsidP="00412474">
      <w:pPr>
        <w:spacing w:after="0" w:line="240" w:lineRule="auto"/>
        <w:jc w:val="both"/>
        <w:rPr>
          <w:rFonts w:ascii="Times New Roman" w:hAnsi="Times New Roman" w:cs="Times New Roman"/>
          <w:sz w:val="24"/>
          <w:szCs w:val="24"/>
        </w:rPr>
      </w:pPr>
    </w:p>
    <w:p w14:paraId="21472864" w14:textId="77777777" w:rsidR="00D30728" w:rsidRDefault="00D30728" w:rsidP="00412474">
      <w:pPr>
        <w:spacing w:after="0" w:line="240" w:lineRule="auto"/>
        <w:jc w:val="both"/>
        <w:rPr>
          <w:rFonts w:ascii="Times New Roman" w:hAnsi="Times New Roman" w:cs="Times New Roman"/>
          <w:sz w:val="24"/>
          <w:szCs w:val="24"/>
        </w:rPr>
      </w:pPr>
    </w:p>
    <w:p w14:paraId="13F6505A" w14:textId="77777777" w:rsidR="00D30728" w:rsidRDefault="00D30728" w:rsidP="00412474">
      <w:pPr>
        <w:spacing w:after="0" w:line="240" w:lineRule="auto"/>
        <w:jc w:val="both"/>
        <w:rPr>
          <w:rFonts w:ascii="Times New Roman" w:hAnsi="Times New Roman" w:cs="Times New Roman"/>
          <w:sz w:val="24"/>
          <w:szCs w:val="24"/>
        </w:rPr>
      </w:pPr>
    </w:p>
    <w:p w14:paraId="0EA40D35" w14:textId="77777777" w:rsidR="00D30728" w:rsidRDefault="00D30728" w:rsidP="00412474">
      <w:pPr>
        <w:spacing w:after="0" w:line="240" w:lineRule="auto"/>
        <w:jc w:val="both"/>
        <w:rPr>
          <w:rFonts w:ascii="Times New Roman" w:hAnsi="Times New Roman" w:cs="Times New Roman"/>
          <w:sz w:val="24"/>
          <w:szCs w:val="24"/>
        </w:rPr>
      </w:pPr>
    </w:p>
    <w:p w14:paraId="537888CF" w14:textId="77777777" w:rsidR="00D30728" w:rsidRDefault="00D30728" w:rsidP="00412474">
      <w:pPr>
        <w:spacing w:after="0" w:line="240" w:lineRule="auto"/>
        <w:jc w:val="both"/>
        <w:rPr>
          <w:rFonts w:ascii="Times New Roman" w:hAnsi="Times New Roman" w:cs="Times New Roman"/>
          <w:sz w:val="24"/>
          <w:szCs w:val="24"/>
        </w:rPr>
      </w:pPr>
    </w:p>
    <w:p w14:paraId="7C6ACD8F" w14:textId="77777777" w:rsidR="00D30728" w:rsidRDefault="00D30728" w:rsidP="00412474">
      <w:pPr>
        <w:spacing w:after="0" w:line="240" w:lineRule="auto"/>
        <w:jc w:val="both"/>
        <w:rPr>
          <w:rFonts w:ascii="Times New Roman" w:hAnsi="Times New Roman" w:cs="Times New Roman"/>
          <w:sz w:val="24"/>
          <w:szCs w:val="24"/>
        </w:rPr>
      </w:pPr>
    </w:p>
    <w:p w14:paraId="0DA125FD" w14:textId="77777777" w:rsidR="00D30728" w:rsidRDefault="00D30728" w:rsidP="00412474">
      <w:pPr>
        <w:spacing w:after="0" w:line="240" w:lineRule="auto"/>
        <w:jc w:val="both"/>
        <w:rPr>
          <w:rFonts w:ascii="Times New Roman" w:hAnsi="Times New Roman" w:cs="Times New Roman"/>
          <w:sz w:val="24"/>
          <w:szCs w:val="24"/>
        </w:rPr>
      </w:pPr>
    </w:p>
    <w:p w14:paraId="48A6467D" w14:textId="77777777" w:rsidR="00D30728" w:rsidRDefault="00D30728" w:rsidP="00412474">
      <w:pPr>
        <w:spacing w:after="0" w:line="240" w:lineRule="auto"/>
        <w:jc w:val="both"/>
        <w:rPr>
          <w:rFonts w:ascii="Times New Roman" w:hAnsi="Times New Roman" w:cs="Times New Roman"/>
          <w:sz w:val="24"/>
          <w:szCs w:val="24"/>
        </w:rPr>
      </w:pPr>
    </w:p>
    <w:p w14:paraId="2A89CFB4" w14:textId="77777777" w:rsidR="00D30728" w:rsidRDefault="00D30728" w:rsidP="00412474">
      <w:pPr>
        <w:spacing w:after="0" w:line="240" w:lineRule="auto"/>
        <w:jc w:val="both"/>
        <w:rPr>
          <w:rFonts w:ascii="Times New Roman" w:hAnsi="Times New Roman" w:cs="Times New Roman"/>
          <w:sz w:val="24"/>
          <w:szCs w:val="24"/>
        </w:rPr>
      </w:pPr>
    </w:p>
    <w:p w14:paraId="71B0131C" w14:textId="77777777" w:rsidR="00D30728" w:rsidRDefault="00D30728" w:rsidP="00412474">
      <w:pPr>
        <w:spacing w:after="0" w:line="240" w:lineRule="auto"/>
        <w:jc w:val="both"/>
        <w:rPr>
          <w:rFonts w:ascii="Times New Roman" w:hAnsi="Times New Roman" w:cs="Times New Roman"/>
          <w:sz w:val="24"/>
          <w:szCs w:val="24"/>
        </w:rPr>
      </w:pPr>
    </w:p>
    <w:p w14:paraId="5CC68BDD" w14:textId="72934B6A" w:rsidR="00412474" w:rsidRPr="00215667" w:rsidRDefault="00412474" w:rsidP="00D35942">
      <w:pPr>
        <w:spacing w:after="0" w:line="360" w:lineRule="auto"/>
        <w:jc w:val="both"/>
        <w:rPr>
          <w:rFonts w:ascii="Times New Roman" w:hAnsi="Times New Roman" w:cs="Times New Roman"/>
          <w:sz w:val="24"/>
          <w:szCs w:val="24"/>
        </w:rPr>
      </w:pPr>
      <w:r w:rsidRPr="00215667">
        <w:rPr>
          <w:rFonts w:ascii="Times New Roman" w:hAnsi="Times New Roman" w:cs="Times New Roman"/>
          <w:sz w:val="24"/>
          <w:szCs w:val="24"/>
        </w:rPr>
        <w:t>Изјавувам дека докторскиот труд го изработ</w:t>
      </w:r>
      <w:r w:rsidR="00D30728">
        <w:rPr>
          <w:rFonts w:ascii="Times New Roman" w:hAnsi="Times New Roman" w:cs="Times New Roman"/>
          <w:sz w:val="24"/>
          <w:szCs w:val="24"/>
        </w:rPr>
        <w:t>и</w:t>
      </w:r>
      <w:r w:rsidRPr="00215667">
        <w:rPr>
          <w:rFonts w:ascii="Times New Roman" w:hAnsi="Times New Roman" w:cs="Times New Roman"/>
          <w:sz w:val="24"/>
          <w:szCs w:val="24"/>
        </w:rPr>
        <w:t xml:space="preserve">в самостојно, дека уредно ги цитирам сите користени извори и литература и дека трудот не е користен во рамките на други универзитетски студии или за стекнување на друго звање. </w:t>
      </w:r>
    </w:p>
    <w:p w14:paraId="47F073FA" w14:textId="77777777" w:rsidR="00412474" w:rsidRPr="00215667" w:rsidRDefault="00412474" w:rsidP="00D35942">
      <w:pPr>
        <w:spacing w:after="0" w:line="360" w:lineRule="auto"/>
        <w:jc w:val="center"/>
        <w:rPr>
          <w:rFonts w:ascii="Times New Roman" w:hAnsi="Times New Roman" w:cs="Times New Roman"/>
          <w:sz w:val="24"/>
          <w:szCs w:val="24"/>
        </w:rPr>
      </w:pPr>
    </w:p>
    <w:p w14:paraId="6E9E1DBA" w14:textId="77777777" w:rsidR="00412474" w:rsidRPr="00215667" w:rsidRDefault="00412474" w:rsidP="00D35942">
      <w:pPr>
        <w:spacing w:after="0" w:line="360" w:lineRule="auto"/>
        <w:jc w:val="right"/>
        <w:rPr>
          <w:rFonts w:ascii="Times New Roman" w:hAnsi="Times New Roman" w:cs="Times New Roman"/>
          <w:sz w:val="24"/>
          <w:szCs w:val="24"/>
        </w:rPr>
      </w:pPr>
      <w:r w:rsidRPr="00215667">
        <w:rPr>
          <w:rFonts w:ascii="Times New Roman" w:hAnsi="Times New Roman" w:cs="Times New Roman"/>
          <w:sz w:val="24"/>
          <w:szCs w:val="24"/>
        </w:rPr>
        <w:tab/>
      </w:r>
      <w:r w:rsidRPr="00215667">
        <w:rPr>
          <w:rFonts w:ascii="Times New Roman" w:hAnsi="Times New Roman" w:cs="Times New Roman"/>
          <w:sz w:val="24"/>
          <w:szCs w:val="24"/>
        </w:rPr>
        <w:tab/>
      </w:r>
      <w:r w:rsidRPr="00215667">
        <w:rPr>
          <w:rFonts w:ascii="Times New Roman" w:hAnsi="Times New Roman" w:cs="Times New Roman"/>
          <w:sz w:val="24"/>
          <w:szCs w:val="24"/>
        </w:rPr>
        <w:tab/>
      </w:r>
      <w:r w:rsidRPr="00215667">
        <w:rPr>
          <w:rFonts w:ascii="Times New Roman" w:hAnsi="Times New Roman" w:cs="Times New Roman"/>
          <w:sz w:val="24"/>
          <w:szCs w:val="24"/>
        </w:rPr>
        <w:tab/>
      </w:r>
      <w:r w:rsidRPr="00215667">
        <w:rPr>
          <w:rFonts w:ascii="Times New Roman" w:hAnsi="Times New Roman" w:cs="Times New Roman"/>
          <w:sz w:val="24"/>
          <w:szCs w:val="24"/>
        </w:rPr>
        <w:tab/>
      </w:r>
      <w:r w:rsidRPr="00215667">
        <w:rPr>
          <w:rFonts w:ascii="Times New Roman" w:hAnsi="Times New Roman" w:cs="Times New Roman"/>
          <w:sz w:val="24"/>
          <w:szCs w:val="24"/>
        </w:rPr>
        <w:tab/>
        <w:t>Своерачен потпис на докторандот         </w:t>
      </w:r>
      <w:r w:rsidRPr="00215667">
        <w:rPr>
          <w:rFonts w:ascii="Times New Roman" w:hAnsi="Times New Roman" w:cs="Times New Roman"/>
          <w:sz w:val="24"/>
          <w:szCs w:val="24"/>
        </w:rPr>
        <w:br/>
        <w:t>(на електронската верзiа потпис и скратеницата с.р.)</w:t>
      </w:r>
    </w:p>
    <w:p w14:paraId="42E75597" w14:textId="77777777" w:rsidR="00412474" w:rsidRPr="00215667" w:rsidRDefault="00412474" w:rsidP="00D35942">
      <w:pPr>
        <w:spacing w:after="0" w:line="360" w:lineRule="auto"/>
        <w:jc w:val="center"/>
        <w:rPr>
          <w:rFonts w:ascii="Times New Roman" w:hAnsi="Times New Roman" w:cs="Times New Roman"/>
          <w:sz w:val="24"/>
          <w:szCs w:val="24"/>
        </w:rPr>
      </w:pPr>
    </w:p>
    <w:p w14:paraId="3FCB66C9" w14:textId="77777777" w:rsidR="00412474" w:rsidRPr="00215667" w:rsidRDefault="00412474" w:rsidP="00D35942">
      <w:pPr>
        <w:spacing w:after="0" w:line="360" w:lineRule="auto"/>
        <w:jc w:val="center"/>
        <w:rPr>
          <w:rFonts w:ascii="Times New Roman" w:hAnsi="Times New Roman" w:cs="Times New Roman"/>
          <w:sz w:val="24"/>
          <w:szCs w:val="24"/>
        </w:rPr>
      </w:pPr>
    </w:p>
    <w:p w14:paraId="7932FA31" w14:textId="77777777" w:rsidR="00412474" w:rsidRPr="00215667" w:rsidRDefault="00412474" w:rsidP="00D35942">
      <w:pPr>
        <w:spacing w:after="0" w:line="360" w:lineRule="auto"/>
        <w:jc w:val="center"/>
        <w:rPr>
          <w:rFonts w:ascii="Times New Roman" w:hAnsi="Times New Roman" w:cs="Times New Roman"/>
          <w:sz w:val="24"/>
          <w:szCs w:val="24"/>
        </w:rPr>
      </w:pPr>
    </w:p>
    <w:p w14:paraId="33B52D73" w14:textId="77777777" w:rsidR="00412474" w:rsidRPr="00215667" w:rsidRDefault="00412474" w:rsidP="00D35942">
      <w:pPr>
        <w:spacing w:after="0" w:line="360" w:lineRule="auto"/>
        <w:jc w:val="center"/>
        <w:rPr>
          <w:rFonts w:ascii="Times New Roman" w:hAnsi="Times New Roman" w:cs="Times New Roman"/>
          <w:sz w:val="24"/>
          <w:szCs w:val="24"/>
        </w:rPr>
      </w:pPr>
    </w:p>
    <w:p w14:paraId="489D7429" w14:textId="77777777" w:rsidR="00412474" w:rsidRPr="00215667" w:rsidRDefault="00412474" w:rsidP="00D35942">
      <w:pPr>
        <w:spacing w:after="0" w:line="360" w:lineRule="auto"/>
        <w:ind w:left="3600"/>
        <w:jc w:val="both"/>
        <w:rPr>
          <w:rFonts w:ascii="Times New Roman" w:hAnsi="Times New Roman" w:cs="Times New Roman"/>
          <w:sz w:val="24"/>
          <w:szCs w:val="24"/>
        </w:rPr>
      </w:pPr>
      <w:r w:rsidRPr="00215667">
        <w:rPr>
          <w:rFonts w:ascii="Times New Roman" w:hAnsi="Times New Roman" w:cs="Times New Roman"/>
          <w:sz w:val="24"/>
          <w:szCs w:val="24"/>
        </w:rPr>
        <w:t>(на електронската верзија на докторски труд)</w:t>
      </w:r>
    </w:p>
    <w:p w14:paraId="5B7E2B80" w14:textId="77777777" w:rsidR="00412474" w:rsidRPr="00215667" w:rsidRDefault="00412474" w:rsidP="00D35942">
      <w:pPr>
        <w:spacing w:after="0" w:line="360" w:lineRule="auto"/>
        <w:ind w:left="3600" w:firstLine="720"/>
        <w:jc w:val="both"/>
        <w:rPr>
          <w:rFonts w:ascii="Times New Roman" w:hAnsi="Times New Roman" w:cs="Times New Roman"/>
          <w:sz w:val="24"/>
          <w:szCs w:val="24"/>
        </w:rPr>
      </w:pPr>
    </w:p>
    <w:p w14:paraId="1257A8D7" w14:textId="77777777" w:rsidR="00412474" w:rsidRPr="00215667" w:rsidRDefault="00412474" w:rsidP="00D35942">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Изјавувам дека електронската верзија на докторскиот труд е идентична со отпечатениот докторски труд.</w:t>
      </w:r>
    </w:p>
    <w:p w14:paraId="47F503B1" w14:textId="77777777" w:rsidR="00412474" w:rsidRPr="00215667" w:rsidRDefault="00412474" w:rsidP="00D35942">
      <w:pPr>
        <w:spacing w:after="0" w:line="360" w:lineRule="auto"/>
        <w:jc w:val="center"/>
        <w:rPr>
          <w:rFonts w:ascii="Times New Roman" w:hAnsi="Times New Roman" w:cs="Times New Roman"/>
          <w:sz w:val="24"/>
          <w:szCs w:val="24"/>
        </w:rPr>
      </w:pPr>
    </w:p>
    <w:p w14:paraId="1D9B7100" w14:textId="77777777" w:rsidR="00412474" w:rsidRPr="00215667" w:rsidRDefault="00412474" w:rsidP="00D35942">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ab/>
      </w:r>
      <w:r w:rsidRPr="00215667">
        <w:rPr>
          <w:rFonts w:ascii="Times New Roman" w:hAnsi="Times New Roman" w:cs="Times New Roman"/>
          <w:sz w:val="24"/>
          <w:szCs w:val="24"/>
        </w:rPr>
        <w:tab/>
      </w:r>
      <w:r w:rsidRPr="00215667">
        <w:rPr>
          <w:rFonts w:ascii="Times New Roman" w:hAnsi="Times New Roman" w:cs="Times New Roman"/>
          <w:sz w:val="24"/>
          <w:szCs w:val="24"/>
        </w:rPr>
        <w:tab/>
      </w:r>
      <w:r w:rsidRPr="00215667">
        <w:rPr>
          <w:rFonts w:ascii="Times New Roman" w:hAnsi="Times New Roman" w:cs="Times New Roman"/>
          <w:sz w:val="24"/>
          <w:szCs w:val="24"/>
        </w:rPr>
        <w:tab/>
      </w:r>
      <w:r w:rsidRPr="00215667">
        <w:rPr>
          <w:rFonts w:ascii="Times New Roman" w:hAnsi="Times New Roman" w:cs="Times New Roman"/>
          <w:sz w:val="24"/>
          <w:szCs w:val="24"/>
        </w:rPr>
        <w:tab/>
      </w:r>
      <w:r w:rsidRPr="00215667">
        <w:rPr>
          <w:rFonts w:ascii="Times New Roman" w:hAnsi="Times New Roman" w:cs="Times New Roman"/>
          <w:sz w:val="24"/>
          <w:szCs w:val="24"/>
        </w:rPr>
        <w:tab/>
      </w:r>
      <w:r w:rsidRPr="00215667">
        <w:rPr>
          <w:rFonts w:ascii="Times New Roman" w:hAnsi="Times New Roman" w:cs="Times New Roman"/>
          <w:sz w:val="24"/>
          <w:szCs w:val="24"/>
        </w:rPr>
        <w:tab/>
        <w:t>Потпис на авторот, с.р</w:t>
      </w:r>
    </w:p>
    <w:p w14:paraId="292E41F0" w14:textId="77777777" w:rsidR="00215667" w:rsidRDefault="00215667" w:rsidP="00D35942">
      <w:pPr>
        <w:spacing w:line="360" w:lineRule="auto"/>
        <w:rPr>
          <w:rFonts w:ascii="Times New Roman" w:hAnsi="Times New Roman" w:cs="Times New Roman"/>
          <w:b/>
          <w:bCs/>
          <w:sz w:val="24"/>
          <w:szCs w:val="24"/>
        </w:rPr>
      </w:pPr>
    </w:p>
    <w:p w14:paraId="65F80324" w14:textId="77777777" w:rsidR="00D30728" w:rsidRDefault="00D30728" w:rsidP="00C70FF0">
      <w:pPr>
        <w:rPr>
          <w:rFonts w:ascii="Times New Roman" w:hAnsi="Times New Roman" w:cs="Times New Roman"/>
          <w:b/>
          <w:bCs/>
          <w:sz w:val="24"/>
          <w:szCs w:val="24"/>
        </w:rPr>
      </w:pPr>
    </w:p>
    <w:p w14:paraId="7F7ECAEF" w14:textId="59CDFE4F" w:rsidR="00412474" w:rsidRPr="00215667" w:rsidRDefault="00412474" w:rsidP="00D30728">
      <w:pPr>
        <w:rPr>
          <w:rFonts w:ascii="Times New Roman" w:hAnsi="Times New Roman" w:cs="Times New Roman"/>
          <w:b/>
          <w:bCs/>
          <w:sz w:val="24"/>
          <w:szCs w:val="24"/>
        </w:rPr>
      </w:pPr>
      <w:r w:rsidRPr="00215667">
        <w:rPr>
          <w:rFonts w:ascii="Times New Roman" w:hAnsi="Times New Roman" w:cs="Times New Roman"/>
          <w:b/>
          <w:bCs/>
          <w:sz w:val="24"/>
          <w:szCs w:val="24"/>
        </w:rPr>
        <w:lastRenderedPageBreak/>
        <w:t>СОДРЖИНА</w:t>
      </w:r>
    </w:p>
    <w:p w14:paraId="73BE55E8" w14:textId="77777777" w:rsidR="00412474" w:rsidRPr="00215667" w:rsidRDefault="00412474" w:rsidP="00412474">
      <w:pPr>
        <w:ind w:left="1080" w:hanging="360"/>
        <w:rPr>
          <w:rFonts w:ascii="Times New Roman" w:hAnsi="Times New Roman" w:cs="Times New Roman"/>
          <w:b/>
          <w:bCs/>
          <w:sz w:val="24"/>
          <w:szCs w:val="24"/>
        </w:rPr>
      </w:pPr>
    </w:p>
    <w:sdt>
      <w:sdtPr>
        <w:rPr>
          <w:b w:val="0"/>
          <w:bCs w:val="0"/>
          <w:i w:val="0"/>
          <w:iCs w:val="0"/>
          <w:sz w:val="22"/>
          <w:szCs w:val="22"/>
        </w:rPr>
        <w:id w:val="1234510601"/>
        <w:docPartObj>
          <w:docPartGallery w:val="Table of Contents"/>
          <w:docPartUnique/>
        </w:docPartObj>
      </w:sdtPr>
      <w:sdtEndPr>
        <w:rPr>
          <w:noProof/>
        </w:rPr>
      </w:sdtEndPr>
      <w:sdtContent>
        <w:p w14:paraId="744DAE95" w14:textId="244EED9C" w:rsidR="0070656E" w:rsidRDefault="00215667">
          <w:pPr>
            <w:pStyle w:val="TOC1"/>
            <w:tabs>
              <w:tab w:val="right" w:leader="dot" w:pos="8494"/>
            </w:tabs>
            <w:rPr>
              <w:rFonts w:eastAsiaTheme="minorEastAsia"/>
              <w:b w:val="0"/>
              <w:bCs w:val="0"/>
              <w:i w:val="0"/>
              <w:iCs w:val="0"/>
              <w:noProof/>
              <w:kern w:val="2"/>
              <w:lang w:eastAsia="mk-MK"/>
              <w14:ligatures w14:val="standardContextual"/>
            </w:rPr>
          </w:pPr>
          <w:r>
            <w:rPr>
              <w:rStyle w:val="Hyperlink"/>
              <w:rFonts w:ascii="Times New Roman" w:hAnsi="Times New Roman" w:cs="Times New Roman"/>
            </w:rPr>
            <w:fldChar w:fldCharType="begin"/>
          </w:r>
          <w:r w:rsidRPr="00D30728">
            <w:rPr>
              <w:rStyle w:val="Hyperlink"/>
              <w:rFonts w:ascii="Times New Roman" w:hAnsi="Times New Roman" w:cs="Times New Roman"/>
              <w:noProof/>
            </w:rPr>
            <w:instrText xml:space="preserve"> TOC \o "1-3" \h \z \u </w:instrText>
          </w:r>
          <w:r>
            <w:rPr>
              <w:rStyle w:val="Hyperlink"/>
              <w:rFonts w:ascii="Times New Roman" w:hAnsi="Times New Roman" w:cs="Times New Roman"/>
            </w:rPr>
            <w:fldChar w:fldCharType="separate"/>
          </w:r>
          <w:hyperlink w:anchor="_Toc209005142" w:history="1">
            <w:r w:rsidR="0070656E" w:rsidRPr="007A2F77">
              <w:rPr>
                <w:rStyle w:val="Hyperlink"/>
                <w:rFonts w:ascii="Times New Roman" w:hAnsi="Times New Roman" w:cs="Times New Roman"/>
                <w:noProof/>
              </w:rPr>
              <w:t>ВОВЕД И ПРЕГЛЕД ОД ЛИТЕРАТУРАТА</w:t>
            </w:r>
            <w:r w:rsidR="0070656E">
              <w:rPr>
                <w:noProof/>
                <w:webHidden/>
              </w:rPr>
              <w:tab/>
            </w:r>
            <w:r w:rsidR="0070656E">
              <w:rPr>
                <w:noProof/>
                <w:webHidden/>
              </w:rPr>
              <w:fldChar w:fldCharType="begin"/>
            </w:r>
            <w:r w:rsidR="0070656E">
              <w:rPr>
                <w:noProof/>
                <w:webHidden/>
              </w:rPr>
              <w:instrText xml:space="preserve"> PAGEREF _Toc209005142 \h </w:instrText>
            </w:r>
            <w:r w:rsidR="0070656E">
              <w:rPr>
                <w:noProof/>
                <w:webHidden/>
              </w:rPr>
            </w:r>
            <w:r w:rsidR="0070656E">
              <w:rPr>
                <w:noProof/>
                <w:webHidden/>
              </w:rPr>
              <w:fldChar w:fldCharType="separate"/>
            </w:r>
            <w:r w:rsidR="0070656E">
              <w:rPr>
                <w:noProof/>
                <w:webHidden/>
              </w:rPr>
              <w:t>15</w:t>
            </w:r>
            <w:r w:rsidR="0070656E">
              <w:rPr>
                <w:noProof/>
                <w:webHidden/>
              </w:rPr>
              <w:fldChar w:fldCharType="end"/>
            </w:r>
          </w:hyperlink>
        </w:p>
        <w:p w14:paraId="632F7C18" w14:textId="70B72731" w:rsidR="0070656E" w:rsidRDefault="0070656E">
          <w:pPr>
            <w:pStyle w:val="TOC2"/>
            <w:tabs>
              <w:tab w:val="right" w:leader="dot" w:pos="8494"/>
            </w:tabs>
            <w:rPr>
              <w:rFonts w:eastAsiaTheme="minorEastAsia"/>
              <w:b w:val="0"/>
              <w:bCs w:val="0"/>
              <w:noProof/>
              <w:kern w:val="2"/>
              <w:sz w:val="24"/>
              <w:szCs w:val="24"/>
              <w:lang w:eastAsia="mk-MK"/>
              <w14:ligatures w14:val="standardContextual"/>
            </w:rPr>
          </w:pPr>
          <w:hyperlink w:anchor="_Toc209005143" w:history="1">
            <w:r w:rsidRPr="007A2F77">
              <w:rPr>
                <w:rStyle w:val="Hyperlink"/>
                <w:rFonts w:ascii="Times New Roman" w:hAnsi="Times New Roman" w:cs="Times New Roman"/>
                <w:noProof/>
              </w:rPr>
              <w:t>1.1. Периоперативно менаџирање на пациенти со тромбоцитна хипоагрегабилност при изведување на дентоалвеоларни процедури</w:t>
            </w:r>
            <w:r>
              <w:rPr>
                <w:noProof/>
                <w:webHidden/>
              </w:rPr>
              <w:tab/>
            </w:r>
            <w:r>
              <w:rPr>
                <w:noProof/>
                <w:webHidden/>
              </w:rPr>
              <w:fldChar w:fldCharType="begin"/>
            </w:r>
            <w:r>
              <w:rPr>
                <w:noProof/>
                <w:webHidden/>
              </w:rPr>
              <w:instrText xml:space="preserve"> PAGEREF _Toc209005143 \h </w:instrText>
            </w:r>
            <w:r>
              <w:rPr>
                <w:noProof/>
                <w:webHidden/>
              </w:rPr>
            </w:r>
            <w:r>
              <w:rPr>
                <w:noProof/>
                <w:webHidden/>
              </w:rPr>
              <w:fldChar w:fldCharType="separate"/>
            </w:r>
            <w:r>
              <w:rPr>
                <w:noProof/>
                <w:webHidden/>
              </w:rPr>
              <w:t>16</w:t>
            </w:r>
            <w:r>
              <w:rPr>
                <w:noProof/>
                <w:webHidden/>
              </w:rPr>
              <w:fldChar w:fldCharType="end"/>
            </w:r>
          </w:hyperlink>
        </w:p>
        <w:p w14:paraId="2FB88933" w14:textId="458CF7E3" w:rsidR="0070656E" w:rsidRDefault="0070656E">
          <w:pPr>
            <w:pStyle w:val="TOC2"/>
            <w:tabs>
              <w:tab w:val="right" w:leader="dot" w:pos="8494"/>
            </w:tabs>
            <w:rPr>
              <w:rFonts w:eastAsiaTheme="minorEastAsia"/>
              <w:b w:val="0"/>
              <w:bCs w:val="0"/>
              <w:noProof/>
              <w:kern w:val="2"/>
              <w:sz w:val="24"/>
              <w:szCs w:val="24"/>
              <w:lang w:eastAsia="mk-MK"/>
              <w14:ligatures w14:val="standardContextual"/>
            </w:rPr>
          </w:pPr>
          <w:hyperlink w:anchor="_Toc209005144" w:history="1">
            <w:r w:rsidRPr="007A2F77">
              <w:rPr>
                <w:rStyle w:val="Hyperlink"/>
                <w:rFonts w:ascii="Times New Roman" w:hAnsi="Times New Roman" w:cs="Times New Roman"/>
                <w:noProof/>
              </w:rPr>
              <w:t>Аденозин дисфосфат (ADP)</w:t>
            </w:r>
            <w:r>
              <w:rPr>
                <w:noProof/>
                <w:webHidden/>
              </w:rPr>
              <w:tab/>
            </w:r>
            <w:r>
              <w:rPr>
                <w:noProof/>
                <w:webHidden/>
              </w:rPr>
              <w:fldChar w:fldCharType="begin"/>
            </w:r>
            <w:r>
              <w:rPr>
                <w:noProof/>
                <w:webHidden/>
              </w:rPr>
              <w:instrText xml:space="preserve"> PAGEREF _Toc209005144 \h </w:instrText>
            </w:r>
            <w:r>
              <w:rPr>
                <w:noProof/>
                <w:webHidden/>
              </w:rPr>
            </w:r>
            <w:r>
              <w:rPr>
                <w:noProof/>
                <w:webHidden/>
              </w:rPr>
              <w:fldChar w:fldCharType="separate"/>
            </w:r>
            <w:r>
              <w:rPr>
                <w:noProof/>
                <w:webHidden/>
              </w:rPr>
              <w:t>19</w:t>
            </w:r>
            <w:r>
              <w:rPr>
                <w:noProof/>
                <w:webHidden/>
              </w:rPr>
              <w:fldChar w:fldCharType="end"/>
            </w:r>
          </w:hyperlink>
        </w:p>
        <w:p w14:paraId="55743341" w14:textId="64AC5312" w:rsidR="0070656E" w:rsidRDefault="0070656E">
          <w:pPr>
            <w:pStyle w:val="TOC2"/>
            <w:tabs>
              <w:tab w:val="right" w:leader="dot" w:pos="8494"/>
            </w:tabs>
            <w:rPr>
              <w:rFonts w:eastAsiaTheme="minorEastAsia"/>
              <w:b w:val="0"/>
              <w:bCs w:val="0"/>
              <w:noProof/>
              <w:kern w:val="2"/>
              <w:sz w:val="24"/>
              <w:szCs w:val="24"/>
              <w:lang w:eastAsia="mk-MK"/>
              <w14:ligatures w14:val="standardContextual"/>
            </w:rPr>
          </w:pPr>
          <w:hyperlink w:anchor="_Toc209005145" w:history="1">
            <w:r w:rsidRPr="007A2F77">
              <w:rPr>
                <w:rStyle w:val="Hyperlink"/>
                <w:rFonts w:ascii="Times New Roman" w:hAnsi="Times New Roman" w:cs="Times New Roman"/>
                <w:noProof/>
              </w:rPr>
              <w:t>Ристоцетин</w:t>
            </w:r>
            <w:r>
              <w:rPr>
                <w:noProof/>
                <w:webHidden/>
              </w:rPr>
              <w:tab/>
            </w:r>
            <w:r>
              <w:rPr>
                <w:noProof/>
                <w:webHidden/>
              </w:rPr>
              <w:fldChar w:fldCharType="begin"/>
            </w:r>
            <w:r>
              <w:rPr>
                <w:noProof/>
                <w:webHidden/>
              </w:rPr>
              <w:instrText xml:space="preserve"> PAGEREF _Toc209005145 \h </w:instrText>
            </w:r>
            <w:r>
              <w:rPr>
                <w:noProof/>
                <w:webHidden/>
              </w:rPr>
            </w:r>
            <w:r>
              <w:rPr>
                <w:noProof/>
                <w:webHidden/>
              </w:rPr>
              <w:fldChar w:fldCharType="separate"/>
            </w:r>
            <w:r>
              <w:rPr>
                <w:noProof/>
                <w:webHidden/>
              </w:rPr>
              <w:t>20</w:t>
            </w:r>
            <w:r>
              <w:rPr>
                <w:noProof/>
                <w:webHidden/>
              </w:rPr>
              <w:fldChar w:fldCharType="end"/>
            </w:r>
          </w:hyperlink>
        </w:p>
        <w:p w14:paraId="65DF3AA0" w14:textId="71D52E1F" w:rsidR="0070656E" w:rsidRDefault="0070656E">
          <w:pPr>
            <w:pStyle w:val="TOC2"/>
            <w:tabs>
              <w:tab w:val="right" w:leader="dot" w:pos="8494"/>
            </w:tabs>
            <w:rPr>
              <w:rFonts w:eastAsiaTheme="minorEastAsia"/>
              <w:b w:val="0"/>
              <w:bCs w:val="0"/>
              <w:noProof/>
              <w:kern w:val="2"/>
              <w:sz w:val="24"/>
              <w:szCs w:val="24"/>
              <w:lang w:eastAsia="mk-MK"/>
              <w14:ligatures w14:val="standardContextual"/>
            </w:rPr>
          </w:pPr>
          <w:hyperlink w:anchor="_Toc209005146" w:history="1">
            <w:r w:rsidRPr="007A2F77">
              <w:rPr>
                <w:rStyle w:val="Hyperlink"/>
                <w:rFonts w:ascii="Times New Roman" w:hAnsi="Times New Roman" w:cs="Times New Roman"/>
                <w:noProof/>
              </w:rPr>
              <w:t>Колаген (Col)</w:t>
            </w:r>
            <w:r>
              <w:rPr>
                <w:noProof/>
                <w:webHidden/>
              </w:rPr>
              <w:tab/>
            </w:r>
            <w:r>
              <w:rPr>
                <w:noProof/>
                <w:webHidden/>
              </w:rPr>
              <w:fldChar w:fldCharType="begin"/>
            </w:r>
            <w:r>
              <w:rPr>
                <w:noProof/>
                <w:webHidden/>
              </w:rPr>
              <w:instrText xml:space="preserve"> PAGEREF _Toc209005146 \h </w:instrText>
            </w:r>
            <w:r>
              <w:rPr>
                <w:noProof/>
                <w:webHidden/>
              </w:rPr>
            </w:r>
            <w:r>
              <w:rPr>
                <w:noProof/>
                <w:webHidden/>
              </w:rPr>
              <w:fldChar w:fldCharType="separate"/>
            </w:r>
            <w:r>
              <w:rPr>
                <w:noProof/>
                <w:webHidden/>
              </w:rPr>
              <w:t>20</w:t>
            </w:r>
            <w:r>
              <w:rPr>
                <w:noProof/>
                <w:webHidden/>
              </w:rPr>
              <w:fldChar w:fldCharType="end"/>
            </w:r>
          </w:hyperlink>
        </w:p>
        <w:p w14:paraId="3FD8E930" w14:textId="21CA73AC" w:rsidR="0070656E" w:rsidRDefault="0070656E">
          <w:pPr>
            <w:pStyle w:val="TOC2"/>
            <w:tabs>
              <w:tab w:val="right" w:leader="dot" w:pos="8494"/>
            </w:tabs>
            <w:rPr>
              <w:rFonts w:eastAsiaTheme="minorEastAsia"/>
              <w:b w:val="0"/>
              <w:bCs w:val="0"/>
              <w:noProof/>
              <w:kern w:val="2"/>
              <w:sz w:val="24"/>
              <w:szCs w:val="24"/>
              <w:lang w:eastAsia="mk-MK"/>
              <w14:ligatures w14:val="standardContextual"/>
            </w:rPr>
          </w:pPr>
          <w:hyperlink w:anchor="_Toc209005147" w:history="1">
            <w:r w:rsidRPr="007A2F77">
              <w:rPr>
                <w:rStyle w:val="Hyperlink"/>
                <w:rFonts w:ascii="Times New Roman" w:hAnsi="Times New Roman" w:cs="Times New Roman"/>
                <w:noProof/>
              </w:rPr>
              <w:t>1.2. Периоперативно менаџирање на пациенти кои примаат хронична орална терапија (антикоагулациони и/или антиагрегациски лекови)</w:t>
            </w:r>
            <w:r>
              <w:rPr>
                <w:noProof/>
                <w:webHidden/>
              </w:rPr>
              <w:tab/>
            </w:r>
            <w:r>
              <w:rPr>
                <w:noProof/>
                <w:webHidden/>
              </w:rPr>
              <w:fldChar w:fldCharType="begin"/>
            </w:r>
            <w:r>
              <w:rPr>
                <w:noProof/>
                <w:webHidden/>
              </w:rPr>
              <w:instrText xml:space="preserve"> PAGEREF _Toc209005147 \h </w:instrText>
            </w:r>
            <w:r>
              <w:rPr>
                <w:noProof/>
                <w:webHidden/>
              </w:rPr>
            </w:r>
            <w:r>
              <w:rPr>
                <w:noProof/>
                <w:webHidden/>
              </w:rPr>
              <w:fldChar w:fldCharType="separate"/>
            </w:r>
            <w:r>
              <w:rPr>
                <w:noProof/>
                <w:webHidden/>
              </w:rPr>
              <w:t>28</w:t>
            </w:r>
            <w:r>
              <w:rPr>
                <w:noProof/>
                <w:webHidden/>
              </w:rPr>
              <w:fldChar w:fldCharType="end"/>
            </w:r>
          </w:hyperlink>
        </w:p>
        <w:p w14:paraId="7F76A0D6" w14:textId="79B51245" w:rsidR="0070656E" w:rsidRDefault="0070656E">
          <w:pPr>
            <w:pStyle w:val="TOC1"/>
            <w:tabs>
              <w:tab w:val="right" w:leader="dot" w:pos="8494"/>
            </w:tabs>
            <w:rPr>
              <w:rFonts w:eastAsiaTheme="minorEastAsia"/>
              <w:b w:val="0"/>
              <w:bCs w:val="0"/>
              <w:i w:val="0"/>
              <w:iCs w:val="0"/>
              <w:noProof/>
              <w:kern w:val="2"/>
              <w:lang w:eastAsia="mk-MK"/>
              <w14:ligatures w14:val="standardContextual"/>
            </w:rPr>
          </w:pPr>
          <w:hyperlink w:anchor="_Toc209005148" w:history="1">
            <w:r w:rsidRPr="007A2F77">
              <w:rPr>
                <w:rStyle w:val="Hyperlink"/>
                <w:rFonts w:ascii="Times New Roman" w:hAnsi="Times New Roman" w:cs="Times New Roman"/>
                <w:noProof/>
              </w:rPr>
              <w:t>ЦЕЛИ НА ИСТРАЖУВАЊЕТО</w:t>
            </w:r>
            <w:r>
              <w:rPr>
                <w:noProof/>
                <w:webHidden/>
              </w:rPr>
              <w:tab/>
            </w:r>
            <w:r>
              <w:rPr>
                <w:noProof/>
                <w:webHidden/>
              </w:rPr>
              <w:fldChar w:fldCharType="begin"/>
            </w:r>
            <w:r>
              <w:rPr>
                <w:noProof/>
                <w:webHidden/>
              </w:rPr>
              <w:instrText xml:space="preserve"> PAGEREF _Toc209005148 \h </w:instrText>
            </w:r>
            <w:r>
              <w:rPr>
                <w:noProof/>
                <w:webHidden/>
              </w:rPr>
            </w:r>
            <w:r>
              <w:rPr>
                <w:noProof/>
                <w:webHidden/>
              </w:rPr>
              <w:fldChar w:fldCharType="separate"/>
            </w:r>
            <w:r>
              <w:rPr>
                <w:noProof/>
                <w:webHidden/>
              </w:rPr>
              <w:t>35</w:t>
            </w:r>
            <w:r>
              <w:rPr>
                <w:noProof/>
                <w:webHidden/>
              </w:rPr>
              <w:fldChar w:fldCharType="end"/>
            </w:r>
          </w:hyperlink>
        </w:p>
        <w:p w14:paraId="0505401C" w14:textId="1313BB49" w:rsidR="0070656E" w:rsidRDefault="0070656E">
          <w:pPr>
            <w:pStyle w:val="TOC1"/>
            <w:tabs>
              <w:tab w:val="right" w:leader="dot" w:pos="8494"/>
            </w:tabs>
            <w:rPr>
              <w:rFonts w:eastAsiaTheme="minorEastAsia"/>
              <w:b w:val="0"/>
              <w:bCs w:val="0"/>
              <w:i w:val="0"/>
              <w:iCs w:val="0"/>
              <w:noProof/>
              <w:kern w:val="2"/>
              <w:lang w:eastAsia="mk-MK"/>
              <w14:ligatures w14:val="standardContextual"/>
            </w:rPr>
          </w:pPr>
          <w:hyperlink w:anchor="_Toc209005149" w:history="1">
            <w:r w:rsidRPr="007A2F77">
              <w:rPr>
                <w:rStyle w:val="Hyperlink"/>
                <w:rFonts w:ascii="Times New Roman" w:hAnsi="Times New Roman" w:cs="Times New Roman"/>
                <w:noProof/>
              </w:rPr>
              <w:t>МАТЕРИЈАЛ И МЕТОДИ</w:t>
            </w:r>
            <w:r>
              <w:rPr>
                <w:noProof/>
                <w:webHidden/>
              </w:rPr>
              <w:tab/>
            </w:r>
            <w:r>
              <w:rPr>
                <w:noProof/>
                <w:webHidden/>
              </w:rPr>
              <w:fldChar w:fldCharType="begin"/>
            </w:r>
            <w:r>
              <w:rPr>
                <w:noProof/>
                <w:webHidden/>
              </w:rPr>
              <w:instrText xml:space="preserve"> PAGEREF _Toc209005149 \h </w:instrText>
            </w:r>
            <w:r>
              <w:rPr>
                <w:noProof/>
                <w:webHidden/>
              </w:rPr>
            </w:r>
            <w:r>
              <w:rPr>
                <w:noProof/>
                <w:webHidden/>
              </w:rPr>
              <w:fldChar w:fldCharType="separate"/>
            </w:r>
            <w:r>
              <w:rPr>
                <w:noProof/>
                <w:webHidden/>
              </w:rPr>
              <w:t>36</w:t>
            </w:r>
            <w:r>
              <w:rPr>
                <w:noProof/>
                <w:webHidden/>
              </w:rPr>
              <w:fldChar w:fldCharType="end"/>
            </w:r>
          </w:hyperlink>
        </w:p>
        <w:p w14:paraId="35792A25" w14:textId="058AF22F" w:rsidR="0070656E" w:rsidRDefault="0070656E">
          <w:pPr>
            <w:pStyle w:val="TOC2"/>
            <w:tabs>
              <w:tab w:val="right" w:leader="dot" w:pos="8494"/>
            </w:tabs>
            <w:rPr>
              <w:rFonts w:eastAsiaTheme="minorEastAsia"/>
              <w:b w:val="0"/>
              <w:bCs w:val="0"/>
              <w:noProof/>
              <w:kern w:val="2"/>
              <w:sz w:val="24"/>
              <w:szCs w:val="24"/>
              <w:lang w:eastAsia="mk-MK"/>
              <w14:ligatures w14:val="standardContextual"/>
            </w:rPr>
          </w:pPr>
          <w:hyperlink w:anchor="_Toc209005150" w:history="1">
            <w:r w:rsidRPr="007A2F77">
              <w:rPr>
                <w:rStyle w:val="Hyperlink"/>
                <w:rFonts w:ascii="Times New Roman" w:hAnsi="Times New Roman" w:cs="Times New Roman"/>
                <w:noProof/>
              </w:rPr>
              <w:t>Клиничка евалуација</w:t>
            </w:r>
            <w:r>
              <w:rPr>
                <w:noProof/>
                <w:webHidden/>
              </w:rPr>
              <w:tab/>
            </w:r>
            <w:r>
              <w:rPr>
                <w:noProof/>
                <w:webHidden/>
              </w:rPr>
              <w:fldChar w:fldCharType="begin"/>
            </w:r>
            <w:r>
              <w:rPr>
                <w:noProof/>
                <w:webHidden/>
              </w:rPr>
              <w:instrText xml:space="preserve"> PAGEREF _Toc209005150 \h </w:instrText>
            </w:r>
            <w:r>
              <w:rPr>
                <w:noProof/>
                <w:webHidden/>
              </w:rPr>
            </w:r>
            <w:r>
              <w:rPr>
                <w:noProof/>
                <w:webHidden/>
              </w:rPr>
              <w:fldChar w:fldCharType="separate"/>
            </w:r>
            <w:r>
              <w:rPr>
                <w:noProof/>
                <w:webHidden/>
              </w:rPr>
              <w:t>36</w:t>
            </w:r>
            <w:r>
              <w:rPr>
                <w:noProof/>
                <w:webHidden/>
              </w:rPr>
              <w:fldChar w:fldCharType="end"/>
            </w:r>
          </w:hyperlink>
        </w:p>
        <w:p w14:paraId="04529B39" w14:textId="5B9782A7" w:rsidR="0070656E" w:rsidRDefault="0070656E">
          <w:pPr>
            <w:pStyle w:val="TOC2"/>
            <w:tabs>
              <w:tab w:val="right" w:leader="dot" w:pos="8494"/>
            </w:tabs>
            <w:rPr>
              <w:rFonts w:eastAsiaTheme="minorEastAsia"/>
              <w:b w:val="0"/>
              <w:bCs w:val="0"/>
              <w:noProof/>
              <w:kern w:val="2"/>
              <w:sz w:val="24"/>
              <w:szCs w:val="24"/>
              <w:lang w:eastAsia="mk-MK"/>
              <w14:ligatures w14:val="standardContextual"/>
            </w:rPr>
          </w:pPr>
          <w:hyperlink w:anchor="_Toc209005151" w:history="1">
            <w:r w:rsidRPr="007A2F77">
              <w:rPr>
                <w:rStyle w:val="Hyperlink"/>
                <w:rFonts w:ascii="Times New Roman" w:hAnsi="Times New Roman" w:cs="Times New Roman"/>
                <w:noProof/>
              </w:rPr>
              <w:t>Алгоритам за предоперативна припрема на пациентите</w:t>
            </w:r>
            <w:r>
              <w:rPr>
                <w:noProof/>
                <w:webHidden/>
              </w:rPr>
              <w:tab/>
            </w:r>
            <w:r>
              <w:rPr>
                <w:noProof/>
                <w:webHidden/>
              </w:rPr>
              <w:fldChar w:fldCharType="begin"/>
            </w:r>
            <w:r>
              <w:rPr>
                <w:noProof/>
                <w:webHidden/>
              </w:rPr>
              <w:instrText xml:space="preserve"> PAGEREF _Toc209005151 \h </w:instrText>
            </w:r>
            <w:r>
              <w:rPr>
                <w:noProof/>
                <w:webHidden/>
              </w:rPr>
            </w:r>
            <w:r>
              <w:rPr>
                <w:noProof/>
                <w:webHidden/>
              </w:rPr>
              <w:fldChar w:fldCharType="separate"/>
            </w:r>
            <w:r>
              <w:rPr>
                <w:noProof/>
                <w:webHidden/>
              </w:rPr>
              <w:t>37</w:t>
            </w:r>
            <w:r>
              <w:rPr>
                <w:noProof/>
                <w:webHidden/>
              </w:rPr>
              <w:fldChar w:fldCharType="end"/>
            </w:r>
          </w:hyperlink>
        </w:p>
        <w:p w14:paraId="70197BA6" w14:textId="5C8FE230" w:rsidR="0070656E" w:rsidRDefault="0070656E">
          <w:pPr>
            <w:pStyle w:val="TOC2"/>
            <w:tabs>
              <w:tab w:val="right" w:leader="dot" w:pos="8494"/>
            </w:tabs>
            <w:rPr>
              <w:rFonts w:eastAsiaTheme="minorEastAsia"/>
              <w:b w:val="0"/>
              <w:bCs w:val="0"/>
              <w:noProof/>
              <w:kern w:val="2"/>
              <w:sz w:val="24"/>
              <w:szCs w:val="24"/>
              <w:lang w:eastAsia="mk-MK"/>
              <w14:ligatures w14:val="standardContextual"/>
            </w:rPr>
          </w:pPr>
          <w:hyperlink w:anchor="_Toc209005152" w:history="1">
            <w:r w:rsidRPr="007A2F77">
              <w:rPr>
                <w:rStyle w:val="Hyperlink"/>
                <w:rFonts w:ascii="Times New Roman" w:hAnsi="Times New Roman" w:cs="Times New Roman"/>
                <w:noProof/>
              </w:rPr>
              <w:t>Оперативни мерки</w:t>
            </w:r>
            <w:r>
              <w:rPr>
                <w:noProof/>
                <w:webHidden/>
              </w:rPr>
              <w:tab/>
            </w:r>
            <w:r>
              <w:rPr>
                <w:noProof/>
                <w:webHidden/>
              </w:rPr>
              <w:fldChar w:fldCharType="begin"/>
            </w:r>
            <w:r>
              <w:rPr>
                <w:noProof/>
                <w:webHidden/>
              </w:rPr>
              <w:instrText xml:space="preserve"> PAGEREF _Toc209005152 \h </w:instrText>
            </w:r>
            <w:r>
              <w:rPr>
                <w:noProof/>
                <w:webHidden/>
              </w:rPr>
            </w:r>
            <w:r>
              <w:rPr>
                <w:noProof/>
                <w:webHidden/>
              </w:rPr>
              <w:fldChar w:fldCharType="separate"/>
            </w:r>
            <w:r>
              <w:rPr>
                <w:noProof/>
                <w:webHidden/>
              </w:rPr>
              <w:t>40</w:t>
            </w:r>
            <w:r>
              <w:rPr>
                <w:noProof/>
                <w:webHidden/>
              </w:rPr>
              <w:fldChar w:fldCharType="end"/>
            </w:r>
          </w:hyperlink>
        </w:p>
        <w:p w14:paraId="1CA97403" w14:textId="70A2DD27" w:rsidR="0070656E" w:rsidRDefault="0070656E">
          <w:pPr>
            <w:pStyle w:val="TOC2"/>
            <w:tabs>
              <w:tab w:val="right" w:leader="dot" w:pos="8494"/>
            </w:tabs>
            <w:rPr>
              <w:rFonts w:eastAsiaTheme="minorEastAsia"/>
              <w:b w:val="0"/>
              <w:bCs w:val="0"/>
              <w:noProof/>
              <w:kern w:val="2"/>
              <w:sz w:val="24"/>
              <w:szCs w:val="24"/>
              <w:lang w:eastAsia="mk-MK"/>
              <w14:ligatures w14:val="standardContextual"/>
            </w:rPr>
          </w:pPr>
          <w:hyperlink w:anchor="_Toc209005153" w:history="1">
            <w:r w:rsidRPr="007A2F77">
              <w:rPr>
                <w:rStyle w:val="Hyperlink"/>
                <w:rFonts w:ascii="Times New Roman" w:hAnsi="Times New Roman" w:cs="Times New Roman"/>
                <w:noProof/>
              </w:rPr>
              <w:t>Мерка за примарен исход по дентоалвеоларната интервенција</w:t>
            </w:r>
            <w:r>
              <w:rPr>
                <w:noProof/>
                <w:webHidden/>
              </w:rPr>
              <w:tab/>
            </w:r>
            <w:r>
              <w:rPr>
                <w:noProof/>
                <w:webHidden/>
              </w:rPr>
              <w:fldChar w:fldCharType="begin"/>
            </w:r>
            <w:r>
              <w:rPr>
                <w:noProof/>
                <w:webHidden/>
              </w:rPr>
              <w:instrText xml:space="preserve"> PAGEREF _Toc209005153 \h </w:instrText>
            </w:r>
            <w:r>
              <w:rPr>
                <w:noProof/>
                <w:webHidden/>
              </w:rPr>
            </w:r>
            <w:r>
              <w:rPr>
                <w:noProof/>
                <w:webHidden/>
              </w:rPr>
              <w:fldChar w:fldCharType="separate"/>
            </w:r>
            <w:r>
              <w:rPr>
                <w:noProof/>
                <w:webHidden/>
              </w:rPr>
              <w:t>40</w:t>
            </w:r>
            <w:r>
              <w:rPr>
                <w:noProof/>
                <w:webHidden/>
              </w:rPr>
              <w:fldChar w:fldCharType="end"/>
            </w:r>
          </w:hyperlink>
        </w:p>
        <w:p w14:paraId="2BD44F5D" w14:textId="48C1FCA9" w:rsidR="0070656E" w:rsidRDefault="0070656E">
          <w:pPr>
            <w:pStyle w:val="TOC2"/>
            <w:tabs>
              <w:tab w:val="right" w:leader="dot" w:pos="8494"/>
            </w:tabs>
            <w:rPr>
              <w:rFonts w:eastAsiaTheme="minorEastAsia"/>
              <w:b w:val="0"/>
              <w:bCs w:val="0"/>
              <w:noProof/>
              <w:kern w:val="2"/>
              <w:sz w:val="24"/>
              <w:szCs w:val="24"/>
              <w:lang w:eastAsia="mk-MK"/>
              <w14:ligatures w14:val="standardContextual"/>
            </w:rPr>
          </w:pPr>
          <w:hyperlink w:anchor="_Toc209005154" w:history="1">
            <w:r w:rsidRPr="007A2F77">
              <w:rPr>
                <w:rStyle w:val="Hyperlink"/>
                <w:rFonts w:ascii="Times New Roman" w:hAnsi="Times New Roman" w:cs="Times New Roman"/>
                <w:noProof/>
              </w:rPr>
              <w:t>Менаџирање на постоперативно крвавење (PEB)</w:t>
            </w:r>
            <w:r>
              <w:rPr>
                <w:noProof/>
                <w:webHidden/>
              </w:rPr>
              <w:tab/>
            </w:r>
            <w:r>
              <w:rPr>
                <w:noProof/>
                <w:webHidden/>
              </w:rPr>
              <w:fldChar w:fldCharType="begin"/>
            </w:r>
            <w:r>
              <w:rPr>
                <w:noProof/>
                <w:webHidden/>
              </w:rPr>
              <w:instrText xml:space="preserve"> PAGEREF _Toc209005154 \h </w:instrText>
            </w:r>
            <w:r>
              <w:rPr>
                <w:noProof/>
                <w:webHidden/>
              </w:rPr>
            </w:r>
            <w:r>
              <w:rPr>
                <w:noProof/>
                <w:webHidden/>
              </w:rPr>
              <w:fldChar w:fldCharType="separate"/>
            </w:r>
            <w:r>
              <w:rPr>
                <w:noProof/>
                <w:webHidden/>
              </w:rPr>
              <w:t>43</w:t>
            </w:r>
            <w:r>
              <w:rPr>
                <w:noProof/>
                <w:webHidden/>
              </w:rPr>
              <w:fldChar w:fldCharType="end"/>
            </w:r>
          </w:hyperlink>
        </w:p>
        <w:p w14:paraId="0AF56613" w14:textId="7F2AD6E3" w:rsidR="0070656E" w:rsidRDefault="0070656E">
          <w:pPr>
            <w:pStyle w:val="TOC2"/>
            <w:tabs>
              <w:tab w:val="right" w:leader="dot" w:pos="8494"/>
            </w:tabs>
            <w:rPr>
              <w:rFonts w:eastAsiaTheme="minorEastAsia"/>
              <w:b w:val="0"/>
              <w:bCs w:val="0"/>
              <w:noProof/>
              <w:kern w:val="2"/>
              <w:sz w:val="24"/>
              <w:szCs w:val="24"/>
              <w:lang w:eastAsia="mk-MK"/>
              <w14:ligatures w14:val="standardContextual"/>
            </w:rPr>
          </w:pPr>
          <w:hyperlink w:anchor="_Toc209005155" w:history="1">
            <w:r w:rsidRPr="007A2F77">
              <w:rPr>
                <w:rStyle w:val="Hyperlink"/>
                <w:rFonts w:ascii="Times New Roman" w:hAnsi="Times New Roman" w:cs="Times New Roman"/>
                <w:noProof/>
              </w:rPr>
              <w:t>Параметри кои ќе се анализираат во студијата</w:t>
            </w:r>
            <w:r>
              <w:rPr>
                <w:noProof/>
                <w:webHidden/>
              </w:rPr>
              <w:tab/>
            </w:r>
            <w:r>
              <w:rPr>
                <w:noProof/>
                <w:webHidden/>
              </w:rPr>
              <w:fldChar w:fldCharType="begin"/>
            </w:r>
            <w:r>
              <w:rPr>
                <w:noProof/>
                <w:webHidden/>
              </w:rPr>
              <w:instrText xml:space="preserve"> PAGEREF _Toc209005155 \h </w:instrText>
            </w:r>
            <w:r>
              <w:rPr>
                <w:noProof/>
                <w:webHidden/>
              </w:rPr>
            </w:r>
            <w:r>
              <w:rPr>
                <w:noProof/>
                <w:webHidden/>
              </w:rPr>
              <w:fldChar w:fldCharType="separate"/>
            </w:r>
            <w:r>
              <w:rPr>
                <w:noProof/>
                <w:webHidden/>
              </w:rPr>
              <w:t>44</w:t>
            </w:r>
            <w:r>
              <w:rPr>
                <w:noProof/>
                <w:webHidden/>
              </w:rPr>
              <w:fldChar w:fldCharType="end"/>
            </w:r>
          </w:hyperlink>
        </w:p>
        <w:p w14:paraId="03599EBA" w14:textId="16C69F37" w:rsidR="0070656E" w:rsidRDefault="0070656E">
          <w:pPr>
            <w:pStyle w:val="TOC2"/>
            <w:tabs>
              <w:tab w:val="right" w:leader="dot" w:pos="8494"/>
            </w:tabs>
            <w:rPr>
              <w:rFonts w:eastAsiaTheme="minorEastAsia"/>
              <w:b w:val="0"/>
              <w:bCs w:val="0"/>
              <w:noProof/>
              <w:kern w:val="2"/>
              <w:sz w:val="24"/>
              <w:szCs w:val="24"/>
              <w:lang w:eastAsia="mk-MK"/>
              <w14:ligatures w14:val="standardContextual"/>
            </w:rPr>
          </w:pPr>
          <w:hyperlink w:anchor="_Toc209005156" w:history="1">
            <w:r w:rsidRPr="007A2F77">
              <w:rPr>
                <w:rStyle w:val="Hyperlink"/>
                <w:rFonts w:ascii="Times New Roman" w:hAnsi="Times New Roman" w:cs="Times New Roman"/>
                <w:noProof/>
              </w:rPr>
              <w:t>Статистичка анализа</w:t>
            </w:r>
            <w:r>
              <w:rPr>
                <w:noProof/>
                <w:webHidden/>
              </w:rPr>
              <w:tab/>
            </w:r>
            <w:r>
              <w:rPr>
                <w:noProof/>
                <w:webHidden/>
              </w:rPr>
              <w:fldChar w:fldCharType="begin"/>
            </w:r>
            <w:r>
              <w:rPr>
                <w:noProof/>
                <w:webHidden/>
              </w:rPr>
              <w:instrText xml:space="preserve"> PAGEREF _Toc209005156 \h </w:instrText>
            </w:r>
            <w:r>
              <w:rPr>
                <w:noProof/>
                <w:webHidden/>
              </w:rPr>
            </w:r>
            <w:r>
              <w:rPr>
                <w:noProof/>
                <w:webHidden/>
              </w:rPr>
              <w:fldChar w:fldCharType="separate"/>
            </w:r>
            <w:r>
              <w:rPr>
                <w:noProof/>
                <w:webHidden/>
              </w:rPr>
              <w:t>46</w:t>
            </w:r>
            <w:r>
              <w:rPr>
                <w:noProof/>
                <w:webHidden/>
              </w:rPr>
              <w:fldChar w:fldCharType="end"/>
            </w:r>
          </w:hyperlink>
        </w:p>
        <w:p w14:paraId="202B0569" w14:textId="35E3C683" w:rsidR="0070656E" w:rsidRDefault="0070656E">
          <w:pPr>
            <w:pStyle w:val="TOC1"/>
            <w:tabs>
              <w:tab w:val="right" w:leader="dot" w:pos="8494"/>
            </w:tabs>
            <w:rPr>
              <w:rFonts w:eastAsiaTheme="minorEastAsia"/>
              <w:b w:val="0"/>
              <w:bCs w:val="0"/>
              <w:i w:val="0"/>
              <w:iCs w:val="0"/>
              <w:noProof/>
              <w:kern w:val="2"/>
              <w:lang w:eastAsia="mk-MK"/>
              <w14:ligatures w14:val="standardContextual"/>
            </w:rPr>
          </w:pPr>
          <w:hyperlink w:anchor="_Toc209005157" w:history="1">
            <w:r w:rsidRPr="007A2F77">
              <w:rPr>
                <w:rStyle w:val="Hyperlink"/>
                <w:rFonts w:ascii="Times New Roman" w:eastAsia="Calibri" w:hAnsi="Times New Roman" w:cs="Times New Roman"/>
                <w:noProof/>
              </w:rPr>
              <w:t>РЕЗУЛТАТИ</w:t>
            </w:r>
            <w:r>
              <w:rPr>
                <w:noProof/>
                <w:webHidden/>
              </w:rPr>
              <w:tab/>
            </w:r>
            <w:r>
              <w:rPr>
                <w:noProof/>
                <w:webHidden/>
              </w:rPr>
              <w:fldChar w:fldCharType="begin"/>
            </w:r>
            <w:r>
              <w:rPr>
                <w:noProof/>
                <w:webHidden/>
              </w:rPr>
              <w:instrText xml:space="preserve"> PAGEREF _Toc209005157 \h </w:instrText>
            </w:r>
            <w:r>
              <w:rPr>
                <w:noProof/>
                <w:webHidden/>
              </w:rPr>
            </w:r>
            <w:r>
              <w:rPr>
                <w:noProof/>
                <w:webHidden/>
              </w:rPr>
              <w:fldChar w:fldCharType="separate"/>
            </w:r>
            <w:r>
              <w:rPr>
                <w:noProof/>
                <w:webHidden/>
              </w:rPr>
              <w:t>48</w:t>
            </w:r>
            <w:r>
              <w:rPr>
                <w:noProof/>
                <w:webHidden/>
              </w:rPr>
              <w:fldChar w:fldCharType="end"/>
            </w:r>
          </w:hyperlink>
        </w:p>
        <w:p w14:paraId="2D7B5DB2" w14:textId="77567EFD" w:rsidR="0070656E" w:rsidRDefault="0070656E">
          <w:pPr>
            <w:pStyle w:val="TOC2"/>
            <w:tabs>
              <w:tab w:val="right" w:leader="dot" w:pos="8494"/>
            </w:tabs>
            <w:rPr>
              <w:rFonts w:eastAsiaTheme="minorEastAsia"/>
              <w:b w:val="0"/>
              <w:bCs w:val="0"/>
              <w:noProof/>
              <w:kern w:val="2"/>
              <w:sz w:val="24"/>
              <w:szCs w:val="24"/>
              <w:lang w:eastAsia="mk-MK"/>
              <w14:ligatures w14:val="standardContextual"/>
            </w:rPr>
          </w:pPr>
          <w:hyperlink w:anchor="_Toc209005158" w:history="1">
            <w:r w:rsidRPr="007A2F77">
              <w:rPr>
                <w:rStyle w:val="Hyperlink"/>
                <w:rFonts w:ascii="Times New Roman" w:eastAsia="Calibri" w:hAnsi="Times New Roman" w:cs="Times New Roman"/>
                <w:noProof/>
              </w:rPr>
              <w:t>Хипоагрегабилност на тромбоцити</w:t>
            </w:r>
            <w:r>
              <w:rPr>
                <w:noProof/>
                <w:webHidden/>
              </w:rPr>
              <w:tab/>
            </w:r>
            <w:r>
              <w:rPr>
                <w:noProof/>
                <w:webHidden/>
              </w:rPr>
              <w:fldChar w:fldCharType="begin"/>
            </w:r>
            <w:r>
              <w:rPr>
                <w:noProof/>
                <w:webHidden/>
              </w:rPr>
              <w:instrText xml:space="preserve"> PAGEREF _Toc209005158 \h </w:instrText>
            </w:r>
            <w:r>
              <w:rPr>
                <w:noProof/>
                <w:webHidden/>
              </w:rPr>
            </w:r>
            <w:r>
              <w:rPr>
                <w:noProof/>
                <w:webHidden/>
              </w:rPr>
              <w:fldChar w:fldCharType="separate"/>
            </w:r>
            <w:r>
              <w:rPr>
                <w:noProof/>
                <w:webHidden/>
              </w:rPr>
              <w:t>48</w:t>
            </w:r>
            <w:r>
              <w:rPr>
                <w:noProof/>
                <w:webHidden/>
              </w:rPr>
              <w:fldChar w:fldCharType="end"/>
            </w:r>
          </w:hyperlink>
        </w:p>
        <w:p w14:paraId="70C63341" w14:textId="1A49A526" w:rsidR="0070656E" w:rsidRDefault="0070656E">
          <w:pPr>
            <w:pStyle w:val="TOC2"/>
            <w:tabs>
              <w:tab w:val="right" w:leader="dot" w:pos="8494"/>
            </w:tabs>
            <w:rPr>
              <w:rFonts w:eastAsiaTheme="minorEastAsia"/>
              <w:b w:val="0"/>
              <w:bCs w:val="0"/>
              <w:noProof/>
              <w:kern w:val="2"/>
              <w:sz w:val="24"/>
              <w:szCs w:val="24"/>
              <w:lang w:eastAsia="mk-MK"/>
              <w14:ligatures w14:val="standardContextual"/>
            </w:rPr>
          </w:pPr>
          <w:hyperlink w:anchor="_Toc209005159" w:history="1">
            <w:r w:rsidRPr="007A2F77">
              <w:rPr>
                <w:rStyle w:val="Hyperlink"/>
                <w:rFonts w:ascii="Times New Roman" w:eastAsia="Calibri" w:hAnsi="Times New Roman" w:cs="Times New Roman"/>
                <w:noProof/>
              </w:rPr>
              <w:t>Орална антикоагулантна и антиагрегациона терапија</w:t>
            </w:r>
            <w:r>
              <w:rPr>
                <w:noProof/>
                <w:webHidden/>
              </w:rPr>
              <w:tab/>
            </w:r>
            <w:r>
              <w:rPr>
                <w:noProof/>
                <w:webHidden/>
              </w:rPr>
              <w:fldChar w:fldCharType="begin"/>
            </w:r>
            <w:r>
              <w:rPr>
                <w:noProof/>
                <w:webHidden/>
              </w:rPr>
              <w:instrText xml:space="preserve"> PAGEREF _Toc209005159 \h </w:instrText>
            </w:r>
            <w:r>
              <w:rPr>
                <w:noProof/>
                <w:webHidden/>
              </w:rPr>
            </w:r>
            <w:r>
              <w:rPr>
                <w:noProof/>
                <w:webHidden/>
              </w:rPr>
              <w:fldChar w:fldCharType="separate"/>
            </w:r>
            <w:r>
              <w:rPr>
                <w:noProof/>
                <w:webHidden/>
              </w:rPr>
              <w:t>76</w:t>
            </w:r>
            <w:r>
              <w:rPr>
                <w:noProof/>
                <w:webHidden/>
              </w:rPr>
              <w:fldChar w:fldCharType="end"/>
            </w:r>
          </w:hyperlink>
        </w:p>
        <w:p w14:paraId="7EA92A4A" w14:textId="4A846D06" w:rsidR="0070656E" w:rsidRDefault="0070656E">
          <w:pPr>
            <w:pStyle w:val="TOC1"/>
            <w:tabs>
              <w:tab w:val="right" w:leader="dot" w:pos="8494"/>
            </w:tabs>
            <w:rPr>
              <w:rFonts w:eastAsiaTheme="minorEastAsia"/>
              <w:b w:val="0"/>
              <w:bCs w:val="0"/>
              <w:i w:val="0"/>
              <w:iCs w:val="0"/>
              <w:noProof/>
              <w:kern w:val="2"/>
              <w:lang w:eastAsia="mk-MK"/>
              <w14:ligatures w14:val="standardContextual"/>
            </w:rPr>
          </w:pPr>
          <w:hyperlink w:anchor="_Toc209005160" w:history="1">
            <w:r w:rsidRPr="007A2F77">
              <w:rPr>
                <w:rStyle w:val="Hyperlink"/>
                <w:rFonts w:ascii="Times New Roman" w:hAnsi="Times New Roman" w:cs="Times New Roman"/>
                <w:noProof/>
              </w:rPr>
              <w:t>ДИСКУСИЈА</w:t>
            </w:r>
            <w:r>
              <w:rPr>
                <w:noProof/>
                <w:webHidden/>
              </w:rPr>
              <w:tab/>
            </w:r>
            <w:r>
              <w:rPr>
                <w:noProof/>
                <w:webHidden/>
              </w:rPr>
              <w:fldChar w:fldCharType="begin"/>
            </w:r>
            <w:r>
              <w:rPr>
                <w:noProof/>
                <w:webHidden/>
              </w:rPr>
              <w:instrText xml:space="preserve"> PAGEREF _Toc209005160 \h </w:instrText>
            </w:r>
            <w:r>
              <w:rPr>
                <w:noProof/>
                <w:webHidden/>
              </w:rPr>
            </w:r>
            <w:r>
              <w:rPr>
                <w:noProof/>
                <w:webHidden/>
              </w:rPr>
              <w:fldChar w:fldCharType="separate"/>
            </w:r>
            <w:r>
              <w:rPr>
                <w:noProof/>
                <w:webHidden/>
              </w:rPr>
              <w:t>135</w:t>
            </w:r>
            <w:r>
              <w:rPr>
                <w:noProof/>
                <w:webHidden/>
              </w:rPr>
              <w:fldChar w:fldCharType="end"/>
            </w:r>
          </w:hyperlink>
        </w:p>
        <w:p w14:paraId="3AC84574" w14:textId="15072F15" w:rsidR="0070656E" w:rsidRDefault="0070656E">
          <w:pPr>
            <w:pStyle w:val="TOC2"/>
            <w:tabs>
              <w:tab w:val="right" w:leader="dot" w:pos="8494"/>
            </w:tabs>
            <w:rPr>
              <w:rFonts w:eastAsiaTheme="minorEastAsia"/>
              <w:b w:val="0"/>
              <w:bCs w:val="0"/>
              <w:noProof/>
              <w:kern w:val="2"/>
              <w:sz w:val="24"/>
              <w:szCs w:val="24"/>
              <w:lang w:eastAsia="mk-MK"/>
              <w14:ligatures w14:val="standardContextual"/>
            </w:rPr>
          </w:pPr>
          <w:hyperlink w:anchor="_Toc209005161" w:history="1">
            <w:r w:rsidRPr="007A2F77">
              <w:rPr>
                <w:rStyle w:val="Hyperlink"/>
                <w:rFonts w:ascii="Times New Roman" w:hAnsi="Times New Roman" w:cs="Times New Roman"/>
                <w:noProof/>
              </w:rPr>
              <w:t>Хипоагрегабилност на тромбоцити</w:t>
            </w:r>
            <w:r>
              <w:rPr>
                <w:noProof/>
                <w:webHidden/>
              </w:rPr>
              <w:tab/>
            </w:r>
            <w:r>
              <w:rPr>
                <w:noProof/>
                <w:webHidden/>
              </w:rPr>
              <w:fldChar w:fldCharType="begin"/>
            </w:r>
            <w:r>
              <w:rPr>
                <w:noProof/>
                <w:webHidden/>
              </w:rPr>
              <w:instrText xml:space="preserve"> PAGEREF _Toc209005161 \h </w:instrText>
            </w:r>
            <w:r>
              <w:rPr>
                <w:noProof/>
                <w:webHidden/>
              </w:rPr>
            </w:r>
            <w:r>
              <w:rPr>
                <w:noProof/>
                <w:webHidden/>
              </w:rPr>
              <w:fldChar w:fldCharType="separate"/>
            </w:r>
            <w:r>
              <w:rPr>
                <w:noProof/>
                <w:webHidden/>
              </w:rPr>
              <w:t>135</w:t>
            </w:r>
            <w:r>
              <w:rPr>
                <w:noProof/>
                <w:webHidden/>
              </w:rPr>
              <w:fldChar w:fldCharType="end"/>
            </w:r>
          </w:hyperlink>
        </w:p>
        <w:p w14:paraId="301D54A0" w14:textId="2E819566" w:rsidR="0070656E" w:rsidRDefault="0070656E">
          <w:pPr>
            <w:pStyle w:val="TOC2"/>
            <w:tabs>
              <w:tab w:val="right" w:leader="dot" w:pos="8494"/>
            </w:tabs>
            <w:rPr>
              <w:rFonts w:eastAsiaTheme="minorEastAsia"/>
              <w:b w:val="0"/>
              <w:bCs w:val="0"/>
              <w:noProof/>
              <w:kern w:val="2"/>
              <w:sz w:val="24"/>
              <w:szCs w:val="24"/>
              <w:lang w:eastAsia="mk-MK"/>
              <w14:ligatures w14:val="standardContextual"/>
            </w:rPr>
          </w:pPr>
          <w:hyperlink w:anchor="_Toc209005162" w:history="1">
            <w:r w:rsidRPr="007A2F77">
              <w:rPr>
                <w:rStyle w:val="Hyperlink"/>
                <w:rFonts w:ascii="Times New Roman" w:hAnsi="Times New Roman" w:cs="Times New Roman"/>
                <w:noProof/>
              </w:rPr>
              <w:t>Орална антикоагулантна и антиагрегациона терапија</w:t>
            </w:r>
            <w:r>
              <w:rPr>
                <w:noProof/>
                <w:webHidden/>
              </w:rPr>
              <w:tab/>
            </w:r>
            <w:r>
              <w:rPr>
                <w:noProof/>
                <w:webHidden/>
              </w:rPr>
              <w:fldChar w:fldCharType="begin"/>
            </w:r>
            <w:r>
              <w:rPr>
                <w:noProof/>
                <w:webHidden/>
              </w:rPr>
              <w:instrText xml:space="preserve"> PAGEREF _Toc209005162 \h </w:instrText>
            </w:r>
            <w:r>
              <w:rPr>
                <w:noProof/>
                <w:webHidden/>
              </w:rPr>
            </w:r>
            <w:r>
              <w:rPr>
                <w:noProof/>
                <w:webHidden/>
              </w:rPr>
              <w:fldChar w:fldCharType="separate"/>
            </w:r>
            <w:r>
              <w:rPr>
                <w:noProof/>
                <w:webHidden/>
              </w:rPr>
              <w:t>151</w:t>
            </w:r>
            <w:r>
              <w:rPr>
                <w:noProof/>
                <w:webHidden/>
              </w:rPr>
              <w:fldChar w:fldCharType="end"/>
            </w:r>
          </w:hyperlink>
        </w:p>
        <w:p w14:paraId="70443DA9" w14:textId="7B4C58B2" w:rsidR="0070656E" w:rsidRDefault="0070656E">
          <w:pPr>
            <w:pStyle w:val="TOC1"/>
            <w:tabs>
              <w:tab w:val="right" w:leader="dot" w:pos="8494"/>
            </w:tabs>
            <w:rPr>
              <w:rFonts w:eastAsiaTheme="minorEastAsia"/>
              <w:b w:val="0"/>
              <w:bCs w:val="0"/>
              <w:i w:val="0"/>
              <w:iCs w:val="0"/>
              <w:noProof/>
              <w:kern w:val="2"/>
              <w:lang w:eastAsia="mk-MK"/>
              <w14:ligatures w14:val="standardContextual"/>
            </w:rPr>
          </w:pPr>
          <w:hyperlink w:anchor="_Toc209005163" w:history="1">
            <w:r w:rsidRPr="007A2F77">
              <w:rPr>
                <w:rStyle w:val="Hyperlink"/>
                <w:rFonts w:ascii="Times New Roman" w:hAnsi="Times New Roman" w:cs="Times New Roman"/>
                <w:noProof/>
              </w:rPr>
              <w:t>ЗАКЛУЧОЦИ</w:t>
            </w:r>
            <w:r>
              <w:rPr>
                <w:noProof/>
                <w:webHidden/>
              </w:rPr>
              <w:tab/>
            </w:r>
            <w:r>
              <w:rPr>
                <w:noProof/>
                <w:webHidden/>
              </w:rPr>
              <w:fldChar w:fldCharType="begin"/>
            </w:r>
            <w:r>
              <w:rPr>
                <w:noProof/>
                <w:webHidden/>
              </w:rPr>
              <w:instrText xml:space="preserve"> PAGEREF _Toc209005163 \h </w:instrText>
            </w:r>
            <w:r>
              <w:rPr>
                <w:noProof/>
                <w:webHidden/>
              </w:rPr>
            </w:r>
            <w:r>
              <w:rPr>
                <w:noProof/>
                <w:webHidden/>
              </w:rPr>
              <w:fldChar w:fldCharType="separate"/>
            </w:r>
            <w:r>
              <w:rPr>
                <w:noProof/>
                <w:webHidden/>
              </w:rPr>
              <w:t>167</w:t>
            </w:r>
            <w:r>
              <w:rPr>
                <w:noProof/>
                <w:webHidden/>
              </w:rPr>
              <w:fldChar w:fldCharType="end"/>
            </w:r>
          </w:hyperlink>
        </w:p>
        <w:p w14:paraId="04FE7DCD" w14:textId="3028490D" w:rsidR="0070656E" w:rsidRDefault="0070656E">
          <w:pPr>
            <w:pStyle w:val="TOC1"/>
            <w:tabs>
              <w:tab w:val="right" w:leader="dot" w:pos="8494"/>
            </w:tabs>
            <w:rPr>
              <w:rFonts w:eastAsiaTheme="minorEastAsia"/>
              <w:b w:val="0"/>
              <w:bCs w:val="0"/>
              <w:i w:val="0"/>
              <w:iCs w:val="0"/>
              <w:noProof/>
              <w:kern w:val="2"/>
              <w:lang w:eastAsia="mk-MK"/>
              <w14:ligatures w14:val="standardContextual"/>
            </w:rPr>
          </w:pPr>
          <w:hyperlink w:anchor="_Toc209005164" w:history="1">
            <w:r w:rsidRPr="007A2F77">
              <w:rPr>
                <w:rStyle w:val="Hyperlink"/>
                <w:rFonts w:ascii="Times New Roman" w:hAnsi="Times New Roman" w:cs="Times New Roman"/>
                <w:noProof/>
              </w:rPr>
              <w:t>ЛИТЕРАТУРА</w:t>
            </w:r>
            <w:r>
              <w:rPr>
                <w:noProof/>
                <w:webHidden/>
              </w:rPr>
              <w:tab/>
            </w:r>
            <w:r>
              <w:rPr>
                <w:noProof/>
                <w:webHidden/>
              </w:rPr>
              <w:fldChar w:fldCharType="begin"/>
            </w:r>
            <w:r>
              <w:rPr>
                <w:noProof/>
                <w:webHidden/>
              </w:rPr>
              <w:instrText xml:space="preserve"> PAGEREF _Toc209005164 \h </w:instrText>
            </w:r>
            <w:r>
              <w:rPr>
                <w:noProof/>
                <w:webHidden/>
              </w:rPr>
            </w:r>
            <w:r>
              <w:rPr>
                <w:noProof/>
                <w:webHidden/>
              </w:rPr>
              <w:fldChar w:fldCharType="separate"/>
            </w:r>
            <w:r>
              <w:rPr>
                <w:noProof/>
                <w:webHidden/>
              </w:rPr>
              <w:t>171</w:t>
            </w:r>
            <w:r>
              <w:rPr>
                <w:noProof/>
                <w:webHidden/>
              </w:rPr>
              <w:fldChar w:fldCharType="end"/>
            </w:r>
          </w:hyperlink>
        </w:p>
        <w:p w14:paraId="5E4C8D00" w14:textId="322CC943" w:rsidR="00215667" w:rsidRDefault="00215667">
          <w:r>
            <w:rPr>
              <w:b/>
              <w:bCs/>
              <w:noProof/>
            </w:rPr>
            <w:fldChar w:fldCharType="end"/>
          </w:r>
        </w:p>
      </w:sdtContent>
    </w:sdt>
    <w:p w14:paraId="798B0186" w14:textId="77777777" w:rsidR="00412474" w:rsidRPr="00215667" w:rsidRDefault="00412474" w:rsidP="00412474">
      <w:pPr>
        <w:ind w:left="1080" w:hanging="360"/>
        <w:rPr>
          <w:rFonts w:ascii="Times New Roman" w:hAnsi="Times New Roman" w:cs="Times New Roman"/>
          <w:b/>
          <w:bCs/>
          <w:sz w:val="24"/>
          <w:szCs w:val="24"/>
        </w:rPr>
      </w:pPr>
    </w:p>
    <w:p w14:paraId="2AC40B98" w14:textId="77777777" w:rsidR="00412474" w:rsidRPr="00215667" w:rsidRDefault="00412474" w:rsidP="00412474">
      <w:pPr>
        <w:ind w:left="1080" w:hanging="360"/>
        <w:rPr>
          <w:rFonts w:ascii="Times New Roman" w:hAnsi="Times New Roman" w:cs="Times New Roman"/>
          <w:b/>
          <w:bCs/>
          <w:sz w:val="24"/>
          <w:szCs w:val="24"/>
        </w:rPr>
      </w:pPr>
    </w:p>
    <w:p w14:paraId="2D8A768E" w14:textId="77777777" w:rsidR="00D30728" w:rsidRDefault="00D30728" w:rsidP="00215667">
      <w:pPr>
        <w:pStyle w:val="NoSpacing"/>
        <w:outlineLvl w:val="0"/>
        <w:rPr>
          <w:rFonts w:ascii="Times New Roman" w:hAnsi="Times New Roman" w:cs="Times New Roman"/>
          <w:b/>
          <w:sz w:val="24"/>
          <w:szCs w:val="24"/>
        </w:rPr>
      </w:pPr>
    </w:p>
    <w:p w14:paraId="07DCBCB6" w14:textId="77777777" w:rsidR="00D30728" w:rsidRDefault="00D30728" w:rsidP="00215667">
      <w:pPr>
        <w:pStyle w:val="NoSpacing"/>
        <w:outlineLvl w:val="0"/>
        <w:rPr>
          <w:rFonts w:ascii="Times New Roman" w:hAnsi="Times New Roman" w:cs="Times New Roman"/>
          <w:b/>
          <w:sz w:val="24"/>
          <w:szCs w:val="24"/>
        </w:rPr>
      </w:pPr>
    </w:p>
    <w:p w14:paraId="4E0E31A6" w14:textId="77777777" w:rsidR="00D30728" w:rsidRDefault="00D30728" w:rsidP="00215667">
      <w:pPr>
        <w:pStyle w:val="NoSpacing"/>
        <w:outlineLvl w:val="0"/>
        <w:rPr>
          <w:rFonts w:ascii="Times New Roman" w:hAnsi="Times New Roman" w:cs="Times New Roman"/>
          <w:b/>
          <w:sz w:val="24"/>
          <w:szCs w:val="24"/>
        </w:rPr>
      </w:pPr>
    </w:p>
    <w:p w14:paraId="66328B67" w14:textId="77777777" w:rsidR="00D30728" w:rsidRDefault="00D30728" w:rsidP="00215667">
      <w:pPr>
        <w:pStyle w:val="NoSpacing"/>
        <w:outlineLvl w:val="0"/>
        <w:rPr>
          <w:rFonts w:ascii="Times New Roman" w:hAnsi="Times New Roman" w:cs="Times New Roman"/>
          <w:b/>
          <w:sz w:val="24"/>
          <w:szCs w:val="24"/>
        </w:rPr>
      </w:pPr>
    </w:p>
    <w:p w14:paraId="75EE17E8" w14:textId="77777777" w:rsidR="005563A4" w:rsidRDefault="005563A4" w:rsidP="00215667">
      <w:pPr>
        <w:pStyle w:val="NoSpacing"/>
        <w:outlineLvl w:val="0"/>
        <w:rPr>
          <w:rFonts w:ascii="Times New Roman" w:hAnsi="Times New Roman" w:cs="Times New Roman"/>
          <w:b/>
          <w:sz w:val="24"/>
          <w:szCs w:val="24"/>
          <w:lang w:val="en-US"/>
        </w:rPr>
      </w:pPr>
    </w:p>
    <w:p w14:paraId="4519D4A5" w14:textId="119397C8" w:rsidR="00412474" w:rsidRPr="00215667" w:rsidRDefault="00412474" w:rsidP="00D35942">
      <w:pPr>
        <w:pStyle w:val="NoSpacing"/>
        <w:spacing w:line="360" w:lineRule="auto"/>
        <w:outlineLvl w:val="0"/>
        <w:rPr>
          <w:rFonts w:ascii="Times New Roman" w:hAnsi="Times New Roman" w:cs="Times New Roman"/>
          <w:b/>
          <w:sz w:val="24"/>
          <w:szCs w:val="24"/>
        </w:rPr>
      </w:pPr>
      <w:bookmarkStart w:id="2" w:name="_Toc209005142"/>
      <w:r w:rsidRPr="00215667">
        <w:rPr>
          <w:rFonts w:ascii="Times New Roman" w:hAnsi="Times New Roman" w:cs="Times New Roman"/>
          <w:b/>
          <w:sz w:val="24"/>
          <w:szCs w:val="24"/>
        </w:rPr>
        <w:t>ВОВЕД И ПРЕГЛЕД ОД ЛИТЕРАТУРАТА</w:t>
      </w:r>
      <w:bookmarkEnd w:id="2"/>
      <w:r w:rsidRPr="00215667">
        <w:rPr>
          <w:rFonts w:ascii="Times New Roman" w:hAnsi="Times New Roman" w:cs="Times New Roman"/>
          <w:b/>
          <w:sz w:val="24"/>
          <w:szCs w:val="24"/>
        </w:rPr>
        <w:t xml:space="preserve"> </w:t>
      </w:r>
    </w:p>
    <w:p w14:paraId="0AFFA26C" w14:textId="77777777" w:rsidR="00412474" w:rsidRPr="00215667" w:rsidRDefault="00412474" w:rsidP="00D35942">
      <w:pPr>
        <w:pStyle w:val="NoSpacing"/>
        <w:spacing w:line="360" w:lineRule="auto"/>
        <w:rPr>
          <w:rFonts w:ascii="Times New Roman" w:hAnsi="Times New Roman" w:cs="Times New Roman"/>
          <w:b/>
          <w:sz w:val="24"/>
          <w:szCs w:val="24"/>
        </w:rPr>
      </w:pPr>
    </w:p>
    <w:p w14:paraId="0C06D2F8" w14:textId="7CD65ED7" w:rsidR="00412474" w:rsidRPr="00215667" w:rsidRDefault="00412474" w:rsidP="00D35942">
      <w:pPr>
        <w:spacing w:after="0" w:line="360" w:lineRule="auto"/>
        <w:ind w:firstLine="720"/>
        <w:jc w:val="both"/>
        <w:rPr>
          <w:rFonts w:ascii="Times New Roman" w:hAnsi="Times New Roman" w:cs="Times New Roman"/>
          <w:bCs/>
          <w:sz w:val="24"/>
          <w:szCs w:val="24"/>
        </w:rPr>
      </w:pPr>
      <w:r w:rsidRPr="00215667">
        <w:rPr>
          <w:rFonts w:ascii="Times New Roman" w:hAnsi="Times New Roman" w:cs="Times New Roman"/>
          <w:bCs/>
          <w:sz w:val="24"/>
          <w:szCs w:val="24"/>
        </w:rPr>
        <w:t xml:space="preserve">Дентоалвеоларните оперативни  процедури кои се изведуваат  кај пациенти со </w:t>
      </w:r>
      <w:r w:rsidR="00A736FF">
        <w:rPr>
          <w:rFonts w:ascii="Times New Roman" w:hAnsi="Times New Roman" w:cs="Times New Roman"/>
          <w:bCs/>
          <w:sz w:val="24"/>
          <w:szCs w:val="24"/>
        </w:rPr>
        <w:t>нарушена</w:t>
      </w:r>
      <w:r w:rsidRPr="00215667">
        <w:rPr>
          <w:rFonts w:ascii="Times New Roman" w:hAnsi="Times New Roman" w:cs="Times New Roman"/>
          <w:bCs/>
          <w:sz w:val="24"/>
          <w:szCs w:val="24"/>
        </w:rPr>
        <w:t xml:space="preserve"> тромбоцитна агрегагија и пациенти кои користат орална антикоагулантна/антиагрегациона терапија, носат голем ризик од појава на  периоперат</w:t>
      </w:r>
      <w:r w:rsidR="00F00F01">
        <w:rPr>
          <w:rFonts w:ascii="Times New Roman" w:hAnsi="Times New Roman" w:cs="Times New Roman"/>
          <w:bCs/>
          <w:sz w:val="24"/>
          <w:szCs w:val="24"/>
        </w:rPr>
        <w:t>ивни</w:t>
      </w:r>
      <w:r w:rsidRPr="00215667">
        <w:rPr>
          <w:rFonts w:ascii="Times New Roman" w:hAnsi="Times New Roman" w:cs="Times New Roman"/>
          <w:bCs/>
          <w:sz w:val="24"/>
          <w:szCs w:val="24"/>
        </w:rPr>
        <w:t xml:space="preserve"> пролонгирани крвавења кои понекогаш може да бидат и </w:t>
      </w:r>
      <w:bookmarkStart w:id="3" w:name="_Hlk208496589"/>
      <w:r w:rsidRPr="00215667">
        <w:rPr>
          <w:rFonts w:ascii="Times New Roman" w:hAnsi="Times New Roman" w:cs="Times New Roman"/>
          <w:bCs/>
          <w:sz w:val="24"/>
          <w:szCs w:val="24"/>
        </w:rPr>
        <w:t>животозагрозувачки</w:t>
      </w:r>
      <w:bookmarkEnd w:id="3"/>
      <w:r w:rsidRPr="00215667">
        <w:rPr>
          <w:rFonts w:ascii="Times New Roman" w:hAnsi="Times New Roman" w:cs="Times New Roman"/>
          <w:bCs/>
          <w:sz w:val="24"/>
          <w:szCs w:val="24"/>
        </w:rPr>
        <w:t>.</w:t>
      </w:r>
      <w:r w:rsidRPr="00215667">
        <w:rPr>
          <w:rFonts w:ascii="Times New Roman" w:hAnsi="Times New Roman" w:cs="Times New Roman"/>
          <w:bCs/>
          <w:sz w:val="24"/>
          <w:szCs w:val="24"/>
          <w:vertAlign w:val="superscript"/>
        </w:rPr>
        <w:t>1,2</w:t>
      </w:r>
      <w:r w:rsidRPr="00215667">
        <w:rPr>
          <w:rFonts w:ascii="Times New Roman" w:hAnsi="Times New Roman" w:cs="Times New Roman"/>
          <w:bCs/>
          <w:color w:val="FF0000"/>
          <w:sz w:val="24"/>
          <w:szCs w:val="24"/>
        </w:rPr>
        <w:t xml:space="preserve"> </w:t>
      </w:r>
      <w:r w:rsidRPr="00215667">
        <w:rPr>
          <w:rFonts w:ascii="Times New Roman" w:hAnsi="Times New Roman" w:cs="Times New Roman"/>
          <w:bCs/>
          <w:sz w:val="24"/>
          <w:szCs w:val="24"/>
        </w:rPr>
        <w:t>Периоперативното менаџирање на овие пациенти, со кои се соочуваме во секојдневната прак</w:t>
      </w:r>
      <w:r w:rsidR="00A736FF">
        <w:rPr>
          <w:rFonts w:ascii="Times New Roman" w:hAnsi="Times New Roman" w:cs="Times New Roman"/>
          <w:bCs/>
          <w:sz w:val="24"/>
          <w:szCs w:val="24"/>
        </w:rPr>
        <w:t>тик</w:t>
      </w:r>
      <w:r w:rsidRPr="00215667">
        <w:rPr>
          <w:rFonts w:ascii="Times New Roman" w:hAnsi="Times New Roman" w:cs="Times New Roman"/>
          <w:bCs/>
          <w:sz w:val="24"/>
          <w:szCs w:val="24"/>
        </w:rPr>
        <w:t>а, е голем предизвик и широко дискутиран проблем со цел на утврдување протоколи за востановување дијагностички и терапевтски процедури за превенција и справување со постоперативното крвавење.</w:t>
      </w:r>
      <w:r w:rsidRPr="00215667">
        <w:rPr>
          <w:rFonts w:ascii="Times New Roman" w:hAnsi="Times New Roman" w:cs="Times New Roman"/>
          <w:bCs/>
          <w:sz w:val="24"/>
          <w:szCs w:val="24"/>
          <w:vertAlign w:val="superscript"/>
        </w:rPr>
        <w:t>3-5</w:t>
      </w:r>
      <w:r w:rsidRPr="00215667">
        <w:rPr>
          <w:rFonts w:ascii="Times New Roman" w:hAnsi="Times New Roman" w:cs="Times New Roman"/>
          <w:bCs/>
          <w:sz w:val="24"/>
          <w:szCs w:val="24"/>
        </w:rPr>
        <w:t xml:space="preserve">  </w:t>
      </w:r>
    </w:p>
    <w:p w14:paraId="09EBEF4E" w14:textId="152C109C" w:rsidR="00412474" w:rsidRPr="00215667" w:rsidRDefault="00412474" w:rsidP="00D35942">
      <w:pPr>
        <w:spacing w:after="0" w:line="360" w:lineRule="auto"/>
        <w:ind w:firstLine="720"/>
        <w:jc w:val="both"/>
        <w:rPr>
          <w:rFonts w:ascii="Times New Roman" w:hAnsi="Times New Roman" w:cs="Times New Roman"/>
          <w:bCs/>
          <w:sz w:val="24"/>
          <w:szCs w:val="24"/>
        </w:rPr>
      </w:pPr>
      <w:r w:rsidRPr="00215667">
        <w:rPr>
          <w:rFonts w:ascii="Times New Roman" w:hAnsi="Times New Roman" w:cs="Times New Roman"/>
          <w:bCs/>
          <w:sz w:val="24"/>
          <w:szCs w:val="24"/>
        </w:rPr>
        <w:t>Со цел на успешно менаџирање со овие пациенти, потребно е познавање на основните механизми на хемостаза и коагулација. Хемостаза (</w:t>
      </w:r>
      <w:r w:rsidRPr="00A736FF">
        <w:rPr>
          <w:rFonts w:ascii="Times New Roman" w:hAnsi="Times New Roman" w:cs="Times New Roman"/>
          <w:bCs/>
          <w:i/>
          <w:iCs/>
          <w:sz w:val="24"/>
          <w:szCs w:val="24"/>
        </w:rPr>
        <w:t>haemostasis</w:t>
      </w:r>
      <w:r w:rsidRPr="00215667">
        <w:rPr>
          <w:rFonts w:ascii="Times New Roman" w:hAnsi="Times New Roman" w:cs="Times New Roman"/>
          <w:bCs/>
          <w:sz w:val="24"/>
          <w:szCs w:val="24"/>
        </w:rPr>
        <w:t xml:space="preserve">) е поим со кој се означува запирање на крвавење, обезбедувајќи динамична рамнотежа на два спротивни физиолошки процеси, коагулација и фибринолиза. Овие два процеси ја одржуваат течната состојба на крвта и флуидноста во васкуларниот систем, а при повреда формираат згрутчување (коагулум) и сопирање на </w:t>
      </w:r>
      <w:r w:rsidR="00EC49EB" w:rsidRPr="00215667">
        <w:rPr>
          <w:rFonts w:ascii="Times New Roman" w:hAnsi="Times New Roman" w:cs="Times New Roman"/>
          <w:bCs/>
          <w:sz w:val="24"/>
          <w:szCs w:val="24"/>
        </w:rPr>
        <w:t>крвавење</w:t>
      </w:r>
      <w:r w:rsidRPr="00215667">
        <w:rPr>
          <w:rFonts w:ascii="Times New Roman" w:hAnsi="Times New Roman" w:cs="Times New Roman"/>
          <w:bCs/>
          <w:sz w:val="24"/>
          <w:szCs w:val="24"/>
        </w:rPr>
        <w:t>то на местото на повреда. Хемостазата се одвива во 4 фази:</w:t>
      </w:r>
    </w:p>
    <w:p w14:paraId="3B482761" w14:textId="4C5805CB" w:rsidR="00412474" w:rsidRPr="00215667" w:rsidRDefault="00412474" w:rsidP="00D35942">
      <w:pPr>
        <w:pStyle w:val="NoSpacing"/>
        <w:spacing w:line="360" w:lineRule="auto"/>
        <w:jc w:val="both"/>
        <w:rPr>
          <w:rFonts w:ascii="Times New Roman" w:hAnsi="Times New Roman" w:cs="Times New Roman"/>
          <w:bCs/>
          <w:sz w:val="24"/>
          <w:szCs w:val="24"/>
        </w:rPr>
      </w:pPr>
      <w:r w:rsidRPr="00215667">
        <w:rPr>
          <w:rFonts w:ascii="Times New Roman" w:hAnsi="Times New Roman" w:cs="Times New Roman"/>
          <w:bCs/>
          <w:sz w:val="24"/>
          <w:szCs w:val="24"/>
        </w:rPr>
        <w:t>1. Васкуларна фаза, кога се јавува вазоконстрикција (стеснување на крвниот сад)</w:t>
      </w:r>
      <w:r w:rsidR="00981B39">
        <w:rPr>
          <w:rFonts w:ascii="Times New Roman" w:hAnsi="Times New Roman" w:cs="Times New Roman"/>
          <w:bCs/>
          <w:sz w:val="24"/>
          <w:szCs w:val="24"/>
        </w:rPr>
        <w:t>;</w:t>
      </w:r>
    </w:p>
    <w:p w14:paraId="5A1B75E0" w14:textId="0CCC96D7" w:rsidR="00412474" w:rsidRPr="00215667" w:rsidRDefault="00412474" w:rsidP="00D35942">
      <w:pPr>
        <w:pStyle w:val="NoSpacing"/>
        <w:spacing w:line="360" w:lineRule="auto"/>
        <w:jc w:val="both"/>
        <w:rPr>
          <w:rFonts w:ascii="Times New Roman" w:hAnsi="Times New Roman" w:cs="Times New Roman"/>
          <w:bCs/>
          <w:sz w:val="24"/>
          <w:szCs w:val="24"/>
        </w:rPr>
      </w:pPr>
      <w:r w:rsidRPr="00215667">
        <w:rPr>
          <w:rFonts w:ascii="Times New Roman" w:hAnsi="Times New Roman" w:cs="Times New Roman"/>
          <w:bCs/>
          <w:sz w:val="24"/>
          <w:szCs w:val="24"/>
        </w:rPr>
        <w:t>2. Тромбоцитна фаза, во која тромбоцитите се акумулираат на местото на повредата на крвниот сад и се формира тромбоцитен чеп (</w:t>
      </w:r>
      <w:r w:rsidRPr="00215667">
        <w:rPr>
          <w:rFonts w:ascii="Times New Roman" w:hAnsi="Times New Roman" w:cs="Times New Roman"/>
          <w:b/>
          <w:sz w:val="24"/>
          <w:szCs w:val="24"/>
        </w:rPr>
        <w:t>примарна хемостаза</w:t>
      </w:r>
      <w:r w:rsidRPr="00215667">
        <w:rPr>
          <w:rFonts w:ascii="Times New Roman" w:hAnsi="Times New Roman" w:cs="Times New Roman"/>
          <w:bCs/>
          <w:sz w:val="24"/>
          <w:szCs w:val="24"/>
        </w:rPr>
        <w:t>)</w:t>
      </w:r>
      <w:r w:rsidR="00981B39">
        <w:rPr>
          <w:rFonts w:ascii="Times New Roman" w:hAnsi="Times New Roman" w:cs="Times New Roman"/>
          <w:bCs/>
          <w:sz w:val="24"/>
          <w:szCs w:val="24"/>
        </w:rPr>
        <w:t>;</w:t>
      </w:r>
    </w:p>
    <w:p w14:paraId="6A85F0B5" w14:textId="72FDA6FF" w:rsidR="00412474" w:rsidRPr="00215667" w:rsidRDefault="00412474" w:rsidP="00D35942">
      <w:pPr>
        <w:pStyle w:val="NoSpacing"/>
        <w:spacing w:line="360" w:lineRule="auto"/>
        <w:jc w:val="both"/>
        <w:rPr>
          <w:rFonts w:ascii="Times New Roman" w:hAnsi="Times New Roman" w:cs="Times New Roman"/>
          <w:bCs/>
          <w:sz w:val="24"/>
          <w:szCs w:val="24"/>
        </w:rPr>
      </w:pPr>
      <w:r w:rsidRPr="00215667">
        <w:rPr>
          <w:rFonts w:ascii="Times New Roman" w:hAnsi="Times New Roman" w:cs="Times New Roman"/>
          <w:bCs/>
          <w:sz w:val="24"/>
          <w:szCs w:val="24"/>
        </w:rPr>
        <w:t>3. Фаза на коагулација, во која учествуваат 12 фактори на коагулација, ендогениот систем за коагулација произведува тромбин кој како катализатор го претвора коагулациониот протеин во крвта, односно фибриногенот во фибрин  и формирање на коагулум (</w:t>
      </w:r>
      <w:r w:rsidRPr="00215667">
        <w:rPr>
          <w:rFonts w:ascii="Times New Roman" w:hAnsi="Times New Roman" w:cs="Times New Roman"/>
          <w:b/>
          <w:sz w:val="24"/>
          <w:szCs w:val="24"/>
        </w:rPr>
        <w:t>секундарна хемостаза</w:t>
      </w:r>
      <w:r w:rsidRPr="00215667">
        <w:rPr>
          <w:rFonts w:ascii="Times New Roman" w:hAnsi="Times New Roman" w:cs="Times New Roman"/>
          <w:bCs/>
          <w:sz w:val="24"/>
          <w:szCs w:val="24"/>
        </w:rPr>
        <w:t>)</w:t>
      </w:r>
      <w:r w:rsidR="00981B39">
        <w:rPr>
          <w:rFonts w:ascii="Times New Roman" w:hAnsi="Times New Roman" w:cs="Times New Roman"/>
          <w:bCs/>
          <w:sz w:val="24"/>
          <w:szCs w:val="24"/>
        </w:rPr>
        <w:t>;</w:t>
      </w:r>
    </w:p>
    <w:p w14:paraId="2F7043E5" w14:textId="77777777" w:rsidR="00412474" w:rsidRDefault="00412474" w:rsidP="00D35942">
      <w:pPr>
        <w:pStyle w:val="NoSpacing"/>
        <w:spacing w:line="360" w:lineRule="auto"/>
        <w:jc w:val="both"/>
        <w:rPr>
          <w:rFonts w:ascii="Times New Roman" w:hAnsi="Times New Roman" w:cs="Times New Roman"/>
          <w:bCs/>
          <w:sz w:val="24"/>
          <w:szCs w:val="24"/>
        </w:rPr>
      </w:pPr>
      <w:r w:rsidRPr="00215667">
        <w:rPr>
          <w:rFonts w:ascii="Times New Roman" w:hAnsi="Times New Roman" w:cs="Times New Roman"/>
          <w:bCs/>
          <w:sz w:val="24"/>
          <w:szCs w:val="24"/>
        </w:rPr>
        <w:t>4. Фибринолитичка фаза, односно фаза на стабилизација и разградување на згрутчувањето на крвта.</w:t>
      </w:r>
    </w:p>
    <w:p w14:paraId="00E97080" w14:textId="64502A4F" w:rsidR="00412474" w:rsidRPr="00215667" w:rsidRDefault="00412474" w:rsidP="00D35942">
      <w:pPr>
        <w:spacing w:after="0" w:line="360" w:lineRule="auto"/>
        <w:ind w:firstLine="720"/>
        <w:jc w:val="both"/>
        <w:rPr>
          <w:rFonts w:ascii="Times New Roman" w:hAnsi="Times New Roman" w:cs="Times New Roman"/>
          <w:noProof/>
          <w:sz w:val="24"/>
          <w:szCs w:val="24"/>
        </w:rPr>
      </w:pPr>
      <w:r w:rsidRPr="00215667">
        <w:rPr>
          <w:rFonts w:ascii="Times New Roman" w:hAnsi="Times New Roman" w:cs="Times New Roman"/>
          <w:bCs/>
          <w:sz w:val="24"/>
          <w:szCs w:val="24"/>
        </w:rPr>
        <w:t xml:space="preserve">Коагулацијата е процес на згрутчување на крвта, а резултат на коагулацијата е формирање на коагулум (згрутчување на крвта). Процесот на коагулација на крвта е каскадно активирање на бројни фактори на коагулација. Каскадниот систем на коагулација завршува со конверзија на неактивен протромбин во тромбин, кој потоа го активира фибриногенот во активна форма на </w:t>
      </w:r>
      <w:r w:rsidRPr="00215667">
        <w:rPr>
          <w:rFonts w:ascii="Times New Roman" w:hAnsi="Times New Roman" w:cs="Times New Roman"/>
          <w:bCs/>
          <w:sz w:val="24"/>
          <w:szCs w:val="24"/>
        </w:rPr>
        <w:lastRenderedPageBreak/>
        <w:t xml:space="preserve">фибрин кој гради мрежа во која се залепуваат крвните клетки и се формира коагулум. При создавањето на коагулумот се одделува бистра жолтеникава течност - крвен серум. На местото на повредата во крвниот сад се формира коагулум. </w:t>
      </w:r>
    </w:p>
    <w:p w14:paraId="168D9CD8" w14:textId="42D1AB16" w:rsidR="00412474" w:rsidRPr="00215667" w:rsidRDefault="00412474" w:rsidP="00D35942">
      <w:pPr>
        <w:spacing w:after="0" w:line="360" w:lineRule="auto"/>
        <w:ind w:firstLine="720"/>
        <w:jc w:val="both"/>
        <w:rPr>
          <w:rFonts w:ascii="Times New Roman" w:hAnsi="Times New Roman" w:cs="Times New Roman"/>
          <w:bCs/>
          <w:color w:val="FF0000"/>
          <w:sz w:val="24"/>
          <w:szCs w:val="24"/>
        </w:rPr>
      </w:pPr>
      <w:r w:rsidRPr="00215667">
        <w:rPr>
          <w:rFonts w:ascii="Times New Roman" w:hAnsi="Times New Roman" w:cs="Times New Roman"/>
          <w:bCs/>
          <w:sz w:val="24"/>
          <w:szCs w:val="24"/>
        </w:rPr>
        <w:t>Нарушувањата на крвавењето се група на хетерогени состојби кои се карактеризираат со дефекти во хемостазата што доведуваат до зголемена инциденца на крвавење, познато како хеморагична дијатеза.</w:t>
      </w:r>
      <w:r w:rsidR="00981B39">
        <w:rPr>
          <w:rFonts w:ascii="Times New Roman" w:hAnsi="Times New Roman" w:cs="Times New Roman"/>
          <w:bCs/>
          <w:sz w:val="24"/>
          <w:szCs w:val="24"/>
        </w:rPr>
        <w:t xml:space="preserve"> </w:t>
      </w:r>
      <w:r w:rsidRPr="00215667">
        <w:rPr>
          <w:rFonts w:ascii="Times New Roman" w:hAnsi="Times New Roman" w:cs="Times New Roman"/>
          <w:bCs/>
          <w:sz w:val="24"/>
          <w:szCs w:val="24"/>
        </w:rPr>
        <w:t xml:space="preserve">Тие се класифицирани во нарушувања на примарна хемостаза (кога се предизвикани од тромбоцитна абнормалност), нарушувања на секундарна хемостаза (кога се предизвикани од дефекти на надворешниот и/или внатрешниот пат на коагулационата каскада) и хиперфибринолиза (кога има зголемена деградација на згрутчувањето). Иако клиничките карактеристики може да се преклопуваат, мукокутаното </w:t>
      </w:r>
      <w:r w:rsidR="00EC49EB" w:rsidRPr="00215667">
        <w:rPr>
          <w:rFonts w:ascii="Times New Roman" w:hAnsi="Times New Roman" w:cs="Times New Roman"/>
          <w:bCs/>
          <w:sz w:val="24"/>
          <w:szCs w:val="24"/>
        </w:rPr>
        <w:t>крвавење</w:t>
      </w:r>
      <w:r w:rsidRPr="00215667">
        <w:rPr>
          <w:rFonts w:ascii="Times New Roman" w:hAnsi="Times New Roman" w:cs="Times New Roman"/>
          <w:bCs/>
          <w:sz w:val="24"/>
          <w:szCs w:val="24"/>
        </w:rPr>
        <w:t xml:space="preserve"> (на пр., епистакса, петехии, гастроинтестинално </w:t>
      </w:r>
      <w:r w:rsidR="00EC49EB" w:rsidRPr="00215667">
        <w:rPr>
          <w:rFonts w:ascii="Times New Roman" w:hAnsi="Times New Roman" w:cs="Times New Roman"/>
          <w:bCs/>
          <w:sz w:val="24"/>
          <w:szCs w:val="24"/>
        </w:rPr>
        <w:t>крвавење</w:t>
      </w:r>
      <w:r w:rsidRPr="00215667">
        <w:rPr>
          <w:rFonts w:ascii="Times New Roman" w:hAnsi="Times New Roman" w:cs="Times New Roman"/>
          <w:bCs/>
          <w:sz w:val="24"/>
          <w:szCs w:val="24"/>
        </w:rPr>
        <w:t xml:space="preserve">) е поврзано со нарушувања на примарната хемостаза, а </w:t>
      </w:r>
      <w:r w:rsidR="00EC49EB" w:rsidRPr="00215667">
        <w:rPr>
          <w:rFonts w:ascii="Times New Roman" w:hAnsi="Times New Roman" w:cs="Times New Roman"/>
          <w:bCs/>
          <w:sz w:val="24"/>
          <w:szCs w:val="24"/>
        </w:rPr>
        <w:t>крвавење</w:t>
      </w:r>
      <w:r w:rsidRPr="00215667">
        <w:rPr>
          <w:rFonts w:ascii="Times New Roman" w:hAnsi="Times New Roman" w:cs="Times New Roman"/>
          <w:bCs/>
          <w:sz w:val="24"/>
          <w:szCs w:val="24"/>
        </w:rPr>
        <w:t xml:space="preserve">то во потенцијалните простори (на пример, хемартроза, мускулно </w:t>
      </w:r>
      <w:r w:rsidR="00EC49EB" w:rsidRPr="00215667">
        <w:rPr>
          <w:rFonts w:ascii="Times New Roman" w:hAnsi="Times New Roman" w:cs="Times New Roman"/>
          <w:bCs/>
          <w:sz w:val="24"/>
          <w:szCs w:val="24"/>
        </w:rPr>
        <w:t>крвавење</w:t>
      </w:r>
      <w:r w:rsidRPr="00215667">
        <w:rPr>
          <w:rFonts w:ascii="Times New Roman" w:hAnsi="Times New Roman" w:cs="Times New Roman"/>
          <w:bCs/>
          <w:sz w:val="24"/>
          <w:szCs w:val="24"/>
        </w:rPr>
        <w:t>) е карактеристично за нарушувањата на секундарната хемостаза.</w:t>
      </w:r>
      <w:r w:rsidRPr="00215667">
        <w:rPr>
          <w:rFonts w:ascii="Times New Roman" w:hAnsi="Times New Roman" w:cs="Times New Roman"/>
          <w:sz w:val="24"/>
          <w:szCs w:val="24"/>
        </w:rPr>
        <w:t xml:space="preserve"> </w:t>
      </w:r>
      <w:r w:rsidRPr="00215667">
        <w:rPr>
          <w:rFonts w:ascii="Times New Roman" w:hAnsi="Times New Roman" w:cs="Times New Roman"/>
          <w:sz w:val="24"/>
          <w:szCs w:val="24"/>
          <w:vertAlign w:val="superscript"/>
        </w:rPr>
        <w:t xml:space="preserve">101 </w:t>
      </w:r>
    </w:p>
    <w:p w14:paraId="51C6C2BE" w14:textId="6C86C24A" w:rsidR="00412474" w:rsidRPr="00215667" w:rsidRDefault="00412474" w:rsidP="00D35942">
      <w:pPr>
        <w:spacing w:after="0" w:line="360" w:lineRule="auto"/>
        <w:ind w:firstLine="720"/>
        <w:jc w:val="both"/>
        <w:rPr>
          <w:rFonts w:ascii="Times New Roman" w:hAnsi="Times New Roman" w:cs="Times New Roman"/>
          <w:bCs/>
          <w:sz w:val="24"/>
          <w:szCs w:val="24"/>
        </w:rPr>
      </w:pPr>
      <w:r w:rsidRPr="00215667">
        <w:rPr>
          <w:rFonts w:ascii="Times New Roman" w:hAnsi="Times New Roman" w:cs="Times New Roman"/>
          <w:bCs/>
          <w:sz w:val="24"/>
          <w:szCs w:val="24"/>
        </w:rPr>
        <w:t>Тромбоцитите играат клучна улога во нормалната хемостаза, додека нивните наследни или стекнати дисфункции се вклучени во различни нарушувања на крвавењето или појава на тромбоза.</w:t>
      </w:r>
      <w:r w:rsidRPr="00215667">
        <w:rPr>
          <w:rFonts w:ascii="Times New Roman" w:hAnsi="Times New Roman" w:cs="Times New Roman"/>
          <w:sz w:val="24"/>
          <w:szCs w:val="24"/>
        </w:rPr>
        <w:t xml:space="preserve"> </w:t>
      </w:r>
      <w:r w:rsidRPr="00215667">
        <w:rPr>
          <w:rFonts w:ascii="Times New Roman" w:hAnsi="Times New Roman" w:cs="Times New Roman"/>
          <w:bCs/>
          <w:sz w:val="24"/>
          <w:szCs w:val="24"/>
        </w:rPr>
        <w:t>Времето на крвавење се продолжува кога бројот на тромбоцитите е намален или е намалена нивната функцијата.</w:t>
      </w:r>
      <w:r w:rsidRPr="00215667">
        <w:rPr>
          <w:rFonts w:ascii="Times New Roman" w:hAnsi="Times New Roman" w:cs="Times New Roman"/>
          <w:sz w:val="24"/>
          <w:szCs w:val="24"/>
        </w:rPr>
        <w:t xml:space="preserve"> </w:t>
      </w:r>
      <w:r w:rsidRPr="00215667">
        <w:rPr>
          <w:rFonts w:ascii="Times New Roman" w:hAnsi="Times New Roman" w:cs="Times New Roman"/>
          <w:bCs/>
          <w:sz w:val="24"/>
          <w:szCs w:val="24"/>
        </w:rPr>
        <w:t>Тромбоцитите се ануклеарни клеточни фрагменти произведени претежно од мегакариоцити во коскената срцевина и ослободени во циркулацијата на крвта, со нормален број од 150 000</w:t>
      </w:r>
      <w:r w:rsidR="00981B39">
        <w:rPr>
          <w:rFonts w:ascii="Times New Roman" w:hAnsi="Times New Roman" w:cs="Times New Roman"/>
          <w:bCs/>
          <w:sz w:val="24"/>
          <w:szCs w:val="24"/>
        </w:rPr>
        <w:t xml:space="preserve"> </w:t>
      </w:r>
      <w:r w:rsidRPr="00215667">
        <w:rPr>
          <w:rFonts w:ascii="Times New Roman" w:hAnsi="Times New Roman" w:cs="Times New Roman"/>
          <w:bCs/>
          <w:sz w:val="24"/>
          <w:szCs w:val="24"/>
        </w:rPr>
        <w:t>-</w:t>
      </w:r>
      <w:r w:rsidR="00981B39">
        <w:rPr>
          <w:rFonts w:ascii="Times New Roman" w:hAnsi="Times New Roman" w:cs="Times New Roman"/>
          <w:bCs/>
          <w:sz w:val="24"/>
          <w:szCs w:val="24"/>
        </w:rPr>
        <w:t xml:space="preserve"> </w:t>
      </w:r>
      <w:r w:rsidRPr="00215667">
        <w:rPr>
          <w:rFonts w:ascii="Times New Roman" w:hAnsi="Times New Roman" w:cs="Times New Roman"/>
          <w:bCs/>
          <w:sz w:val="24"/>
          <w:szCs w:val="24"/>
        </w:rPr>
        <w:t>40 000 на μl и животен век од приближно 10 дена кај луѓето. Тромбоцитите предизвикуваат хемостаза со комплексен концепт на механизми кои вклучуваат адхезија на тромбоцити, активирање и агрегација, коагулациона амплификација и ретракција на формираниот тромб.</w:t>
      </w:r>
      <w:r w:rsidRPr="00215667">
        <w:rPr>
          <w:rFonts w:ascii="Times New Roman" w:hAnsi="Times New Roman" w:cs="Times New Roman"/>
          <w:bCs/>
          <w:sz w:val="24"/>
          <w:szCs w:val="24"/>
          <w:vertAlign w:val="superscript"/>
        </w:rPr>
        <w:t>7,9</w:t>
      </w:r>
      <w:r w:rsidRPr="00215667">
        <w:rPr>
          <w:rFonts w:ascii="Times New Roman" w:hAnsi="Times New Roman" w:cs="Times New Roman"/>
          <w:sz w:val="24"/>
          <w:szCs w:val="24"/>
        </w:rPr>
        <w:t xml:space="preserve"> </w:t>
      </w:r>
    </w:p>
    <w:p w14:paraId="5129C1CF" w14:textId="77777777" w:rsidR="00412474" w:rsidRPr="00215667" w:rsidRDefault="00412474" w:rsidP="00D35942">
      <w:pPr>
        <w:spacing w:after="0" w:line="360" w:lineRule="auto"/>
        <w:ind w:left="142"/>
        <w:rPr>
          <w:rFonts w:ascii="Times New Roman" w:hAnsi="Times New Roman" w:cs="Times New Roman"/>
          <w:bCs/>
          <w:color w:val="FF0000"/>
          <w:sz w:val="24"/>
          <w:szCs w:val="24"/>
        </w:rPr>
      </w:pPr>
    </w:p>
    <w:p w14:paraId="49FD0F12" w14:textId="77777777" w:rsidR="00412474" w:rsidRPr="00215667" w:rsidRDefault="00412474" w:rsidP="00D35942">
      <w:pPr>
        <w:pStyle w:val="Heading2"/>
        <w:spacing w:line="360" w:lineRule="auto"/>
        <w:rPr>
          <w:rFonts w:ascii="Times New Roman" w:hAnsi="Times New Roman" w:cs="Times New Roman"/>
          <w:color w:val="000000" w:themeColor="text1"/>
          <w:sz w:val="24"/>
          <w:szCs w:val="24"/>
        </w:rPr>
      </w:pPr>
      <w:bookmarkStart w:id="4" w:name="_Toc209005143"/>
      <w:r w:rsidRPr="00215667">
        <w:rPr>
          <w:rFonts w:ascii="Times New Roman" w:hAnsi="Times New Roman" w:cs="Times New Roman"/>
          <w:color w:val="000000" w:themeColor="text1"/>
          <w:sz w:val="24"/>
          <w:szCs w:val="24"/>
        </w:rPr>
        <w:t>1.1. Периоперативно менаџирање на пациенти со тромбоцитна хипоагрегабилност при изведување на дентоалвеоларни процедури</w:t>
      </w:r>
      <w:bookmarkEnd w:id="4"/>
    </w:p>
    <w:p w14:paraId="5ADCE2F4" w14:textId="1549396E" w:rsidR="00412474" w:rsidRPr="00215667" w:rsidRDefault="00412474" w:rsidP="00D35942">
      <w:pPr>
        <w:spacing w:after="0" w:line="360" w:lineRule="auto"/>
        <w:ind w:firstLine="720"/>
        <w:jc w:val="both"/>
        <w:rPr>
          <w:rFonts w:ascii="Times New Roman" w:eastAsia="Calibri" w:hAnsi="Times New Roman" w:cs="Times New Roman"/>
          <w:color w:val="FF0000"/>
          <w:kern w:val="2"/>
          <w:sz w:val="24"/>
          <w:szCs w:val="24"/>
          <w14:ligatures w14:val="standardContextual"/>
        </w:rPr>
      </w:pPr>
      <w:r w:rsidRPr="00215667">
        <w:rPr>
          <w:rFonts w:ascii="Times New Roman" w:eastAsia="Calibri" w:hAnsi="Times New Roman" w:cs="Times New Roman"/>
          <w:kern w:val="2"/>
          <w:sz w:val="24"/>
          <w:szCs w:val="24"/>
          <w14:ligatures w14:val="standardContextual"/>
        </w:rPr>
        <w:t xml:space="preserve">Најчеста причина за појава на постоперативно </w:t>
      </w:r>
      <w:r w:rsidR="00EC49EB" w:rsidRPr="00215667">
        <w:rPr>
          <w:rFonts w:ascii="Times New Roman" w:eastAsia="Calibri" w:hAnsi="Times New Roman" w:cs="Times New Roman"/>
          <w:kern w:val="2"/>
          <w:sz w:val="24"/>
          <w:szCs w:val="24"/>
          <w14:ligatures w14:val="standardContextual"/>
        </w:rPr>
        <w:t>крвавење</w:t>
      </w:r>
      <w:r w:rsidRPr="00215667">
        <w:rPr>
          <w:rFonts w:ascii="Times New Roman" w:eastAsia="Calibri" w:hAnsi="Times New Roman" w:cs="Times New Roman"/>
          <w:kern w:val="2"/>
          <w:sz w:val="24"/>
          <w:szCs w:val="24"/>
          <w14:ligatures w14:val="standardContextual"/>
        </w:rPr>
        <w:t xml:space="preserve"> при изведување на дентоалвеоларните хируршки процедури е нарушување на примарната хемостаза т.е.</w:t>
      </w:r>
      <w:r w:rsidR="0044355D">
        <w:rPr>
          <w:rFonts w:ascii="Times New Roman" w:eastAsia="Calibri" w:hAnsi="Times New Roman" w:cs="Times New Roman"/>
          <w:kern w:val="2"/>
          <w:sz w:val="24"/>
          <w:szCs w:val="24"/>
          <w14:ligatures w14:val="standardContextual"/>
        </w:rPr>
        <w:t xml:space="preserve"> </w:t>
      </w:r>
      <w:r w:rsidRPr="00215667">
        <w:rPr>
          <w:rFonts w:ascii="Times New Roman" w:eastAsia="Calibri" w:hAnsi="Times New Roman" w:cs="Times New Roman"/>
          <w:kern w:val="2"/>
          <w:sz w:val="24"/>
          <w:szCs w:val="24"/>
          <w14:ligatures w14:val="standardContextual"/>
        </w:rPr>
        <w:t xml:space="preserve">појава на дефекти во функцијата на тромбоцитите (тромбоцитопатија). </w:t>
      </w:r>
      <w:r w:rsidRPr="00215667">
        <w:rPr>
          <w:rFonts w:ascii="Times New Roman" w:eastAsia="Calibri" w:hAnsi="Times New Roman" w:cs="Times New Roman"/>
          <w:kern w:val="2"/>
          <w:sz w:val="24"/>
          <w:szCs w:val="24"/>
          <w14:ligatures w14:val="standardContextual"/>
        </w:rPr>
        <w:lastRenderedPageBreak/>
        <w:t>Тромбоцитопатијата е состојба во која тромбоцитите имаат квалитативен, а не квантитативен дефект и нивната зголемена функција резултира со тромбоза, а намалената функција со хеморагија.</w:t>
      </w:r>
      <w:r w:rsidRPr="00215667">
        <w:rPr>
          <w:rFonts w:ascii="Times New Roman" w:eastAsia="Calibri" w:hAnsi="Times New Roman" w:cs="Times New Roman"/>
          <w:kern w:val="2"/>
          <w:sz w:val="24"/>
          <w:szCs w:val="24"/>
          <w:vertAlign w:val="superscript"/>
          <w14:ligatures w14:val="standardContextual"/>
        </w:rPr>
        <w:t>7</w:t>
      </w:r>
      <w:r w:rsidRPr="00215667">
        <w:rPr>
          <w:rFonts w:ascii="Times New Roman" w:eastAsia="Calibri" w:hAnsi="Times New Roman" w:cs="Times New Roman"/>
          <w:kern w:val="2"/>
          <w:sz w:val="24"/>
          <w:szCs w:val="24"/>
          <w14:ligatures w14:val="standardContextual"/>
        </w:rPr>
        <w:t xml:space="preserve"> Тромбоцитопатиите може да бидат индуцирани од надворешни (на пр., системски заболувања или медикаменти) или од внатрешни фактори.</w:t>
      </w:r>
      <w:r w:rsidRPr="00215667">
        <w:rPr>
          <w:rFonts w:ascii="Times New Roman" w:eastAsia="Calibri" w:hAnsi="Times New Roman" w:cs="Times New Roman"/>
          <w:kern w:val="2"/>
          <w:sz w:val="24"/>
          <w:szCs w:val="24"/>
          <w:vertAlign w:val="superscript"/>
          <w14:ligatures w14:val="standardContextual"/>
        </w:rPr>
        <w:t>102</w:t>
      </w:r>
      <w:r w:rsidRPr="00215667">
        <w:rPr>
          <w:rFonts w:ascii="Times New Roman" w:eastAsia="Calibri" w:hAnsi="Times New Roman" w:cs="Times New Roman"/>
          <w:kern w:val="2"/>
          <w:sz w:val="24"/>
          <w:szCs w:val="24"/>
          <w14:ligatures w14:val="standardContextual"/>
        </w:rPr>
        <w:t xml:space="preserve"> Најчести дефекти во тромбоцитните хемостатски механизми се поврзани со тромбоцитната агрегација.</w:t>
      </w:r>
      <w:r w:rsidRPr="00215667">
        <w:rPr>
          <w:rFonts w:ascii="Times New Roman" w:hAnsi="Times New Roman" w:cs="Times New Roman"/>
          <w:sz w:val="24"/>
          <w:szCs w:val="24"/>
        </w:rPr>
        <w:t xml:space="preserve"> Ова нарушување на агрегацијата е резултат на дефекти на интеракција помеѓу тромбоцитите. </w:t>
      </w:r>
      <w:r w:rsidRPr="00215667">
        <w:rPr>
          <w:rFonts w:ascii="Times New Roman" w:eastAsia="Calibri" w:hAnsi="Times New Roman" w:cs="Times New Roman"/>
          <w:color w:val="FF0000"/>
          <w:kern w:val="2"/>
          <w:sz w:val="24"/>
          <w:szCs w:val="24"/>
          <w14:ligatures w14:val="standardContextual"/>
        </w:rPr>
        <w:t xml:space="preserve"> </w:t>
      </w:r>
      <w:r w:rsidRPr="00215667">
        <w:rPr>
          <w:rFonts w:ascii="Times New Roman" w:eastAsia="Calibri" w:hAnsi="Times New Roman" w:cs="Times New Roman"/>
          <w:kern w:val="2"/>
          <w:sz w:val="24"/>
          <w:szCs w:val="24"/>
          <w14:ligatures w14:val="standardContextual"/>
        </w:rPr>
        <w:t>Во овој труд (во Дел 1), ги истраживме аномалиите кои се однесуваат на намалена агрегација на тромбоцитите што резултираат со продолжени и абудантни крвавења и нудиме длабински и целосен преглед на акумулираните докази за клиничката улога на хипоагрегабилната состојба и превенција на</w:t>
      </w:r>
      <w:r w:rsidR="0044355D">
        <w:rPr>
          <w:rFonts w:ascii="Times New Roman" w:eastAsia="Calibri" w:hAnsi="Times New Roman" w:cs="Times New Roman"/>
          <w:kern w:val="2"/>
          <w:sz w:val="24"/>
          <w:szCs w:val="24"/>
          <w14:ligatures w14:val="standardContextual"/>
        </w:rPr>
        <w:t xml:space="preserve"> </w:t>
      </w:r>
      <w:r w:rsidRPr="00215667">
        <w:rPr>
          <w:rFonts w:ascii="Times New Roman" w:eastAsia="Calibri" w:hAnsi="Times New Roman" w:cs="Times New Roman"/>
          <w:kern w:val="2"/>
          <w:sz w:val="24"/>
          <w:szCs w:val="24"/>
          <w14:ligatures w14:val="standardContextual"/>
        </w:rPr>
        <w:t>крвавење, како и методи на хемостаза за справување со периоперативното крвавење при изведување на дентоалвеоларни процедури кај овие пациенти.</w:t>
      </w:r>
      <w:r w:rsidRPr="00215667">
        <w:rPr>
          <w:rFonts w:ascii="Times New Roman" w:eastAsia="Calibri" w:hAnsi="Times New Roman" w:cs="Times New Roman"/>
          <w:kern w:val="2"/>
          <w:sz w:val="24"/>
          <w:szCs w:val="24"/>
          <w:vertAlign w:val="superscript"/>
          <w14:ligatures w14:val="standardContextual"/>
        </w:rPr>
        <w:t>103</w:t>
      </w:r>
      <w:r w:rsidRPr="00215667">
        <w:rPr>
          <w:rFonts w:ascii="Times New Roman" w:eastAsia="Calibri" w:hAnsi="Times New Roman" w:cs="Times New Roman"/>
          <w:kern w:val="2"/>
          <w:sz w:val="24"/>
          <w:szCs w:val="24"/>
          <w14:ligatures w14:val="standardContextual"/>
        </w:rPr>
        <w:t xml:space="preserve"> </w:t>
      </w:r>
      <w:r w:rsidRPr="00215667">
        <w:rPr>
          <w:rFonts w:ascii="Times New Roman" w:hAnsi="Times New Roman" w:cs="Times New Roman"/>
          <w:b/>
          <w:color w:val="FF0000"/>
          <w:sz w:val="24"/>
          <w:szCs w:val="24"/>
        </w:rPr>
        <w:t xml:space="preserve"> </w:t>
      </w:r>
    </w:p>
    <w:p w14:paraId="66FB8B4C" w14:textId="3D2FD105" w:rsidR="00412474" w:rsidRPr="00215667" w:rsidRDefault="00412474" w:rsidP="00D35942">
      <w:pPr>
        <w:spacing w:after="0" w:line="360" w:lineRule="auto"/>
        <w:ind w:firstLine="720"/>
        <w:jc w:val="both"/>
        <w:rPr>
          <w:rFonts w:ascii="Times New Roman" w:hAnsi="Times New Roman" w:cs="Times New Roman"/>
          <w:color w:val="FF0000"/>
          <w:sz w:val="24"/>
          <w:szCs w:val="24"/>
        </w:rPr>
      </w:pPr>
      <w:r w:rsidRPr="00215667">
        <w:rPr>
          <w:rFonts w:ascii="Times New Roman" w:hAnsi="Times New Roman" w:cs="Times New Roman"/>
          <w:sz w:val="24"/>
          <w:szCs w:val="24"/>
        </w:rPr>
        <w:t>Нарушувањата на тромбоцитната агрегација може да бидат наследни и стекнати и</w:t>
      </w:r>
      <w:r w:rsidRPr="00215667">
        <w:rPr>
          <w:rFonts w:ascii="Times New Roman" w:hAnsi="Times New Roman" w:cs="Times New Roman"/>
          <w:b/>
          <w:sz w:val="24"/>
          <w:szCs w:val="24"/>
        </w:rPr>
        <w:t xml:space="preserve"> </w:t>
      </w:r>
      <w:r w:rsidRPr="00215667">
        <w:rPr>
          <w:rFonts w:ascii="Times New Roman" w:hAnsi="Times New Roman" w:cs="Times New Roman"/>
          <w:bCs/>
          <w:sz w:val="24"/>
          <w:szCs w:val="24"/>
        </w:rPr>
        <w:t>резултираат со нивна зголемена функција (тромбоза) или намалена функција (хеморагија).</w:t>
      </w:r>
      <w:r w:rsidRPr="00215667">
        <w:rPr>
          <w:rFonts w:ascii="Times New Roman" w:hAnsi="Times New Roman" w:cs="Times New Roman"/>
          <w:bCs/>
          <w:sz w:val="24"/>
          <w:szCs w:val="24"/>
          <w:vertAlign w:val="superscript"/>
        </w:rPr>
        <w:t>6,7</w:t>
      </w:r>
      <w:r w:rsidRPr="00215667">
        <w:rPr>
          <w:rFonts w:ascii="Times New Roman" w:hAnsi="Times New Roman" w:cs="Times New Roman"/>
          <w:bCs/>
          <w:sz w:val="24"/>
          <w:szCs w:val="24"/>
        </w:rPr>
        <w:t xml:space="preserve"> Иако наследната намалена агрегабилност на тромбоцитите (хипоагрегабилност) е поретка во клиничката прак</w:t>
      </w:r>
      <w:r w:rsidR="00694CFA">
        <w:rPr>
          <w:rFonts w:ascii="Times New Roman" w:hAnsi="Times New Roman" w:cs="Times New Roman"/>
          <w:bCs/>
          <w:sz w:val="24"/>
          <w:szCs w:val="24"/>
        </w:rPr>
        <w:t>тик</w:t>
      </w:r>
      <w:r w:rsidRPr="00215667">
        <w:rPr>
          <w:rFonts w:ascii="Times New Roman" w:hAnsi="Times New Roman" w:cs="Times New Roman"/>
          <w:bCs/>
          <w:sz w:val="24"/>
          <w:szCs w:val="24"/>
        </w:rPr>
        <w:t>а отколку стекнатата, заслужува посебно внимание бидејќи е обично посериозна во однос на тенденцијата за крвавење. Тромбоцитната хипоагрегабилност е aвтосомно-рецесивно наследен синдром на крвавење.</w:t>
      </w:r>
      <w:r w:rsidRPr="00215667">
        <w:rPr>
          <w:rFonts w:ascii="Times New Roman" w:hAnsi="Times New Roman" w:cs="Times New Roman"/>
          <w:b/>
          <w:sz w:val="24"/>
          <w:szCs w:val="24"/>
        </w:rPr>
        <w:t xml:space="preserve"> </w:t>
      </w:r>
      <w:r w:rsidRPr="00215667">
        <w:rPr>
          <w:rFonts w:ascii="Times New Roman" w:hAnsi="Times New Roman" w:cs="Times New Roman"/>
          <w:sz w:val="24"/>
          <w:szCs w:val="24"/>
        </w:rPr>
        <w:t>Оваа состојба вклучува вродени дефекти во агрегациската интеракција меѓу тромбоцитите, како последица на недостаток/дефект на GP Ilb-IIIa и недостаток на рецептори за ADP, колаген и ристоцетин</w:t>
      </w:r>
      <w:r w:rsidRPr="00215667">
        <w:rPr>
          <w:rFonts w:ascii="Times New Roman" w:hAnsi="Times New Roman" w:cs="Times New Roman"/>
          <w:b/>
          <w:sz w:val="24"/>
          <w:szCs w:val="24"/>
        </w:rPr>
        <w:t>.</w:t>
      </w:r>
      <w:r w:rsidRPr="00215667">
        <w:rPr>
          <w:rFonts w:ascii="Times New Roman" w:hAnsi="Times New Roman" w:cs="Times New Roman"/>
          <w:sz w:val="24"/>
          <w:szCs w:val="24"/>
          <w:vertAlign w:val="superscript"/>
        </w:rPr>
        <w:t>8,9</w:t>
      </w:r>
      <w:r w:rsidRPr="00215667">
        <w:rPr>
          <w:rFonts w:ascii="Times New Roman" w:hAnsi="Times New Roman" w:cs="Times New Roman"/>
          <w:color w:val="FF0000"/>
          <w:sz w:val="24"/>
          <w:szCs w:val="24"/>
        </w:rPr>
        <w:t xml:space="preserve"> </w:t>
      </w:r>
    </w:p>
    <w:p w14:paraId="5B1BC896" w14:textId="5FE0957B" w:rsidR="00412474" w:rsidRPr="00215667" w:rsidRDefault="00412474" w:rsidP="00D35942">
      <w:pPr>
        <w:spacing w:after="0" w:line="360" w:lineRule="auto"/>
        <w:ind w:firstLine="720"/>
        <w:jc w:val="both"/>
        <w:rPr>
          <w:rFonts w:ascii="Times New Roman" w:hAnsi="Times New Roman" w:cs="Times New Roman"/>
          <w:sz w:val="24"/>
          <w:szCs w:val="24"/>
          <w:vertAlign w:val="superscript"/>
        </w:rPr>
      </w:pPr>
      <w:r w:rsidRPr="00215667">
        <w:rPr>
          <w:rFonts w:ascii="Times New Roman" w:hAnsi="Times New Roman" w:cs="Times New Roman"/>
          <w:sz w:val="24"/>
          <w:szCs w:val="24"/>
        </w:rPr>
        <w:t>Инциденцата на хипоагрегабилност, кај пациенти со нормален број на тромбоцити и со намалени вредности на сигнификантните предиктори за хипоагрегабилноста (ADP, колаген и ристоцетин) е присутна 0,23-1,13 случаи на 10 000, во популациските студии.</w:t>
      </w:r>
      <w:r w:rsidRPr="00215667">
        <w:rPr>
          <w:rFonts w:ascii="Times New Roman" w:hAnsi="Times New Roman" w:cs="Times New Roman"/>
          <w:sz w:val="24"/>
          <w:szCs w:val="24"/>
          <w:vertAlign w:val="superscript"/>
        </w:rPr>
        <w:t>104</w:t>
      </w:r>
      <w:r w:rsidRPr="00215667">
        <w:rPr>
          <w:rFonts w:ascii="Times New Roman" w:hAnsi="Times New Roman" w:cs="Times New Roman"/>
          <w:sz w:val="24"/>
          <w:szCs w:val="24"/>
        </w:rPr>
        <w:t xml:space="preserve"> Во литературата, е потврдено дека,  арапските популации се со поголем ризики и со поголема стапка на  хипоагрегабилноста, како и сите останати нарушувања на хемостазат</w:t>
      </w:r>
      <w:r w:rsidR="00694CFA">
        <w:rPr>
          <w:rFonts w:ascii="Times New Roman" w:hAnsi="Times New Roman" w:cs="Times New Roman"/>
          <w:sz w:val="24"/>
          <w:szCs w:val="24"/>
        </w:rPr>
        <w:t>а</w:t>
      </w:r>
      <w:r w:rsidRPr="00215667">
        <w:rPr>
          <w:rFonts w:ascii="Times New Roman" w:hAnsi="Times New Roman" w:cs="Times New Roman"/>
          <w:sz w:val="24"/>
          <w:szCs w:val="24"/>
        </w:rPr>
        <w:t xml:space="preserve">, во споредба со западните популации поради поголема застапеност на сродни бракови. Овие нарушувања доведуваат до сериозна тенденција на крвавење, а најголемиот проблем е што често не се дијагностицирани. Лекарите и стоматолозите, често се соочуваат со </w:t>
      </w:r>
      <w:r w:rsidRPr="00215667">
        <w:rPr>
          <w:rFonts w:ascii="Times New Roman" w:hAnsi="Times New Roman" w:cs="Times New Roman"/>
          <w:sz w:val="24"/>
          <w:szCs w:val="24"/>
        </w:rPr>
        <w:lastRenderedPageBreak/>
        <w:t xml:space="preserve">појава на прекумерни крвавења кои варираат од лесни до опасни по живот, најчесто во тек на оперативни процедури.  </w:t>
      </w:r>
    </w:p>
    <w:p w14:paraId="7A186C73" w14:textId="593CC896" w:rsidR="00412474" w:rsidRPr="00215667" w:rsidRDefault="00412474" w:rsidP="00D35942">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Висока инциденца е последица на самопријавени симптоми на крвавење кај 25</w:t>
      </w:r>
      <w:r w:rsidR="00694CFA">
        <w:rPr>
          <w:rFonts w:ascii="Times New Roman" w:hAnsi="Times New Roman" w:cs="Times New Roman"/>
          <w:sz w:val="24"/>
          <w:szCs w:val="24"/>
        </w:rPr>
        <w:t xml:space="preserve"> </w:t>
      </w:r>
      <w:r w:rsidRPr="00215667">
        <w:rPr>
          <w:rFonts w:ascii="Times New Roman" w:hAnsi="Times New Roman" w:cs="Times New Roman"/>
          <w:sz w:val="24"/>
          <w:szCs w:val="24"/>
        </w:rPr>
        <w:t>%</w:t>
      </w:r>
      <w:r w:rsidR="00694CFA">
        <w:rPr>
          <w:rFonts w:ascii="Times New Roman" w:hAnsi="Times New Roman" w:cs="Times New Roman"/>
          <w:sz w:val="24"/>
          <w:szCs w:val="24"/>
        </w:rPr>
        <w:t>,</w:t>
      </w:r>
      <w:r w:rsidRPr="00215667">
        <w:rPr>
          <w:rFonts w:ascii="Times New Roman" w:hAnsi="Times New Roman" w:cs="Times New Roman"/>
          <w:sz w:val="24"/>
          <w:szCs w:val="24"/>
        </w:rPr>
        <w:t xml:space="preserve"> а дури 50-60</w:t>
      </w:r>
      <w:r w:rsidR="00694CFA">
        <w:rPr>
          <w:rFonts w:ascii="Times New Roman" w:hAnsi="Times New Roman" w:cs="Times New Roman"/>
          <w:sz w:val="24"/>
          <w:szCs w:val="24"/>
        </w:rPr>
        <w:t xml:space="preserve"> </w:t>
      </w:r>
      <w:r w:rsidRPr="00215667">
        <w:rPr>
          <w:rFonts w:ascii="Times New Roman" w:hAnsi="Times New Roman" w:cs="Times New Roman"/>
          <w:sz w:val="24"/>
          <w:szCs w:val="24"/>
        </w:rPr>
        <w:t xml:space="preserve">% од упатените лица, кои имаат нормален број на тромбоцити, имаат намалени вредности на ADP, </w:t>
      </w:r>
      <w:r w:rsidR="00694CFA" w:rsidRPr="00215667">
        <w:rPr>
          <w:rFonts w:ascii="Times New Roman" w:hAnsi="Times New Roman" w:cs="Times New Roman"/>
          <w:sz w:val="24"/>
          <w:szCs w:val="24"/>
        </w:rPr>
        <w:t xml:space="preserve">колаген и ристоцетин </w:t>
      </w:r>
      <w:r w:rsidRPr="00215667">
        <w:rPr>
          <w:rFonts w:ascii="Times New Roman" w:hAnsi="Times New Roman" w:cs="Times New Roman"/>
          <w:sz w:val="24"/>
          <w:szCs w:val="24"/>
        </w:rPr>
        <w:t>и висок ризик фактор на крвавење.</w:t>
      </w:r>
      <w:r w:rsidRPr="00694CFA">
        <w:rPr>
          <w:rFonts w:ascii="Times New Roman" w:hAnsi="Times New Roman" w:cs="Times New Roman"/>
          <w:sz w:val="24"/>
          <w:szCs w:val="24"/>
          <w:vertAlign w:val="superscript"/>
        </w:rPr>
        <w:t>10,11</w:t>
      </w:r>
      <w:r w:rsidRPr="00215667">
        <w:rPr>
          <w:rFonts w:ascii="Times New Roman" w:hAnsi="Times New Roman" w:cs="Times New Roman"/>
          <w:sz w:val="24"/>
          <w:szCs w:val="24"/>
        </w:rPr>
        <w:t xml:space="preserve"> Скрининг тест кој вклучува агрегација индуцирана од 2 и 10 μM ADP и μg/mL колаген и ристоцетин, обезбедува почетна индикација за тромбоцитно оштетување и ризик за крвавење.</w:t>
      </w:r>
      <w:r w:rsidRPr="00694CFA">
        <w:rPr>
          <w:rFonts w:ascii="Times New Roman" w:hAnsi="Times New Roman" w:cs="Times New Roman"/>
          <w:sz w:val="24"/>
          <w:szCs w:val="24"/>
          <w:vertAlign w:val="superscript"/>
        </w:rPr>
        <w:t>12,13</w:t>
      </w:r>
    </w:p>
    <w:p w14:paraId="160582B3" w14:textId="03ADB05D" w:rsidR="00412474" w:rsidRPr="00215667" w:rsidRDefault="00412474" w:rsidP="00D35942">
      <w:pPr>
        <w:spacing w:after="0" w:line="360" w:lineRule="auto"/>
        <w:ind w:firstLine="720"/>
        <w:jc w:val="both"/>
        <w:rPr>
          <w:rFonts w:ascii="Times New Roman" w:hAnsi="Times New Roman" w:cs="Times New Roman"/>
          <w:color w:val="FF0000"/>
          <w:sz w:val="24"/>
          <w:szCs w:val="24"/>
        </w:rPr>
      </w:pPr>
      <w:r w:rsidRPr="00D80713">
        <w:rPr>
          <w:rFonts w:ascii="Times New Roman" w:hAnsi="Times New Roman" w:cs="Times New Roman"/>
          <w:bCs/>
          <w:sz w:val="24"/>
          <w:szCs w:val="24"/>
        </w:rPr>
        <w:t>Направен е сеопфатен преглед на релевантната располож</w:t>
      </w:r>
      <w:r w:rsidR="00D80713">
        <w:rPr>
          <w:rFonts w:ascii="Times New Roman" w:hAnsi="Times New Roman" w:cs="Times New Roman"/>
          <w:bCs/>
          <w:sz w:val="24"/>
          <w:szCs w:val="24"/>
        </w:rPr>
        <w:t>л</w:t>
      </w:r>
      <w:r w:rsidRPr="00D80713">
        <w:rPr>
          <w:rFonts w:ascii="Times New Roman" w:hAnsi="Times New Roman" w:cs="Times New Roman"/>
          <w:bCs/>
          <w:sz w:val="24"/>
          <w:szCs w:val="24"/>
        </w:rPr>
        <w:t>ива  литература  од 2013</w:t>
      </w:r>
      <w:r w:rsidR="00D80713">
        <w:rPr>
          <w:rFonts w:ascii="Times New Roman" w:hAnsi="Times New Roman" w:cs="Times New Roman"/>
          <w:bCs/>
          <w:sz w:val="24"/>
          <w:szCs w:val="24"/>
        </w:rPr>
        <w:t xml:space="preserve"> до </w:t>
      </w:r>
      <w:r w:rsidRPr="00D80713">
        <w:rPr>
          <w:rFonts w:ascii="Times New Roman" w:hAnsi="Times New Roman" w:cs="Times New Roman"/>
          <w:bCs/>
          <w:sz w:val="24"/>
          <w:szCs w:val="24"/>
        </w:rPr>
        <w:t>2023 за тромбоцитната хипоагрегабилност. Досегашните сознанија сугерираат дека д</w:t>
      </w:r>
      <w:r w:rsidRPr="00D80713">
        <w:rPr>
          <w:rFonts w:ascii="Times New Roman" w:hAnsi="Times New Roman" w:cs="Times New Roman"/>
          <w:sz w:val="24"/>
          <w:szCs w:val="24"/>
        </w:rPr>
        <w:t>ијагнозата се поставува врз основа на анамнестички податоци за</w:t>
      </w:r>
      <w:r w:rsidRPr="00215667">
        <w:rPr>
          <w:rFonts w:ascii="Times New Roman" w:hAnsi="Times New Roman" w:cs="Times New Roman"/>
          <w:sz w:val="24"/>
          <w:szCs w:val="24"/>
        </w:rPr>
        <w:t xml:space="preserve"> прекумерно крвавење</w:t>
      </w:r>
      <w:r w:rsidRPr="00215667">
        <w:rPr>
          <w:rFonts w:ascii="Times New Roman" w:hAnsi="Times New Roman" w:cs="Times New Roman"/>
          <w:b/>
          <w:sz w:val="24"/>
          <w:szCs w:val="24"/>
        </w:rPr>
        <w:t xml:space="preserve"> </w:t>
      </w:r>
      <w:r w:rsidRPr="00215667">
        <w:rPr>
          <w:rFonts w:ascii="Times New Roman" w:hAnsi="Times New Roman" w:cs="Times New Roman"/>
          <w:sz w:val="24"/>
          <w:szCs w:val="24"/>
        </w:rPr>
        <w:t>или семејна историја на пролонгирани крвавења, т.е. присуство на барем едно од следниве симптоми: честа епистакса; продолжено крвавење (&gt;</w:t>
      </w:r>
      <w:r w:rsidR="00D80713">
        <w:rPr>
          <w:rFonts w:ascii="Times New Roman" w:hAnsi="Times New Roman" w:cs="Times New Roman"/>
          <w:sz w:val="24"/>
          <w:szCs w:val="24"/>
        </w:rPr>
        <w:t xml:space="preserve"> </w:t>
      </w:r>
      <w:r w:rsidRPr="00215667">
        <w:rPr>
          <w:rFonts w:ascii="Times New Roman" w:hAnsi="Times New Roman" w:cs="Times New Roman"/>
          <w:sz w:val="24"/>
          <w:szCs w:val="24"/>
        </w:rPr>
        <w:t xml:space="preserve">10 мин.) при лацерација на кожа и отежнато зараснување на рани;  постоперативни крвавења, вклучително и вадење на заб; крвавење во зглобовите или појава на хематоми без позната  причина; продолжено и обилно менструално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 8 дена). Најчесто (88.8</w:t>
      </w:r>
      <w:r w:rsidR="00D80713">
        <w:rPr>
          <w:rFonts w:ascii="Times New Roman" w:hAnsi="Times New Roman" w:cs="Times New Roman"/>
          <w:sz w:val="24"/>
          <w:szCs w:val="24"/>
        </w:rPr>
        <w:t xml:space="preserve"> </w:t>
      </w:r>
      <w:r w:rsidRPr="00215667">
        <w:rPr>
          <w:rFonts w:ascii="Times New Roman" w:hAnsi="Times New Roman" w:cs="Times New Roman"/>
          <w:sz w:val="24"/>
          <w:szCs w:val="24"/>
        </w:rPr>
        <w:t>%) од случаите побарале помош и се дијагностицирани поради гингивални крвавења во усна шуплина.</w:t>
      </w:r>
      <w:r w:rsidRPr="00215667">
        <w:rPr>
          <w:rFonts w:ascii="Times New Roman" w:hAnsi="Times New Roman" w:cs="Times New Roman"/>
          <w:sz w:val="24"/>
          <w:szCs w:val="24"/>
          <w:vertAlign w:val="superscript"/>
        </w:rPr>
        <w:t>13</w:t>
      </w:r>
      <w:r w:rsidRPr="00215667">
        <w:rPr>
          <w:rFonts w:ascii="Times New Roman" w:hAnsi="Times New Roman" w:cs="Times New Roman"/>
          <w:color w:val="FF0000"/>
          <w:sz w:val="24"/>
          <w:szCs w:val="24"/>
        </w:rPr>
        <w:t xml:space="preserve"> </w:t>
      </w:r>
    </w:p>
    <w:p w14:paraId="6C73B75C" w14:textId="6CD4B77C" w:rsidR="00412474" w:rsidRPr="00215667" w:rsidRDefault="00412474" w:rsidP="00D35942">
      <w:pPr>
        <w:spacing w:after="0" w:line="360" w:lineRule="auto"/>
        <w:ind w:firstLine="720"/>
        <w:jc w:val="both"/>
        <w:rPr>
          <w:rFonts w:ascii="Times New Roman" w:hAnsi="Times New Roman" w:cs="Times New Roman"/>
          <w:color w:val="FF0000"/>
          <w:sz w:val="24"/>
          <w:szCs w:val="24"/>
        </w:rPr>
      </w:pPr>
      <w:r w:rsidRPr="00215667">
        <w:rPr>
          <w:rFonts w:ascii="Times New Roman" w:hAnsi="Times New Roman" w:cs="Times New Roman"/>
          <w:sz w:val="24"/>
          <w:szCs w:val="24"/>
        </w:rPr>
        <w:t>Историски гледано, суспектните пациенти со историја на тешки крвавења, во 1960-тите биле подложувани на интервенции изведувани во општа анестезија и обезбедување на претходно изработени протези за обтурација на полето кое крвави, како единствен план за сопирање на крвавење</w:t>
      </w:r>
      <w:r w:rsidR="00D80713">
        <w:rPr>
          <w:rFonts w:ascii="Times New Roman" w:hAnsi="Times New Roman" w:cs="Times New Roman"/>
          <w:sz w:val="24"/>
          <w:szCs w:val="24"/>
        </w:rPr>
        <w:t>то</w:t>
      </w:r>
      <w:r w:rsidRPr="00215667">
        <w:rPr>
          <w:rFonts w:ascii="Times New Roman" w:hAnsi="Times New Roman" w:cs="Times New Roman"/>
          <w:sz w:val="24"/>
          <w:szCs w:val="24"/>
        </w:rPr>
        <w:t xml:space="preserve">. Од тогаш се работи на пронаоѓање, усовршување и воведувањето на концентрати на фактор на коагулација и антифибринолитички агенси. Иновациите на нови материјали и хемостатски агенси, внимавање на изведување на прецизни оперативни техники, употреба на локални хемостатски агенси, зголемување на интересот за превенција и навремено откривање на заболувањата, заедно со развојот на минимално инвазивни техники најавило нова ера во медицината и стоматологијата за заштита </w:t>
      </w:r>
      <w:r w:rsidR="00D80713">
        <w:rPr>
          <w:rFonts w:ascii="Times New Roman" w:hAnsi="Times New Roman" w:cs="Times New Roman"/>
          <w:sz w:val="24"/>
          <w:szCs w:val="24"/>
        </w:rPr>
        <w:t>на</w:t>
      </w:r>
      <w:r w:rsidRPr="00215667">
        <w:rPr>
          <w:rFonts w:ascii="Times New Roman" w:hAnsi="Times New Roman" w:cs="Times New Roman"/>
          <w:sz w:val="24"/>
          <w:szCs w:val="24"/>
        </w:rPr>
        <w:t xml:space="preserve"> пациенти</w:t>
      </w:r>
      <w:r w:rsidR="00D80713">
        <w:rPr>
          <w:rFonts w:ascii="Times New Roman" w:hAnsi="Times New Roman" w:cs="Times New Roman"/>
          <w:sz w:val="24"/>
          <w:szCs w:val="24"/>
        </w:rPr>
        <w:t>те</w:t>
      </w:r>
      <w:r w:rsidRPr="00215667">
        <w:rPr>
          <w:rFonts w:ascii="Times New Roman" w:hAnsi="Times New Roman" w:cs="Times New Roman"/>
          <w:sz w:val="24"/>
          <w:szCs w:val="24"/>
        </w:rPr>
        <w:t xml:space="preserve"> и смалување на ризикот од инциденцата на крвавења кај крвните дискразии. Вниманието е особено насочено кон профилактични методи и периоперативно менаџирање на крвавење</w:t>
      </w:r>
      <w:r w:rsidR="00D80713">
        <w:rPr>
          <w:rFonts w:ascii="Times New Roman" w:hAnsi="Times New Roman" w:cs="Times New Roman"/>
          <w:sz w:val="24"/>
          <w:szCs w:val="24"/>
        </w:rPr>
        <w:t>то.</w:t>
      </w:r>
      <w:r w:rsidRPr="00215667">
        <w:rPr>
          <w:rFonts w:ascii="Times New Roman" w:hAnsi="Times New Roman" w:cs="Times New Roman"/>
          <w:sz w:val="24"/>
          <w:szCs w:val="24"/>
          <w:vertAlign w:val="superscript"/>
        </w:rPr>
        <w:t>104</w:t>
      </w:r>
      <w:r w:rsidRPr="00215667">
        <w:rPr>
          <w:rFonts w:ascii="Times New Roman" w:hAnsi="Times New Roman" w:cs="Times New Roman"/>
          <w:color w:val="FF0000"/>
          <w:sz w:val="24"/>
          <w:szCs w:val="24"/>
        </w:rPr>
        <w:t xml:space="preserve"> </w:t>
      </w:r>
    </w:p>
    <w:p w14:paraId="2E4E3650" w14:textId="6A7B0FC9" w:rsidR="00412474" w:rsidRPr="00215667" w:rsidRDefault="00412474" w:rsidP="00D35942">
      <w:pPr>
        <w:spacing w:after="0" w:line="360" w:lineRule="auto"/>
        <w:ind w:firstLine="720"/>
        <w:jc w:val="both"/>
        <w:rPr>
          <w:rFonts w:ascii="Times New Roman" w:hAnsi="Times New Roman" w:cs="Times New Roman"/>
          <w:bCs/>
          <w:color w:val="212121"/>
          <w:sz w:val="24"/>
          <w:szCs w:val="24"/>
          <w:shd w:val="clear" w:color="auto" w:fill="FFFFFF"/>
        </w:rPr>
      </w:pPr>
      <w:r w:rsidRPr="00215667">
        <w:rPr>
          <w:rFonts w:ascii="Times New Roman" w:hAnsi="Times New Roman" w:cs="Times New Roman"/>
          <w:sz w:val="24"/>
          <w:szCs w:val="24"/>
        </w:rPr>
        <w:lastRenderedPageBreak/>
        <w:t>Во случаи, кога се сомневаме на фамилијарна историја или имаме анамнестички податок за продолжени крвавења, вообичаена прак</w:t>
      </w:r>
      <w:r w:rsidR="00D80713">
        <w:rPr>
          <w:rFonts w:ascii="Times New Roman" w:hAnsi="Times New Roman" w:cs="Times New Roman"/>
          <w:sz w:val="24"/>
          <w:szCs w:val="24"/>
        </w:rPr>
        <w:t>тик</w:t>
      </w:r>
      <w:r w:rsidRPr="00215667">
        <w:rPr>
          <w:rFonts w:ascii="Times New Roman" w:hAnsi="Times New Roman" w:cs="Times New Roman"/>
          <w:sz w:val="24"/>
          <w:szCs w:val="24"/>
        </w:rPr>
        <w:t xml:space="preserve">а е да се продолжи со етапна серија на испитувања, за утврдување на прецизна дијагноза. Иако во повеќето случаи детална анамнеза може да биде доволна за да се направи разлика помеѓу тромбоцитна абнормалност и абнормалност на коагулација (петехии, мукокутано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одложено секундарно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нарушување на заздравувањето на раните), постои општ консензус за изведување на  </w:t>
      </w:r>
      <w:r w:rsidR="00D80713">
        <w:rPr>
          <w:rFonts w:ascii="Times New Roman" w:hAnsi="Times New Roman" w:cs="Times New Roman"/>
          <w:sz w:val="24"/>
          <w:szCs w:val="24"/>
        </w:rPr>
        <w:t>лабораториски</w:t>
      </w:r>
      <w:r w:rsidRPr="00215667">
        <w:rPr>
          <w:rFonts w:ascii="Times New Roman" w:hAnsi="Times New Roman" w:cs="Times New Roman"/>
          <w:sz w:val="24"/>
          <w:szCs w:val="24"/>
        </w:rPr>
        <w:t xml:space="preserve"> тестови за тромбоцитопатиите т.е. тромбоцитната хипоагрегабилност</w:t>
      </w:r>
      <w:r w:rsidRPr="00D80713">
        <w:rPr>
          <w:rFonts w:ascii="Times New Roman" w:hAnsi="Times New Roman" w:cs="Times New Roman"/>
          <w:bCs/>
          <w:sz w:val="24"/>
          <w:szCs w:val="24"/>
        </w:rPr>
        <w:t>:</w:t>
      </w:r>
      <w:r w:rsidRPr="00215667">
        <w:rPr>
          <w:rFonts w:ascii="Times New Roman" w:hAnsi="Times New Roman" w:cs="Times New Roman"/>
          <w:b/>
          <w:sz w:val="24"/>
          <w:szCs w:val="24"/>
        </w:rPr>
        <w:t xml:space="preserve"> </w:t>
      </w:r>
      <w:r w:rsidRPr="00215667">
        <w:rPr>
          <w:rFonts w:ascii="Times New Roman" w:hAnsi="Times New Roman" w:cs="Times New Roman"/>
          <w:bCs/>
          <w:sz w:val="24"/>
          <w:szCs w:val="24"/>
        </w:rPr>
        <w:t>ККС, тест за коагулација и хемостаза: број на тромбоцити,</w:t>
      </w:r>
      <w:r w:rsidRPr="00215667">
        <w:rPr>
          <w:rFonts w:ascii="Times New Roman" w:eastAsia="Times New Roman" w:hAnsi="Times New Roman" w:cs="Times New Roman"/>
          <w:bCs/>
          <w:sz w:val="24"/>
          <w:szCs w:val="24"/>
          <w:lang w:eastAsia="mk-MK"/>
        </w:rPr>
        <w:t xml:space="preserve"> </w:t>
      </w:r>
      <w:r w:rsidRPr="00215667">
        <w:rPr>
          <w:rFonts w:ascii="Times New Roman" w:hAnsi="Times New Roman" w:cs="Times New Roman"/>
          <w:bCs/>
          <w:sz w:val="24"/>
          <w:szCs w:val="24"/>
        </w:rPr>
        <w:t>просечен волумен на тромбоцити (MPV),  протромбин</w:t>
      </w:r>
      <w:r w:rsidR="00D80713">
        <w:rPr>
          <w:rFonts w:ascii="Times New Roman" w:hAnsi="Times New Roman" w:cs="Times New Roman"/>
          <w:bCs/>
          <w:sz w:val="24"/>
          <w:szCs w:val="24"/>
        </w:rPr>
        <w:t>ско</w:t>
      </w:r>
      <w:r w:rsidRPr="00215667">
        <w:rPr>
          <w:rFonts w:ascii="Times New Roman" w:hAnsi="Times New Roman" w:cs="Times New Roman"/>
          <w:bCs/>
          <w:sz w:val="24"/>
          <w:szCs w:val="24"/>
        </w:rPr>
        <w:t xml:space="preserve"> време (PT), активирано парцијално тромбопластинско време (aPTT), </w:t>
      </w:r>
      <w:r w:rsidRPr="00215667">
        <w:rPr>
          <w:rFonts w:ascii="Times New Roman" w:eastAsia="Times New Roman" w:hAnsi="Times New Roman" w:cs="Times New Roman"/>
          <w:bCs/>
          <w:iCs/>
          <w:sz w:val="24"/>
          <w:szCs w:val="24"/>
        </w:rPr>
        <w:t xml:space="preserve">парцијално </w:t>
      </w:r>
      <w:r w:rsidR="00064AC6" w:rsidRPr="00215667">
        <w:rPr>
          <w:rFonts w:ascii="Times New Roman" w:hAnsi="Times New Roman" w:cs="Times New Roman"/>
          <w:bCs/>
          <w:sz w:val="24"/>
          <w:szCs w:val="24"/>
        </w:rPr>
        <w:t xml:space="preserve">тромбопластинско </w:t>
      </w:r>
      <w:r w:rsidRPr="00215667">
        <w:rPr>
          <w:rFonts w:ascii="Times New Roman" w:eastAsia="Times New Roman" w:hAnsi="Times New Roman" w:cs="Times New Roman"/>
          <w:bCs/>
          <w:iCs/>
          <w:sz w:val="24"/>
          <w:szCs w:val="24"/>
        </w:rPr>
        <w:t xml:space="preserve">време (PTT), </w:t>
      </w:r>
      <w:r w:rsidRPr="00215667">
        <w:rPr>
          <w:rFonts w:ascii="Times New Roman" w:hAnsi="Times New Roman" w:cs="Times New Roman"/>
          <w:bCs/>
          <w:sz w:val="24"/>
          <w:szCs w:val="24"/>
        </w:rPr>
        <w:t xml:space="preserve">тромбинско време (TT); </w:t>
      </w:r>
      <w:r w:rsidRPr="00215667">
        <w:rPr>
          <w:rFonts w:ascii="Times New Roman" w:eastAsia="Times New Roman" w:hAnsi="Times New Roman" w:cs="Times New Roman"/>
          <w:bCs/>
          <w:iCs/>
          <w:sz w:val="24"/>
          <w:szCs w:val="24"/>
        </w:rPr>
        <w:t xml:space="preserve">коагулациони фактори: антихемофиличен глобин (ф. VIII), </w:t>
      </w:r>
      <w:r w:rsidRPr="00064AC6">
        <w:rPr>
          <w:rFonts w:ascii="Times New Roman" w:eastAsia="Times New Roman" w:hAnsi="Times New Roman" w:cs="Times New Roman"/>
          <w:bCs/>
          <w:i/>
          <w:sz w:val="24"/>
          <w:szCs w:val="24"/>
        </w:rPr>
        <w:t>von Willebrand</w:t>
      </w:r>
      <w:r w:rsidRPr="00215667">
        <w:rPr>
          <w:rFonts w:ascii="Times New Roman" w:eastAsia="Times New Roman" w:hAnsi="Times New Roman" w:cs="Times New Roman"/>
          <w:bCs/>
          <w:iCs/>
          <w:sz w:val="24"/>
          <w:szCs w:val="24"/>
        </w:rPr>
        <w:t xml:space="preserve">-ов фактор Ris Co активност и vWF Ag; агрегација и следење на: ADP, </w:t>
      </w:r>
      <w:r w:rsidR="00064AC6" w:rsidRPr="00A55223">
        <w:rPr>
          <w:rFonts w:ascii="Times New Roman" w:hAnsi="Times New Roman" w:cs="Times New Roman"/>
          <w:bCs/>
          <w:sz w:val="24"/>
          <w:szCs w:val="24"/>
        </w:rPr>
        <w:t>колаген и ристоцетин</w:t>
      </w:r>
      <w:bookmarkStart w:id="5" w:name="_Hlk208571441"/>
      <w:r w:rsidR="00064AC6">
        <w:rPr>
          <w:rFonts w:ascii="Times New Roman" w:hAnsi="Times New Roman" w:cs="Times New Roman"/>
          <w:bCs/>
          <w:sz w:val="24"/>
          <w:szCs w:val="24"/>
        </w:rPr>
        <w:t xml:space="preserve"> </w:t>
      </w:r>
      <w:r w:rsidR="00064AC6" w:rsidRPr="00215667">
        <w:rPr>
          <w:rFonts w:ascii="Times New Roman" w:hAnsi="Times New Roman" w:cs="Times New Roman"/>
          <w:bCs/>
          <w:sz w:val="24"/>
          <w:szCs w:val="24"/>
        </w:rPr>
        <w:t>(</w:t>
      </w:r>
      <w:r w:rsidR="00064AC6">
        <w:rPr>
          <w:rFonts w:ascii="Times New Roman" w:hAnsi="Times New Roman" w:cs="Times New Roman"/>
          <w:bCs/>
          <w:sz w:val="24"/>
          <w:szCs w:val="24"/>
        </w:rPr>
        <w:t>с</w:t>
      </w:r>
      <w:r w:rsidR="00064AC6" w:rsidRPr="00215667">
        <w:rPr>
          <w:rFonts w:ascii="Times New Roman" w:hAnsi="Times New Roman" w:cs="Times New Roman"/>
          <w:bCs/>
          <w:sz w:val="24"/>
          <w:szCs w:val="24"/>
        </w:rPr>
        <w:t>лика број1</w:t>
      </w:r>
      <w:r w:rsidR="00064AC6" w:rsidRPr="00215667">
        <w:rPr>
          <w:rFonts w:ascii="Times New Roman" w:hAnsi="Times New Roman" w:cs="Times New Roman"/>
          <w:bCs/>
          <w:color w:val="212121"/>
          <w:sz w:val="24"/>
          <w:szCs w:val="24"/>
          <w:shd w:val="clear" w:color="auto" w:fill="FFFFFF"/>
        </w:rPr>
        <w:t>).</w:t>
      </w:r>
      <w:bookmarkEnd w:id="5"/>
      <w:r w:rsidRPr="00064AC6">
        <w:rPr>
          <w:rFonts w:ascii="Times New Roman" w:hAnsi="Times New Roman" w:cs="Times New Roman"/>
          <w:bCs/>
          <w:sz w:val="24"/>
          <w:szCs w:val="24"/>
          <w:vertAlign w:val="superscript"/>
        </w:rPr>
        <w:t>14,15,16,17</w:t>
      </w:r>
      <w:r w:rsidRPr="00215667">
        <w:rPr>
          <w:rFonts w:ascii="Times New Roman" w:hAnsi="Times New Roman" w:cs="Times New Roman"/>
          <w:b/>
          <w:sz w:val="24"/>
          <w:szCs w:val="24"/>
        </w:rPr>
        <w:t xml:space="preserve"> </w:t>
      </w:r>
    </w:p>
    <w:p w14:paraId="09867880" w14:textId="77777777" w:rsidR="00412474" w:rsidRPr="00215667" w:rsidRDefault="00412474" w:rsidP="00D35942">
      <w:pPr>
        <w:pStyle w:val="NoSpacing"/>
        <w:spacing w:line="360" w:lineRule="auto"/>
        <w:rPr>
          <w:rFonts w:ascii="Times New Roman" w:hAnsi="Times New Roman" w:cs="Times New Roman"/>
          <w:bCs/>
          <w:color w:val="212121"/>
          <w:sz w:val="24"/>
          <w:szCs w:val="24"/>
          <w:shd w:val="clear" w:color="auto" w:fill="FFFFFF"/>
        </w:rPr>
      </w:pPr>
    </w:p>
    <w:p w14:paraId="06C98D63" w14:textId="77777777" w:rsidR="00412474" w:rsidRPr="00215667" w:rsidRDefault="00412474" w:rsidP="00D35942">
      <w:pPr>
        <w:pStyle w:val="Heading2"/>
        <w:spacing w:line="360" w:lineRule="auto"/>
        <w:rPr>
          <w:rFonts w:ascii="Times New Roman" w:hAnsi="Times New Roman" w:cs="Times New Roman"/>
          <w:bCs/>
          <w:color w:val="000000" w:themeColor="text1"/>
          <w:sz w:val="24"/>
          <w:szCs w:val="24"/>
          <w:shd w:val="clear" w:color="auto" w:fill="FFFFFF"/>
        </w:rPr>
      </w:pPr>
      <w:bookmarkStart w:id="6" w:name="_Toc209005144"/>
      <w:r w:rsidRPr="00215667">
        <w:rPr>
          <w:rFonts w:ascii="Times New Roman" w:hAnsi="Times New Roman" w:cs="Times New Roman"/>
          <w:color w:val="000000" w:themeColor="text1"/>
          <w:sz w:val="24"/>
          <w:szCs w:val="24"/>
        </w:rPr>
        <w:t>Аденозин дисфосфат (ADP)</w:t>
      </w:r>
      <w:bookmarkEnd w:id="6"/>
      <w:r w:rsidRPr="00215667">
        <w:rPr>
          <w:rFonts w:ascii="Times New Roman" w:hAnsi="Times New Roman" w:cs="Times New Roman"/>
          <w:color w:val="000000" w:themeColor="text1"/>
          <w:sz w:val="24"/>
          <w:szCs w:val="24"/>
        </w:rPr>
        <w:t xml:space="preserve"> </w:t>
      </w:r>
    </w:p>
    <w:p w14:paraId="7D41BBFE" w14:textId="2DD3E164" w:rsidR="00412474" w:rsidRPr="00215667" w:rsidRDefault="00412474" w:rsidP="00D35942">
      <w:pPr>
        <w:spacing w:after="0" w:line="360" w:lineRule="auto"/>
        <w:ind w:firstLine="720"/>
        <w:jc w:val="both"/>
        <w:rPr>
          <w:rFonts w:ascii="Times New Roman" w:hAnsi="Times New Roman" w:cs="Times New Roman"/>
          <w:color w:val="FF0000"/>
          <w:sz w:val="24"/>
          <w:szCs w:val="24"/>
        </w:rPr>
      </w:pPr>
      <w:r w:rsidRPr="00215667">
        <w:rPr>
          <w:rFonts w:ascii="Times New Roman" w:hAnsi="Times New Roman" w:cs="Times New Roman"/>
          <w:sz w:val="24"/>
          <w:szCs w:val="24"/>
        </w:rPr>
        <w:t xml:space="preserve">ADP е природен агонист за агрегација на тромбоцитите кој ги активира преку интеракција со специфични пуринергични рецептори - P2Y1 и P2Y12 [17]. Стимулацијата на тромбоцитите индуцирана од ADP (преку рецепторот P2Y1) иницијално ја зголемува концентрацијата на јони на калциум (Ca2+) во цитоплазмата и доведува до инхибиција на </w:t>
      </w:r>
      <w:r w:rsidRPr="00064AC6">
        <w:rPr>
          <w:rFonts w:ascii="Times New Roman" w:hAnsi="Times New Roman" w:cs="Times New Roman"/>
          <w:i/>
          <w:iCs/>
          <w:sz w:val="24"/>
          <w:szCs w:val="24"/>
        </w:rPr>
        <w:t>adenylyl cyclase</w:t>
      </w:r>
      <w:r w:rsidRPr="00215667">
        <w:rPr>
          <w:rFonts w:ascii="Times New Roman" w:hAnsi="Times New Roman" w:cs="Times New Roman"/>
          <w:sz w:val="24"/>
          <w:szCs w:val="24"/>
        </w:rPr>
        <w:t xml:space="preserve"> (AC). Така, не се јавува синтеза на цикличниот аденозин монофосфат (cAMP) и агрегацијата е неинхибирана. Интрацелуларното зголемување на Ca2+ предизвикано од ADP е одговорно за активирање на мембранските калциумови канали (пуринергичен P2X1 рецептор) и приливот на јони на калциум од надворешната средина во цитоплазмата на тромбоцитите. Абнормалната агрегација како одговор на стимулацијата на ADP, резултира со вродени дефекти на пуринергичните рецептори и доведува до нарушувања на сигнализирањето на тромбоцитите. Поради фактот, дека ADP се складира во густи гранули на тромбоцитите, како резултат на нивното активирање, содржината на гранулите (вклучувајќи ADP) се ослободува за да се подобри агрегацијата и да се поттикне втората фаза на </w:t>
      </w:r>
      <w:r w:rsidRPr="00215667">
        <w:rPr>
          <w:rFonts w:ascii="Times New Roman" w:hAnsi="Times New Roman" w:cs="Times New Roman"/>
          <w:sz w:val="24"/>
          <w:szCs w:val="24"/>
        </w:rPr>
        <w:lastRenderedPageBreak/>
        <w:t>агрегацијата. Нарушувањето на патеката за активирање на тромбоцитите од страна на ADP доведува до патолошки одговор и појава на хипоагрегабилност.</w:t>
      </w:r>
      <w:r w:rsidRPr="00215667">
        <w:rPr>
          <w:rFonts w:ascii="Times New Roman" w:hAnsi="Times New Roman" w:cs="Times New Roman"/>
          <w:sz w:val="24"/>
          <w:szCs w:val="24"/>
          <w:vertAlign w:val="superscript"/>
        </w:rPr>
        <w:t>105</w:t>
      </w:r>
      <w:r w:rsidRPr="00215667">
        <w:rPr>
          <w:rFonts w:ascii="Times New Roman" w:hAnsi="Times New Roman" w:cs="Times New Roman"/>
          <w:sz w:val="24"/>
          <w:szCs w:val="24"/>
        </w:rPr>
        <w:t xml:space="preserve"> </w:t>
      </w:r>
    </w:p>
    <w:p w14:paraId="5DD605D8" w14:textId="77777777" w:rsidR="00412474" w:rsidRPr="00215667" w:rsidRDefault="00412474" w:rsidP="00D35942">
      <w:pPr>
        <w:pStyle w:val="NoSpacing"/>
        <w:spacing w:line="360" w:lineRule="auto"/>
        <w:rPr>
          <w:rFonts w:ascii="Times New Roman" w:hAnsi="Times New Roman" w:cs="Times New Roman"/>
          <w:sz w:val="24"/>
          <w:szCs w:val="24"/>
        </w:rPr>
      </w:pPr>
    </w:p>
    <w:p w14:paraId="1BDE5E5F" w14:textId="3ACD5697" w:rsidR="00412474" w:rsidRPr="009D33CA" w:rsidRDefault="00064AC6" w:rsidP="00D35942">
      <w:pPr>
        <w:pStyle w:val="Heading2"/>
        <w:spacing w:line="360" w:lineRule="auto"/>
        <w:rPr>
          <w:rFonts w:ascii="Times New Roman" w:hAnsi="Times New Roman" w:cs="Times New Roman"/>
          <w:color w:val="000000" w:themeColor="text1"/>
          <w:sz w:val="24"/>
          <w:szCs w:val="24"/>
        </w:rPr>
      </w:pPr>
      <w:bookmarkStart w:id="7" w:name="_Toc209005145"/>
      <w:r w:rsidRPr="009D33CA">
        <w:rPr>
          <w:rFonts w:ascii="Times New Roman" w:hAnsi="Times New Roman" w:cs="Times New Roman"/>
          <w:color w:val="000000" w:themeColor="text1"/>
          <w:sz w:val="24"/>
          <w:szCs w:val="24"/>
        </w:rPr>
        <w:t>Ристоцетин</w:t>
      </w:r>
      <w:bookmarkEnd w:id="7"/>
    </w:p>
    <w:p w14:paraId="3CD72A38" w14:textId="3FB09178" w:rsidR="00412474" w:rsidRPr="00215667" w:rsidRDefault="00064AC6" w:rsidP="00D35942">
      <w:pPr>
        <w:spacing w:after="0" w:line="360" w:lineRule="auto"/>
        <w:ind w:firstLine="720"/>
        <w:jc w:val="both"/>
        <w:rPr>
          <w:rFonts w:ascii="Times New Roman" w:hAnsi="Times New Roman" w:cs="Times New Roman"/>
          <w:color w:val="FF0000"/>
          <w:sz w:val="24"/>
          <w:szCs w:val="24"/>
        </w:rPr>
      </w:pPr>
      <w:r>
        <w:rPr>
          <w:rFonts w:ascii="Times New Roman" w:hAnsi="Times New Roman" w:cs="Times New Roman"/>
          <w:bCs/>
          <w:sz w:val="24"/>
          <w:szCs w:val="24"/>
        </w:rPr>
        <w:t>Р</w:t>
      </w:r>
      <w:r w:rsidRPr="00A55223">
        <w:rPr>
          <w:rFonts w:ascii="Times New Roman" w:hAnsi="Times New Roman" w:cs="Times New Roman"/>
          <w:bCs/>
          <w:sz w:val="24"/>
          <w:szCs w:val="24"/>
        </w:rPr>
        <w:t>истоцетин</w:t>
      </w:r>
      <w:r w:rsidR="00412474" w:rsidRPr="00215667">
        <w:rPr>
          <w:rFonts w:ascii="Times New Roman" w:hAnsi="Times New Roman" w:cs="Times New Roman"/>
          <w:sz w:val="24"/>
          <w:szCs w:val="24"/>
        </w:rPr>
        <w:t>от некогаш бил администриран како антибиотик кај стафилококни инфекции. Ин витро својствата на ристоцетинот се користат за да се поттикне аглутинација и агрегацијата на тромбоцити, кога VWF мултимерите не се присутни во плазмата, па затоа се користи за дијагностицирање на недостатоци и на VWF и на неговиот рецептор - GP Ib/IX/V гликопротеин. Механизм</w:t>
      </w:r>
      <w:r>
        <w:rPr>
          <w:rFonts w:ascii="Times New Roman" w:hAnsi="Times New Roman" w:cs="Times New Roman"/>
          <w:sz w:val="24"/>
          <w:szCs w:val="24"/>
        </w:rPr>
        <w:t>от</w:t>
      </w:r>
      <w:r w:rsidR="00412474" w:rsidRPr="00215667">
        <w:rPr>
          <w:rFonts w:ascii="Times New Roman" w:hAnsi="Times New Roman" w:cs="Times New Roman"/>
          <w:sz w:val="24"/>
          <w:szCs w:val="24"/>
        </w:rPr>
        <w:t xml:space="preserve"> на ристоцетин</w:t>
      </w:r>
      <w:r>
        <w:rPr>
          <w:rFonts w:ascii="Times New Roman" w:hAnsi="Times New Roman" w:cs="Times New Roman"/>
          <w:sz w:val="24"/>
          <w:szCs w:val="24"/>
        </w:rPr>
        <w:t>от е</w:t>
      </w:r>
      <w:r w:rsidR="00412474" w:rsidRPr="00215667">
        <w:rPr>
          <w:rFonts w:ascii="Times New Roman" w:hAnsi="Times New Roman" w:cs="Times New Roman"/>
          <w:sz w:val="24"/>
          <w:szCs w:val="24"/>
        </w:rPr>
        <w:t xml:space="preserve"> недоволна</w:t>
      </w:r>
      <w:r>
        <w:rPr>
          <w:rFonts w:ascii="Times New Roman" w:hAnsi="Times New Roman" w:cs="Times New Roman"/>
          <w:sz w:val="24"/>
          <w:szCs w:val="24"/>
        </w:rPr>
        <w:t>та</w:t>
      </w:r>
      <w:r w:rsidR="00412474" w:rsidRPr="00215667">
        <w:rPr>
          <w:rFonts w:ascii="Times New Roman" w:hAnsi="Times New Roman" w:cs="Times New Roman"/>
          <w:sz w:val="24"/>
          <w:szCs w:val="24"/>
        </w:rPr>
        <w:t xml:space="preserve"> индуцирана тромбоцитна агрегација </w:t>
      </w:r>
      <w:r>
        <w:rPr>
          <w:rFonts w:ascii="Times New Roman" w:hAnsi="Times New Roman" w:cs="Times New Roman"/>
          <w:sz w:val="24"/>
          <w:szCs w:val="24"/>
        </w:rPr>
        <w:t xml:space="preserve">која </w:t>
      </w:r>
      <w:r w:rsidR="00412474" w:rsidRPr="00215667">
        <w:rPr>
          <w:rFonts w:ascii="Times New Roman" w:hAnsi="Times New Roman" w:cs="Times New Roman"/>
          <w:sz w:val="24"/>
          <w:szCs w:val="24"/>
        </w:rPr>
        <w:t xml:space="preserve">се состои во недостаток на ристоцетин во плазмата богата со тромбоцити. За диференцијалната дијагноза на овие нарушувања и за прецизна дијагноза се користи тест за агрегација на тромбоцити, индуцирана од ристоцетин. Како ни за VWD, така и ниту една агрегација индуцирана од ристоцетин или нејзино намалување не е карактеристично ниту за вроден дефицит на комплексот GP Ib/IX/V(карактеристичен за </w:t>
      </w:r>
      <w:r w:rsidR="00412474" w:rsidRPr="00064AC6">
        <w:rPr>
          <w:rFonts w:ascii="Times New Roman" w:hAnsi="Times New Roman" w:cs="Times New Roman"/>
          <w:i/>
          <w:iCs/>
          <w:sz w:val="24"/>
          <w:szCs w:val="24"/>
        </w:rPr>
        <w:t>Glanzmann</w:t>
      </w:r>
      <w:r w:rsidR="00412474" w:rsidRPr="00215667">
        <w:rPr>
          <w:rFonts w:ascii="Times New Roman" w:hAnsi="Times New Roman" w:cs="Times New Roman"/>
          <w:sz w:val="24"/>
          <w:szCs w:val="24"/>
        </w:rPr>
        <w:t xml:space="preserve">-овата тромбастенија) ниту пак дефицит на </w:t>
      </w:r>
      <w:r w:rsidR="00412474" w:rsidRPr="00064AC6">
        <w:rPr>
          <w:rFonts w:ascii="Times New Roman" w:hAnsi="Times New Roman" w:cs="Times New Roman"/>
          <w:i/>
          <w:iCs/>
          <w:sz w:val="24"/>
          <w:szCs w:val="24"/>
        </w:rPr>
        <w:t>glycoprotein</w:t>
      </w:r>
      <w:r w:rsidR="00412474" w:rsidRPr="00215667">
        <w:rPr>
          <w:rFonts w:ascii="Times New Roman" w:hAnsi="Times New Roman" w:cs="Times New Roman"/>
          <w:sz w:val="24"/>
          <w:szCs w:val="24"/>
        </w:rPr>
        <w:t xml:space="preserve"> Ib-IX-V </w:t>
      </w:r>
      <w:r w:rsidR="00412474" w:rsidRPr="00064AC6">
        <w:rPr>
          <w:rFonts w:ascii="Times New Roman" w:hAnsi="Times New Roman" w:cs="Times New Roman"/>
          <w:i/>
          <w:iCs/>
          <w:sz w:val="24"/>
          <w:szCs w:val="24"/>
        </w:rPr>
        <w:t>complex</w:t>
      </w:r>
      <w:r w:rsidR="00412474" w:rsidRPr="00215667">
        <w:rPr>
          <w:rFonts w:ascii="Times New Roman" w:hAnsi="Times New Roman" w:cs="Times New Roman"/>
          <w:sz w:val="24"/>
          <w:szCs w:val="24"/>
        </w:rPr>
        <w:t xml:space="preserve">, причина за синдромот </w:t>
      </w:r>
      <w:r w:rsidR="00412474" w:rsidRPr="00064AC6">
        <w:rPr>
          <w:rFonts w:ascii="Times New Roman" w:hAnsi="Times New Roman" w:cs="Times New Roman"/>
          <w:i/>
          <w:iCs/>
          <w:sz w:val="24"/>
          <w:szCs w:val="24"/>
        </w:rPr>
        <w:t>Bernard-Soulier syndrome</w:t>
      </w:r>
      <w:r w:rsidR="00412474" w:rsidRPr="00215667">
        <w:rPr>
          <w:rFonts w:ascii="Times New Roman" w:hAnsi="Times New Roman" w:cs="Times New Roman"/>
          <w:sz w:val="24"/>
          <w:szCs w:val="24"/>
        </w:rPr>
        <w:t xml:space="preserve"> (BSS). За сите овие хипоагрегабилни состојби </w:t>
      </w:r>
      <w:r w:rsidRPr="00215667">
        <w:rPr>
          <w:rFonts w:ascii="Times New Roman" w:hAnsi="Times New Roman" w:cs="Times New Roman"/>
          <w:sz w:val="24"/>
          <w:szCs w:val="24"/>
        </w:rPr>
        <w:t xml:space="preserve">се </w:t>
      </w:r>
      <w:r w:rsidR="00412474" w:rsidRPr="00215667">
        <w:rPr>
          <w:rFonts w:ascii="Times New Roman" w:hAnsi="Times New Roman" w:cs="Times New Roman"/>
          <w:sz w:val="24"/>
          <w:szCs w:val="24"/>
        </w:rPr>
        <w:t xml:space="preserve">потребни </w:t>
      </w:r>
      <w:r>
        <w:rPr>
          <w:rFonts w:ascii="Times New Roman" w:hAnsi="Times New Roman" w:cs="Times New Roman"/>
          <w:sz w:val="24"/>
          <w:szCs w:val="24"/>
        </w:rPr>
        <w:t>дополнителни</w:t>
      </w:r>
      <w:r w:rsidR="00412474" w:rsidRPr="00215667">
        <w:rPr>
          <w:rFonts w:ascii="Times New Roman" w:hAnsi="Times New Roman" w:cs="Times New Roman"/>
          <w:sz w:val="24"/>
          <w:szCs w:val="24"/>
        </w:rPr>
        <w:t xml:space="preserve"> лаб</w:t>
      </w:r>
      <w:r>
        <w:rPr>
          <w:rFonts w:ascii="Times New Roman" w:hAnsi="Times New Roman" w:cs="Times New Roman"/>
          <w:sz w:val="24"/>
          <w:szCs w:val="24"/>
        </w:rPr>
        <w:t>о</w:t>
      </w:r>
      <w:r w:rsidR="00412474" w:rsidRPr="00215667">
        <w:rPr>
          <w:rFonts w:ascii="Times New Roman" w:hAnsi="Times New Roman" w:cs="Times New Roman"/>
          <w:sz w:val="24"/>
          <w:szCs w:val="24"/>
        </w:rPr>
        <w:t>раторис</w:t>
      </w:r>
      <w:r>
        <w:rPr>
          <w:rFonts w:ascii="Times New Roman" w:hAnsi="Times New Roman" w:cs="Times New Roman"/>
          <w:sz w:val="24"/>
          <w:szCs w:val="24"/>
        </w:rPr>
        <w:t>к</w:t>
      </w:r>
      <w:r w:rsidR="00412474" w:rsidRPr="00215667">
        <w:rPr>
          <w:rFonts w:ascii="Times New Roman" w:hAnsi="Times New Roman" w:cs="Times New Roman"/>
          <w:sz w:val="24"/>
          <w:szCs w:val="24"/>
        </w:rPr>
        <w:t>и тестови, како и генетски испитувања за нивна потврда</w:t>
      </w:r>
      <w:r w:rsidR="00412474" w:rsidRPr="00064AC6">
        <w:rPr>
          <w:rFonts w:ascii="Times New Roman" w:hAnsi="Times New Roman" w:cs="Times New Roman"/>
          <w:sz w:val="24"/>
          <w:szCs w:val="24"/>
        </w:rPr>
        <w:t>.</w:t>
      </w:r>
      <w:r w:rsidR="00412474" w:rsidRPr="00215667">
        <w:rPr>
          <w:rFonts w:ascii="Times New Roman" w:hAnsi="Times New Roman" w:cs="Times New Roman"/>
          <w:sz w:val="24"/>
          <w:szCs w:val="24"/>
          <w:vertAlign w:val="superscript"/>
        </w:rPr>
        <w:t xml:space="preserve">106 </w:t>
      </w:r>
    </w:p>
    <w:p w14:paraId="257B79AA" w14:textId="77777777" w:rsidR="00412474" w:rsidRPr="00215667" w:rsidRDefault="00412474" w:rsidP="00D35942">
      <w:pPr>
        <w:pStyle w:val="NoSpacing"/>
        <w:spacing w:line="360" w:lineRule="auto"/>
        <w:rPr>
          <w:rFonts w:ascii="Times New Roman" w:hAnsi="Times New Roman" w:cs="Times New Roman"/>
          <w:color w:val="FF0000"/>
          <w:sz w:val="24"/>
          <w:szCs w:val="24"/>
        </w:rPr>
      </w:pPr>
    </w:p>
    <w:p w14:paraId="0CF74800" w14:textId="1A3D2048" w:rsidR="00412474" w:rsidRPr="009D33CA" w:rsidRDefault="00064AC6" w:rsidP="00D35942">
      <w:pPr>
        <w:pStyle w:val="Heading2"/>
        <w:spacing w:line="360" w:lineRule="auto"/>
        <w:rPr>
          <w:rFonts w:ascii="Times New Roman" w:hAnsi="Times New Roman" w:cs="Times New Roman"/>
          <w:color w:val="000000" w:themeColor="text1"/>
          <w:sz w:val="24"/>
          <w:szCs w:val="24"/>
        </w:rPr>
      </w:pPr>
      <w:bookmarkStart w:id="8" w:name="_Toc209005146"/>
      <w:r w:rsidRPr="009D33CA">
        <w:rPr>
          <w:rFonts w:ascii="Times New Roman" w:hAnsi="Times New Roman" w:cs="Times New Roman"/>
          <w:color w:val="000000" w:themeColor="text1"/>
          <w:sz w:val="24"/>
          <w:szCs w:val="24"/>
        </w:rPr>
        <w:t xml:space="preserve">Колаген </w:t>
      </w:r>
      <w:r w:rsidR="00412474" w:rsidRPr="009D33CA">
        <w:rPr>
          <w:rFonts w:ascii="Times New Roman" w:hAnsi="Times New Roman" w:cs="Times New Roman"/>
          <w:color w:val="000000" w:themeColor="text1"/>
          <w:sz w:val="24"/>
          <w:szCs w:val="24"/>
        </w:rPr>
        <w:t>(Col)</w:t>
      </w:r>
      <w:bookmarkEnd w:id="8"/>
      <w:r w:rsidR="00412474" w:rsidRPr="009D33CA">
        <w:rPr>
          <w:rFonts w:ascii="Times New Roman" w:hAnsi="Times New Roman" w:cs="Times New Roman"/>
          <w:color w:val="000000" w:themeColor="text1"/>
          <w:sz w:val="24"/>
          <w:szCs w:val="24"/>
        </w:rPr>
        <w:t xml:space="preserve"> </w:t>
      </w:r>
    </w:p>
    <w:p w14:paraId="498932E1" w14:textId="49A8CF7B" w:rsidR="00412474" w:rsidRPr="00215667" w:rsidRDefault="00412474" w:rsidP="00D35942">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Колагенот (Col)- гликопротеин VI (GPVI) е главниот рецептор за молекулата на колаген на површината на тромбоцитите. Изолираното нарушување</w:t>
      </w:r>
      <w:r w:rsidR="00064AC6">
        <w:rPr>
          <w:rFonts w:ascii="Times New Roman" w:hAnsi="Times New Roman" w:cs="Times New Roman"/>
          <w:sz w:val="24"/>
          <w:szCs w:val="24"/>
        </w:rPr>
        <w:t xml:space="preserve"> </w:t>
      </w:r>
      <w:r w:rsidRPr="00215667">
        <w:rPr>
          <w:rFonts w:ascii="Times New Roman" w:hAnsi="Times New Roman" w:cs="Times New Roman"/>
          <w:sz w:val="24"/>
          <w:szCs w:val="24"/>
        </w:rPr>
        <w:t>на агрегација (отсутна или намалена) како одговор на колаген во плазмата богата со тромбоцити укажува на абнормалности на оската на GPVI колаген-тромбоцитниот рецептор.</w:t>
      </w:r>
      <w:r w:rsidRPr="00215667">
        <w:rPr>
          <w:rFonts w:ascii="Times New Roman" w:hAnsi="Times New Roman" w:cs="Times New Roman"/>
          <w:sz w:val="24"/>
          <w:szCs w:val="24"/>
          <w:vertAlign w:val="superscript"/>
        </w:rPr>
        <w:t>107</w:t>
      </w:r>
      <w:r w:rsidRPr="00215667">
        <w:rPr>
          <w:rFonts w:ascii="Times New Roman" w:hAnsi="Times New Roman" w:cs="Times New Roman"/>
          <w:sz w:val="24"/>
          <w:szCs w:val="24"/>
        </w:rPr>
        <w:t xml:space="preserve"> Степенот на колаген-индуцирана агрегација кај вроден или стекнат (автоимун) недостаток на GPVI зависи од вкупниот број рецептори кои остануваат на површината на тромбоцитите. Тестот за агрегација со </w:t>
      </w:r>
      <w:r w:rsidR="00064AC6">
        <w:rPr>
          <w:rFonts w:ascii="Times New Roman" w:hAnsi="Times New Roman" w:cs="Times New Roman"/>
          <w:sz w:val="24"/>
          <w:szCs w:val="24"/>
        </w:rPr>
        <w:t>к</w:t>
      </w:r>
      <w:r w:rsidRPr="00215667">
        <w:rPr>
          <w:rFonts w:ascii="Times New Roman" w:hAnsi="Times New Roman" w:cs="Times New Roman"/>
          <w:sz w:val="24"/>
          <w:szCs w:val="24"/>
        </w:rPr>
        <w:t>олаген се користи и како индикативна метода за резистенција на ацетилсалицилна киселина</w:t>
      </w:r>
      <w:r w:rsidR="00064AC6">
        <w:rPr>
          <w:rFonts w:ascii="Times New Roman" w:hAnsi="Times New Roman" w:cs="Times New Roman"/>
          <w:color w:val="FF0000"/>
          <w:sz w:val="24"/>
          <w:szCs w:val="24"/>
        </w:rPr>
        <w:t xml:space="preserve"> </w:t>
      </w:r>
      <w:r w:rsidRPr="00215667">
        <w:rPr>
          <w:rFonts w:ascii="Times New Roman" w:hAnsi="Times New Roman" w:cs="Times New Roman"/>
          <w:sz w:val="24"/>
          <w:szCs w:val="24"/>
        </w:rPr>
        <w:t>(</w:t>
      </w:r>
      <w:r w:rsidR="00064AC6">
        <w:rPr>
          <w:rFonts w:ascii="Times New Roman" w:hAnsi="Times New Roman" w:cs="Times New Roman"/>
          <w:sz w:val="24"/>
          <w:szCs w:val="24"/>
        </w:rPr>
        <w:t>с</w:t>
      </w:r>
      <w:r w:rsidRPr="00215667">
        <w:rPr>
          <w:rFonts w:ascii="Times New Roman" w:hAnsi="Times New Roman" w:cs="Times New Roman"/>
          <w:sz w:val="24"/>
          <w:szCs w:val="24"/>
        </w:rPr>
        <w:t>лика број 1)</w:t>
      </w:r>
      <w:r w:rsidR="00064AC6">
        <w:rPr>
          <w:rFonts w:ascii="Times New Roman" w:hAnsi="Times New Roman" w:cs="Times New Roman"/>
          <w:sz w:val="24"/>
          <w:szCs w:val="24"/>
        </w:rPr>
        <w:t>.</w:t>
      </w:r>
      <w:r w:rsidRPr="00215667">
        <w:rPr>
          <w:rFonts w:ascii="Times New Roman" w:hAnsi="Times New Roman" w:cs="Times New Roman"/>
          <w:sz w:val="24"/>
          <w:szCs w:val="24"/>
        </w:rPr>
        <w:t xml:space="preserve">  </w:t>
      </w:r>
    </w:p>
    <w:p w14:paraId="2F71ACF8" w14:textId="77777777" w:rsidR="00412474" w:rsidRDefault="00412474" w:rsidP="00412474">
      <w:pPr>
        <w:pStyle w:val="NoSpacing"/>
        <w:rPr>
          <w:rFonts w:ascii="Times New Roman" w:hAnsi="Times New Roman" w:cs="Times New Roman"/>
          <w:bCs/>
          <w:color w:val="FF0000"/>
          <w:sz w:val="24"/>
          <w:szCs w:val="24"/>
          <w:shd w:val="clear" w:color="auto" w:fill="FFFFFF"/>
        </w:rPr>
      </w:pPr>
    </w:p>
    <w:p w14:paraId="3830B920" w14:textId="403ACC3A" w:rsidR="00D35942" w:rsidRDefault="00D35942" w:rsidP="00D35942">
      <w:pPr>
        <w:pStyle w:val="NoSpacing"/>
        <w:jc w:val="center"/>
        <w:rPr>
          <w:rFonts w:ascii="Times New Roman" w:hAnsi="Times New Roman" w:cs="Times New Roman"/>
          <w:bCs/>
          <w:sz w:val="24"/>
          <w:szCs w:val="24"/>
          <w:shd w:val="clear" w:color="auto" w:fill="FFFFFF"/>
        </w:rPr>
      </w:pPr>
      <w:r w:rsidRPr="00215667">
        <w:rPr>
          <w:rFonts w:ascii="Times New Roman" w:hAnsi="Times New Roman" w:cs="Times New Roman"/>
          <w:bCs/>
          <w:sz w:val="24"/>
          <w:szCs w:val="24"/>
          <w:shd w:val="clear" w:color="auto" w:fill="FFFFFF"/>
        </w:rPr>
        <w:lastRenderedPageBreak/>
        <w:t>Слика бр.</w:t>
      </w:r>
      <w:r>
        <w:rPr>
          <w:rFonts w:ascii="Times New Roman" w:hAnsi="Times New Roman" w:cs="Times New Roman"/>
          <w:bCs/>
          <w:sz w:val="24"/>
          <w:szCs w:val="24"/>
          <w:shd w:val="clear" w:color="auto" w:fill="FFFFFF"/>
        </w:rPr>
        <w:t xml:space="preserve"> </w:t>
      </w:r>
      <w:r w:rsidRPr="00215667">
        <w:rPr>
          <w:rFonts w:ascii="Times New Roman" w:hAnsi="Times New Roman" w:cs="Times New Roman"/>
          <w:bCs/>
          <w:sz w:val="24"/>
          <w:szCs w:val="24"/>
          <w:shd w:val="clear" w:color="auto" w:fill="FFFFFF"/>
        </w:rPr>
        <w:t>1</w:t>
      </w:r>
      <w:r>
        <w:rPr>
          <w:rFonts w:ascii="Times New Roman" w:hAnsi="Times New Roman" w:cs="Times New Roman"/>
          <w:bCs/>
          <w:sz w:val="24"/>
          <w:szCs w:val="24"/>
          <w:shd w:val="clear" w:color="auto" w:fill="FFFFFF"/>
        </w:rPr>
        <w:t>-</w:t>
      </w:r>
      <w:r w:rsidRPr="00215667">
        <w:rPr>
          <w:rFonts w:ascii="Times New Roman" w:hAnsi="Times New Roman" w:cs="Times New Roman"/>
          <w:bCs/>
          <w:sz w:val="24"/>
          <w:szCs w:val="24"/>
          <w:shd w:val="clear" w:color="auto" w:fill="FFFFFF"/>
        </w:rPr>
        <w:t xml:space="preserve"> Процес на примарна и секундарна хемостаза и инволвираност на ADP, </w:t>
      </w:r>
      <w:r>
        <w:rPr>
          <w:rFonts w:ascii="Times New Roman" w:hAnsi="Times New Roman" w:cs="Times New Roman"/>
          <w:bCs/>
          <w:sz w:val="24"/>
          <w:szCs w:val="24"/>
          <w:shd w:val="clear" w:color="auto" w:fill="FFFFFF"/>
        </w:rPr>
        <w:t>колаген</w:t>
      </w:r>
      <w:r w:rsidRPr="00215667">
        <w:rPr>
          <w:rFonts w:ascii="Times New Roman" w:hAnsi="Times New Roman" w:cs="Times New Roman"/>
          <w:bCs/>
          <w:sz w:val="24"/>
          <w:szCs w:val="24"/>
          <w:shd w:val="clear" w:color="auto" w:fill="FFFFFF"/>
        </w:rPr>
        <w:t xml:space="preserve"> и </w:t>
      </w:r>
      <w:r>
        <w:rPr>
          <w:rFonts w:ascii="Times New Roman" w:hAnsi="Times New Roman" w:cs="Times New Roman"/>
          <w:bCs/>
          <w:sz w:val="24"/>
          <w:szCs w:val="24"/>
          <w:shd w:val="clear" w:color="auto" w:fill="FFFFFF"/>
        </w:rPr>
        <w:t>ристоцетин</w:t>
      </w:r>
      <w:r w:rsidRPr="00215667">
        <w:rPr>
          <w:rFonts w:ascii="Times New Roman" w:hAnsi="Times New Roman" w:cs="Times New Roman"/>
          <w:bCs/>
          <w:sz w:val="24"/>
          <w:szCs w:val="24"/>
          <w:shd w:val="clear" w:color="auto" w:fill="FFFFFF"/>
        </w:rPr>
        <w:t xml:space="preserve"> во примарната хемостаза</w:t>
      </w:r>
    </w:p>
    <w:p w14:paraId="49741A1B" w14:textId="77777777" w:rsidR="00D35942" w:rsidRPr="00215667" w:rsidRDefault="00D35942" w:rsidP="00D35942">
      <w:pPr>
        <w:pStyle w:val="NoSpacing"/>
        <w:jc w:val="center"/>
        <w:rPr>
          <w:rFonts w:ascii="Times New Roman" w:hAnsi="Times New Roman" w:cs="Times New Roman"/>
          <w:bCs/>
          <w:color w:val="FF0000"/>
          <w:sz w:val="24"/>
          <w:szCs w:val="24"/>
          <w:shd w:val="clear" w:color="auto" w:fill="FFFFFF"/>
        </w:rPr>
      </w:pPr>
    </w:p>
    <w:p w14:paraId="370567A8" w14:textId="77777777" w:rsidR="00412474" w:rsidRPr="00215667" w:rsidRDefault="00412474" w:rsidP="00412474">
      <w:pPr>
        <w:pStyle w:val="NoSpacing"/>
        <w:rPr>
          <w:rFonts w:ascii="Times New Roman" w:hAnsi="Times New Roman" w:cs="Times New Roman"/>
          <w:bCs/>
          <w:color w:val="FF0000"/>
          <w:sz w:val="24"/>
          <w:szCs w:val="24"/>
          <w:shd w:val="clear" w:color="auto" w:fill="FFFFFF"/>
        </w:rPr>
      </w:pPr>
      <w:r w:rsidRPr="00215667">
        <w:rPr>
          <w:rFonts w:ascii="Times New Roman" w:hAnsi="Times New Roman" w:cs="Times New Roman"/>
          <w:bCs/>
          <w:noProof/>
          <w:color w:val="FF0000"/>
          <w:sz w:val="24"/>
          <w:szCs w:val="24"/>
          <w:shd w:val="clear" w:color="auto" w:fill="FFFFFF"/>
          <w:lang w:val="en-US"/>
        </w:rPr>
        <w:drawing>
          <wp:inline distT="0" distB="0" distL="0" distR="0" wp14:anchorId="381E9D12" wp14:editId="7434670B">
            <wp:extent cx="560705" cy="316865"/>
            <wp:effectExtent l="0" t="0" r="0" b="6985"/>
            <wp:docPr id="111523689" name="Picture 2" descr="A diagram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3689" name="Picture 2" descr="A diagram of a cell&#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05" cy="316865"/>
                    </a:xfrm>
                    <a:prstGeom prst="rect">
                      <a:avLst/>
                    </a:prstGeom>
                    <a:noFill/>
                  </pic:spPr>
                </pic:pic>
              </a:graphicData>
            </a:graphic>
          </wp:inline>
        </w:drawing>
      </w:r>
      <w:r w:rsidRPr="00215667">
        <w:rPr>
          <w:rFonts w:ascii="Times New Roman" w:hAnsi="Times New Roman" w:cs="Times New Roman"/>
          <w:bCs/>
          <w:noProof/>
          <w:color w:val="FF0000"/>
          <w:sz w:val="24"/>
          <w:szCs w:val="24"/>
          <w:shd w:val="clear" w:color="auto" w:fill="FFFFFF"/>
          <w:lang w:val="en-US"/>
        </w:rPr>
        <w:drawing>
          <wp:inline distT="0" distB="0" distL="0" distR="0" wp14:anchorId="07B8873D" wp14:editId="1961FB66">
            <wp:extent cx="4457700" cy="2599932"/>
            <wp:effectExtent l="0" t="0" r="0" b="0"/>
            <wp:docPr id="2" name="Picture 2" descr="A diagram of a cell membra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cell membrane&#10;&#10;AI-generated content may be incorrec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64048" cy="2603634"/>
                    </a:xfrm>
                    <a:prstGeom prst="rect">
                      <a:avLst/>
                    </a:prstGeom>
                    <a:noFill/>
                  </pic:spPr>
                </pic:pic>
              </a:graphicData>
            </a:graphic>
          </wp:inline>
        </w:drawing>
      </w:r>
    </w:p>
    <w:p w14:paraId="65666F65" w14:textId="5D0C7AC7" w:rsidR="00412474" w:rsidRPr="00D35942" w:rsidRDefault="00D35942" w:rsidP="00ED2F65">
      <w:pPr>
        <w:pStyle w:val="NoSpacing"/>
        <w:jc w:val="center"/>
        <w:rPr>
          <w:rFonts w:ascii="Times New Roman" w:hAnsi="Times New Roman" w:cs="Times New Roman"/>
          <w:bCs/>
          <w:sz w:val="20"/>
          <w:szCs w:val="20"/>
          <w:shd w:val="clear" w:color="auto" w:fill="FFFFFF"/>
        </w:rPr>
      </w:pPr>
      <w:r w:rsidRPr="00D35942">
        <w:rPr>
          <w:rFonts w:ascii="Times New Roman" w:hAnsi="Times New Roman" w:cs="Times New Roman"/>
          <w:bCs/>
          <w:sz w:val="20"/>
          <w:szCs w:val="20"/>
          <w:shd w:val="clear" w:color="auto" w:fill="FFFFFF"/>
        </w:rPr>
        <w:t>Извор:</w:t>
      </w:r>
      <w:r w:rsidR="00412474" w:rsidRPr="00D35942">
        <w:rPr>
          <w:rFonts w:ascii="Times New Roman" w:hAnsi="Times New Roman" w:cs="Times New Roman"/>
          <w:bCs/>
          <w:sz w:val="20"/>
          <w:szCs w:val="20"/>
          <w:shd w:val="clear" w:color="auto" w:fill="FFFFFF"/>
        </w:rPr>
        <w:t xml:space="preserve"> Shruti R,</w:t>
      </w:r>
      <w:r w:rsidR="00ED2F65" w:rsidRPr="00D35942">
        <w:rPr>
          <w:rFonts w:ascii="Times New Roman" w:hAnsi="Times New Roman" w:cs="Times New Roman"/>
          <w:bCs/>
          <w:sz w:val="20"/>
          <w:szCs w:val="20"/>
          <w:shd w:val="clear" w:color="auto" w:fill="FFFFFF"/>
        </w:rPr>
        <w:t xml:space="preserve"> </w:t>
      </w:r>
      <w:r w:rsidR="00412474" w:rsidRPr="00D35942">
        <w:rPr>
          <w:rFonts w:ascii="Times New Roman" w:hAnsi="Times New Roman" w:cs="Times New Roman"/>
          <w:bCs/>
          <w:sz w:val="20"/>
          <w:szCs w:val="20"/>
          <w:shd w:val="clear" w:color="auto" w:fill="FFFFFF"/>
        </w:rPr>
        <w:t>Julie R, Anirban SG. Platelet in hemostasis thrombosis and thromboinflammation. Journal of Thrombosis and Haemostasis, 20(7):1535-1549,2022</w:t>
      </w:r>
    </w:p>
    <w:p w14:paraId="25CC6DF4" w14:textId="77777777" w:rsidR="00412474" w:rsidRPr="00215667" w:rsidRDefault="00412474" w:rsidP="00412474">
      <w:pPr>
        <w:pStyle w:val="NoSpacing"/>
        <w:rPr>
          <w:rFonts w:ascii="Times New Roman" w:hAnsi="Times New Roman" w:cs="Times New Roman"/>
          <w:sz w:val="24"/>
          <w:szCs w:val="24"/>
        </w:rPr>
      </w:pPr>
    </w:p>
    <w:p w14:paraId="2EA2F193" w14:textId="11BDFC59" w:rsidR="00412474" w:rsidRPr="00215667" w:rsidRDefault="00412474" w:rsidP="00D35942">
      <w:pPr>
        <w:spacing w:after="0" w:line="360" w:lineRule="auto"/>
        <w:ind w:firstLine="720"/>
        <w:jc w:val="both"/>
        <w:rPr>
          <w:rFonts w:ascii="Times New Roman" w:hAnsi="Times New Roman" w:cs="Times New Roman"/>
          <w:sz w:val="24"/>
          <w:szCs w:val="24"/>
        </w:rPr>
      </w:pPr>
      <w:r w:rsidRPr="007828B2">
        <w:rPr>
          <w:rFonts w:ascii="Times New Roman" w:hAnsi="Times New Roman" w:cs="Times New Roman"/>
          <w:sz w:val="24"/>
          <w:szCs w:val="24"/>
        </w:rPr>
        <w:t>Агрегометрија</w:t>
      </w:r>
      <w:r w:rsidRPr="007828B2">
        <w:rPr>
          <w:rFonts w:ascii="Times New Roman" w:hAnsi="Times New Roman" w:cs="Times New Roman"/>
          <w:color w:val="00B0F0"/>
          <w:sz w:val="24"/>
          <w:szCs w:val="24"/>
        </w:rPr>
        <w:t xml:space="preserve"> </w:t>
      </w:r>
      <w:r w:rsidRPr="007828B2">
        <w:rPr>
          <w:rFonts w:ascii="Times New Roman" w:hAnsi="Times New Roman" w:cs="Times New Roman"/>
          <w:sz w:val="24"/>
          <w:szCs w:val="24"/>
        </w:rPr>
        <w:t>е метода на избор на лабораториски скрининг кој се фокусира на агрегацијата на тромбоцитите и покажува дека ниските вредности на ADP, колаген и ристоцетин, се индикатори за поставување на дијагнозата хипоагрегабилност. Намалување</w:t>
      </w:r>
      <w:r w:rsidR="007828B2">
        <w:rPr>
          <w:rFonts w:ascii="Times New Roman" w:hAnsi="Times New Roman" w:cs="Times New Roman"/>
          <w:sz w:val="24"/>
          <w:szCs w:val="24"/>
        </w:rPr>
        <w:t>то</w:t>
      </w:r>
      <w:r w:rsidRPr="007828B2">
        <w:rPr>
          <w:rFonts w:ascii="Times New Roman" w:hAnsi="Times New Roman" w:cs="Times New Roman"/>
          <w:sz w:val="24"/>
          <w:szCs w:val="24"/>
        </w:rPr>
        <w:t xml:space="preserve"> на нивоа на ADP, </w:t>
      </w:r>
      <w:r w:rsidR="00ED2F65" w:rsidRPr="007828B2">
        <w:rPr>
          <w:rFonts w:ascii="Times New Roman" w:hAnsi="Times New Roman" w:cs="Times New Roman"/>
          <w:sz w:val="24"/>
          <w:szCs w:val="24"/>
        </w:rPr>
        <w:t>колаген</w:t>
      </w:r>
      <w:r w:rsidRPr="007828B2">
        <w:rPr>
          <w:rFonts w:ascii="Times New Roman" w:hAnsi="Times New Roman" w:cs="Times New Roman"/>
          <w:sz w:val="24"/>
          <w:szCs w:val="24"/>
        </w:rPr>
        <w:t xml:space="preserve"> и </w:t>
      </w:r>
      <w:r w:rsidR="00ED2F65" w:rsidRPr="007828B2">
        <w:rPr>
          <w:rFonts w:ascii="Times New Roman" w:hAnsi="Times New Roman" w:cs="Times New Roman"/>
          <w:sz w:val="24"/>
          <w:szCs w:val="24"/>
        </w:rPr>
        <w:t>ристоцетин</w:t>
      </w:r>
      <w:r w:rsidRPr="007828B2">
        <w:rPr>
          <w:rFonts w:ascii="Times New Roman" w:hAnsi="Times New Roman" w:cs="Times New Roman"/>
          <w:sz w:val="24"/>
          <w:szCs w:val="24"/>
        </w:rPr>
        <w:t xml:space="preserve"> е правопропорционално со пролонгирано и обемно крвавење кај 86 % од</w:t>
      </w:r>
      <w:r w:rsidRPr="00215667">
        <w:rPr>
          <w:rFonts w:ascii="Times New Roman" w:hAnsi="Times New Roman" w:cs="Times New Roman"/>
          <w:sz w:val="24"/>
          <w:szCs w:val="24"/>
        </w:rPr>
        <w:t xml:space="preserve"> испитаниците, останатите примале NSAIDs, или контрацептивна терапија и биле исклучени од студијата.</w:t>
      </w:r>
      <w:r w:rsidRPr="00215667">
        <w:rPr>
          <w:rFonts w:ascii="Times New Roman" w:hAnsi="Times New Roman" w:cs="Times New Roman"/>
          <w:sz w:val="24"/>
          <w:szCs w:val="24"/>
          <w:vertAlign w:val="superscript"/>
        </w:rPr>
        <w:t>18,19</w:t>
      </w:r>
      <w:r w:rsidRPr="00215667">
        <w:rPr>
          <w:rFonts w:ascii="Times New Roman" w:hAnsi="Times New Roman" w:cs="Times New Roman"/>
          <w:sz w:val="24"/>
          <w:szCs w:val="24"/>
        </w:rPr>
        <w:t xml:space="preserve"> Кај сите пациенти вредностите на ADP, </w:t>
      </w:r>
      <w:r w:rsidR="00ED2F65">
        <w:rPr>
          <w:rFonts w:ascii="Times New Roman" w:hAnsi="Times New Roman" w:cs="Times New Roman"/>
          <w:sz w:val="24"/>
          <w:szCs w:val="24"/>
        </w:rPr>
        <w:t>колаген</w:t>
      </w:r>
      <w:r w:rsidRPr="00215667">
        <w:rPr>
          <w:rFonts w:ascii="Times New Roman" w:hAnsi="Times New Roman" w:cs="Times New Roman"/>
          <w:sz w:val="24"/>
          <w:szCs w:val="24"/>
        </w:rPr>
        <w:t xml:space="preserve"> и </w:t>
      </w:r>
      <w:r w:rsidR="00ED2F65">
        <w:rPr>
          <w:rFonts w:ascii="Times New Roman" w:hAnsi="Times New Roman" w:cs="Times New Roman"/>
          <w:sz w:val="24"/>
          <w:szCs w:val="24"/>
        </w:rPr>
        <w:t>ристоцетин</w:t>
      </w:r>
      <w:r w:rsidRPr="00215667">
        <w:rPr>
          <w:rFonts w:ascii="Times New Roman" w:hAnsi="Times New Roman" w:cs="Times New Roman"/>
          <w:sz w:val="24"/>
          <w:szCs w:val="24"/>
        </w:rPr>
        <w:t xml:space="preserve">, измерени со фотооптичка детекција со </w:t>
      </w:r>
      <w:r w:rsidRPr="007828B2">
        <w:rPr>
          <w:rFonts w:ascii="Times New Roman" w:hAnsi="Times New Roman" w:cs="Times New Roman"/>
          <w:i/>
          <w:sz w:val="24"/>
          <w:szCs w:val="24"/>
        </w:rPr>
        <w:t>lumiagregometar</w:t>
      </w:r>
      <w:r w:rsidRPr="00215667">
        <w:rPr>
          <w:rFonts w:ascii="Times New Roman" w:hAnsi="Times New Roman" w:cs="Times New Roman"/>
          <w:sz w:val="24"/>
          <w:szCs w:val="24"/>
        </w:rPr>
        <w:t xml:space="preserve"> Chrono-Log Model 700 со Chrono-Par </w:t>
      </w:r>
      <w:r w:rsidR="007828B2">
        <w:rPr>
          <w:rFonts w:ascii="Times New Roman" w:hAnsi="Times New Roman" w:cs="Times New Roman"/>
          <w:sz w:val="24"/>
          <w:szCs w:val="24"/>
        </w:rPr>
        <w:t>и</w:t>
      </w:r>
      <w:r w:rsidRPr="00215667">
        <w:rPr>
          <w:rFonts w:ascii="Times New Roman" w:hAnsi="Times New Roman" w:cs="Times New Roman"/>
          <w:sz w:val="24"/>
          <w:szCs w:val="24"/>
        </w:rPr>
        <w:t xml:space="preserve"> Chrono-lume реагенси за мерење на максималната агрегација, покажале</w:t>
      </w:r>
      <w:r w:rsidRPr="00215667">
        <w:rPr>
          <w:rFonts w:ascii="Times New Roman" w:hAnsi="Times New Roman" w:cs="Times New Roman"/>
          <w:bCs/>
          <w:color w:val="FF0000"/>
          <w:sz w:val="24"/>
          <w:szCs w:val="24"/>
          <w:shd w:val="clear" w:color="auto" w:fill="FFFFFF"/>
        </w:rPr>
        <w:t xml:space="preserve"> </w:t>
      </w:r>
      <w:r w:rsidRPr="00215667">
        <w:rPr>
          <w:rFonts w:ascii="Times New Roman" w:hAnsi="Times New Roman" w:cs="Times New Roman"/>
          <w:bCs/>
          <w:sz w:val="24"/>
          <w:szCs w:val="24"/>
          <w:shd w:val="clear" w:color="auto" w:fill="FFFFFF"/>
        </w:rPr>
        <w:t>абнормално намален одговор на агрегација на тромбоцитите, во споредба со симултаните тестови кај  здрави пац</w:t>
      </w:r>
      <w:r w:rsidR="007828B2">
        <w:rPr>
          <w:rFonts w:ascii="Times New Roman" w:hAnsi="Times New Roman" w:cs="Times New Roman"/>
          <w:bCs/>
          <w:sz w:val="24"/>
          <w:szCs w:val="24"/>
          <w:shd w:val="clear" w:color="auto" w:fill="FFFFFF"/>
        </w:rPr>
        <w:t>иенти.  Останатите</w:t>
      </w:r>
      <w:r w:rsidRPr="00215667">
        <w:rPr>
          <w:rFonts w:ascii="Times New Roman" w:hAnsi="Times New Roman" w:cs="Times New Roman"/>
          <w:bCs/>
          <w:sz w:val="24"/>
          <w:szCs w:val="24"/>
          <w:shd w:val="clear" w:color="auto" w:fill="FFFFFF"/>
        </w:rPr>
        <w:t xml:space="preserve"> анализи на скрининг лабораториските дијагностички тестови и фактори на ризик за PEB, утврдиле дека: CBC, BT, pTT, aPTT и PT имаат нормални, референтни вредности и несигнификантни корелации со времето на </w:t>
      </w:r>
      <w:r w:rsidR="00EC49EB" w:rsidRPr="00215667">
        <w:rPr>
          <w:rFonts w:ascii="Times New Roman" w:hAnsi="Times New Roman" w:cs="Times New Roman"/>
          <w:bCs/>
          <w:sz w:val="24"/>
          <w:szCs w:val="24"/>
          <w:shd w:val="clear" w:color="auto" w:fill="FFFFFF"/>
        </w:rPr>
        <w:t>крвавење</w:t>
      </w:r>
      <w:r w:rsidRPr="00215667">
        <w:rPr>
          <w:rFonts w:ascii="Times New Roman" w:hAnsi="Times New Roman" w:cs="Times New Roman"/>
          <w:bCs/>
          <w:sz w:val="24"/>
          <w:szCs w:val="24"/>
          <w:shd w:val="clear" w:color="auto" w:fill="FFFFFF"/>
        </w:rPr>
        <w:t xml:space="preserve"> (r</w:t>
      </w:r>
      <w:r w:rsidR="007828B2">
        <w:rPr>
          <w:rFonts w:ascii="Times New Roman" w:hAnsi="Times New Roman" w:cs="Times New Roman"/>
          <w:bCs/>
          <w:sz w:val="24"/>
          <w:szCs w:val="24"/>
          <w:shd w:val="clear" w:color="auto" w:fill="FFFFFF"/>
        </w:rPr>
        <w:t xml:space="preserve"> </w:t>
      </w:r>
      <w:r w:rsidRPr="00215667">
        <w:rPr>
          <w:rFonts w:ascii="Times New Roman" w:hAnsi="Times New Roman" w:cs="Times New Roman"/>
          <w:bCs/>
          <w:sz w:val="24"/>
          <w:szCs w:val="24"/>
          <w:shd w:val="clear" w:color="auto" w:fill="FFFFFF"/>
        </w:rPr>
        <w:t>=</w:t>
      </w:r>
      <w:r w:rsidR="007828B2">
        <w:rPr>
          <w:rFonts w:ascii="Times New Roman" w:hAnsi="Times New Roman" w:cs="Times New Roman"/>
          <w:bCs/>
          <w:sz w:val="24"/>
          <w:szCs w:val="24"/>
          <w:shd w:val="clear" w:color="auto" w:fill="FFFFFF"/>
        </w:rPr>
        <w:t xml:space="preserve"> </w:t>
      </w:r>
      <w:r w:rsidRPr="00215667">
        <w:rPr>
          <w:rFonts w:ascii="Times New Roman" w:hAnsi="Times New Roman" w:cs="Times New Roman"/>
          <w:bCs/>
          <w:sz w:val="24"/>
          <w:szCs w:val="24"/>
          <w:shd w:val="clear" w:color="auto" w:fill="FFFFFF"/>
        </w:rPr>
        <w:t>0978, p</w:t>
      </w:r>
      <w:r w:rsidR="007828B2">
        <w:rPr>
          <w:rFonts w:ascii="Times New Roman" w:hAnsi="Times New Roman" w:cs="Times New Roman"/>
          <w:bCs/>
          <w:sz w:val="24"/>
          <w:szCs w:val="24"/>
          <w:shd w:val="clear" w:color="auto" w:fill="FFFFFF"/>
        </w:rPr>
        <w:t xml:space="preserve"> </w:t>
      </w:r>
      <w:r w:rsidRPr="00215667">
        <w:rPr>
          <w:rFonts w:ascii="Times New Roman" w:hAnsi="Times New Roman" w:cs="Times New Roman"/>
          <w:bCs/>
          <w:sz w:val="24"/>
          <w:szCs w:val="24"/>
          <w:shd w:val="clear" w:color="auto" w:fill="FFFFFF"/>
        </w:rPr>
        <w:t>=</w:t>
      </w:r>
      <w:r w:rsidR="007828B2">
        <w:rPr>
          <w:rFonts w:ascii="Times New Roman" w:hAnsi="Times New Roman" w:cs="Times New Roman"/>
          <w:bCs/>
          <w:sz w:val="24"/>
          <w:szCs w:val="24"/>
          <w:shd w:val="clear" w:color="auto" w:fill="FFFFFF"/>
        </w:rPr>
        <w:t xml:space="preserve"> </w:t>
      </w:r>
      <w:r w:rsidRPr="00215667">
        <w:rPr>
          <w:rFonts w:ascii="Times New Roman" w:hAnsi="Times New Roman" w:cs="Times New Roman"/>
          <w:bCs/>
          <w:sz w:val="24"/>
          <w:szCs w:val="24"/>
          <w:shd w:val="clear" w:color="auto" w:fill="FFFFFF"/>
        </w:rPr>
        <w:t xml:space="preserve">.446). Но кај голем број од овие пациенти, биле потврдени намалени нивоа на вредностите на ADP, </w:t>
      </w:r>
      <w:r w:rsidR="00380613" w:rsidRPr="00A55223">
        <w:rPr>
          <w:rFonts w:ascii="Times New Roman" w:hAnsi="Times New Roman" w:cs="Times New Roman"/>
          <w:bCs/>
          <w:sz w:val="24"/>
          <w:szCs w:val="24"/>
        </w:rPr>
        <w:t>ристоцетин и колаген</w:t>
      </w:r>
      <w:r w:rsidRPr="00215667">
        <w:rPr>
          <w:rFonts w:ascii="Times New Roman" w:hAnsi="Times New Roman" w:cs="Times New Roman"/>
          <w:bCs/>
          <w:sz w:val="24"/>
          <w:szCs w:val="24"/>
          <w:shd w:val="clear" w:color="auto" w:fill="FFFFFF"/>
        </w:rPr>
        <w:t xml:space="preserve">, под референтните вредности (нормален опсег за вредности за ADP е 69-88, за </w:t>
      </w:r>
      <w:r w:rsidR="00380613" w:rsidRPr="00A55223">
        <w:rPr>
          <w:rFonts w:ascii="Times New Roman" w:hAnsi="Times New Roman" w:cs="Times New Roman"/>
          <w:bCs/>
          <w:sz w:val="24"/>
          <w:szCs w:val="24"/>
        </w:rPr>
        <w:t>ристоцетин</w:t>
      </w:r>
      <w:r w:rsidR="00380613" w:rsidRPr="00215667">
        <w:rPr>
          <w:rFonts w:ascii="Times New Roman" w:hAnsi="Times New Roman" w:cs="Times New Roman"/>
          <w:bCs/>
          <w:sz w:val="24"/>
          <w:szCs w:val="24"/>
          <w:shd w:val="clear" w:color="auto" w:fill="FFFFFF"/>
        </w:rPr>
        <w:t xml:space="preserve"> </w:t>
      </w:r>
      <w:r w:rsidRPr="00215667">
        <w:rPr>
          <w:rFonts w:ascii="Times New Roman" w:hAnsi="Times New Roman" w:cs="Times New Roman"/>
          <w:bCs/>
          <w:sz w:val="24"/>
          <w:szCs w:val="24"/>
          <w:shd w:val="clear" w:color="auto" w:fill="FFFFFF"/>
        </w:rPr>
        <w:t>87-102, колаген 70-94 и PT 9,8-14,2).</w:t>
      </w:r>
      <w:r w:rsidRPr="00215667">
        <w:rPr>
          <w:rFonts w:ascii="Times New Roman" w:hAnsi="Times New Roman" w:cs="Times New Roman"/>
          <w:bCs/>
          <w:sz w:val="24"/>
          <w:szCs w:val="24"/>
          <w:shd w:val="clear" w:color="auto" w:fill="FFFFFF"/>
          <w:vertAlign w:val="superscript"/>
        </w:rPr>
        <w:t>108</w:t>
      </w:r>
      <w:r w:rsidRPr="00215667">
        <w:rPr>
          <w:rFonts w:ascii="Times New Roman" w:hAnsi="Times New Roman" w:cs="Times New Roman"/>
          <w:sz w:val="24"/>
          <w:szCs w:val="24"/>
        </w:rPr>
        <w:t xml:space="preserve"> </w:t>
      </w:r>
    </w:p>
    <w:p w14:paraId="3C1A5644" w14:textId="0327FA8F" w:rsidR="00412474" w:rsidRDefault="00412474" w:rsidP="00D35942">
      <w:pPr>
        <w:spacing w:after="0" w:line="360" w:lineRule="auto"/>
        <w:ind w:firstLine="720"/>
        <w:jc w:val="both"/>
        <w:rPr>
          <w:rFonts w:ascii="Times New Roman" w:hAnsi="Times New Roman" w:cs="Times New Roman"/>
          <w:color w:val="000000" w:themeColor="text1"/>
          <w:sz w:val="24"/>
          <w:szCs w:val="24"/>
          <w:lang w:val="en-US"/>
        </w:rPr>
      </w:pPr>
      <w:r w:rsidRPr="00215667">
        <w:rPr>
          <w:rFonts w:ascii="Times New Roman" w:hAnsi="Times New Roman" w:cs="Times New Roman"/>
          <w:sz w:val="24"/>
          <w:szCs w:val="24"/>
        </w:rPr>
        <w:t>Разбирањето на  соодветните дијагностички и терапевтски пристапи, може само да ја подоб</w:t>
      </w:r>
      <w:r w:rsidR="00380613">
        <w:rPr>
          <w:rFonts w:ascii="Times New Roman" w:hAnsi="Times New Roman" w:cs="Times New Roman"/>
          <w:sz w:val="24"/>
          <w:szCs w:val="24"/>
        </w:rPr>
        <w:t>р</w:t>
      </w:r>
      <w:r w:rsidRPr="00215667">
        <w:rPr>
          <w:rFonts w:ascii="Times New Roman" w:hAnsi="Times New Roman" w:cs="Times New Roman"/>
          <w:sz w:val="24"/>
          <w:szCs w:val="24"/>
        </w:rPr>
        <w:t xml:space="preserve">и безбедноста на пациентите со хипоагрегабилност и да ја </w:t>
      </w:r>
      <w:r w:rsidRPr="00215667">
        <w:rPr>
          <w:rFonts w:ascii="Times New Roman" w:hAnsi="Times New Roman" w:cs="Times New Roman"/>
          <w:sz w:val="24"/>
          <w:szCs w:val="24"/>
        </w:rPr>
        <w:lastRenderedPageBreak/>
        <w:t>намали можноста за компликации, во смис</w:t>
      </w:r>
      <w:r w:rsidR="00380613">
        <w:rPr>
          <w:rFonts w:ascii="Times New Roman" w:hAnsi="Times New Roman" w:cs="Times New Roman"/>
          <w:sz w:val="24"/>
          <w:szCs w:val="24"/>
        </w:rPr>
        <w:t>ла</w:t>
      </w:r>
      <w:r w:rsidRPr="00215667">
        <w:rPr>
          <w:rFonts w:ascii="Times New Roman" w:hAnsi="Times New Roman" w:cs="Times New Roman"/>
          <w:sz w:val="24"/>
          <w:szCs w:val="24"/>
        </w:rPr>
        <w:t xml:space="preserve"> на појава на ексцесивни крвавења, реинтервенции за хемостаза и потребата за трансфузија. Рутинската екстракција на забите и изведувањето на дентоалвеоларна хирургија кај овие пациент</w:t>
      </w:r>
      <w:r w:rsidR="00380613">
        <w:rPr>
          <w:rFonts w:ascii="Times New Roman" w:hAnsi="Times New Roman" w:cs="Times New Roman"/>
          <w:sz w:val="24"/>
          <w:szCs w:val="24"/>
        </w:rPr>
        <w:t>и</w:t>
      </w:r>
      <w:r w:rsidRPr="00215667">
        <w:rPr>
          <w:rFonts w:ascii="Times New Roman" w:hAnsi="Times New Roman" w:cs="Times New Roman"/>
          <w:sz w:val="24"/>
          <w:szCs w:val="24"/>
        </w:rPr>
        <w:t xml:space="preserve"> може да доведе до крва</w:t>
      </w:r>
      <w:r w:rsidR="00380613">
        <w:rPr>
          <w:rFonts w:ascii="Times New Roman" w:hAnsi="Times New Roman" w:cs="Times New Roman"/>
          <w:sz w:val="24"/>
          <w:szCs w:val="24"/>
        </w:rPr>
        <w:t>в</w:t>
      </w:r>
      <w:r w:rsidRPr="00215667">
        <w:rPr>
          <w:rFonts w:ascii="Times New Roman" w:hAnsi="Times New Roman" w:cs="Times New Roman"/>
          <w:sz w:val="24"/>
          <w:szCs w:val="24"/>
        </w:rPr>
        <w:t>е</w:t>
      </w:r>
      <w:r w:rsidR="00380613">
        <w:rPr>
          <w:rFonts w:ascii="Times New Roman" w:hAnsi="Times New Roman" w:cs="Times New Roman"/>
          <w:sz w:val="24"/>
          <w:szCs w:val="24"/>
        </w:rPr>
        <w:t>ње</w:t>
      </w:r>
      <w:r w:rsidRPr="00215667">
        <w:rPr>
          <w:rFonts w:ascii="Times New Roman" w:hAnsi="Times New Roman" w:cs="Times New Roman"/>
          <w:sz w:val="24"/>
          <w:szCs w:val="24"/>
        </w:rPr>
        <w:t xml:space="preserve"> и компликации опасни по живот. Во литературата постојат мал број на специфични протоколи за </w:t>
      </w:r>
      <w:r w:rsidR="00FB7031">
        <w:rPr>
          <w:rFonts w:ascii="Times New Roman" w:hAnsi="Times New Roman" w:cs="Times New Roman"/>
          <w:sz w:val="24"/>
          <w:szCs w:val="24"/>
        </w:rPr>
        <w:t>тоа</w:t>
      </w:r>
      <w:r w:rsidR="00215667">
        <w:rPr>
          <w:rFonts w:ascii="Times New Roman" w:hAnsi="Times New Roman" w:cs="Times New Roman"/>
          <w:color w:val="000000" w:themeColor="text1"/>
          <w:sz w:val="24"/>
          <w:szCs w:val="24"/>
          <w:lang w:val="en-US"/>
        </w:rPr>
        <w:t>.</w:t>
      </w:r>
    </w:p>
    <w:p w14:paraId="596C3B94" w14:textId="5772B052" w:rsidR="00412474" w:rsidRDefault="00412474" w:rsidP="00D35942">
      <w:pPr>
        <w:spacing w:after="0" w:line="360" w:lineRule="auto"/>
        <w:ind w:firstLine="720"/>
        <w:jc w:val="both"/>
        <w:rPr>
          <w:rFonts w:ascii="Times New Roman" w:hAnsi="Times New Roman" w:cs="Times New Roman"/>
          <w:sz w:val="24"/>
          <w:szCs w:val="24"/>
          <w:lang w:val="en-US"/>
        </w:rPr>
      </w:pPr>
      <w:r w:rsidRPr="00215667">
        <w:rPr>
          <w:rFonts w:ascii="Times New Roman" w:hAnsi="Times New Roman" w:cs="Times New Roman"/>
          <w:sz w:val="24"/>
          <w:szCs w:val="24"/>
        </w:rPr>
        <w:t>Успешно менаџирање на тромбоцитната хипоагрегабилност е резултат на тесна соработка помеѓ</w:t>
      </w:r>
      <w:r w:rsidR="00380613">
        <w:rPr>
          <w:rFonts w:ascii="Times New Roman" w:hAnsi="Times New Roman" w:cs="Times New Roman"/>
          <w:sz w:val="24"/>
          <w:szCs w:val="24"/>
        </w:rPr>
        <w:t>у</w:t>
      </w:r>
      <w:r w:rsidRPr="00215667">
        <w:rPr>
          <w:rFonts w:ascii="Times New Roman" w:hAnsi="Times New Roman" w:cs="Times New Roman"/>
          <w:sz w:val="24"/>
          <w:szCs w:val="24"/>
        </w:rPr>
        <w:t xml:space="preserve"> хирургот и</w:t>
      </w:r>
      <w:r w:rsidRPr="00215667">
        <w:rPr>
          <w:rFonts w:ascii="Times New Roman" w:hAnsi="Times New Roman" w:cs="Times New Roman"/>
          <w:b/>
          <w:sz w:val="24"/>
          <w:szCs w:val="24"/>
        </w:rPr>
        <w:t xml:space="preserve"> </w:t>
      </w:r>
      <w:r w:rsidRPr="00215667">
        <w:rPr>
          <w:rFonts w:ascii="Times New Roman" w:hAnsi="Times New Roman" w:cs="Times New Roman"/>
          <w:bCs/>
          <w:sz w:val="24"/>
          <w:szCs w:val="24"/>
        </w:rPr>
        <w:t>трансфузиолог</w:t>
      </w:r>
      <w:r w:rsidR="00380613">
        <w:rPr>
          <w:rFonts w:ascii="Times New Roman" w:hAnsi="Times New Roman" w:cs="Times New Roman"/>
          <w:bCs/>
          <w:sz w:val="24"/>
          <w:szCs w:val="24"/>
        </w:rPr>
        <w:t>от</w:t>
      </w:r>
      <w:r w:rsidRPr="00215667">
        <w:rPr>
          <w:rFonts w:ascii="Times New Roman" w:hAnsi="Times New Roman" w:cs="Times New Roman"/>
          <w:bCs/>
          <w:sz w:val="24"/>
          <w:szCs w:val="24"/>
        </w:rPr>
        <w:t>.</w:t>
      </w:r>
      <w:r w:rsidRPr="00215667">
        <w:rPr>
          <w:rFonts w:ascii="Times New Roman" w:hAnsi="Times New Roman" w:cs="Times New Roman"/>
          <w:sz w:val="24"/>
          <w:szCs w:val="24"/>
        </w:rPr>
        <w:t xml:space="preserve"> Постапките при изведување на дентоалвеоларни операции на овие пациенти се широко дебатирани во литературата со цел да се развијат упатства за заеднички дијагностички и терапевтски процедури.</w:t>
      </w:r>
      <w:r w:rsidRPr="00215667">
        <w:rPr>
          <w:rFonts w:ascii="Times New Roman" w:hAnsi="Times New Roman" w:cs="Times New Roman"/>
          <w:sz w:val="24"/>
          <w:szCs w:val="24"/>
          <w:vertAlign w:val="superscript"/>
        </w:rPr>
        <w:t xml:space="preserve">20-23 </w:t>
      </w:r>
      <w:r w:rsidRPr="00215667">
        <w:rPr>
          <w:rFonts w:ascii="Times New Roman" w:hAnsi="Times New Roman" w:cs="Times New Roman"/>
          <w:sz w:val="24"/>
          <w:szCs w:val="24"/>
        </w:rPr>
        <w:t xml:space="preserve">Постои консензус за употреба на интравенска апликација на </w:t>
      </w:r>
      <w:r w:rsidR="00380613">
        <w:rPr>
          <w:rFonts w:ascii="Times New Roman" w:hAnsi="Times New Roman" w:cs="Times New Roman"/>
          <w:sz w:val="24"/>
          <w:szCs w:val="24"/>
        </w:rPr>
        <w:t>т</w:t>
      </w:r>
      <w:r w:rsidRPr="00215667">
        <w:rPr>
          <w:rFonts w:ascii="Times New Roman" w:hAnsi="Times New Roman" w:cs="Times New Roman"/>
          <w:sz w:val="24"/>
          <w:szCs w:val="24"/>
        </w:rPr>
        <w:t>ранекс</w:t>
      </w:r>
      <w:r w:rsidR="00380613">
        <w:rPr>
          <w:rFonts w:ascii="Times New Roman" w:hAnsi="Times New Roman" w:cs="Times New Roman"/>
          <w:sz w:val="24"/>
          <w:szCs w:val="24"/>
        </w:rPr>
        <w:t>а</w:t>
      </w:r>
      <w:r w:rsidRPr="00215667">
        <w:rPr>
          <w:rFonts w:ascii="Times New Roman" w:hAnsi="Times New Roman" w:cs="Times New Roman"/>
          <w:sz w:val="24"/>
          <w:szCs w:val="24"/>
        </w:rPr>
        <w:t>мична киселина (ТХА), пред интервенција, како профилакса и ,,златен стандард</w:t>
      </w:r>
      <w:r w:rsidR="00380613">
        <w:rPr>
          <w:rFonts w:ascii="Times New Roman" w:hAnsi="Times New Roman" w:cs="Times New Roman"/>
          <w:sz w:val="24"/>
          <w:szCs w:val="24"/>
        </w:rPr>
        <w:t>“</w:t>
      </w:r>
      <w:r w:rsidRPr="00215667">
        <w:rPr>
          <w:rFonts w:ascii="Times New Roman" w:hAnsi="Times New Roman" w:cs="Times New Roman"/>
          <w:sz w:val="24"/>
          <w:szCs w:val="24"/>
        </w:rPr>
        <w:t xml:space="preserve"> за спречување на прекумерно крвавење кај хипоагрегабилни состојби. </w:t>
      </w:r>
    </w:p>
    <w:p w14:paraId="2836848B" w14:textId="7D3E0396" w:rsidR="00412474" w:rsidRPr="00215667" w:rsidRDefault="00412474" w:rsidP="00D35942">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Транексамична киселина (TXA) е долго воспоставен антифибринолитички лек кој за прв пат е пронајден и употребен во Јапонија во 1965 година [4, 5]. Историски гледано, вообичаено се користи за намалување на загубата на крв во периоперативни ситуации, вклучувајќи кардиолошки, ортопедски, орални, неврохируршки, гинеколошки и уролошки операции</w:t>
      </w:r>
      <w:r w:rsidRPr="00215667">
        <w:rPr>
          <w:rFonts w:ascii="Times New Roman" w:hAnsi="Times New Roman" w:cs="Times New Roman"/>
          <w:sz w:val="24"/>
          <w:szCs w:val="24"/>
          <w:vertAlign w:val="superscript"/>
        </w:rPr>
        <w:t>26</w:t>
      </w:r>
      <w:r w:rsidRPr="00215667">
        <w:rPr>
          <w:rFonts w:ascii="Times New Roman" w:hAnsi="Times New Roman" w:cs="Times New Roman"/>
          <w:sz w:val="24"/>
          <w:szCs w:val="24"/>
        </w:rPr>
        <w:t xml:space="preserve">. Фармаколошки, </w:t>
      </w:r>
      <w:r w:rsidR="00380613">
        <w:rPr>
          <w:rFonts w:ascii="Times New Roman" w:hAnsi="Times New Roman" w:cs="Times New Roman"/>
          <w:sz w:val="24"/>
          <w:szCs w:val="24"/>
        </w:rPr>
        <w:t>т</w:t>
      </w:r>
      <w:r w:rsidR="00380613" w:rsidRPr="00215667">
        <w:rPr>
          <w:rFonts w:ascii="Times New Roman" w:hAnsi="Times New Roman" w:cs="Times New Roman"/>
          <w:sz w:val="24"/>
          <w:szCs w:val="24"/>
        </w:rPr>
        <w:t>ранекс</w:t>
      </w:r>
      <w:r w:rsidR="00380613">
        <w:rPr>
          <w:rFonts w:ascii="Times New Roman" w:hAnsi="Times New Roman" w:cs="Times New Roman"/>
          <w:sz w:val="24"/>
          <w:szCs w:val="24"/>
        </w:rPr>
        <w:t>а</w:t>
      </w:r>
      <w:r w:rsidR="00380613" w:rsidRPr="00215667">
        <w:rPr>
          <w:rFonts w:ascii="Times New Roman" w:hAnsi="Times New Roman" w:cs="Times New Roman"/>
          <w:sz w:val="24"/>
          <w:szCs w:val="24"/>
        </w:rPr>
        <w:t>мична</w:t>
      </w:r>
      <w:r w:rsidR="00380613">
        <w:rPr>
          <w:rFonts w:ascii="Times New Roman" w:hAnsi="Times New Roman" w:cs="Times New Roman"/>
          <w:sz w:val="24"/>
          <w:szCs w:val="24"/>
        </w:rPr>
        <w:t>та</w:t>
      </w:r>
      <w:r w:rsidR="00380613" w:rsidRPr="00215667">
        <w:rPr>
          <w:rFonts w:ascii="Times New Roman" w:hAnsi="Times New Roman" w:cs="Times New Roman"/>
          <w:sz w:val="24"/>
          <w:szCs w:val="24"/>
        </w:rPr>
        <w:t xml:space="preserve"> киселина (ТХА)</w:t>
      </w:r>
      <w:r w:rsidRPr="00215667">
        <w:rPr>
          <w:rFonts w:ascii="Times New Roman" w:hAnsi="Times New Roman" w:cs="Times New Roman"/>
          <w:sz w:val="24"/>
          <w:szCs w:val="24"/>
        </w:rPr>
        <w:t xml:space="preserve"> е синтетички аналог на аминокиселината лизин и промовира антифибринолиза со компетитивно врзување на местата на врзување на лизин за плазминоген и плазминот. TXA може да се администрира интравенски или орално, има орална биорасположивост од 30</w:t>
      </w:r>
      <w:r w:rsidR="00380613">
        <w:rPr>
          <w:rFonts w:ascii="Times New Roman" w:hAnsi="Times New Roman" w:cs="Times New Roman"/>
          <w:sz w:val="24"/>
          <w:szCs w:val="24"/>
        </w:rPr>
        <w:t xml:space="preserve"> % до </w:t>
      </w:r>
      <w:r w:rsidRPr="00215667">
        <w:rPr>
          <w:rFonts w:ascii="Times New Roman" w:hAnsi="Times New Roman" w:cs="Times New Roman"/>
          <w:sz w:val="24"/>
          <w:szCs w:val="24"/>
        </w:rPr>
        <w:t>50</w:t>
      </w:r>
      <w:r w:rsidR="00380613">
        <w:rPr>
          <w:rFonts w:ascii="Times New Roman" w:hAnsi="Times New Roman" w:cs="Times New Roman"/>
          <w:sz w:val="24"/>
          <w:szCs w:val="24"/>
        </w:rPr>
        <w:t xml:space="preserve"> </w:t>
      </w:r>
      <w:r w:rsidRPr="00215667">
        <w:rPr>
          <w:rFonts w:ascii="Times New Roman" w:hAnsi="Times New Roman" w:cs="Times New Roman"/>
          <w:sz w:val="24"/>
          <w:szCs w:val="24"/>
        </w:rPr>
        <w:t>% и има релативно краток полуживот од 2-3 часа</w:t>
      </w:r>
      <w:r w:rsidR="00380613" w:rsidRPr="00380613">
        <w:rPr>
          <w:rFonts w:ascii="Times New Roman" w:hAnsi="Times New Roman" w:cs="Times New Roman"/>
          <w:sz w:val="24"/>
          <w:szCs w:val="24"/>
        </w:rPr>
        <w:t>.</w:t>
      </w:r>
      <w:r w:rsidRPr="00215667">
        <w:rPr>
          <w:rFonts w:ascii="Times New Roman" w:hAnsi="Times New Roman" w:cs="Times New Roman"/>
          <w:sz w:val="24"/>
          <w:szCs w:val="24"/>
          <w:vertAlign w:val="superscript"/>
        </w:rPr>
        <w:t>109</w:t>
      </w:r>
      <w:r w:rsidRPr="00215667">
        <w:rPr>
          <w:rFonts w:ascii="Times New Roman" w:hAnsi="Times New Roman" w:cs="Times New Roman"/>
          <w:color w:val="FF0000"/>
          <w:sz w:val="24"/>
          <w:szCs w:val="24"/>
        </w:rPr>
        <w:t xml:space="preserve"> </w:t>
      </w:r>
      <w:r w:rsidRPr="00215667">
        <w:rPr>
          <w:rFonts w:ascii="Times New Roman" w:hAnsi="Times New Roman" w:cs="Times New Roman"/>
          <w:sz w:val="24"/>
          <w:szCs w:val="24"/>
        </w:rPr>
        <w:t>Најчесто (95</w:t>
      </w:r>
      <w:r w:rsidR="00380613">
        <w:rPr>
          <w:rFonts w:ascii="Times New Roman" w:hAnsi="Times New Roman" w:cs="Times New Roman"/>
          <w:sz w:val="24"/>
          <w:szCs w:val="24"/>
        </w:rPr>
        <w:t xml:space="preserve"> </w:t>
      </w:r>
      <w:r w:rsidRPr="00215667">
        <w:rPr>
          <w:rFonts w:ascii="Times New Roman" w:hAnsi="Times New Roman" w:cs="Times New Roman"/>
          <w:sz w:val="24"/>
          <w:szCs w:val="24"/>
        </w:rPr>
        <w:t>%) ТХА се излачува преку ренален клиренс и пи администрација мора да се внимава кај пациенти со слаба бубрежна функција, TXA да не се ординира повеќе од 5 дена.</w:t>
      </w:r>
      <w:r w:rsidRPr="00380613">
        <w:rPr>
          <w:rFonts w:ascii="Times New Roman" w:hAnsi="Times New Roman" w:cs="Times New Roman"/>
          <w:sz w:val="24"/>
          <w:szCs w:val="24"/>
          <w:vertAlign w:val="superscript"/>
        </w:rPr>
        <w:t>8,</w:t>
      </w:r>
      <w:r w:rsidR="00380613">
        <w:rPr>
          <w:rFonts w:ascii="Times New Roman" w:hAnsi="Times New Roman" w:cs="Times New Roman"/>
          <w:sz w:val="24"/>
          <w:szCs w:val="24"/>
          <w:vertAlign w:val="superscript"/>
        </w:rPr>
        <w:t xml:space="preserve"> </w:t>
      </w:r>
      <w:r w:rsidRPr="00380613">
        <w:rPr>
          <w:rFonts w:ascii="Times New Roman" w:hAnsi="Times New Roman" w:cs="Times New Roman"/>
          <w:sz w:val="24"/>
          <w:szCs w:val="24"/>
          <w:vertAlign w:val="superscript"/>
        </w:rPr>
        <w:t>9</w:t>
      </w:r>
    </w:p>
    <w:p w14:paraId="4E8791ED" w14:textId="514BCAB2" w:rsidR="00412474" w:rsidRPr="00215667" w:rsidRDefault="00412474" w:rsidP="00D35942">
      <w:pPr>
        <w:tabs>
          <w:tab w:val="left" w:pos="1710"/>
        </w:tabs>
        <w:spacing w:after="0" w:line="360" w:lineRule="auto"/>
        <w:ind w:firstLine="720"/>
        <w:jc w:val="both"/>
        <w:rPr>
          <w:rFonts w:ascii="Times New Roman" w:hAnsi="Times New Roman" w:cs="Times New Roman"/>
          <w:color w:val="FF0000"/>
          <w:sz w:val="24"/>
          <w:szCs w:val="24"/>
        </w:rPr>
      </w:pPr>
      <w:r w:rsidRPr="00215667">
        <w:rPr>
          <w:rFonts w:ascii="Times New Roman" w:hAnsi="Times New Roman" w:cs="Times New Roman"/>
          <w:sz w:val="24"/>
          <w:szCs w:val="24"/>
        </w:rPr>
        <w:t>Познавањето на предностите и недостатоците на нејзината употреба e опишано во голем број рандомизирани студии во многу различни области, во кои се потврдува нејзината безбедност (16). Истражувањата во однос на бенефитот од употребата на ТХА при изведување на елективни царски резови, тотална артропластика на колено, ортогнатска хирургија, кардиохирургија, оториноларингологија,</w:t>
      </w:r>
      <w:r w:rsidR="00380613">
        <w:rPr>
          <w:rFonts w:ascii="Times New Roman" w:hAnsi="Times New Roman" w:cs="Times New Roman"/>
          <w:sz w:val="24"/>
          <w:szCs w:val="24"/>
        </w:rPr>
        <w:t xml:space="preserve"> </w:t>
      </w:r>
      <w:r w:rsidRPr="00215667">
        <w:rPr>
          <w:rFonts w:ascii="Times New Roman" w:hAnsi="Times New Roman" w:cs="Times New Roman"/>
          <w:sz w:val="24"/>
          <w:szCs w:val="24"/>
        </w:rPr>
        <w:t xml:space="preserve">операции на 'рбетниот столб, трансуретрална ретроградна простатектомија, покажаа дека пациентите кои профилактички и според потреба </w:t>
      </w:r>
      <w:r w:rsidRPr="00215667">
        <w:rPr>
          <w:rFonts w:ascii="Times New Roman" w:hAnsi="Times New Roman" w:cs="Times New Roman"/>
          <w:sz w:val="24"/>
          <w:szCs w:val="24"/>
        </w:rPr>
        <w:lastRenderedPageBreak/>
        <w:t>постоперативно, примаат ТХА, имаат значително намалување на загубата на крв и намалена потреба од трансфузија на крв во споредба со групата на пациенти кои не примале TXA.</w:t>
      </w:r>
      <w:r w:rsidR="00A911B0">
        <w:rPr>
          <w:rFonts w:ascii="Times New Roman" w:hAnsi="Times New Roman" w:cs="Times New Roman"/>
          <w:sz w:val="24"/>
          <w:szCs w:val="24"/>
        </w:rPr>
        <w:t xml:space="preserve"> </w:t>
      </w:r>
      <w:r w:rsidRPr="00215667">
        <w:rPr>
          <w:rFonts w:ascii="Times New Roman" w:hAnsi="Times New Roman" w:cs="Times New Roman"/>
          <w:sz w:val="24"/>
          <w:szCs w:val="24"/>
        </w:rPr>
        <w:t>[11]</w:t>
      </w:r>
      <w:r w:rsidR="00A911B0">
        <w:rPr>
          <w:rFonts w:ascii="Times New Roman" w:hAnsi="Times New Roman" w:cs="Times New Roman"/>
          <w:sz w:val="24"/>
          <w:szCs w:val="24"/>
        </w:rPr>
        <w:t xml:space="preserve"> П</w:t>
      </w:r>
      <w:r w:rsidRPr="00215667">
        <w:rPr>
          <w:rFonts w:ascii="Times New Roman" w:hAnsi="Times New Roman" w:cs="Times New Roman"/>
          <w:sz w:val="24"/>
          <w:szCs w:val="24"/>
        </w:rPr>
        <w:t>омала загуба на крв во споредба со плацебо групата без зголемување на тромбоемболичните настани. Препорачани дози за различни видови на хирургија се: педијатриска до</w:t>
      </w:r>
      <w:r w:rsidR="00A911B0">
        <w:rPr>
          <w:rFonts w:ascii="Times New Roman" w:hAnsi="Times New Roman" w:cs="Times New Roman"/>
          <w:sz w:val="24"/>
          <w:szCs w:val="24"/>
        </w:rPr>
        <w:t xml:space="preserve">за за деца, според тежината е: </w:t>
      </w:r>
      <w:r w:rsidRPr="00215667">
        <w:rPr>
          <w:rFonts w:ascii="Times New Roman" w:hAnsi="Times New Roman" w:cs="Times New Roman"/>
          <w:sz w:val="24"/>
          <w:szCs w:val="24"/>
        </w:rPr>
        <w:t>почетна доза од 20 mg/kg интравенски болус во текот на 10 минути. Може да се повтори 10 ml/kg/h во текот на следните осум часа; за возрасни според тежината на хируршките интервенции варира од 1-</w:t>
      </w:r>
      <w:r w:rsidR="00A911B0">
        <w:rPr>
          <w:rFonts w:ascii="Times New Roman" w:hAnsi="Times New Roman" w:cs="Times New Roman"/>
          <w:sz w:val="24"/>
          <w:szCs w:val="24"/>
        </w:rPr>
        <w:t>1,5 грама</w:t>
      </w:r>
      <w:r w:rsidRPr="00215667">
        <w:rPr>
          <w:rFonts w:ascii="Times New Roman" w:hAnsi="Times New Roman" w:cs="Times New Roman"/>
          <w:sz w:val="24"/>
          <w:szCs w:val="24"/>
        </w:rPr>
        <w:t xml:space="preserve"> </w:t>
      </w:r>
      <w:r w:rsidR="00A911B0">
        <w:rPr>
          <w:rFonts w:ascii="Times New Roman" w:hAnsi="Times New Roman" w:cs="Times New Roman"/>
          <w:sz w:val="24"/>
          <w:szCs w:val="24"/>
        </w:rPr>
        <w:t>во болус во 100</w:t>
      </w:r>
      <w:r w:rsidRPr="00215667">
        <w:rPr>
          <w:rFonts w:ascii="Times New Roman" w:hAnsi="Times New Roman" w:cs="Times New Roman"/>
          <w:sz w:val="24"/>
          <w:szCs w:val="24"/>
        </w:rPr>
        <w:t>-500 mL нормален физиолошки раствор во тек на 10 минути (бавна интравенозн</w:t>
      </w:r>
      <w:r w:rsidR="00A911B0">
        <w:rPr>
          <w:rFonts w:ascii="Times New Roman" w:hAnsi="Times New Roman" w:cs="Times New Roman"/>
          <w:sz w:val="24"/>
          <w:szCs w:val="24"/>
        </w:rPr>
        <w:t>а</w:t>
      </w:r>
      <w:r w:rsidRPr="00215667">
        <w:rPr>
          <w:rFonts w:ascii="Times New Roman" w:hAnsi="Times New Roman" w:cs="Times New Roman"/>
          <w:sz w:val="24"/>
          <w:szCs w:val="24"/>
        </w:rPr>
        <w:t xml:space="preserve"> апликација за да се избегне хипотензија) и повторување на дозата од 1 грам во следните 8 часа, но не да надмине вкупно 2 грама. Исклучок е употребата на ТХА во кардиохирургија во поголеми дози:  50 mg/kg администрирани &gt; триесет минути по анестезија и при операции на 'рбетниот столб: IV 2 g во текот на 20 минути пред инцизијата, проследено со 100 mg/час за време на операцијата и продолжи 5 часа по операцијата. Најтешки компликации од ТХА се </w:t>
      </w:r>
      <w:r w:rsidR="00065541">
        <w:rPr>
          <w:rFonts w:ascii="Times New Roman" w:hAnsi="Times New Roman" w:cs="Times New Roman"/>
          <w:sz w:val="24"/>
          <w:szCs w:val="24"/>
        </w:rPr>
        <w:t>тромбоемболија</w:t>
      </w:r>
      <w:r w:rsidRPr="00215667">
        <w:rPr>
          <w:rFonts w:ascii="Times New Roman" w:hAnsi="Times New Roman" w:cs="Times New Roman"/>
          <w:sz w:val="24"/>
          <w:szCs w:val="24"/>
        </w:rPr>
        <w:t xml:space="preserve"> и потребата за трансфузија која е опишана во литературата при поголеми дози и подолготрајна употреба на ТХА. Препорачани дози на ТХА во ортогната</w:t>
      </w:r>
      <w:r w:rsidR="00A911B0">
        <w:rPr>
          <w:rFonts w:ascii="Times New Roman" w:hAnsi="Times New Roman" w:cs="Times New Roman"/>
          <w:sz w:val="24"/>
          <w:szCs w:val="24"/>
        </w:rPr>
        <w:t>та</w:t>
      </w:r>
      <w:r w:rsidRPr="00215667">
        <w:rPr>
          <w:rFonts w:ascii="Times New Roman" w:hAnsi="Times New Roman" w:cs="Times New Roman"/>
          <w:sz w:val="24"/>
          <w:szCs w:val="24"/>
        </w:rPr>
        <w:t xml:space="preserve"> хирургија и при дентоалвеоларни процедури е: IV 10 mg/kg непосредно пред операцијата, потоа орално 10 mg/kg 3 до 4 пати на ден.</w:t>
      </w:r>
      <w:r w:rsidRPr="00215667">
        <w:rPr>
          <w:rFonts w:ascii="Times New Roman" w:hAnsi="Times New Roman" w:cs="Times New Roman"/>
          <w:sz w:val="24"/>
          <w:szCs w:val="24"/>
          <w:vertAlign w:val="superscript"/>
        </w:rPr>
        <w:t>110,</w:t>
      </w:r>
      <w:r w:rsidR="00A911B0">
        <w:rPr>
          <w:rFonts w:ascii="Times New Roman" w:hAnsi="Times New Roman" w:cs="Times New Roman"/>
          <w:sz w:val="24"/>
          <w:szCs w:val="24"/>
          <w:vertAlign w:val="superscript"/>
        </w:rPr>
        <w:t xml:space="preserve"> </w:t>
      </w:r>
      <w:r w:rsidRPr="00215667">
        <w:rPr>
          <w:rFonts w:ascii="Times New Roman" w:hAnsi="Times New Roman" w:cs="Times New Roman"/>
          <w:sz w:val="24"/>
          <w:szCs w:val="24"/>
          <w:vertAlign w:val="superscript"/>
        </w:rPr>
        <w:t>111</w:t>
      </w:r>
      <w:r w:rsidRPr="00215667">
        <w:rPr>
          <w:rFonts w:ascii="Times New Roman" w:hAnsi="Times New Roman" w:cs="Times New Roman"/>
          <w:sz w:val="24"/>
          <w:szCs w:val="24"/>
        </w:rPr>
        <w:t xml:space="preserve"> </w:t>
      </w:r>
      <w:r w:rsidRPr="00215667">
        <w:rPr>
          <w:rFonts w:ascii="Times New Roman" w:hAnsi="Times New Roman" w:cs="Times New Roman"/>
          <w:color w:val="FF0000"/>
          <w:sz w:val="24"/>
          <w:szCs w:val="24"/>
        </w:rPr>
        <w:t xml:space="preserve"> </w:t>
      </w:r>
    </w:p>
    <w:p w14:paraId="41F60B3D" w14:textId="126D6BD9" w:rsidR="00412474" w:rsidRPr="00215667" w:rsidRDefault="00412474" w:rsidP="00D35942">
      <w:pPr>
        <w:spacing w:after="0" w:line="360" w:lineRule="auto"/>
        <w:ind w:firstLine="720"/>
        <w:jc w:val="both"/>
        <w:rPr>
          <w:rFonts w:ascii="Times New Roman" w:hAnsi="Times New Roman" w:cs="Times New Roman"/>
          <w:bCs/>
          <w:sz w:val="24"/>
          <w:szCs w:val="24"/>
          <w:vertAlign w:val="superscript"/>
        </w:rPr>
      </w:pPr>
      <w:r w:rsidRPr="00215667">
        <w:rPr>
          <w:rFonts w:ascii="Times New Roman" w:hAnsi="Times New Roman" w:cs="Times New Roman"/>
          <w:sz w:val="24"/>
          <w:szCs w:val="24"/>
        </w:rPr>
        <w:t>Неодамнешните анализи покажаа дека транексамичната киселина ја намалува пери- и</w:t>
      </w:r>
      <w:r w:rsidR="000D3167">
        <w:rPr>
          <w:rFonts w:ascii="Times New Roman" w:hAnsi="Times New Roman" w:cs="Times New Roman"/>
          <w:sz w:val="24"/>
          <w:szCs w:val="24"/>
        </w:rPr>
        <w:t xml:space="preserve"> постоперативната загуба на крв</w:t>
      </w:r>
      <w:r w:rsidRPr="00215667">
        <w:rPr>
          <w:rFonts w:ascii="Times New Roman" w:hAnsi="Times New Roman" w:cs="Times New Roman"/>
          <w:sz w:val="24"/>
          <w:szCs w:val="24"/>
          <w:vertAlign w:val="superscript"/>
        </w:rPr>
        <w:t>24-27</w:t>
      </w:r>
      <w:r w:rsidRPr="00215667">
        <w:rPr>
          <w:rFonts w:ascii="Times New Roman" w:hAnsi="Times New Roman" w:cs="Times New Roman"/>
          <w:sz w:val="24"/>
          <w:szCs w:val="24"/>
        </w:rPr>
        <w:t>, потребата за трансфузија и реинтервенции за сопирање на крвавење, речиси кај 98</w:t>
      </w:r>
      <w:r w:rsidR="000D3167">
        <w:rPr>
          <w:rFonts w:ascii="Times New Roman" w:hAnsi="Times New Roman" w:cs="Times New Roman"/>
          <w:sz w:val="24"/>
          <w:szCs w:val="24"/>
        </w:rPr>
        <w:t xml:space="preserve"> </w:t>
      </w:r>
      <w:r w:rsidRPr="00215667">
        <w:rPr>
          <w:rFonts w:ascii="Times New Roman" w:hAnsi="Times New Roman" w:cs="Times New Roman"/>
          <w:sz w:val="24"/>
          <w:szCs w:val="24"/>
        </w:rPr>
        <w:t xml:space="preserve">% од пацинтите. </w:t>
      </w:r>
      <w:r w:rsidR="000D3167">
        <w:rPr>
          <w:rFonts w:ascii="Times New Roman" w:hAnsi="Times New Roman" w:cs="Times New Roman"/>
          <w:sz w:val="24"/>
          <w:szCs w:val="24"/>
        </w:rPr>
        <w:t>Т</w:t>
      </w:r>
      <w:r w:rsidR="000D3167" w:rsidRPr="00215667">
        <w:rPr>
          <w:rFonts w:ascii="Times New Roman" w:hAnsi="Times New Roman" w:cs="Times New Roman"/>
          <w:sz w:val="24"/>
          <w:szCs w:val="24"/>
        </w:rPr>
        <w:t xml:space="preserve">ранексамичната </w:t>
      </w:r>
      <w:r w:rsidRPr="00215667">
        <w:rPr>
          <w:rFonts w:ascii="Times New Roman" w:hAnsi="Times New Roman" w:cs="Times New Roman"/>
          <w:sz w:val="24"/>
          <w:szCs w:val="24"/>
        </w:rPr>
        <w:t>киселин</w:t>
      </w:r>
      <w:r w:rsidR="000D3167">
        <w:rPr>
          <w:rFonts w:ascii="Times New Roman" w:hAnsi="Times New Roman" w:cs="Times New Roman"/>
          <w:sz w:val="24"/>
          <w:szCs w:val="24"/>
        </w:rPr>
        <w:t>а - антифибринолитичко средство</w:t>
      </w:r>
      <w:r w:rsidRPr="00215667">
        <w:rPr>
          <w:rFonts w:ascii="Times New Roman" w:hAnsi="Times New Roman" w:cs="Times New Roman"/>
          <w:sz w:val="24"/>
          <w:szCs w:val="24"/>
        </w:rPr>
        <w:t xml:space="preserve"> е единствениот агенс кој покажал значително мал ризик од развој на постоперативни крвавења (OR 0,27, P = 0,007).</w:t>
      </w:r>
      <w:r w:rsidRPr="00215667">
        <w:rPr>
          <w:rFonts w:ascii="Times New Roman" w:hAnsi="Times New Roman" w:cs="Times New Roman"/>
          <w:sz w:val="24"/>
          <w:szCs w:val="24"/>
          <w:vertAlign w:val="superscript"/>
        </w:rPr>
        <w:t xml:space="preserve">28–30 </w:t>
      </w:r>
      <w:r w:rsidRPr="00215667">
        <w:rPr>
          <w:rFonts w:ascii="Times New Roman" w:hAnsi="Times New Roman" w:cs="Times New Roman"/>
          <w:sz w:val="24"/>
          <w:szCs w:val="24"/>
        </w:rPr>
        <w:t xml:space="preserve">Интравенската апликација на ТХА, обично добро се поднесува и не треба да надминува повеќе од 100 mg/min, со цел избегнување </w:t>
      </w:r>
      <w:r w:rsidR="00BF1FD6">
        <w:rPr>
          <w:rFonts w:ascii="Times New Roman" w:hAnsi="Times New Roman" w:cs="Times New Roman"/>
          <w:sz w:val="24"/>
          <w:szCs w:val="24"/>
        </w:rPr>
        <w:t xml:space="preserve">на </w:t>
      </w:r>
      <w:r w:rsidRPr="00215667">
        <w:rPr>
          <w:rFonts w:ascii="Times New Roman" w:hAnsi="Times New Roman" w:cs="Times New Roman"/>
          <w:sz w:val="24"/>
          <w:szCs w:val="24"/>
        </w:rPr>
        <w:t>несакани ефекти како што се: вртоглавица, хипотензија, гадење, повраќање, дијареа и абдоминална болка кај 12</w:t>
      </w:r>
      <w:r w:rsidR="00BF1FD6">
        <w:rPr>
          <w:rFonts w:ascii="Times New Roman" w:hAnsi="Times New Roman" w:cs="Times New Roman"/>
          <w:sz w:val="24"/>
          <w:szCs w:val="24"/>
        </w:rPr>
        <w:t xml:space="preserve"> </w:t>
      </w:r>
      <w:r w:rsidRPr="00215667">
        <w:rPr>
          <w:rFonts w:ascii="Times New Roman" w:hAnsi="Times New Roman" w:cs="Times New Roman"/>
          <w:sz w:val="24"/>
          <w:szCs w:val="24"/>
        </w:rPr>
        <w:t>% од пациентите. Зголемен ризик од тромбоза од ТХА, не е докажан во ниту едно клиничко истражување</w:t>
      </w:r>
      <w:r w:rsidR="00BF1FD6" w:rsidRPr="00BF1FD6">
        <w:rPr>
          <w:rFonts w:ascii="Times New Roman" w:hAnsi="Times New Roman" w:cs="Times New Roman"/>
          <w:sz w:val="24"/>
          <w:szCs w:val="24"/>
          <w:vertAlign w:val="superscript"/>
        </w:rPr>
        <w:t>31</w:t>
      </w:r>
      <w:r w:rsidRPr="00215667">
        <w:rPr>
          <w:rFonts w:ascii="Times New Roman" w:hAnsi="Times New Roman" w:cs="Times New Roman"/>
          <w:b/>
          <w:sz w:val="24"/>
          <w:szCs w:val="24"/>
        </w:rPr>
        <w:t>,</w:t>
      </w:r>
      <w:r w:rsidRPr="00215667">
        <w:rPr>
          <w:rFonts w:ascii="Times New Roman" w:hAnsi="Times New Roman" w:cs="Times New Roman"/>
          <w:bCs/>
          <w:sz w:val="24"/>
          <w:szCs w:val="24"/>
        </w:rPr>
        <w:t xml:space="preserve"> изведено по мали хируршки интервенции, што сугерира дека профилаксата со ТХА, заснован</w:t>
      </w:r>
      <w:r w:rsidR="00BF1FD6">
        <w:rPr>
          <w:rFonts w:ascii="Times New Roman" w:hAnsi="Times New Roman" w:cs="Times New Roman"/>
          <w:bCs/>
          <w:sz w:val="24"/>
          <w:szCs w:val="24"/>
        </w:rPr>
        <w:t>а</w:t>
      </w:r>
      <w:r w:rsidRPr="00215667">
        <w:rPr>
          <w:rFonts w:ascii="Times New Roman" w:hAnsi="Times New Roman" w:cs="Times New Roman"/>
          <w:bCs/>
          <w:sz w:val="24"/>
          <w:szCs w:val="24"/>
        </w:rPr>
        <w:t xml:space="preserve"> на сегашните препораки е безбедна и сигурна кај овие пациенти.</w:t>
      </w:r>
      <w:r w:rsidRPr="00215667">
        <w:rPr>
          <w:rFonts w:ascii="Times New Roman" w:hAnsi="Times New Roman" w:cs="Times New Roman"/>
          <w:bCs/>
          <w:sz w:val="24"/>
          <w:szCs w:val="24"/>
          <w:vertAlign w:val="superscript"/>
        </w:rPr>
        <w:t>32-41</w:t>
      </w:r>
    </w:p>
    <w:p w14:paraId="1719EA58" w14:textId="77777777" w:rsidR="00412474" w:rsidRPr="00215667" w:rsidRDefault="00412474" w:rsidP="00D35942">
      <w:pPr>
        <w:pStyle w:val="NoSpacing"/>
        <w:spacing w:line="360" w:lineRule="auto"/>
        <w:rPr>
          <w:rFonts w:ascii="Times New Roman" w:hAnsi="Times New Roman" w:cs="Times New Roman"/>
          <w:bCs/>
          <w:sz w:val="24"/>
          <w:szCs w:val="24"/>
          <w:vertAlign w:val="superscript"/>
        </w:rPr>
      </w:pPr>
    </w:p>
    <w:p w14:paraId="583FFADF" w14:textId="0F041122" w:rsidR="00412474" w:rsidRPr="00215667" w:rsidRDefault="00BF1FD6" w:rsidP="00D35942">
      <w:pPr>
        <w:spacing w:after="0" w:line="360" w:lineRule="auto"/>
        <w:ind w:firstLine="720"/>
        <w:jc w:val="both"/>
        <w:rPr>
          <w:rFonts w:ascii="Times New Roman" w:hAnsi="Times New Roman" w:cs="Times New Roman"/>
          <w:bCs/>
          <w:sz w:val="24"/>
          <w:szCs w:val="24"/>
        </w:rPr>
      </w:pPr>
      <w:r>
        <w:rPr>
          <w:rFonts w:ascii="Times New Roman" w:hAnsi="Times New Roman" w:cs="Times New Roman"/>
          <w:bCs/>
          <w:sz w:val="24"/>
          <w:szCs w:val="24"/>
        </w:rPr>
        <w:lastRenderedPageBreak/>
        <w:t>Eкстракцијата на заби</w:t>
      </w:r>
      <w:r w:rsidR="00412474" w:rsidRPr="00215667">
        <w:rPr>
          <w:rFonts w:ascii="Times New Roman" w:hAnsi="Times New Roman" w:cs="Times New Roman"/>
          <w:bCs/>
          <w:sz w:val="24"/>
          <w:szCs w:val="24"/>
        </w:rPr>
        <w:t xml:space="preserve"> е една од најчестите инвазивни орални хируршки процедури кои се спроведуваат во рутинската стоматолошка прак</w:t>
      </w:r>
      <w:r>
        <w:rPr>
          <w:rFonts w:ascii="Times New Roman" w:hAnsi="Times New Roman" w:cs="Times New Roman"/>
          <w:bCs/>
          <w:sz w:val="24"/>
          <w:szCs w:val="24"/>
        </w:rPr>
        <w:t>тик</w:t>
      </w:r>
      <w:r w:rsidR="00412474" w:rsidRPr="00215667">
        <w:rPr>
          <w:rFonts w:ascii="Times New Roman" w:hAnsi="Times New Roman" w:cs="Times New Roman"/>
          <w:bCs/>
          <w:sz w:val="24"/>
          <w:szCs w:val="24"/>
        </w:rPr>
        <w:t xml:space="preserve">а (Van Galen 2014), а крвавењето </w:t>
      </w:r>
      <w:r w:rsidRPr="00215667">
        <w:rPr>
          <w:rFonts w:ascii="Times New Roman" w:hAnsi="Times New Roman" w:cs="Times New Roman"/>
          <w:bCs/>
          <w:sz w:val="24"/>
          <w:szCs w:val="24"/>
        </w:rPr>
        <w:t xml:space="preserve">е </w:t>
      </w:r>
      <w:r w:rsidR="00412474" w:rsidRPr="00215667">
        <w:rPr>
          <w:rFonts w:ascii="Times New Roman" w:hAnsi="Times New Roman" w:cs="Times New Roman"/>
          <w:bCs/>
          <w:sz w:val="24"/>
          <w:szCs w:val="24"/>
        </w:rPr>
        <w:t xml:space="preserve">почеста компликација (McCormick 2014a). Ова крвавење лесно се контролира во повеќето случаи (Amer 2014) и речиси целосно престанува во рок од осум часа по екстракцијата. Сепак, понекогаш може да продолжи, што резултира со ситуација опасна по живот. Важно е да се направи разлика помеѓу активно </w:t>
      </w:r>
      <w:r w:rsidR="00EC49EB" w:rsidRPr="00215667">
        <w:rPr>
          <w:rFonts w:ascii="Times New Roman" w:hAnsi="Times New Roman" w:cs="Times New Roman"/>
          <w:bCs/>
          <w:sz w:val="24"/>
          <w:szCs w:val="24"/>
        </w:rPr>
        <w:t>крвавење</w:t>
      </w:r>
      <w:r w:rsidR="00412474" w:rsidRPr="00215667">
        <w:rPr>
          <w:rFonts w:ascii="Times New Roman" w:hAnsi="Times New Roman" w:cs="Times New Roman"/>
          <w:bCs/>
          <w:sz w:val="24"/>
          <w:szCs w:val="24"/>
        </w:rPr>
        <w:t xml:space="preserve"> од хируршкото место и сукрвица (</w:t>
      </w:r>
      <w:r w:rsidR="00412474" w:rsidRPr="00BF1FD6">
        <w:rPr>
          <w:rFonts w:ascii="Times New Roman" w:hAnsi="Times New Roman" w:cs="Times New Roman"/>
          <w:bCs/>
          <w:i/>
          <w:sz w:val="24"/>
          <w:szCs w:val="24"/>
        </w:rPr>
        <w:t>oozing</w:t>
      </w:r>
      <w:r w:rsidR="00412474" w:rsidRPr="00215667">
        <w:rPr>
          <w:rFonts w:ascii="Times New Roman" w:hAnsi="Times New Roman" w:cs="Times New Roman"/>
          <w:bCs/>
          <w:sz w:val="24"/>
          <w:szCs w:val="24"/>
        </w:rPr>
        <w:t>). Активно кр</w:t>
      </w:r>
      <w:r>
        <w:rPr>
          <w:rFonts w:ascii="Times New Roman" w:hAnsi="Times New Roman" w:cs="Times New Roman"/>
          <w:bCs/>
          <w:sz w:val="24"/>
          <w:szCs w:val="24"/>
        </w:rPr>
        <w:t>вавење обично се нарекува „пост</w:t>
      </w:r>
      <w:r w:rsidR="00412474" w:rsidRPr="00215667">
        <w:rPr>
          <w:rFonts w:ascii="Times New Roman" w:hAnsi="Times New Roman" w:cs="Times New Roman"/>
          <w:bCs/>
          <w:sz w:val="24"/>
          <w:szCs w:val="24"/>
        </w:rPr>
        <w:t>екстракционо крвавење“ (PEB) или „постопера</w:t>
      </w:r>
      <w:r>
        <w:rPr>
          <w:rFonts w:ascii="Times New Roman" w:hAnsi="Times New Roman" w:cs="Times New Roman"/>
          <w:bCs/>
          <w:sz w:val="24"/>
          <w:szCs w:val="24"/>
        </w:rPr>
        <w:t>тивно крвавење по екстракција“.</w:t>
      </w:r>
      <w:r w:rsidR="00412474" w:rsidRPr="00215667">
        <w:rPr>
          <w:rFonts w:ascii="Times New Roman" w:hAnsi="Times New Roman" w:cs="Times New Roman"/>
          <w:bCs/>
          <w:sz w:val="24"/>
          <w:szCs w:val="24"/>
          <w:vertAlign w:val="superscript"/>
        </w:rPr>
        <w:t>45</w:t>
      </w:r>
    </w:p>
    <w:p w14:paraId="691D2A1C" w14:textId="76E05433" w:rsidR="00412474" w:rsidRPr="00215667" w:rsidRDefault="00412474" w:rsidP="00D35942">
      <w:pPr>
        <w:spacing w:after="0" w:line="360" w:lineRule="auto"/>
        <w:ind w:firstLine="720"/>
        <w:jc w:val="both"/>
        <w:rPr>
          <w:rFonts w:ascii="Times New Roman" w:hAnsi="Times New Roman" w:cs="Times New Roman"/>
          <w:bCs/>
          <w:sz w:val="24"/>
          <w:szCs w:val="24"/>
        </w:rPr>
      </w:pPr>
      <w:r w:rsidRPr="00215667">
        <w:rPr>
          <w:rFonts w:ascii="Times New Roman" w:hAnsi="Times New Roman" w:cs="Times New Roman"/>
          <w:sz w:val="24"/>
          <w:szCs w:val="24"/>
        </w:rPr>
        <w:t>Постекстракционите крвавења, кои не можат да се контролираат со основните хемостатски процедури (крвавења кои не можат да се запр</w:t>
      </w:r>
      <w:r w:rsidR="00BF1FD6">
        <w:rPr>
          <w:rFonts w:ascii="Times New Roman" w:hAnsi="Times New Roman" w:cs="Times New Roman"/>
          <w:sz w:val="24"/>
          <w:szCs w:val="24"/>
        </w:rPr>
        <w:t>ат</w:t>
      </w:r>
      <w:r w:rsidRPr="00215667">
        <w:rPr>
          <w:rFonts w:ascii="Times New Roman" w:hAnsi="Times New Roman" w:cs="Times New Roman"/>
          <w:sz w:val="24"/>
          <w:szCs w:val="24"/>
        </w:rPr>
        <w:t xml:space="preserve"> со гризнување на газа и потребен е медицински третман помеѓу 30 мин. и 7 дена), се сметаaт за клинички сигнификантни крвавења.</w:t>
      </w:r>
      <w:r w:rsidRPr="00215667">
        <w:rPr>
          <w:rFonts w:ascii="Times New Roman" w:hAnsi="Times New Roman" w:cs="Times New Roman"/>
          <w:sz w:val="24"/>
          <w:szCs w:val="24"/>
          <w:vertAlign w:val="superscript"/>
        </w:rPr>
        <w:t>42-44</w:t>
      </w:r>
      <w:r w:rsidRPr="00215667">
        <w:rPr>
          <w:rFonts w:ascii="Times New Roman" w:hAnsi="Times New Roman" w:cs="Times New Roman"/>
          <w:sz w:val="24"/>
          <w:szCs w:val="24"/>
        </w:rPr>
        <w:t xml:space="preserve"> Во зависност од времето кога се појавува, постекстракционото крвавење (</w:t>
      </w:r>
      <w:bookmarkStart w:id="9" w:name="_Hlk154486751"/>
      <w:r w:rsidRPr="00215667">
        <w:rPr>
          <w:rFonts w:ascii="Times New Roman" w:hAnsi="Times New Roman" w:cs="Times New Roman"/>
          <w:sz w:val="24"/>
          <w:szCs w:val="24"/>
        </w:rPr>
        <w:t>PEB</w:t>
      </w:r>
      <w:bookmarkEnd w:id="9"/>
      <w:r w:rsidRPr="00215667">
        <w:rPr>
          <w:rFonts w:ascii="Times New Roman" w:hAnsi="Times New Roman" w:cs="Times New Roman"/>
          <w:sz w:val="24"/>
          <w:szCs w:val="24"/>
        </w:rPr>
        <w:t>),</w:t>
      </w:r>
      <w:r w:rsidRPr="00215667">
        <w:rPr>
          <w:rFonts w:ascii="Times New Roman" w:hAnsi="Times New Roman" w:cs="Times New Roman"/>
          <w:color w:val="212121"/>
          <w:sz w:val="24"/>
          <w:szCs w:val="24"/>
          <w:shd w:val="clear" w:color="auto" w:fill="FFFFFF"/>
          <w:vertAlign w:val="superscript"/>
        </w:rPr>
        <w:t>45</w:t>
      </w:r>
      <w:r w:rsidR="00BF1FD6">
        <w:rPr>
          <w:rFonts w:ascii="Times New Roman" w:hAnsi="Times New Roman" w:cs="Times New Roman"/>
          <w:color w:val="212121"/>
          <w:sz w:val="24"/>
          <w:szCs w:val="24"/>
          <w:shd w:val="clear" w:color="auto" w:fill="FFFFFF"/>
          <w:vertAlign w:val="superscript"/>
        </w:rPr>
        <w:t xml:space="preserve"> </w:t>
      </w:r>
      <w:r w:rsidRPr="00215667">
        <w:rPr>
          <w:rFonts w:ascii="Times New Roman" w:hAnsi="Times New Roman" w:cs="Times New Roman"/>
          <w:sz w:val="24"/>
          <w:szCs w:val="24"/>
        </w:rPr>
        <w:t xml:space="preserve">се дефинира како: примарно, реактивно и секундарно </w:t>
      </w:r>
      <w:r w:rsidR="00EC49EB" w:rsidRPr="00215667">
        <w:rPr>
          <w:rFonts w:ascii="Times New Roman" w:hAnsi="Times New Roman" w:cs="Times New Roman"/>
          <w:sz w:val="24"/>
          <w:szCs w:val="24"/>
        </w:rPr>
        <w:t>крвавење</w:t>
      </w:r>
      <w:r w:rsidR="00BF1FD6">
        <w:rPr>
          <w:rFonts w:ascii="Times New Roman" w:hAnsi="Times New Roman" w:cs="Times New Roman"/>
          <w:sz w:val="24"/>
          <w:szCs w:val="24"/>
        </w:rPr>
        <w:t>. Широк прифатен</w:t>
      </w:r>
      <w:r w:rsidRPr="00215667">
        <w:rPr>
          <w:rFonts w:ascii="Times New Roman" w:hAnsi="Times New Roman" w:cs="Times New Roman"/>
          <w:sz w:val="24"/>
          <w:szCs w:val="24"/>
        </w:rPr>
        <w:t xml:space="preserve"> во употреба е моделот на </w:t>
      </w:r>
      <w:r w:rsidRPr="00215667">
        <w:rPr>
          <w:rFonts w:ascii="Times New Roman" w:eastAsia="Times New Roman" w:hAnsi="Times New Roman" w:cs="Times New Roman"/>
          <w:bCs/>
          <w:iCs/>
          <w:sz w:val="24"/>
          <w:szCs w:val="24"/>
        </w:rPr>
        <w:t>Abdullah и Amer, кои</w:t>
      </w:r>
      <w:r w:rsidRPr="00215667">
        <w:rPr>
          <w:rFonts w:ascii="Times New Roman" w:eastAsia="Times New Roman" w:hAnsi="Times New Roman" w:cs="Times New Roman"/>
          <w:b/>
          <w:bCs/>
          <w:iCs/>
          <w:sz w:val="24"/>
          <w:szCs w:val="24"/>
        </w:rPr>
        <w:t xml:space="preserve"> </w:t>
      </w:r>
      <w:r w:rsidRPr="00215667">
        <w:rPr>
          <w:rFonts w:ascii="Times New Roman" w:eastAsia="Times New Roman" w:hAnsi="Times New Roman" w:cs="Times New Roman"/>
          <w:bCs/>
          <w:iCs/>
          <w:sz w:val="24"/>
          <w:szCs w:val="24"/>
        </w:rPr>
        <w:t>го дефи</w:t>
      </w:r>
      <w:r w:rsidR="00BF1FD6">
        <w:rPr>
          <w:rFonts w:ascii="Times New Roman" w:eastAsia="Times New Roman" w:hAnsi="Times New Roman" w:cs="Times New Roman"/>
          <w:bCs/>
          <w:iCs/>
          <w:sz w:val="24"/>
          <w:szCs w:val="24"/>
        </w:rPr>
        <w:t>нирале PEB во четири категории:</w:t>
      </w:r>
      <w:r w:rsidRPr="00215667">
        <w:rPr>
          <w:rFonts w:ascii="Times New Roman" w:hAnsi="Times New Roman" w:cs="Times New Roman"/>
          <w:sz w:val="24"/>
          <w:szCs w:val="24"/>
          <w:vertAlign w:val="superscript"/>
        </w:rPr>
        <w:t>46,47</w:t>
      </w:r>
      <w:r w:rsidRPr="00215667">
        <w:rPr>
          <w:rFonts w:ascii="Times New Roman" w:hAnsi="Times New Roman" w:cs="Times New Roman"/>
          <w:bCs/>
          <w:sz w:val="24"/>
          <w:szCs w:val="24"/>
        </w:rPr>
        <w:t xml:space="preserve"> </w:t>
      </w:r>
    </w:p>
    <w:p w14:paraId="60C01A4D" w14:textId="0FBFFBAC" w:rsidR="00412474" w:rsidRPr="00215667" w:rsidRDefault="00BF1FD6" w:rsidP="00D35942">
      <w:pPr>
        <w:pStyle w:val="NoSpacing"/>
        <w:numPr>
          <w:ilvl w:val="0"/>
          <w:numId w:val="3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п</w:t>
      </w:r>
      <w:r w:rsidR="00412474" w:rsidRPr="00215667">
        <w:rPr>
          <w:rFonts w:ascii="Times New Roman" w:hAnsi="Times New Roman" w:cs="Times New Roman"/>
          <w:bCs/>
          <w:sz w:val="24"/>
          <w:szCs w:val="24"/>
        </w:rPr>
        <w:t>рисуство на сукрвица во плунка (</w:t>
      </w:r>
      <w:r w:rsidR="00412474" w:rsidRPr="00BF1FD6">
        <w:rPr>
          <w:rFonts w:ascii="Times New Roman" w:hAnsi="Times New Roman" w:cs="Times New Roman"/>
          <w:bCs/>
          <w:i/>
          <w:sz w:val="24"/>
          <w:szCs w:val="24"/>
        </w:rPr>
        <w:t>оozing bleeding</w:t>
      </w:r>
      <w:r>
        <w:rPr>
          <w:rFonts w:ascii="Times New Roman" w:hAnsi="Times New Roman" w:cs="Times New Roman"/>
          <w:bCs/>
          <w:sz w:val="24"/>
          <w:szCs w:val="24"/>
        </w:rPr>
        <w:t>);</w:t>
      </w:r>
    </w:p>
    <w:p w14:paraId="44BDD6C9" w14:textId="33CC4893" w:rsidR="00412474" w:rsidRPr="00215667" w:rsidRDefault="00BF1FD6" w:rsidP="00D35942">
      <w:pPr>
        <w:pStyle w:val="NoSpacing"/>
        <w:numPr>
          <w:ilvl w:val="0"/>
          <w:numId w:val="3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л</w:t>
      </w:r>
      <w:r w:rsidR="00412474" w:rsidRPr="00215667">
        <w:rPr>
          <w:rFonts w:ascii="Times New Roman" w:hAnsi="Times New Roman" w:cs="Times New Roman"/>
          <w:bCs/>
          <w:sz w:val="24"/>
          <w:szCs w:val="24"/>
        </w:rPr>
        <w:t>есно крвавење (благо натопување на газа/ тупфер со крв и присуство на сукрвица на подот на уста. Се контролира и престанува по 20 мин.)</w:t>
      </w:r>
      <w:r>
        <w:rPr>
          <w:rFonts w:ascii="Times New Roman" w:hAnsi="Times New Roman" w:cs="Times New Roman"/>
          <w:bCs/>
          <w:sz w:val="24"/>
          <w:szCs w:val="24"/>
        </w:rPr>
        <w:t>;</w:t>
      </w:r>
    </w:p>
    <w:p w14:paraId="41E5BC8E" w14:textId="554A8882" w:rsidR="00412474" w:rsidRPr="00215667" w:rsidRDefault="00412474" w:rsidP="00D35942">
      <w:pPr>
        <w:pStyle w:val="NoSpacing"/>
        <w:numPr>
          <w:ilvl w:val="0"/>
          <w:numId w:val="38"/>
        </w:numPr>
        <w:spacing w:line="360" w:lineRule="auto"/>
        <w:jc w:val="both"/>
        <w:rPr>
          <w:rFonts w:ascii="Times New Roman" w:hAnsi="Times New Roman" w:cs="Times New Roman"/>
          <w:bCs/>
          <w:sz w:val="24"/>
          <w:szCs w:val="24"/>
        </w:rPr>
      </w:pPr>
      <w:r w:rsidRPr="00215667">
        <w:rPr>
          <w:rFonts w:ascii="Times New Roman" w:hAnsi="Times New Roman" w:cs="Times New Roman"/>
          <w:bCs/>
          <w:sz w:val="24"/>
          <w:szCs w:val="24"/>
        </w:rPr>
        <w:t>умерено (крвавење кое продолжува и вториот ден по екстракција; циклично се повторува и се појачува, ја натопува газата со крв, но се контролира со притисок со газа и со локални хемостатски методи)</w:t>
      </w:r>
      <w:r w:rsidR="00BF1FD6">
        <w:rPr>
          <w:rFonts w:ascii="Times New Roman" w:hAnsi="Times New Roman" w:cs="Times New Roman"/>
          <w:bCs/>
          <w:sz w:val="24"/>
          <w:szCs w:val="24"/>
        </w:rPr>
        <w:t>;</w:t>
      </w:r>
      <w:r w:rsidRPr="00215667">
        <w:rPr>
          <w:rFonts w:ascii="Times New Roman" w:hAnsi="Times New Roman" w:cs="Times New Roman"/>
          <w:bCs/>
          <w:sz w:val="24"/>
          <w:szCs w:val="24"/>
        </w:rPr>
        <w:t xml:space="preserve"> </w:t>
      </w:r>
    </w:p>
    <w:p w14:paraId="257F5DC4" w14:textId="712D0C23" w:rsidR="00412474" w:rsidRPr="00215667" w:rsidRDefault="00BF1FD6" w:rsidP="00D35942">
      <w:pPr>
        <w:pStyle w:val="NoSpacing"/>
        <w:numPr>
          <w:ilvl w:val="0"/>
          <w:numId w:val="38"/>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т</w:t>
      </w:r>
      <w:r w:rsidR="00412474" w:rsidRPr="00215667">
        <w:rPr>
          <w:rFonts w:ascii="Times New Roman" w:hAnsi="Times New Roman" w:cs="Times New Roman"/>
          <w:bCs/>
          <w:sz w:val="24"/>
          <w:szCs w:val="24"/>
        </w:rPr>
        <w:t>ешко крвавење (секое крвавење кое бара хоспитализација и системски и локални хемостатски методи).</w:t>
      </w:r>
      <w:r w:rsidR="00412474" w:rsidRPr="00215667">
        <w:rPr>
          <w:rFonts w:ascii="Times New Roman" w:hAnsi="Times New Roman" w:cs="Times New Roman"/>
          <w:sz w:val="24"/>
          <w:szCs w:val="24"/>
          <w:vertAlign w:val="superscript"/>
        </w:rPr>
        <w:t>46</w:t>
      </w:r>
    </w:p>
    <w:p w14:paraId="06A010FB" w14:textId="440EC1F6" w:rsidR="009B71D1" w:rsidRDefault="009B71D1" w:rsidP="00D35942">
      <w:pPr>
        <w:pStyle w:val="NoSpacing"/>
        <w:spacing w:line="360" w:lineRule="auto"/>
        <w:ind w:left="720"/>
        <w:rPr>
          <w:rFonts w:ascii="Times New Roman" w:hAnsi="Times New Roman" w:cs="Times New Roman"/>
          <w:bCs/>
          <w:sz w:val="24"/>
          <w:szCs w:val="24"/>
        </w:rPr>
      </w:pPr>
    </w:p>
    <w:p w14:paraId="18817D4F" w14:textId="45B82275" w:rsidR="00412474" w:rsidRPr="00215667" w:rsidRDefault="00412474" w:rsidP="00D35942">
      <w:pPr>
        <w:pStyle w:val="NoSpacing"/>
        <w:spacing w:line="360" w:lineRule="auto"/>
        <w:ind w:left="567"/>
        <w:jc w:val="both"/>
        <w:rPr>
          <w:rFonts w:ascii="Times New Roman" w:hAnsi="Times New Roman" w:cs="Times New Roman"/>
          <w:bCs/>
          <w:sz w:val="24"/>
          <w:szCs w:val="24"/>
        </w:rPr>
      </w:pPr>
      <w:r w:rsidRPr="00215667">
        <w:rPr>
          <w:rFonts w:ascii="Times New Roman" w:hAnsi="Times New Roman" w:cs="Times New Roman"/>
          <w:bCs/>
          <w:sz w:val="24"/>
          <w:szCs w:val="24"/>
        </w:rPr>
        <w:t>Lockhart 2003 обезбедил четири критериуми за дефинирање на PEB:</w:t>
      </w:r>
    </w:p>
    <w:p w14:paraId="3533AB91" w14:textId="288C30B1" w:rsidR="00412474" w:rsidRPr="009B71D1" w:rsidRDefault="009B71D1" w:rsidP="00D35942">
      <w:pPr>
        <w:pStyle w:val="NoSpacing"/>
        <w:numPr>
          <w:ilvl w:val="0"/>
          <w:numId w:val="3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п</w:t>
      </w:r>
      <w:r w:rsidR="00412474" w:rsidRPr="009B71D1">
        <w:rPr>
          <w:rFonts w:ascii="Times New Roman" w:hAnsi="Times New Roman" w:cs="Times New Roman"/>
          <w:bCs/>
          <w:sz w:val="24"/>
          <w:szCs w:val="24"/>
        </w:rPr>
        <w:t>ролонгирано крвавење кое трае повеќе од 12 часа;</w:t>
      </w:r>
    </w:p>
    <w:p w14:paraId="1A49AF79" w14:textId="4DF11806" w:rsidR="00412474" w:rsidRPr="009B71D1" w:rsidRDefault="009B71D1" w:rsidP="00D35942">
      <w:pPr>
        <w:pStyle w:val="NoSpacing"/>
        <w:numPr>
          <w:ilvl w:val="0"/>
          <w:numId w:val="3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t>л</w:t>
      </w:r>
      <w:r w:rsidR="00412474" w:rsidRPr="009B71D1">
        <w:rPr>
          <w:rFonts w:ascii="Times New Roman" w:hAnsi="Times New Roman" w:cs="Times New Roman"/>
          <w:bCs/>
          <w:sz w:val="24"/>
          <w:szCs w:val="24"/>
        </w:rPr>
        <w:t>есн</w:t>
      </w:r>
      <w:r>
        <w:rPr>
          <w:rFonts w:ascii="Times New Roman" w:hAnsi="Times New Roman" w:cs="Times New Roman"/>
          <w:bCs/>
          <w:sz w:val="24"/>
          <w:szCs w:val="24"/>
        </w:rPr>
        <w:t>о</w:t>
      </w:r>
      <w:r w:rsidR="00412474" w:rsidRPr="009B71D1">
        <w:rPr>
          <w:rFonts w:ascii="Times New Roman" w:hAnsi="Times New Roman" w:cs="Times New Roman"/>
          <w:bCs/>
          <w:sz w:val="24"/>
          <w:szCs w:val="24"/>
        </w:rPr>
        <w:t xml:space="preserve"> </w:t>
      </w:r>
      <w:r>
        <w:rPr>
          <w:rFonts w:ascii="Times New Roman" w:hAnsi="Times New Roman" w:cs="Times New Roman"/>
          <w:bCs/>
          <w:sz w:val="24"/>
          <w:szCs w:val="24"/>
        </w:rPr>
        <w:t>к</w:t>
      </w:r>
      <w:r w:rsidR="00412474" w:rsidRPr="009B71D1">
        <w:rPr>
          <w:rFonts w:ascii="Times New Roman" w:hAnsi="Times New Roman" w:cs="Times New Roman"/>
          <w:bCs/>
          <w:sz w:val="24"/>
          <w:szCs w:val="24"/>
        </w:rPr>
        <w:t>рвавењ</w:t>
      </w:r>
      <w:r>
        <w:rPr>
          <w:rFonts w:ascii="Times New Roman" w:hAnsi="Times New Roman" w:cs="Times New Roman"/>
          <w:bCs/>
          <w:sz w:val="24"/>
          <w:szCs w:val="24"/>
        </w:rPr>
        <w:t>е</w:t>
      </w:r>
      <w:r w:rsidR="00412474" w:rsidRPr="009B71D1">
        <w:rPr>
          <w:rFonts w:ascii="Times New Roman" w:hAnsi="Times New Roman" w:cs="Times New Roman"/>
          <w:bCs/>
          <w:sz w:val="24"/>
          <w:szCs w:val="24"/>
        </w:rPr>
        <w:t>, точкаст</w:t>
      </w:r>
      <w:r>
        <w:rPr>
          <w:rFonts w:ascii="Times New Roman" w:hAnsi="Times New Roman" w:cs="Times New Roman"/>
          <w:bCs/>
          <w:sz w:val="24"/>
          <w:szCs w:val="24"/>
        </w:rPr>
        <w:t>о</w:t>
      </w:r>
      <w:r w:rsidR="00412474" w:rsidRPr="009B71D1">
        <w:rPr>
          <w:rFonts w:ascii="Times New Roman" w:hAnsi="Times New Roman" w:cs="Times New Roman"/>
          <w:bCs/>
          <w:sz w:val="24"/>
          <w:szCs w:val="24"/>
        </w:rPr>
        <w:t xml:space="preserve"> крвавењ</w:t>
      </w:r>
      <w:r>
        <w:rPr>
          <w:rFonts w:ascii="Times New Roman" w:hAnsi="Times New Roman" w:cs="Times New Roman"/>
          <w:bCs/>
          <w:sz w:val="24"/>
          <w:szCs w:val="24"/>
        </w:rPr>
        <w:t>е</w:t>
      </w:r>
      <w:r w:rsidR="00412474" w:rsidRPr="009B71D1">
        <w:rPr>
          <w:rFonts w:ascii="Times New Roman" w:hAnsi="Times New Roman" w:cs="Times New Roman"/>
          <w:bCs/>
          <w:sz w:val="24"/>
          <w:szCs w:val="24"/>
        </w:rPr>
        <w:t xml:space="preserve"> од алвеолата, поради кое пациентот се враќа кај стоматологот, орален или максилофацијален хирург / во оддел  за итни интервенции; </w:t>
      </w:r>
    </w:p>
    <w:p w14:paraId="17DD679D" w14:textId="4DF735B3" w:rsidR="00412474" w:rsidRPr="009B71D1" w:rsidRDefault="00412474" w:rsidP="00D35942">
      <w:pPr>
        <w:pStyle w:val="NoSpacing"/>
        <w:numPr>
          <w:ilvl w:val="0"/>
          <w:numId w:val="39"/>
        </w:numPr>
        <w:spacing w:line="360" w:lineRule="auto"/>
        <w:jc w:val="both"/>
        <w:rPr>
          <w:rFonts w:ascii="Times New Roman" w:hAnsi="Times New Roman" w:cs="Times New Roman"/>
          <w:bCs/>
          <w:sz w:val="24"/>
          <w:szCs w:val="24"/>
        </w:rPr>
      </w:pPr>
      <w:r w:rsidRPr="009B71D1">
        <w:rPr>
          <w:rFonts w:ascii="Times New Roman" w:hAnsi="Times New Roman" w:cs="Times New Roman"/>
          <w:bCs/>
          <w:sz w:val="24"/>
          <w:szCs w:val="24"/>
        </w:rPr>
        <w:t>умерен</w:t>
      </w:r>
      <w:r w:rsidR="009B71D1">
        <w:rPr>
          <w:rFonts w:ascii="Times New Roman" w:hAnsi="Times New Roman" w:cs="Times New Roman"/>
          <w:bCs/>
          <w:sz w:val="24"/>
          <w:szCs w:val="24"/>
        </w:rPr>
        <w:t>о</w:t>
      </w:r>
      <w:r w:rsidRPr="009B71D1">
        <w:rPr>
          <w:rFonts w:ascii="Times New Roman" w:hAnsi="Times New Roman" w:cs="Times New Roman"/>
          <w:bCs/>
          <w:sz w:val="24"/>
          <w:szCs w:val="24"/>
        </w:rPr>
        <w:t xml:space="preserve"> крвавењ</w:t>
      </w:r>
      <w:r w:rsidR="009B71D1">
        <w:rPr>
          <w:rFonts w:ascii="Times New Roman" w:hAnsi="Times New Roman" w:cs="Times New Roman"/>
          <w:bCs/>
          <w:sz w:val="24"/>
          <w:szCs w:val="24"/>
        </w:rPr>
        <w:t>е</w:t>
      </w:r>
      <w:r w:rsidRPr="009B71D1">
        <w:rPr>
          <w:rFonts w:ascii="Times New Roman" w:hAnsi="Times New Roman" w:cs="Times New Roman"/>
          <w:bCs/>
          <w:sz w:val="24"/>
          <w:szCs w:val="24"/>
        </w:rPr>
        <w:t xml:space="preserve"> кое резултира со развој на голем хематом или екхимоза на гингивата и меките ткива; </w:t>
      </w:r>
    </w:p>
    <w:p w14:paraId="23DC9D6C" w14:textId="11DDF182" w:rsidR="00412474" w:rsidRPr="009B71D1" w:rsidRDefault="009B71D1" w:rsidP="00D35942">
      <w:pPr>
        <w:pStyle w:val="NoSpacing"/>
        <w:numPr>
          <w:ilvl w:val="0"/>
          <w:numId w:val="39"/>
        </w:numPr>
        <w:spacing w:line="360" w:lineRule="auto"/>
        <w:jc w:val="both"/>
        <w:rPr>
          <w:rFonts w:ascii="Times New Roman" w:hAnsi="Times New Roman" w:cs="Times New Roman"/>
          <w:bCs/>
          <w:sz w:val="24"/>
          <w:szCs w:val="24"/>
        </w:rPr>
      </w:pPr>
      <w:r>
        <w:rPr>
          <w:rFonts w:ascii="Times New Roman" w:hAnsi="Times New Roman" w:cs="Times New Roman"/>
          <w:bCs/>
          <w:sz w:val="24"/>
          <w:szCs w:val="24"/>
        </w:rPr>
        <w:lastRenderedPageBreak/>
        <w:t>т</w:t>
      </w:r>
      <w:r w:rsidR="00412474" w:rsidRPr="009B71D1">
        <w:rPr>
          <w:rFonts w:ascii="Times New Roman" w:hAnsi="Times New Roman" w:cs="Times New Roman"/>
          <w:bCs/>
          <w:sz w:val="24"/>
          <w:szCs w:val="24"/>
        </w:rPr>
        <w:t xml:space="preserve">ешки крвавења кои бараат хоспитализација, системска терапија или трансфузија. </w:t>
      </w:r>
    </w:p>
    <w:p w14:paraId="24CF24E7" w14:textId="77777777" w:rsidR="009B71D1" w:rsidRDefault="009B71D1" w:rsidP="00D35942">
      <w:pPr>
        <w:spacing w:after="0" w:line="360" w:lineRule="auto"/>
        <w:ind w:firstLine="720"/>
        <w:jc w:val="both"/>
        <w:rPr>
          <w:rFonts w:ascii="Times New Roman" w:eastAsia="Times New Roman" w:hAnsi="Times New Roman" w:cs="Times New Roman"/>
          <w:bCs/>
          <w:iCs/>
          <w:sz w:val="24"/>
          <w:szCs w:val="24"/>
        </w:rPr>
      </w:pPr>
    </w:p>
    <w:p w14:paraId="618FF23A" w14:textId="46E244DF" w:rsidR="00412474" w:rsidRPr="00215667" w:rsidRDefault="00412474" w:rsidP="00D35942">
      <w:pPr>
        <w:spacing w:after="0" w:line="360" w:lineRule="auto"/>
        <w:ind w:firstLine="720"/>
        <w:jc w:val="both"/>
        <w:rPr>
          <w:rFonts w:ascii="Times New Roman" w:hAnsi="Times New Roman" w:cs="Times New Roman"/>
          <w:b/>
          <w:bCs/>
          <w:color w:val="00B0F0"/>
          <w:sz w:val="24"/>
          <w:szCs w:val="24"/>
        </w:rPr>
      </w:pPr>
      <w:r w:rsidRPr="00215667">
        <w:rPr>
          <w:rFonts w:ascii="Times New Roman" w:eastAsia="Times New Roman" w:hAnsi="Times New Roman" w:cs="Times New Roman"/>
          <w:bCs/>
          <w:iCs/>
          <w:sz w:val="24"/>
          <w:szCs w:val="24"/>
        </w:rPr>
        <w:t xml:space="preserve">Пациентите строго се советуваат да се јават во клиниката во секое време по екстракцијата во случаи на појава на </w:t>
      </w:r>
      <w:r w:rsidR="009B71D1" w:rsidRPr="00215667">
        <w:rPr>
          <w:rFonts w:ascii="Times New Roman" w:eastAsia="Times New Roman" w:hAnsi="Times New Roman" w:cs="Times New Roman"/>
          <w:bCs/>
          <w:iCs/>
          <w:sz w:val="24"/>
          <w:szCs w:val="24"/>
        </w:rPr>
        <w:t xml:space="preserve">какви </w:t>
      </w:r>
      <w:r w:rsidRPr="00215667">
        <w:rPr>
          <w:rFonts w:ascii="Times New Roman" w:eastAsia="Times New Roman" w:hAnsi="Times New Roman" w:cs="Times New Roman"/>
          <w:bCs/>
          <w:iCs/>
          <w:sz w:val="24"/>
          <w:szCs w:val="24"/>
        </w:rPr>
        <w:t>било компликации поврзани со екстракцијата и да не консумираат NSAID лекови и хормонска терапија, бидејќи овие лекови го пролонгираат крвавењето и го продолжуваат времето на агрегација на тромбоцитите.</w:t>
      </w:r>
    </w:p>
    <w:p w14:paraId="1591F943" w14:textId="68C0F0A7" w:rsidR="00412474" w:rsidRPr="00215667" w:rsidRDefault="00412474" w:rsidP="00D35942">
      <w:pPr>
        <w:spacing w:after="0" w:line="360" w:lineRule="auto"/>
        <w:ind w:firstLine="720"/>
        <w:jc w:val="both"/>
        <w:rPr>
          <w:rFonts w:ascii="Times New Roman" w:eastAsia="Times New Roman" w:hAnsi="Times New Roman" w:cs="Times New Roman"/>
          <w:bCs/>
          <w:sz w:val="24"/>
          <w:szCs w:val="24"/>
          <w:vertAlign w:val="superscript"/>
        </w:rPr>
      </w:pPr>
      <w:r w:rsidRPr="00215667">
        <w:rPr>
          <w:rFonts w:ascii="Times New Roman" w:hAnsi="Times New Roman" w:cs="Times New Roman"/>
          <w:sz w:val="24"/>
          <w:szCs w:val="24"/>
        </w:rPr>
        <w:t>За контрола на крвавење, се практикуваат многу локални и системски методи, врз основа на стручноста и искуството на клиничарот.</w:t>
      </w:r>
      <w:r w:rsidRPr="00215667">
        <w:rPr>
          <w:rFonts w:ascii="Times New Roman" w:eastAsia="Times New Roman" w:hAnsi="Times New Roman" w:cs="Times New Roman"/>
          <w:bCs/>
          <w:iCs/>
          <w:sz w:val="24"/>
          <w:szCs w:val="24"/>
          <w:vertAlign w:val="superscript"/>
        </w:rPr>
        <w:t xml:space="preserve">45 </w:t>
      </w:r>
      <w:r w:rsidRPr="00215667">
        <w:rPr>
          <w:rFonts w:ascii="Times New Roman" w:hAnsi="Times New Roman" w:cs="Times New Roman"/>
          <w:sz w:val="24"/>
          <w:szCs w:val="24"/>
        </w:rPr>
        <w:t>Инциденцата на PEB варира од 0</w:t>
      </w:r>
      <w:r w:rsidR="00F73C6F">
        <w:rPr>
          <w:rFonts w:ascii="Times New Roman" w:hAnsi="Times New Roman" w:cs="Times New Roman"/>
          <w:sz w:val="24"/>
          <w:szCs w:val="24"/>
        </w:rPr>
        <w:t xml:space="preserve"> </w:t>
      </w:r>
      <w:r w:rsidRPr="00215667">
        <w:rPr>
          <w:rFonts w:ascii="Times New Roman" w:hAnsi="Times New Roman" w:cs="Times New Roman"/>
          <w:sz w:val="24"/>
          <w:szCs w:val="24"/>
        </w:rPr>
        <w:t>% до 26</w:t>
      </w:r>
      <w:r w:rsidR="00F73C6F">
        <w:rPr>
          <w:rFonts w:ascii="Times New Roman" w:hAnsi="Times New Roman" w:cs="Times New Roman"/>
          <w:sz w:val="24"/>
          <w:szCs w:val="24"/>
        </w:rPr>
        <w:t xml:space="preserve"> </w:t>
      </w:r>
      <w:r w:rsidRPr="00215667">
        <w:rPr>
          <w:rFonts w:ascii="Times New Roman" w:hAnsi="Times New Roman" w:cs="Times New Roman"/>
          <w:sz w:val="24"/>
          <w:szCs w:val="24"/>
        </w:rPr>
        <w:t>% и доколку не се спроведат егзактни хемостатски методи, резултираат со поја</w:t>
      </w:r>
      <w:r w:rsidR="00F73C6F">
        <w:rPr>
          <w:rFonts w:ascii="Times New Roman" w:hAnsi="Times New Roman" w:cs="Times New Roman"/>
          <w:sz w:val="24"/>
          <w:szCs w:val="24"/>
        </w:rPr>
        <w:t>ва на големи хематоми, кои спон</w:t>
      </w:r>
      <w:r w:rsidRPr="00215667">
        <w:rPr>
          <w:rFonts w:ascii="Times New Roman" w:hAnsi="Times New Roman" w:cs="Times New Roman"/>
          <w:sz w:val="24"/>
          <w:szCs w:val="24"/>
        </w:rPr>
        <w:t>тано или на допир крварат, а ретко доаѓа и до тешка загуба на крв.</w:t>
      </w:r>
      <w:r w:rsidRPr="00215667">
        <w:rPr>
          <w:rFonts w:ascii="Times New Roman" w:hAnsi="Times New Roman" w:cs="Times New Roman"/>
          <w:sz w:val="24"/>
          <w:szCs w:val="24"/>
          <w:vertAlign w:val="superscript"/>
        </w:rPr>
        <w:t>48-51</w:t>
      </w:r>
      <w:r w:rsidRPr="00215667">
        <w:rPr>
          <w:rFonts w:ascii="Times New Roman" w:eastAsia="Times New Roman" w:hAnsi="Times New Roman" w:cs="Times New Roman"/>
          <w:color w:val="202124"/>
          <w:sz w:val="24"/>
          <w:szCs w:val="24"/>
          <w:lang w:eastAsia="mk-MK"/>
        </w:rPr>
        <w:t xml:space="preserve"> Откако е дијагностицирана </w:t>
      </w:r>
      <w:r w:rsidRPr="00215667">
        <w:rPr>
          <w:rFonts w:ascii="Times New Roman" w:eastAsia="Times New Roman" w:hAnsi="Times New Roman" w:cs="Times New Roman"/>
          <w:bCs/>
          <w:sz w:val="24"/>
          <w:szCs w:val="24"/>
        </w:rPr>
        <w:t xml:space="preserve">тромбоцитна хипоагрегабилност, инциденцата на постхируршко </w:t>
      </w:r>
      <w:r w:rsidR="00EC49EB" w:rsidRPr="00215667">
        <w:rPr>
          <w:rFonts w:ascii="Times New Roman" w:eastAsia="Times New Roman" w:hAnsi="Times New Roman" w:cs="Times New Roman"/>
          <w:bCs/>
          <w:sz w:val="24"/>
          <w:szCs w:val="24"/>
        </w:rPr>
        <w:t>крвавење</w:t>
      </w:r>
      <w:r w:rsidRPr="00215667">
        <w:rPr>
          <w:rFonts w:ascii="Times New Roman" w:eastAsia="Times New Roman" w:hAnsi="Times New Roman" w:cs="Times New Roman"/>
          <w:bCs/>
          <w:sz w:val="24"/>
          <w:szCs w:val="24"/>
        </w:rPr>
        <w:t xml:space="preserve"> е 2,7</w:t>
      </w:r>
      <w:r w:rsidR="00337AE2">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бидејќи на 90</w:t>
      </w:r>
      <w:r w:rsidR="00337AE2">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од процедурите им претходи профилактичен третман со ТХА и пациентите се внимателно следени за време на хируршките процедури. Затоа, се добива впечаток дека PEB не се јавува кај овие пациенти, по нивното дијагностицирање. Системските интервенции со профилакса со и.в. апликација на 1-1,5</w:t>
      </w:r>
      <w:r w:rsidR="00337AE2">
        <w:rPr>
          <w:rFonts w:ascii="Times New Roman" w:eastAsia="Times New Roman" w:hAnsi="Times New Roman" w:cs="Times New Roman"/>
          <w:bCs/>
          <w:sz w:val="24"/>
          <w:szCs w:val="24"/>
        </w:rPr>
        <w:t xml:space="preserve"> г. На ТХА</w:t>
      </w:r>
      <w:r w:rsidRPr="00215667">
        <w:rPr>
          <w:rFonts w:ascii="Times New Roman" w:eastAsia="Times New Roman" w:hAnsi="Times New Roman" w:cs="Times New Roman"/>
          <w:bCs/>
          <w:sz w:val="24"/>
          <w:szCs w:val="24"/>
          <w:vertAlign w:val="superscript"/>
        </w:rPr>
        <w:t>28</w:t>
      </w:r>
      <w:r w:rsidRPr="00215667">
        <w:rPr>
          <w:rFonts w:ascii="Times New Roman" w:eastAsia="Times New Roman" w:hAnsi="Times New Roman" w:cs="Times New Roman"/>
          <w:b/>
          <w:bCs/>
          <w:sz w:val="24"/>
          <w:szCs w:val="24"/>
        </w:rPr>
        <w:t xml:space="preserve"> </w:t>
      </w:r>
      <w:r w:rsidRPr="00215667">
        <w:rPr>
          <w:rFonts w:ascii="Times New Roman" w:eastAsia="Times New Roman" w:hAnsi="Times New Roman" w:cs="Times New Roman"/>
          <w:bCs/>
          <w:sz w:val="24"/>
          <w:szCs w:val="24"/>
        </w:rPr>
        <w:t>и повторување на дозата на секои 8 часа, по потреба при те</w:t>
      </w:r>
      <w:r w:rsidR="00337AE2">
        <w:rPr>
          <w:rFonts w:ascii="Times New Roman" w:eastAsia="Times New Roman" w:hAnsi="Times New Roman" w:cs="Times New Roman"/>
          <w:bCs/>
          <w:sz w:val="24"/>
          <w:szCs w:val="24"/>
        </w:rPr>
        <w:t>шки крвавења и/</w:t>
      </w:r>
      <w:r w:rsidRPr="00215667">
        <w:rPr>
          <w:rFonts w:ascii="Times New Roman" w:eastAsia="Times New Roman" w:hAnsi="Times New Roman" w:cs="Times New Roman"/>
          <w:bCs/>
          <w:sz w:val="24"/>
          <w:szCs w:val="24"/>
        </w:rPr>
        <w:t>или администрација на свежо, замрзната плазма (FFP) или протромбински комплекс-</w:t>
      </w:r>
      <w:r w:rsidR="00337AE2">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Octaplex, се од клучно значење за превенција на PEB.</w:t>
      </w:r>
      <w:r w:rsidR="00337AE2">
        <w:rPr>
          <w:rFonts w:ascii="Times New Roman" w:eastAsia="Times New Roman" w:hAnsi="Times New Roman" w:cs="Times New Roman"/>
          <w:bCs/>
          <w:sz w:val="24"/>
          <w:szCs w:val="24"/>
          <w:vertAlign w:val="superscript"/>
        </w:rPr>
        <w:t xml:space="preserve">52 </w:t>
      </w:r>
      <w:r w:rsidRPr="00215667">
        <w:rPr>
          <w:rFonts w:ascii="Times New Roman" w:eastAsia="Times New Roman" w:hAnsi="Times New Roman" w:cs="Times New Roman"/>
          <w:bCs/>
          <w:sz w:val="24"/>
          <w:szCs w:val="24"/>
        </w:rPr>
        <w:t>Познато е дека 75</w:t>
      </w:r>
      <w:r w:rsidR="00337AE2">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до 90</w:t>
      </w:r>
      <w:r w:rsidR="00337AE2">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xml:space="preserve">% од PEB, се должат на локални технички причини (груби манипулации и </w:t>
      </w:r>
      <w:r w:rsidRPr="00215667">
        <w:rPr>
          <w:rFonts w:ascii="Times New Roman" w:hAnsi="Times New Roman" w:cs="Times New Roman"/>
          <w:sz w:val="24"/>
          <w:szCs w:val="24"/>
        </w:rPr>
        <w:t>лезија на меките ткива и/или коските). Д</w:t>
      </w:r>
      <w:r w:rsidRPr="00215667">
        <w:rPr>
          <w:rFonts w:ascii="Times New Roman" w:eastAsia="Times New Roman" w:hAnsi="Times New Roman" w:cs="Times New Roman"/>
          <w:bCs/>
          <w:sz w:val="24"/>
          <w:szCs w:val="24"/>
        </w:rPr>
        <w:t>околку интервенцијата се изведува внимателно, со минимални оштетувања на коска и мукоза, ризикот од PEB е сведен на минимум.</w:t>
      </w:r>
      <w:r w:rsidRPr="00215667">
        <w:rPr>
          <w:rFonts w:ascii="Times New Roman" w:eastAsia="Times New Roman" w:hAnsi="Times New Roman" w:cs="Times New Roman"/>
          <w:bCs/>
          <w:sz w:val="24"/>
          <w:szCs w:val="24"/>
          <w:vertAlign w:val="superscript"/>
        </w:rPr>
        <w:t xml:space="preserve">48 </w:t>
      </w:r>
    </w:p>
    <w:p w14:paraId="1C1447CC" w14:textId="0D091EA5" w:rsidR="00412474" w:rsidRDefault="00412474" w:rsidP="00D35942">
      <w:pPr>
        <w:spacing w:after="0" w:line="360" w:lineRule="auto"/>
        <w:ind w:firstLine="720"/>
        <w:jc w:val="both"/>
        <w:rPr>
          <w:rFonts w:ascii="Times New Roman" w:eastAsia="Times New Roman" w:hAnsi="Times New Roman" w:cs="Times New Roman"/>
          <w:bCs/>
          <w:color w:val="000000" w:themeColor="text1"/>
          <w:sz w:val="24"/>
          <w:szCs w:val="24"/>
          <w:lang w:val="en-US"/>
        </w:rPr>
      </w:pPr>
      <w:r w:rsidRPr="00215667">
        <w:rPr>
          <w:rFonts w:ascii="Times New Roman" w:eastAsia="Times New Roman" w:hAnsi="Times New Roman" w:cs="Times New Roman"/>
          <w:bCs/>
          <w:sz w:val="24"/>
          <w:szCs w:val="24"/>
        </w:rPr>
        <w:t xml:space="preserve">Количината и сериозноста на PEB зависат од факторите на ризик на хипоагрегабилноста: линеарното намалување на вредностите на ADP, </w:t>
      </w:r>
      <w:r w:rsidR="00337AE2">
        <w:rPr>
          <w:rFonts w:ascii="Times New Roman" w:eastAsia="Times New Roman" w:hAnsi="Times New Roman" w:cs="Times New Roman"/>
          <w:bCs/>
          <w:sz w:val="24"/>
          <w:szCs w:val="24"/>
        </w:rPr>
        <w:t>ристоцетин</w:t>
      </w:r>
      <w:r w:rsidRPr="00215667">
        <w:rPr>
          <w:rFonts w:ascii="Times New Roman" w:eastAsia="Times New Roman" w:hAnsi="Times New Roman" w:cs="Times New Roman"/>
          <w:bCs/>
          <w:sz w:val="24"/>
          <w:szCs w:val="24"/>
        </w:rPr>
        <w:t xml:space="preserve"> и </w:t>
      </w:r>
      <w:r w:rsidR="00337AE2">
        <w:rPr>
          <w:rFonts w:ascii="Times New Roman" w:eastAsia="Times New Roman" w:hAnsi="Times New Roman" w:cs="Times New Roman"/>
          <w:bCs/>
          <w:sz w:val="24"/>
          <w:szCs w:val="24"/>
        </w:rPr>
        <w:t>колаген</w:t>
      </w:r>
      <w:r w:rsidRPr="00215667">
        <w:rPr>
          <w:rFonts w:ascii="Times New Roman" w:eastAsia="Times New Roman" w:hAnsi="Times New Roman" w:cs="Times New Roman"/>
          <w:bCs/>
          <w:sz w:val="24"/>
          <w:szCs w:val="24"/>
        </w:rPr>
        <w:t xml:space="preserve"> хемофилијат</w:t>
      </w:r>
      <w:r w:rsidR="00337AE2">
        <w:rPr>
          <w:rFonts w:ascii="Times New Roman" w:eastAsia="Times New Roman" w:hAnsi="Times New Roman" w:cs="Times New Roman"/>
          <w:bCs/>
          <w:sz w:val="24"/>
          <w:szCs w:val="24"/>
        </w:rPr>
        <w:t>а, профилакса со примена на ТХА</w:t>
      </w:r>
      <w:r w:rsidRPr="00215667">
        <w:rPr>
          <w:rFonts w:ascii="Times New Roman" w:eastAsia="Times New Roman" w:hAnsi="Times New Roman" w:cs="Times New Roman"/>
          <w:bCs/>
          <w:sz w:val="24"/>
          <w:szCs w:val="24"/>
        </w:rPr>
        <w:t>, локални и системски фактори на хемостаза и фактори поврзани со интервенција (како што се типот и број</w:t>
      </w:r>
      <w:r w:rsidR="00337AE2">
        <w:rPr>
          <w:rFonts w:ascii="Times New Roman" w:eastAsia="Times New Roman" w:hAnsi="Times New Roman" w:cs="Times New Roman"/>
          <w:bCs/>
          <w:sz w:val="24"/>
          <w:szCs w:val="24"/>
        </w:rPr>
        <w:t>от</w:t>
      </w:r>
      <w:r w:rsidRPr="00215667">
        <w:rPr>
          <w:rFonts w:ascii="Times New Roman" w:eastAsia="Times New Roman" w:hAnsi="Times New Roman" w:cs="Times New Roman"/>
          <w:bCs/>
          <w:sz w:val="24"/>
          <w:szCs w:val="24"/>
        </w:rPr>
        <w:t xml:space="preserve"> на извадени заби или димензија на оперативното поле/ раната). Слично на локалните хемостатски методи и шиење на рана, антифибринолитичката терапија со локално топично дејство на ТХА е евтин, безбеден и потенцијално најефикасен </w:t>
      </w:r>
      <w:r w:rsidRPr="00215667">
        <w:rPr>
          <w:rFonts w:ascii="Times New Roman" w:eastAsia="Times New Roman" w:hAnsi="Times New Roman" w:cs="Times New Roman"/>
          <w:bCs/>
          <w:sz w:val="24"/>
          <w:szCs w:val="24"/>
        </w:rPr>
        <w:lastRenderedPageBreak/>
        <w:t xml:space="preserve">третман за спречување на компликациите од крвавење кај лица со хипоагрегабилност кои се подложени на орални или дентални </w:t>
      </w:r>
      <w:r w:rsidRPr="00215667">
        <w:rPr>
          <w:rFonts w:ascii="Times New Roman" w:eastAsia="Times New Roman" w:hAnsi="Times New Roman" w:cs="Times New Roman"/>
          <w:bCs/>
          <w:color w:val="000000" w:themeColor="text1"/>
          <w:sz w:val="24"/>
          <w:szCs w:val="24"/>
        </w:rPr>
        <w:t>процедури</w:t>
      </w:r>
      <w:r w:rsidR="00215667">
        <w:rPr>
          <w:rFonts w:ascii="Times New Roman" w:eastAsia="Times New Roman" w:hAnsi="Times New Roman" w:cs="Times New Roman"/>
          <w:bCs/>
          <w:color w:val="000000" w:themeColor="text1"/>
          <w:sz w:val="24"/>
          <w:szCs w:val="24"/>
          <w:lang w:val="en-US"/>
        </w:rPr>
        <w:t>.</w:t>
      </w:r>
      <w:r w:rsidRPr="00215667">
        <w:rPr>
          <w:rFonts w:ascii="Times New Roman" w:eastAsia="Times New Roman" w:hAnsi="Times New Roman" w:cs="Times New Roman"/>
          <w:bCs/>
          <w:color w:val="000000" w:themeColor="text1"/>
          <w:sz w:val="24"/>
          <w:szCs w:val="24"/>
          <w:vertAlign w:val="superscript"/>
        </w:rPr>
        <w:t>112</w:t>
      </w:r>
    </w:p>
    <w:p w14:paraId="51132963" w14:textId="3629BD37" w:rsidR="00412474" w:rsidRDefault="00412474" w:rsidP="00D35942">
      <w:pPr>
        <w:spacing w:after="0" w:line="360" w:lineRule="auto"/>
        <w:ind w:firstLine="720"/>
        <w:jc w:val="both"/>
        <w:rPr>
          <w:rFonts w:ascii="Times New Roman" w:eastAsia="Times New Roman" w:hAnsi="Times New Roman" w:cs="Times New Roman"/>
          <w:bCs/>
          <w:sz w:val="24"/>
          <w:szCs w:val="24"/>
          <w:lang w:val="en-US"/>
        </w:rPr>
      </w:pPr>
      <w:r w:rsidRPr="00215667">
        <w:rPr>
          <w:rFonts w:ascii="Times New Roman" w:eastAsia="Times New Roman" w:hAnsi="Times New Roman" w:cs="Times New Roman"/>
          <w:bCs/>
          <w:sz w:val="24"/>
          <w:szCs w:val="24"/>
        </w:rPr>
        <w:t>Скоро сите автори во однос на локалните хемостатски методи, постигнале консензус за адекват</w:t>
      </w:r>
      <w:r w:rsidR="00337AE2">
        <w:rPr>
          <w:rFonts w:ascii="Times New Roman" w:eastAsia="Times New Roman" w:hAnsi="Times New Roman" w:cs="Times New Roman"/>
          <w:bCs/>
          <w:sz w:val="24"/>
          <w:szCs w:val="24"/>
        </w:rPr>
        <w:t>на постоперативна хемостаза, т.е. постекстракцио</w:t>
      </w:r>
      <w:r w:rsidRPr="00215667">
        <w:rPr>
          <w:rFonts w:ascii="Times New Roman" w:eastAsia="Times New Roman" w:hAnsi="Times New Roman" w:cs="Times New Roman"/>
          <w:bCs/>
          <w:sz w:val="24"/>
          <w:szCs w:val="24"/>
        </w:rPr>
        <w:t>но, алвеолата или оперативното поле да се третираат со 5</w:t>
      </w:r>
      <w:r w:rsidR="00337AE2">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w:t>
      </w:r>
      <w:r w:rsidR="00337AE2">
        <w:rPr>
          <w:rFonts w:ascii="Times New Roman" w:eastAsia="Times New Roman" w:hAnsi="Times New Roman" w:cs="Times New Roman"/>
          <w:bCs/>
          <w:sz w:val="24"/>
          <w:szCs w:val="24"/>
        </w:rPr>
        <w:t xml:space="preserve"> TXA на газа под притисок, по</w:t>
      </w:r>
      <w:r w:rsidRPr="00215667">
        <w:rPr>
          <w:rFonts w:ascii="Times New Roman" w:eastAsia="Times New Roman" w:hAnsi="Times New Roman" w:cs="Times New Roman"/>
          <w:bCs/>
          <w:sz w:val="24"/>
          <w:szCs w:val="24"/>
        </w:rPr>
        <w:t xml:space="preserve"> што след</w:t>
      </w:r>
      <w:r w:rsidR="00337AE2">
        <w:rPr>
          <w:rFonts w:ascii="Times New Roman" w:eastAsia="Times New Roman" w:hAnsi="Times New Roman" w:cs="Times New Roman"/>
          <w:bCs/>
          <w:sz w:val="24"/>
          <w:szCs w:val="24"/>
        </w:rPr>
        <w:t>ува</w:t>
      </w:r>
      <w:r w:rsidRPr="00215667">
        <w:rPr>
          <w:rFonts w:ascii="Times New Roman" w:eastAsia="Times New Roman" w:hAnsi="Times New Roman" w:cs="Times New Roman"/>
          <w:bCs/>
          <w:sz w:val="24"/>
          <w:szCs w:val="24"/>
        </w:rPr>
        <w:t xml:space="preserve"> шиење на раната. Оттука, комплетна хемостаза според упатствата се постигнува со профилактична доза на ТХА предоперативно и употребата на предложените локални методи.</w:t>
      </w:r>
      <w:r w:rsidRPr="00215667">
        <w:rPr>
          <w:rFonts w:ascii="Times New Roman" w:eastAsia="Times New Roman" w:hAnsi="Times New Roman" w:cs="Times New Roman"/>
          <w:bCs/>
          <w:sz w:val="24"/>
          <w:szCs w:val="24"/>
          <w:vertAlign w:val="superscript"/>
        </w:rPr>
        <w:t>113</w:t>
      </w:r>
      <w:r w:rsidRPr="00215667">
        <w:rPr>
          <w:rFonts w:ascii="Times New Roman" w:eastAsia="Times New Roman" w:hAnsi="Times New Roman" w:cs="Times New Roman"/>
          <w:bCs/>
          <w:sz w:val="24"/>
          <w:szCs w:val="24"/>
        </w:rPr>
        <w:t xml:space="preserve"> </w:t>
      </w:r>
    </w:p>
    <w:p w14:paraId="6727915B" w14:textId="551856F1" w:rsidR="00412474" w:rsidRDefault="00412474" w:rsidP="00D35942">
      <w:pPr>
        <w:spacing w:after="0" w:line="360" w:lineRule="auto"/>
        <w:ind w:firstLine="720"/>
        <w:jc w:val="both"/>
        <w:rPr>
          <w:rFonts w:ascii="Times New Roman" w:eastAsia="Calibri" w:hAnsi="Times New Roman" w:cs="Times New Roman"/>
          <w:kern w:val="2"/>
          <w:sz w:val="24"/>
          <w:szCs w:val="24"/>
          <w:vertAlign w:val="superscript"/>
          <w:lang w:val="en-US"/>
          <w14:ligatures w14:val="standardContextual"/>
        </w:rPr>
      </w:pPr>
      <w:r w:rsidRPr="00215667">
        <w:rPr>
          <w:rFonts w:ascii="Times New Roman" w:eastAsia="Times New Roman" w:hAnsi="Times New Roman" w:cs="Times New Roman"/>
          <w:bCs/>
          <w:sz w:val="24"/>
          <w:szCs w:val="24"/>
        </w:rPr>
        <w:t>Ризикот за појава на PEB се проценува дека е околу 2</w:t>
      </w:r>
      <w:r w:rsidR="00337AE2">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до 5</w:t>
      </w:r>
      <w:r w:rsidR="00337AE2">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xml:space="preserve">%, во зависност од локализацијата, видот и обемот на дентоалвеоларната </w:t>
      </w:r>
      <w:r w:rsidR="00337AE2">
        <w:rPr>
          <w:rFonts w:ascii="Times New Roman" w:eastAsia="Times New Roman" w:hAnsi="Times New Roman" w:cs="Times New Roman"/>
          <w:bCs/>
          <w:sz w:val="24"/>
          <w:szCs w:val="24"/>
        </w:rPr>
        <w:t>и</w:t>
      </w:r>
      <w:r w:rsidRPr="00215667">
        <w:rPr>
          <w:rFonts w:ascii="Times New Roman" w:eastAsia="Times New Roman" w:hAnsi="Times New Roman" w:cs="Times New Roman"/>
          <w:bCs/>
          <w:sz w:val="24"/>
          <w:szCs w:val="24"/>
        </w:rPr>
        <w:t>нтервенција, кај здрави пациенти, но се поја</w:t>
      </w:r>
      <w:r w:rsidR="00337AE2">
        <w:rPr>
          <w:rFonts w:ascii="Times New Roman" w:eastAsia="Times New Roman" w:hAnsi="Times New Roman" w:cs="Times New Roman"/>
          <w:bCs/>
          <w:sz w:val="24"/>
          <w:szCs w:val="24"/>
        </w:rPr>
        <w:t xml:space="preserve">чува на 82 </w:t>
      </w:r>
      <w:r w:rsidR="00337AE2" w:rsidRPr="00215667">
        <w:rPr>
          <w:rFonts w:ascii="Times New Roman" w:hAnsi="Times New Roman" w:cs="Times New Roman"/>
          <w:bCs/>
          <w:sz w:val="24"/>
          <w:szCs w:val="24"/>
        </w:rPr>
        <w:t>–</w:t>
      </w:r>
      <w:r w:rsidR="00337AE2">
        <w:rPr>
          <w:rFonts w:ascii="Times New Roman" w:hAnsi="Times New Roman" w:cs="Times New Roman"/>
          <w:bCs/>
          <w:sz w:val="24"/>
          <w:szCs w:val="24"/>
        </w:rPr>
        <w:t xml:space="preserve"> </w:t>
      </w:r>
      <w:r w:rsidRPr="00215667">
        <w:rPr>
          <w:rFonts w:ascii="Times New Roman" w:eastAsia="Times New Roman" w:hAnsi="Times New Roman" w:cs="Times New Roman"/>
          <w:bCs/>
          <w:sz w:val="24"/>
          <w:szCs w:val="24"/>
        </w:rPr>
        <w:t>98</w:t>
      </w:r>
      <w:r w:rsidR="00337AE2">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кај пациентите со тромбоцитопатии, вклучувајќи ја и хипоагрегабилноста</w:t>
      </w:r>
      <w:r w:rsidRPr="00215667">
        <w:rPr>
          <w:rFonts w:ascii="Times New Roman" w:eastAsia="Times New Roman" w:hAnsi="Times New Roman" w:cs="Times New Roman"/>
          <w:b/>
          <w:bCs/>
          <w:sz w:val="24"/>
          <w:szCs w:val="24"/>
        </w:rPr>
        <w:t>.</w:t>
      </w:r>
      <w:r w:rsidRPr="00215667">
        <w:rPr>
          <w:rFonts w:ascii="Times New Roman" w:eastAsia="Times New Roman" w:hAnsi="Times New Roman" w:cs="Times New Roman"/>
          <w:bCs/>
          <w:sz w:val="24"/>
          <w:szCs w:val="24"/>
          <w:vertAlign w:val="superscript"/>
        </w:rPr>
        <w:t>45,53</w:t>
      </w:r>
      <w:r w:rsidRPr="00215667">
        <w:rPr>
          <w:rFonts w:ascii="Times New Roman" w:eastAsia="Times New Roman" w:hAnsi="Times New Roman" w:cs="Times New Roman"/>
          <w:bCs/>
          <w:sz w:val="24"/>
          <w:szCs w:val="24"/>
        </w:rPr>
        <w:t xml:space="preserve"> Стапката на постоперативно крвавење е почеста кај екстракција на забите во мандибула, особено по екстракција на мандибуларните трети молари е 0,6</w:t>
      </w:r>
      <w:r w:rsidR="00337AE2">
        <w:rPr>
          <w:rFonts w:ascii="Times New Roman" w:eastAsia="Times New Roman" w:hAnsi="Times New Roman" w:cs="Times New Roman"/>
          <w:bCs/>
          <w:sz w:val="24"/>
          <w:szCs w:val="24"/>
        </w:rPr>
        <w:t xml:space="preserve"> % </w:t>
      </w:r>
      <w:r w:rsidR="00337AE2" w:rsidRPr="00215667">
        <w:rPr>
          <w:rFonts w:ascii="Times New Roman" w:hAnsi="Times New Roman" w:cs="Times New Roman"/>
          <w:bCs/>
          <w:sz w:val="24"/>
          <w:szCs w:val="24"/>
        </w:rPr>
        <w:t>–</w:t>
      </w:r>
      <w:r w:rsidR="00337AE2">
        <w:rPr>
          <w:rFonts w:ascii="Times New Roman" w:hAnsi="Times New Roman" w:cs="Times New Roman"/>
          <w:bCs/>
          <w:sz w:val="24"/>
          <w:szCs w:val="24"/>
        </w:rPr>
        <w:t xml:space="preserve"> </w:t>
      </w:r>
      <w:r w:rsidRPr="00215667">
        <w:rPr>
          <w:rFonts w:ascii="Times New Roman" w:eastAsia="Times New Roman" w:hAnsi="Times New Roman" w:cs="Times New Roman"/>
          <w:bCs/>
          <w:sz w:val="24"/>
          <w:szCs w:val="24"/>
        </w:rPr>
        <w:t>1,3, 0,2</w:t>
      </w:r>
      <w:r w:rsidR="00337AE2">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до 1,4</w:t>
      </w:r>
      <w:r w:rsidR="00337AE2">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во однос на екстракција на забите во максила, особено по екстракција на максиларен трет молар е 0,4</w:t>
      </w:r>
      <w:r w:rsidR="00E738A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w:t>
      </w:r>
      <w:r w:rsidRPr="00215667">
        <w:rPr>
          <w:rFonts w:ascii="Times New Roman" w:eastAsia="Times New Roman" w:hAnsi="Times New Roman" w:cs="Times New Roman"/>
          <w:b/>
          <w:bCs/>
          <w:sz w:val="24"/>
          <w:szCs w:val="24"/>
        </w:rPr>
        <w:t xml:space="preserve">. </w:t>
      </w:r>
      <w:r w:rsidRPr="00215667">
        <w:rPr>
          <w:rFonts w:ascii="Times New Roman" w:eastAsia="Times New Roman" w:hAnsi="Times New Roman" w:cs="Times New Roman"/>
          <w:bCs/>
          <w:sz w:val="24"/>
          <w:szCs w:val="24"/>
        </w:rPr>
        <w:t>Истражувањата асоцирани со времето на појава на</w:t>
      </w:r>
      <w:r w:rsidRPr="00215667">
        <w:rPr>
          <w:rFonts w:ascii="Times New Roman" w:hAnsi="Times New Roman" w:cs="Times New Roman"/>
          <w:sz w:val="24"/>
          <w:szCs w:val="24"/>
        </w:rPr>
        <w:t xml:space="preserve"> </w:t>
      </w:r>
      <w:r w:rsidRPr="00215667">
        <w:rPr>
          <w:rFonts w:ascii="Times New Roman" w:eastAsia="Times New Roman" w:hAnsi="Times New Roman" w:cs="Times New Roman"/>
          <w:bCs/>
          <w:sz w:val="24"/>
          <w:szCs w:val="24"/>
        </w:rPr>
        <w:t>PEB, покажале дека 75</w:t>
      </w:r>
      <w:r w:rsidR="00E738A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од PEB се случуваат во рок од осум часа по операцијата, останатите</w:t>
      </w:r>
      <w:r w:rsidR="00E738A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25</w:t>
      </w:r>
      <w:r w:rsidR="00E738A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xml:space="preserve">% се секундарни крвавења. Исто така, постоперативното продолжено </w:t>
      </w:r>
      <w:r w:rsidR="00EC49EB" w:rsidRPr="00215667">
        <w:rPr>
          <w:rFonts w:ascii="Times New Roman" w:eastAsia="Times New Roman" w:hAnsi="Times New Roman" w:cs="Times New Roman"/>
          <w:bCs/>
          <w:sz w:val="24"/>
          <w:szCs w:val="24"/>
        </w:rPr>
        <w:t>крвавење</w:t>
      </w:r>
      <w:r w:rsidRPr="00215667">
        <w:rPr>
          <w:rFonts w:ascii="Times New Roman" w:eastAsia="Times New Roman" w:hAnsi="Times New Roman" w:cs="Times New Roman"/>
          <w:bCs/>
          <w:sz w:val="24"/>
          <w:szCs w:val="24"/>
        </w:rPr>
        <w:t xml:space="preserve"> од мандибуларните катници е почеста (80</w:t>
      </w:r>
      <w:r w:rsidR="00E738A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xml:space="preserve">%) отколку </w:t>
      </w:r>
      <w:r w:rsidR="00EC49EB" w:rsidRPr="00215667">
        <w:rPr>
          <w:rFonts w:ascii="Times New Roman" w:eastAsia="Times New Roman" w:hAnsi="Times New Roman" w:cs="Times New Roman"/>
          <w:bCs/>
          <w:sz w:val="24"/>
          <w:szCs w:val="24"/>
        </w:rPr>
        <w:t>крвавење</w:t>
      </w:r>
      <w:r w:rsidRPr="00215667">
        <w:rPr>
          <w:rFonts w:ascii="Times New Roman" w:eastAsia="Times New Roman" w:hAnsi="Times New Roman" w:cs="Times New Roman"/>
          <w:bCs/>
          <w:sz w:val="24"/>
          <w:szCs w:val="24"/>
        </w:rPr>
        <w:t>то од максиларните катници (20</w:t>
      </w:r>
      <w:r w:rsidR="00E738A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поради поголемата васкуларизација  на мандибулата.</w:t>
      </w:r>
      <w:r w:rsidRPr="00215667">
        <w:rPr>
          <w:rFonts w:ascii="Times New Roman" w:eastAsia="Times New Roman" w:hAnsi="Times New Roman" w:cs="Times New Roman"/>
          <w:bCs/>
          <w:sz w:val="24"/>
          <w:szCs w:val="24"/>
          <w:vertAlign w:val="superscript"/>
        </w:rPr>
        <w:t>54</w:t>
      </w:r>
      <w:r w:rsidRPr="00215667">
        <w:rPr>
          <w:rFonts w:ascii="Times New Roman" w:eastAsia="Times New Roman" w:hAnsi="Times New Roman" w:cs="Times New Roman"/>
          <w:bCs/>
          <w:sz w:val="24"/>
          <w:szCs w:val="24"/>
        </w:rPr>
        <w:t xml:space="preserve"> Некои автори утврдиле дека бројот на екстрахирани заби не е значајно асоцирано со PEB, додека пак повеќето во својот протокол наведуваат дека</w:t>
      </w:r>
      <w:r w:rsidRPr="00215667">
        <w:rPr>
          <w:rFonts w:ascii="Times New Roman" w:eastAsia="Times New Roman" w:hAnsi="Times New Roman" w:cs="Times New Roman"/>
          <w:b/>
          <w:bCs/>
          <w:sz w:val="24"/>
          <w:szCs w:val="24"/>
        </w:rPr>
        <w:t xml:space="preserve"> </w:t>
      </w:r>
      <w:r w:rsidRPr="00215667">
        <w:rPr>
          <w:rFonts w:ascii="Times New Roman" w:eastAsia="Times New Roman" w:hAnsi="Times New Roman" w:cs="Times New Roman"/>
          <w:bCs/>
          <w:sz w:val="24"/>
          <w:szCs w:val="24"/>
        </w:rPr>
        <w:t>екстензивноста на третманот  (екстракција на 1</w:t>
      </w:r>
      <w:r w:rsidR="00E738A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xml:space="preserve">или 2), не влијае на времето и интензитетот на </w:t>
      </w:r>
      <w:r w:rsidR="00EC49EB" w:rsidRPr="00215667">
        <w:rPr>
          <w:rFonts w:ascii="Times New Roman" w:eastAsia="Times New Roman" w:hAnsi="Times New Roman" w:cs="Times New Roman"/>
          <w:bCs/>
          <w:sz w:val="24"/>
          <w:szCs w:val="24"/>
        </w:rPr>
        <w:t>крвавење</w:t>
      </w:r>
      <w:r w:rsidRPr="00215667">
        <w:rPr>
          <w:rFonts w:ascii="Times New Roman" w:eastAsia="Times New Roman" w:hAnsi="Times New Roman" w:cs="Times New Roman"/>
          <w:bCs/>
          <w:sz w:val="24"/>
          <w:szCs w:val="24"/>
        </w:rPr>
        <w:t>то. Доколку е индицирана екстракција на 3 или повеќе заби, тогаш интервенциите треба да се закажат во повеќе наврати.</w:t>
      </w:r>
      <w:r w:rsidRPr="00215667">
        <w:rPr>
          <w:rFonts w:ascii="Times New Roman" w:eastAsia="Calibri" w:hAnsi="Times New Roman" w:cs="Times New Roman"/>
          <w:kern w:val="2"/>
          <w:sz w:val="24"/>
          <w:szCs w:val="24"/>
          <w:vertAlign w:val="superscript"/>
          <w14:ligatures w14:val="standardContextual"/>
        </w:rPr>
        <w:t>55,56</w:t>
      </w:r>
    </w:p>
    <w:p w14:paraId="74003A74" w14:textId="6EF10314" w:rsidR="00412474" w:rsidRDefault="00412474" w:rsidP="00D35942">
      <w:pPr>
        <w:spacing w:after="0" w:line="360" w:lineRule="auto"/>
        <w:ind w:firstLine="720"/>
        <w:jc w:val="both"/>
        <w:rPr>
          <w:rFonts w:ascii="Times New Roman" w:hAnsi="Times New Roman" w:cs="Times New Roman"/>
          <w:sz w:val="24"/>
          <w:szCs w:val="24"/>
          <w:vertAlign w:val="superscript"/>
          <w:lang w:val="en-US"/>
        </w:rPr>
      </w:pPr>
      <w:r w:rsidRPr="00215667">
        <w:rPr>
          <w:rFonts w:ascii="Times New Roman" w:eastAsia="Calibri" w:hAnsi="Times New Roman" w:cs="Times New Roman"/>
          <w:kern w:val="2"/>
          <w:sz w:val="24"/>
          <w:szCs w:val="24"/>
          <w14:ligatures w14:val="standardContextual"/>
        </w:rPr>
        <w:t>Врз осно</w:t>
      </w:r>
      <w:r w:rsidR="00C45107">
        <w:rPr>
          <w:rFonts w:ascii="Times New Roman" w:eastAsia="Calibri" w:hAnsi="Times New Roman" w:cs="Times New Roman"/>
          <w:kern w:val="2"/>
          <w:sz w:val="24"/>
          <w:szCs w:val="24"/>
          <w14:ligatures w14:val="standardContextual"/>
        </w:rPr>
        <w:t>ва на досегашните мрежни метаа</w:t>
      </w:r>
      <w:r w:rsidRPr="00215667">
        <w:rPr>
          <w:rFonts w:ascii="Times New Roman" w:eastAsia="Calibri" w:hAnsi="Times New Roman" w:cs="Times New Roman"/>
          <w:kern w:val="2"/>
          <w:sz w:val="24"/>
          <w:szCs w:val="24"/>
          <w14:ligatures w14:val="standardContextual"/>
        </w:rPr>
        <w:t>н</w:t>
      </w:r>
      <w:r w:rsidR="00C45107">
        <w:rPr>
          <w:rFonts w:ascii="Times New Roman" w:eastAsia="Calibri" w:hAnsi="Times New Roman" w:cs="Times New Roman"/>
          <w:kern w:val="2"/>
          <w:sz w:val="24"/>
          <w:szCs w:val="24"/>
          <w14:ligatures w14:val="standardContextual"/>
        </w:rPr>
        <w:t>а</w:t>
      </w:r>
      <w:r w:rsidRPr="00215667">
        <w:rPr>
          <w:rFonts w:ascii="Times New Roman" w:eastAsia="Calibri" w:hAnsi="Times New Roman" w:cs="Times New Roman"/>
          <w:kern w:val="2"/>
          <w:sz w:val="24"/>
          <w:szCs w:val="24"/>
          <w14:ligatures w14:val="standardContextual"/>
        </w:rPr>
        <w:t xml:space="preserve">лизи, потврдена е улогата на </w:t>
      </w:r>
      <w:r w:rsidRPr="00215667">
        <w:rPr>
          <w:rFonts w:ascii="Times New Roman" w:hAnsi="Times New Roman" w:cs="Times New Roman"/>
          <w:sz w:val="24"/>
          <w:szCs w:val="24"/>
        </w:rPr>
        <w:t xml:space="preserve">локалните хемостатски процедури со кои се сопира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то кај 98</w:t>
      </w:r>
      <w:r w:rsidR="00C45107">
        <w:rPr>
          <w:rFonts w:ascii="Times New Roman" w:hAnsi="Times New Roman" w:cs="Times New Roman"/>
          <w:sz w:val="24"/>
          <w:szCs w:val="24"/>
        </w:rPr>
        <w:t xml:space="preserve"> </w:t>
      </w:r>
      <w:r w:rsidRPr="00215667">
        <w:rPr>
          <w:rFonts w:ascii="Times New Roman" w:hAnsi="Times New Roman" w:cs="Times New Roman"/>
          <w:sz w:val="24"/>
          <w:szCs w:val="24"/>
        </w:rPr>
        <w:t>% од пациентите, без додатно користење на хемостатски аг</w:t>
      </w:r>
      <w:r w:rsidR="00C45107">
        <w:rPr>
          <w:rFonts w:ascii="Times New Roman" w:hAnsi="Times New Roman" w:cs="Times New Roman"/>
          <w:sz w:val="24"/>
          <w:szCs w:val="24"/>
        </w:rPr>
        <w:t>енси.</w:t>
      </w:r>
      <w:r w:rsidRPr="00215667">
        <w:rPr>
          <w:rFonts w:ascii="Times New Roman" w:eastAsia="Calibri" w:hAnsi="Times New Roman" w:cs="Times New Roman"/>
          <w:kern w:val="2"/>
          <w:sz w:val="24"/>
          <w:szCs w:val="24"/>
          <w:vertAlign w:val="superscript"/>
          <w14:ligatures w14:val="standardContextual"/>
        </w:rPr>
        <w:t>42,</w:t>
      </w:r>
      <w:r w:rsidR="00C45107">
        <w:rPr>
          <w:rFonts w:ascii="Times New Roman" w:eastAsia="Calibri" w:hAnsi="Times New Roman" w:cs="Times New Roman"/>
          <w:kern w:val="2"/>
          <w:sz w:val="24"/>
          <w:szCs w:val="24"/>
          <w:vertAlign w:val="superscript"/>
          <w14:ligatures w14:val="standardContextual"/>
        </w:rPr>
        <w:t xml:space="preserve"> </w:t>
      </w:r>
      <w:r w:rsidRPr="00215667">
        <w:rPr>
          <w:rFonts w:ascii="Times New Roman" w:eastAsia="Calibri" w:hAnsi="Times New Roman" w:cs="Times New Roman"/>
          <w:kern w:val="2"/>
          <w:sz w:val="24"/>
          <w:szCs w:val="24"/>
          <w:vertAlign w:val="superscript"/>
          <w14:ligatures w14:val="standardContextual"/>
        </w:rPr>
        <w:t>57</w:t>
      </w:r>
      <w:r w:rsidR="00C45107">
        <w:rPr>
          <w:rFonts w:ascii="Times New Roman" w:eastAsia="Calibri" w:hAnsi="Times New Roman" w:cs="Times New Roman"/>
          <w:kern w:val="2"/>
          <w:sz w:val="24"/>
          <w:szCs w:val="24"/>
          <w:vertAlign w:val="superscript"/>
          <w14:ligatures w14:val="standardContextual"/>
        </w:rPr>
        <w:t xml:space="preserve"> </w:t>
      </w:r>
      <w:r w:rsidRPr="00215667">
        <w:rPr>
          <w:rFonts w:ascii="Times New Roman" w:hAnsi="Times New Roman" w:cs="Times New Roman"/>
          <w:sz w:val="24"/>
          <w:szCs w:val="24"/>
        </w:rPr>
        <w:t>Локалните хемостатс</w:t>
      </w:r>
      <w:r w:rsidR="00C45107">
        <w:rPr>
          <w:rFonts w:ascii="Times New Roman" w:hAnsi="Times New Roman" w:cs="Times New Roman"/>
          <w:sz w:val="24"/>
          <w:szCs w:val="24"/>
        </w:rPr>
        <w:t>к</w:t>
      </w:r>
      <w:r w:rsidRPr="00215667">
        <w:rPr>
          <w:rFonts w:ascii="Times New Roman" w:hAnsi="Times New Roman" w:cs="Times New Roman"/>
          <w:sz w:val="24"/>
          <w:szCs w:val="24"/>
        </w:rPr>
        <w:t>и интервенции, во зависност од интензитетот и времето на појава на постоперативното крвавење, се состојат од комбинација на хируршки и нехируршки интервенции: локален притисок со натопена газа со ТХА</w:t>
      </w:r>
      <w:r w:rsidRPr="00215667">
        <w:rPr>
          <w:rFonts w:ascii="Times New Roman" w:eastAsia="Calibri" w:hAnsi="Times New Roman" w:cs="Times New Roman"/>
          <w:kern w:val="2"/>
          <w:sz w:val="24"/>
          <w:szCs w:val="24"/>
          <w14:ligatures w14:val="standardContextual"/>
        </w:rPr>
        <w:t xml:space="preserve">, каутеризација, сутура и испирање на устата со ТХА, асоцирани со интензитетот на </w:t>
      </w:r>
      <w:r w:rsidR="00EC49EB" w:rsidRPr="00215667">
        <w:rPr>
          <w:rFonts w:ascii="Times New Roman" w:eastAsia="Calibri" w:hAnsi="Times New Roman" w:cs="Times New Roman"/>
          <w:kern w:val="2"/>
          <w:sz w:val="24"/>
          <w:szCs w:val="24"/>
          <w14:ligatures w14:val="standardContextual"/>
        </w:rPr>
        <w:lastRenderedPageBreak/>
        <w:t>крвавење</w:t>
      </w:r>
      <w:r w:rsidR="00C45107">
        <w:rPr>
          <w:rFonts w:ascii="Times New Roman" w:eastAsia="Calibri" w:hAnsi="Times New Roman" w:cs="Times New Roman"/>
          <w:kern w:val="2"/>
          <w:sz w:val="24"/>
          <w:szCs w:val="24"/>
          <w14:ligatures w14:val="standardContextual"/>
        </w:rPr>
        <w:t>.</w:t>
      </w:r>
      <w:r w:rsidRPr="00215667">
        <w:rPr>
          <w:rFonts w:ascii="Times New Roman" w:eastAsia="Calibri" w:hAnsi="Times New Roman" w:cs="Times New Roman"/>
          <w:kern w:val="2"/>
          <w:sz w:val="24"/>
          <w:szCs w:val="24"/>
          <w:vertAlign w:val="superscript"/>
          <w14:ligatures w14:val="standardContextual"/>
        </w:rPr>
        <w:t>58,</w:t>
      </w:r>
      <w:r w:rsidR="00C45107">
        <w:rPr>
          <w:rFonts w:ascii="Times New Roman" w:eastAsia="Calibri" w:hAnsi="Times New Roman" w:cs="Times New Roman"/>
          <w:kern w:val="2"/>
          <w:sz w:val="24"/>
          <w:szCs w:val="24"/>
          <w:vertAlign w:val="superscript"/>
          <w14:ligatures w14:val="standardContextual"/>
        </w:rPr>
        <w:t xml:space="preserve"> </w:t>
      </w:r>
      <w:r w:rsidRPr="00215667">
        <w:rPr>
          <w:rFonts w:ascii="Times New Roman" w:eastAsia="Calibri" w:hAnsi="Times New Roman" w:cs="Times New Roman"/>
          <w:kern w:val="2"/>
          <w:sz w:val="24"/>
          <w:szCs w:val="24"/>
          <w:vertAlign w:val="superscript"/>
          <w14:ligatures w14:val="standardContextual"/>
        </w:rPr>
        <w:t xml:space="preserve">59 </w:t>
      </w:r>
      <w:r w:rsidRPr="00215667">
        <w:rPr>
          <w:rFonts w:ascii="Times New Roman" w:eastAsia="Times New Roman" w:hAnsi="Times New Roman" w:cs="Times New Roman"/>
          <w:bCs/>
          <w:sz w:val="24"/>
          <w:szCs w:val="24"/>
        </w:rPr>
        <w:t>Пациентите со тромбоцитна хипоагрегабилност за изведување на интервенциј</w:t>
      </w:r>
      <w:r w:rsidR="00C45107">
        <w:rPr>
          <w:rFonts w:ascii="Times New Roman" w:eastAsia="Times New Roman" w:hAnsi="Times New Roman" w:cs="Times New Roman"/>
          <w:bCs/>
          <w:sz w:val="24"/>
          <w:szCs w:val="24"/>
        </w:rPr>
        <w:t xml:space="preserve">а се хоспитализираат во просек од 1 до </w:t>
      </w:r>
      <w:r w:rsidRPr="00215667">
        <w:rPr>
          <w:rFonts w:ascii="Times New Roman" w:eastAsia="Times New Roman" w:hAnsi="Times New Roman" w:cs="Times New Roman"/>
          <w:bCs/>
          <w:sz w:val="24"/>
          <w:szCs w:val="24"/>
        </w:rPr>
        <w:t xml:space="preserve">3 дена, бидејќи болнички престој </w:t>
      </w:r>
      <w:r w:rsidRPr="00215667">
        <w:rPr>
          <w:rFonts w:ascii="Times New Roman" w:hAnsi="Times New Roman" w:cs="Times New Roman"/>
          <w:sz w:val="24"/>
          <w:szCs w:val="24"/>
        </w:rPr>
        <w:t>овозможува подобар хематолошки мониторинг и итна интервенција при хеморагични компликации.</w:t>
      </w:r>
      <w:r w:rsidRPr="00215667">
        <w:rPr>
          <w:rFonts w:ascii="Times New Roman" w:hAnsi="Times New Roman" w:cs="Times New Roman"/>
          <w:sz w:val="24"/>
          <w:szCs w:val="24"/>
          <w:vertAlign w:val="superscript"/>
        </w:rPr>
        <w:t xml:space="preserve">60 </w:t>
      </w:r>
    </w:p>
    <w:p w14:paraId="47CF71A5" w14:textId="1BB3DC0A" w:rsidR="00412474" w:rsidRDefault="00412474" w:rsidP="00D35942">
      <w:pPr>
        <w:spacing w:after="0" w:line="360" w:lineRule="auto"/>
        <w:ind w:firstLine="720"/>
        <w:jc w:val="both"/>
        <w:rPr>
          <w:rFonts w:ascii="Times New Roman" w:hAnsi="Times New Roman" w:cs="Times New Roman"/>
          <w:sz w:val="24"/>
          <w:szCs w:val="24"/>
          <w:lang w:val="en-US"/>
        </w:rPr>
      </w:pPr>
      <w:r w:rsidRPr="00215667">
        <w:rPr>
          <w:rFonts w:ascii="Times New Roman" w:hAnsi="Times New Roman" w:cs="Times New Roman"/>
          <w:sz w:val="24"/>
          <w:szCs w:val="24"/>
        </w:rPr>
        <w:t>Препораките за превентивна стратегија на стоматолозите и оралните хирурзи за планирање на третман за PEB, првично биле развивани преку состаноци за консензус од страна на група за орално здравје на медицински компромитирани пациенти и објавени во 2003 година како Упатство. Организацијата на лекарите од Центарот за хемофилија и трансфузиологија на Обединетото Кралство (UKHCDO) ги ажурираше овие препораки следејќи ја литературата, преглед на национални и меѓународни упатства, меѓутоа, генерално постои недостаток на цврсти податоци</w:t>
      </w:r>
      <w:r w:rsidR="00C45107">
        <w:rPr>
          <w:rFonts w:ascii="Times New Roman" w:hAnsi="Times New Roman" w:cs="Times New Roman"/>
          <w:sz w:val="24"/>
          <w:szCs w:val="24"/>
        </w:rPr>
        <w:t>,</w:t>
      </w:r>
      <w:r w:rsidRPr="00215667">
        <w:rPr>
          <w:rFonts w:ascii="Times New Roman" w:hAnsi="Times New Roman" w:cs="Times New Roman"/>
          <w:sz w:val="24"/>
          <w:szCs w:val="24"/>
        </w:rPr>
        <w:t xml:space="preserve"> а повеќето студии имаат методолошки ограничувања. Целта на нашата студија, кое во голема мера се заснова на консензус, е да им помогне на стоматолозите во примарната и секундарната здравствена заштита да обезбедат рутински упатства за па</w:t>
      </w:r>
      <w:r w:rsidR="00C45107">
        <w:rPr>
          <w:rFonts w:ascii="Times New Roman" w:hAnsi="Times New Roman" w:cs="Times New Roman"/>
          <w:sz w:val="24"/>
          <w:szCs w:val="24"/>
        </w:rPr>
        <w:t>ц</w:t>
      </w:r>
      <w:r w:rsidRPr="00215667">
        <w:rPr>
          <w:rFonts w:ascii="Times New Roman" w:hAnsi="Times New Roman" w:cs="Times New Roman"/>
          <w:sz w:val="24"/>
          <w:szCs w:val="24"/>
        </w:rPr>
        <w:t xml:space="preserve">иентите со вродени дијатези со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со цел да се подобри севкупниот пристап до стоматолошката заштита. Упатствата не се соодветни во сите случаи и индивидуалните околности на пациентите диктираат алтернативен пристап. Ова упатство има цел да обезбеди:</w:t>
      </w:r>
    </w:p>
    <w:p w14:paraId="7C47AA5E" w14:textId="644CD705" w:rsidR="00412474" w:rsidRPr="00215667" w:rsidRDefault="00412474" w:rsidP="00D35942">
      <w:pPr>
        <w:pStyle w:val="NoSpacing"/>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 xml:space="preserve">а) </w:t>
      </w:r>
      <w:r w:rsidR="00C45107">
        <w:rPr>
          <w:rFonts w:ascii="Times New Roman" w:hAnsi="Times New Roman" w:cs="Times New Roman"/>
          <w:sz w:val="24"/>
          <w:szCs w:val="24"/>
        </w:rPr>
        <w:t>м</w:t>
      </w:r>
      <w:r w:rsidRPr="00215667">
        <w:rPr>
          <w:rFonts w:ascii="Times New Roman" w:hAnsi="Times New Roman" w:cs="Times New Roman"/>
          <w:sz w:val="24"/>
          <w:szCs w:val="24"/>
        </w:rPr>
        <w:t xml:space="preserve">еханизам на </w:t>
      </w:r>
      <w:r w:rsidR="00C45107">
        <w:rPr>
          <w:rFonts w:ascii="Times New Roman" w:hAnsi="Times New Roman" w:cs="Times New Roman"/>
          <w:sz w:val="24"/>
          <w:szCs w:val="24"/>
        </w:rPr>
        <w:t>нарушување</w:t>
      </w:r>
      <w:r w:rsidRPr="00215667">
        <w:rPr>
          <w:rFonts w:ascii="Times New Roman" w:hAnsi="Times New Roman" w:cs="Times New Roman"/>
          <w:sz w:val="24"/>
          <w:szCs w:val="24"/>
        </w:rPr>
        <w:t xml:space="preserve"> на примарна хемостаза и појава на тромбоцитна хипоагрегабилност </w:t>
      </w:r>
      <w:r w:rsidR="00F00F01">
        <w:rPr>
          <w:rFonts w:ascii="Times New Roman" w:hAnsi="Times New Roman" w:cs="Times New Roman"/>
          <w:sz w:val="24"/>
          <w:szCs w:val="24"/>
        </w:rPr>
        <w:t>што го зголемува ризикот за</w:t>
      </w:r>
      <w:r w:rsidRPr="00215667">
        <w:rPr>
          <w:rFonts w:ascii="Times New Roman" w:hAnsi="Times New Roman" w:cs="Times New Roman"/>
          <w:sz w:val="24"/>
          <w:szCs w:val="24"/>
        </w:rPr>
        <w:t xml:space="preserve"> </w:t>
      </w:r>
      <w:r w:rsidR="00EC49EB" w:rsidRPr="00215667">
        <w:rPr>
          <w:rFonts w:ascii="Times New Roman" w:hAnsi="Times New Roman" w:cs="Times New Roman"/>
          <w:sz w:val="24"/>
          <w:szCs w:val="24"/>
        </w:rPr>
        <w:t>крвавење</w:t>
      </w:r>
      <w:r w:rsidR="00F00F01">
        <w:rPr>
          <w:rFonts w:ascii="Times New Roman" w:hAnsi="Times New Roman" w:cs="Times New Roman"/>
          <w:sz w:val="24"/>
          <w:szCs w:val="24"/>
        </w:rPr>
        <w:t>;</w:t>
      </w:r>
    </w:p>
    <w:p w14:paraId="645FD9C6" w14:textId="71E87A43" w:rsidR="00412474" w:rsidRPr="00215667" w:rsidRDefault="00412474" w:rsidP="00D35942">
      <w:pPr>
        <w:pStyle w:val="NoSpacing"/>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 xml:space="preserve">б) </w:t>
      </w:r>
      <w:r w:rsidR="00C45107">
        <w:rPr>
          <w:rFonts w:ascii="Times New Roman" w:hAnsi="Times New Roman" w:cs="Times New Roman"/>
          <w:sz w:val="24"/>
          <w:szCs w:val="24"/>
        </w:rPr>
        <w:t>п</w:t>
      </w:r>
      <w:r w:rsidRPr="00215667">
        <w:rPr>
          <w:rFonts w:ascii="Times New Roman" w:hAnsi="Times New Roman" w:cs="Times New Roman"/>
          <w:sz w:val="24"/>
          <w:szCs w:val="24"/>
        </w:rPr>
        <w:t>реглед на ТХА како хемостатски агенси, вклучително негова системска и локална употреба</w:t>
      </w:r>
      <w:r w:rsidR="00C45107">
        <w:rPr>
          <w:rFonts w:ascii="Times New Roman" w:hAnsi="Times New Roman" w:cs="Times New Roman"/>
          <w:sz w:val="24"/>
          <w:szCs w:val="24"/>
        </w:rPr>
        <w:t>;</w:t>
      </w:r>
    </w:p>
    <w:p w14:paraId="4C3263E9" w14:textId="66B8A576" w:rsidR="00412474" w:rsidRPr="00215667" w:rsidRDefault="00412474" w:rsidP="00D35942">
      <w:pPr>
        <w:pStyle w:val="NoSpacing"/>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 xml:space="preserve">в) </w:t>
      </w:r>
      <w:r w:rsidR="00C45107">
        <w:rPr>
          <w:rFonts w:ascii="Times New Roman" w:hAnsi="Times New Roman" w:cs="Times New Roman"/>
          <w:sz w:val="24"/>
          <w:szCs w:val="24"/>
        </w:rPr>
        <w:t>н</w:t>
      </w:r>
      <w:r w:rsidRPr="00215667">
        <w:rPr>
          <w:rFonts w:ascii="Times New Roman" w:hAnsi="Times New Roman" w:cs="Times New Roman"/>
          <w:sz w:val="24"/>
          <w:szCs w:val="24"/>
        </w:rPr>
        <w:t>агласување на важноста на превентивни стратегии со системска употреба на ТХА</w:t>
      </w:r>
      <w:r w:rsidR="00C45107">
        <w:rPr>
          <w:rFonts w:ascii="Times New Roman" w:hAnsi="Times New Roman" w:cs="Times New Roman"/>
          <w:sz w:val="24"/>
          <w:szCs w:val="24"/>
        </w:rPr>
        <w:t>;</w:t>
      </w:r>
    </w:p>
    <w:p w14:paraId="442FB976" w14:textId="55C91EC1" w:rsidR="00412474" w:rsidRPr="00215667" w:rsidRDefault="00412474" w:rsidP="00D35942">
      <w:pPr>
        <w:pStyle w:val="NoSpacing"/>
        <w:spacing w:line="360" w:lineRule="auto"/>
        <w:jc w:val="both"/>
        <w:rPr>
          <w:rFonts w:ascii="Times New Roman" w:eastAsia="Times New Roman" w:hAnsi="Times New Roman" w:cs="Times New Roman"/>
          <w:bCs/>
          <w:sz w:val="24"/>
          <w:szCs w:val="24"/>
        </w:rPr>
      </w:pPr>
      <w:r w:rsidRPr="00215667">
        <w:rPr>
          <w:rFonts w:ascii="Times New Roman" w:hAnsi="Times New Roman" w:cs="Times New Roman"/>
          <w:sz w:val="24"/>
          <w:szCs w:val="24"/>
        </w:rPr>
        <w:t xml:space="preserve">г) </w:t>
      </w:r>
      <w:r w:rsidR="00C45107">
        <w:rPr>
          <w:rFonts w:ascii="Times New Roman" w:hAnsi="Times New Roman" w:cs="Times New Roman"/>
          <w:sz w:val="24"/>
          <w:szCs w:val="24"/>
        </w:rPr>
        <w:t>с</w:t>
      </w:r>
      <w:r w:rsidRPr="00215667">
        <w:rPr>
          <w:rFonts w:ascii="Times New Roman" w:hAnsi="Times New Roman" w:cs="Times New Roman"/>
          <w:sz w:val="24"/>
          <w:szCs w:val="24"/>
        </w:rPr>
        <w:t>тратегии за елективни и итни случаи</w:t>
      </w:r>
      <w:r w:rsidR="00C45107">
        <w:rPr>
          <w:rFonts w:ascii="Times New Roman" w:hAnsi="Times New Roman" w:cs="Times New Roman"/>
          <w:sz w:val="24"/>
          <w:szCs w:val="24"/>
        </w:rPr>
        <w:t>/</w:t>
      </w:r>
      <w:r w:rsidRPr="00215667">
        <w:rPr>
          <w:rFonts w:ascii="Times New Roman" w:hAnsi="Times New Roman" w:cs="Times New Roman"/>
          <w:sz w:val="24"/>
          <w:szCs w:val="24"/>
        </w:rPr>
        <w:t>планирање на третман.</w:t>
      </w:r>
      <w:r w:rsidRPr="00215667">
        <w:rPr>
          <w:rFonts w:ascii="Times New Roman" w:hAnsi="Times New Roman" w:cs="Times New Roman"/>
          <w:sz w:val="24"/>
          <w:szCs w:val="24"/>
          <w:vertAlign w:val="superscript"/>
        </w:rPr>
        <w:t>114,115</w:t>
      </w:r>
      <w:r w:rsidRPr="00215667">
        <w:rPr>
          <w:rFonts w:ascii="Times New Roman" w:hAnsi="Times New Roman" w:cs="Times New Roman"/>
          <w:sz w:val="24"/>
          <w:szCs w:val="24"/>
        </w:rPr>
        <w:t xml:space="preserve">  </w:t>
      </w:r>
      <w:r w:rsidRPr="00215667">
        <w:rPr>
          <w:rFonts w:ascii="Times New Roman" w:hAnsi="Times New Roman" w:cs="Times New Roman"/>
          <w:color w:val="FF0000"/>
          <w:sz w:val="24"/>
          <w:szCs w:val="24"/>
        </w:rPr>
        <w:t xml:space="preserve"> </w:t>
      </w:r>
    </w:p>
    <w:p w14:paraId="48D0222F" w14:textId="732350AE" w:rsidR="00412474" w:rsidRDefault="00412474" w:rsidP="00D35942">
      <w:pPr>
        <w:spacing w:after="0" w:line="360" w:lineRule="auto"/>
        <w:ind w:firstLine="720"/>
        <w:jc w:val="both"/>
        <w:rPr>
          <w:rFonts w:ascii="Times New Roman" w:hAnsi="Times New Roman" w:cs="Times New Roman"/>
          <w:sz w:val="24"/>
          <w:szCs w:val="24"/>
          <w:shd w:val="clear" w:color="auto" w:fill="FFFFFF"/>
          <w:lang w:val="en-US"/>
        </w:rPr>
      </w:pPr>
      <w:r w:rsidRPr="00215667">
        <w:rPr>
          <w:rFonts w:ascii="Times New Roman" w:eastAsia="Times New Roman" w:hAnsi="Times New Roman" w:cs="Times New Roman"/>
          <w:bCs/>
          <w:sz w:val="24"/>
          <w:szCs w:val="24"/>
        </w:rPr>
        <w:t xml:space="preserve">Сепак, не постои универзален стандард за најефективната доза и начин на администрација на TXA, ограничувајќи ја неговата рутинска употреба во многу центри. Оваа студија ги проценува тековните докази за ефикасноста и безбедноста на единечна предоперативна доза на TXA во сопирање на крвавење при изведување на дентоалвеоларна хирургија и екстракција на заби. Во литературата е донесен консензус, базиран на сегашните упатства дека, кај </w:t>
      </w:r>
      <w:r w:rsidRPr="00215667">
        <w:rPr>
          <w:rFonts w:ascii="Times New Roman" w:eastAsia="Times New Roman" w:hAnsi="Times New Roman" w:cs="Times New Roman"/>
          <w:bCs/>
          <w:sz w:val="24"/>
          <w:szCs w:val="24"/>
        </w:rPr>
        <w:lastRenderedPageBreak/>
        <w:t xml:space="preserve">пациентите со тромбоцитна хипоагрегабилност, со предоперативна профилакса со </w:t>
      </w:r>
      <w:r w:rsidR="00C45107">
        <w:rPr>
          <w:rFonts w:ascii="Times New Roman" w:hAnsi="Times New Roman" w:cs="Times New Roman"/>
          <w:sz w:val="24"/>
          <w:szCs w:val="24"/>
        </w:rPr>
        <w:t>т</w:t>
      </w:r>
      <w:r w:rsidR="00C45107" w:rsidRPr="00215667">
        <w:rPr>
          <w:rFonts w:ascii="Times New Roman" w:hAnsi="Times New Roman" w:cs="Times New Roman"/>
          <w:sz w:val="24"/>
          <w:szCs w:val="24"/>
        </w:rPr>
        <w:t>ранекс</w:t>
      </w:r>
      <w:r w:rsidR="00C45107">
        <w:rPr>
          <w:rFonts w:ascii="Times New Roman" w:hAnsi="Times New Roman" w:cs="Times New Roman"/>
          <w:sz w:val="24"/>
          <w:szCs w:val="24"/>
        </w:rPr>
        <w:t>а</w:t>
      </w:r>
      <w:r w:rsidR="00C45107" w:rsidRPr="00215667">
        <w:rPr>
          <w:rFonts w:ascii="Times New Roman" w:hAnsi="Times New Roman" w:cs="Times New Roman"/>
          <w:sz w:val="24"/>
          <w:szCs w:val="24"/>
        </w:rPr>
        <w:t>мична</w:t>
      </w:r>
      <w:r w:rsidR="00C45107" w:rsidRPr="00215667">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киселина, технички внимателно изведена операција и со употреба на предложените локални хемостатски интервенции, несаканите ефекти се сведени на минимум и се безбедни за пациентите.</w:t>
      </w:r>
      <w:r w:rsidRPr="00215667">
        <w:rPr>
          <w:rFonts w:ascii="Times New Roman" w:eastAsia="Times New Roman" w:hAnsi="Times New Roman" w:cs="Times New Roman"/>
          <w:bCs/>
          <w:sz w:val="24"/>
          <w:szCs w:val="24"/>
          <w:vertAlign w:val="superscript"/>
        </w:rPr>
        <w:t>61-64</w:t>
      </w:r>
      <w:r w:rsidR="00592F2A">
        <w:rPr>
          <w:rFonts w:ascii="Times New Roman" w:eastAsia="Times New Roman" w:hAnsi="Times New Roman" w:cs="Times New Roman"/>
          <w:bCs/>
          <w:sz w:val="24"/>
          <w:szCs w:val="24"/>
          <w:vertAlign w:val="superscript"/>
        </w:rPr>
        <w:t xml:space="preserve"> </w:t>
      </w:r>
      <w:r w:rsidRPr="00215667">
        <w:rPr>
          <w:rFonts w:ascii="Times New Roman" w:hAnsi="Times New Roman" w:cs="Times New Roman"/>
          <w:sz w:val="24"/>
          <w:szCs w:val="24"/>
          <w:shd w:val="clear" w:color="auto" w:fill="FFFFFF"/>
        </w:rPr>
        <w:t>Оваа студија го истражуваше ставот, искуството и прак</w:t>
      </w:r>
      <w:r w:rsidR="00592F2A">
        <w:rPr>
          <w:rFonts w:ascii="Times New Roman" w:hAnsi="Times New Roman" w:cs="Times New Roman"/>
          <w:sz w:val="24"/>
          <w:szCs w:val="24"/>
          <w:shd w:val="clear" w:color="auto" w:fill="FFFFFF"/>
        </w:rPr>
        <w:t>тик</w:t>
      </w:r>
      <w:r w:rsidRPr="00215667">
        <w:rPr>
          <w:rFonts w:ascii="Times New Roman" w:hAnsi="Times New Roman" w:cs="Times New Roman"/>
          <w:sz w:val="24"/>
          <w:szCs w:val="24"/>
          <w:shd w:val="clear" w:color="auto" w:fill="FFFFFF"/>
        </w:rPr>
        <w:t>ата на максилофацијалните хирурзи и блиската соработка со Институтот за медицина за трансфузија како единствен успешен пат за менаџирање на пациенти со тромбоцитна хипоагрегабилност.</w:t>
      </w:r>
    </w:p>
    <w:p w14:paraId="73BC4F8B" w14:textId="2298562C" w:rsidR="00412474" w:rsidRPr="00215667" w:rsidRDefault="00412474" w:rsidP="00D35942">
      <w:pPr>
        <w:spacing w:after="0" w:line="360" w:lineRule="auto"/>
        <w:ind w:firstLine="720"/>
        <w:jc w:val="both"/>
        <w:rPr>
          <w:rFonts w:ascii="Times New Roman" w:hAnsi="Times New Roman" w:cs="Times New Roman"/>
          <w:sz w:val="24"/>
          <w:szCs w:val="24"/>
          <w:shd w:val="clear" w:color="auto" w:fill="FFFFFF"/>
        </w:rPr>
      </w:pPr>
      <w:r w:rsidRPr="00215667">
        <w:rPr>
          <w:rFonts w:ascii="Times New Roman" w:hAnsi="Times New Roman" w:cs="Times New Roman"/>
          <w:sz w:val="24"/>
          <w:szCs w:val="24"/>
          <w:shd w:val="clear" w:color="auto" w:fill="FFFFFF"/>
        </w:rPr>
        <w:t xml:space="preserve">Успешните протоколи за периоперативното менаџирање на пациентите со тромбоцитна хипоагрегабилност, се резултат на тесна соработката помеѓу трансфузиолозите и стоматолозите или оралните и максилофацијалните хирурзи.  Овие протоколи сугерираат употреба на </w:t>
      </w:r>
      <w:r w:rsidR="00A43EF7">
        <w:rPr>
          <w:rFonts w:ascii="Times New Roman" w:hAnsi="Times New Roman" w:cs="Times New Roman"/>
          <w:sz w:val="24"/>
          <w:szCs w:val="24"/>
        </w:rPr>
        <w:t>т</w:t>
      </w:r>
      <w:r w:rsidR="00A43EF7" w:rsidRPr="00215667">
        <w:rPr>
          <w:rFonts w:ascii="Times New Roman" w:hAnsi="Times New Roman" w:cs="Times New Roman"/>
          <w:sz w:val="24"/>
          <w:szCs w:val="24"/>
        </w:rPr>
        <w:t>ранекс</w:t>
      </w:r>
      <w:r w:rsidR="00A43EF7">
        <w:rPr>
          <w:rFonts w:ascii="Times New Roman" w:hAnsi="Times New Roman" w:cs="Times New Roman"/>
          <w:sz w:val="24"/>
          <w:szCs w:val="24"/>
        </w:rPr>
        <w:t>а</w:t>
      </w:r>
      <w:r w:rsidR="00A43EF7" w:rsidRPr="00215667">
        <w:rPr>
          <w:rFonts w:ascii="Times New Roman" w:hAnsi="Times New Roman" w:cs="Times New Roman"/>
          <w:sz w:val="24"/>
          <w:szCs w:val="24"/>
        </w:rPr>
        <w:t>мична</w:t>
      </w:r>
      <w:r w:rsidR="00A43EF7" w:rsidRPr="00215667">
        <w:rPr>
          <w:rFonts w:ascii="Times New Roman" w:hAnsi="Times New Roman" w:cs="Times New Roman"/>
          <w:sz w:val="24"/>
          <w:szCs w:val="24"/>
          <w:shd w:val="clear" w:color="auto" w:fill="FFFFFF"/>
        </w:rPr>
        <w:t xml:space="preserve"> </w:t>
      </w:r>
      <w:r w:rsidRPr="00215667">
        <w:rPr>
          <w:rFonts w:ascii="Times New Roman" w:hAnsi="Times New Roman" w:cs="Times New Roman"/>
          <w:sz w:val="24"/>
          <w:szCs w:val="24"/>
          <w:shd w:val="clear" w:color="auto" w:fill="FFFFFF"/>
        </w:rPr>
        <w:t>киселина заедно со употреба на</w:t>
      </w:r>
      <w:r w:rsidR="00A43EF7">
        <w:rPr>
          <w:rFonts w:ascii="Times New Roman" w:hAnsi="Times New Roman" w:cs="Times New Roman"/>
          <w:sz w:val="24"/>
          <w:szCs w:val="24"/>
          <w:shd w:val="clear" w:color="auto" w:fill="FFFFFF"/>
        </w:rPr>
        <w:t xml:space="preserve"> локални хемостатски техники, а у</w:t>
      </w:r>
      <w:r w:rsidRPr="00215667">
        <w:rPr>
          <w:rFonts w:ascii="Times New Roman" w:hAnsi="Times New Roman" w:cs="Times New Roman"/>
          <w:sz w:val="24"/>
          <w:szCs w:val="24"/>
          <w:shd w:val="clear" w:color="auto" w:fill="FFFFFF"/>
        </w:rPr>
        <w:t xml:space="preserve">потребата на </w:t>
      </w:r>
      <w:r w:rsidR="00A43EF7">
        <w:rPr>
          <w:rFonts w:ascii="Times New Roman" w:hAnsi="Times New Roman" w:cs="Times New Roman"/>
          <w:sz w:val="24"/>
          <w:szCs w:val="24"/>
          <w:shd w:val="clear" w:color="auto" w:fill="FFFFFF"/>
        </w:rPr>
        <w:t>локалните и системски процедури</w:t>
      </w:r>
      <w:r w:rsidRPr="00215667">
        <w:rPr>
          <w:rFonts w:ascii="Times New Roman" w:hAnsi="Times New Roman" w:cs="Times New Roman"/>
          <w:sz w:val="24"/>
          <w:szCs w:val="24"/>
          <w:shd w:val="clear" w:color="auto" w:fill="FFFFFF"/>
        </w:rPr>
        <w:t xml:space="preserve"> резултира со постигнување на хемостаза, кај сите пациенти со хипоагрегабилност. Согласно </w:t>
      </w:r>
      <w:r w:rsidR="00A43EF7">
        <w:rPr>
          <w:rFonts w:ascii="Times New Roman" w:hAnsi="Times New Roman" w:cs="Times New Roman"/>
          <w:sz w:val="24"/>
          <w:szCs w:val="24"/>
          <w:shd w:val="clear" w:color="auto" w:fill="FFFFFF"/>
        </w:rPr>
        <w:t xml:space="preserve">со </w:t>
      </w:r>
      <w:r w:rsidRPr="00215667">
        <w:rPr>
          <w:rFonts w:ascii="Times New Roman" w:hAnsi="Times New Roman" w:cs="Times New Roman"/>
          <w:sz w:val="24"/>
          <w:szCs w:val="24"/>
          <w:shd w:val="clear" w:color="auto" w:fill="FFFFFF"/>
        </w:rPr>
        <w:t xml:space="preserve">добиените резултати ќе обезбедиме основа за развој на системски и локални протоколи за стоматолошки третман на пациенти со наследни нарушувања на </w:t>
      </w:r>
      <w:r w:rsidR="00EC49EB" w:rsidRPr="00215667">
        <w:rPr>
          <w:rFonts w:ascii="Times New Roman" w:hAnsi="Times New Roman" w:cs="Times New Roman"/>
          <w:sz w:val="24"/>
          <w:szCs w:val="24"/>
          <w:shd w:val="clear" w:color="auto" w:fill="FFFFFF"/>
        </w:rPr>
        <w:t>крвавење</w:t>
      </w:r>
      <w:r w:rsidRPr="00215667">
        <w:rPr>
          <w:rFonts w:ascii="Times New Roman" w:hAnsi="Times New Roman" w:cs="Times New Roman"/>
          <w:sz w:val="24"/>
          <w:szCs w:val="24"/>
          <w:shd w:val="clear" w:color="auto" w:fill="FFFFFF"/>
        </w:rPr>
        <w:t xml:space="preserve">то. </w:t>
      </w:r>
    </w:p>
    <w:p w14:paraId="1A448BF9" w14:textId="77777777" w:rsidR="00412474" w:rsidRPr="00215667" w:rsidRDefault="00412474" w:rsidP="00D35942">
      <w:pPr>
        <w:pStyle w:val="NoSpacing"/>
        <w:spacing w:line="360" w:lineRule="auto"/>
        <w:rPr>
          <w:rFonts w:ascii="Times New Roman" w:hAnsi="Times New Roman" w:cs="Times New Roman"/>
          <w:sz w:val="24"/>
          <w:szCs w:val="24"/>
          <w:shd w:val="clear" w:color="auto" w:fill="FFFFFF"/>
        </w:rPr>
      </w:pPr>
    </w:p>
    <w:p w14:paraId="5C0E95A7" w14:textId="27E66A0C" w:rsidR="00412474" w:rsidRPr="00215667" w:rsidRDefault="00412474" w:rsidP="00D35942">
      <w:pPr>
        <w:pStyle w:val="Heading2"/>
        <w:spacing w:line="360" w:lineRule="auto"/>
        <w:jc w:val="both"/>
        <w:rPr>
          <w:rFonts w:ascii="Times New Roman" w:hAnsi="Times New Roman" w:cs="Times New Roman"/>
          <w:color w:val="000000" w:themeColor="text1"/>
          <w:sz w:val="24"/>
          <w:szCs w:val="24"/>
        </w:rPr>
      </w:pPr>
      <w:bookmarkStart w:id="10" w:name="_Toc209005147"/>
      <w:r w:rsidRPr="00215667">
        <w:rPr>
          <w:rFonts w:ascii="Times New Roman" w:hAnsi="Times New Roman" w:cs="Times New Roman"/>
          <w:color w:val="000000" w:themeColor="text1"/>
          <w:sz w:val="24"/>
          <w:szCs w:val="24"/>
        </w:rPr>
        <w:t xml:space="preserve">1.2. Периоперативно менаџирање на пациенти кои примаат хронична орална </w:t>
      </w:r>
      <w:r w:rsidR="009D33CA">
        <w:rPr>
          <w:rFonts w:ascii="Times New Roman" w:hAnsi="Times New Roman" w:cs="Times New Roman"/>
          <w:color w:val="000000" w:themeColor="text1"/>
          <w:sz w:val="24"/>
          <w:szCs w:val="24"/>
        </w:rPr>
        <w:t>терапија (</w:t>
      </w:r>
      <w:r w:rsidRPr="00215667">
        <w:rPr>
          <w:rFonts w:ascii="Times New Roman" w:hAnsi="Times New Roman" w:cs="Times New Roman"/>
          <w:color w:val="000000" w:themeColor="text1"/>
          <w:sz w:val="24"/>
          <w:szCs w:val="24"/>
        </w:rPr>
        <w:t>антикоагулациони и/или антиагрегациски лекови</w:t>
      </w:r>
      <w:r w:rsidR="009D33CA">
        <w:rPr>
          <w:rFonts w:ascii="Times New Roman" w:hAnsi="Times New Roman" w:cs="Times New Roman"/>
          <w:color w:val="000000" w:themeColor="text1"/>
          <w:sz w:val="24"/>
          <w:szCs w:val="24"/>
        </w:rPr>
        <w:t>)</w:t>
      </w:r>
      <w:bookmarkEnd w:id="10"/>
      <w:r w:rsidRPr="00215667">
        <w:rPr>
          <w:rFonts w:ascii="Times New Roman" w:hAnsi="Times New Roman" w:cs="Times New Roman"/>
          <w:color w:val="000000" w:themeColor="text1"/>
          <w:sz w:val="24"/>
          <w:szCs w:val="24"/>
        </w:rPr>
        <w:t xml:space="preserve"> </w:t>
      </w:r>
    </w:p>
    <w:p w14:paraId="369010DE" w14:textId="77777777" w:rsidR="00412474" w:rsidRPr="00215667" w:rsidRDefault="00412474" w:rsidP="00D35942">
      <w:pPr>
        <w:pStyle w:val="NoSpacing"/>
        <w:spacing w:line="360" w:lineRule="auto"/>
        <w:ind w:left="284"/>
        <w:rPr>
          <w:rFonts w:ascii="Times New Roman" w:hAnsi="Times New Roman" w:cs="Times New Roman"/>
          <w:sz w:val="24"/>
          <w:szCs w:val="24"/>
        </w:rPr>
      </w:pPr>
    </w:p>
    <w:p w14:paraId="4FE3EF63" w14:textId="3A1995D0" w:rsidR="00412474" w:rsidRPr="00215667" w:rsidRDefault="00412474" w:rsidP="00D35942">
      <w:pPr>
        <w:spacing w:after="0" w:line="360" w:lineRule="auto"/>
        <w:ind w:firstLine="720"/>
        <w:jc w:val="both"/>
        <w:rPr>
          <w:rFonts w:ascii="Times New Roman" w:hAnsi="Times New Roman" w:cs="Times New Roman"/>
          <w:bCs/>
          <w:color w:val="FF0000"/>
          <w:sz w:val="24"/>
          <w:szCs w:val="24"/>
        </w:rPr>
      </w:pPr>
      <w:r w:rsidRPr="00215667">
        <w:rPr>
          <w:rFonts w:ascii="Times New Roman" w:hAnsi="Times New Roman" w:cs="Times New Roman"/>
          <w:sz w:val="24"/>
          <w:szCs w:val="24"/>
        </w:rPr>
        <w:t>Антикоагулационите и/или антиагрегациските лекови се широко експлоатирани и се основна,</w:t>
      </w:r>
      <w:r w:rsidR="009D33CA">
        <w:rPr>
          <w:rFonts w:ascii="Times New Roman" w:hAnsi="Times New Roman" w:cs="Times New Roman"/>
          <w:sz w:val="24"/>
          <w:szCs w:val="24"/>
        </w:rPr>
        <w:t xml:space="preserve"> </w:t>
      </w:r>
      <w:r w:rsidRPr="00215667">
        <w:rPr>
          <w:rFonts w:ascii="Times New Roman" w:hAnsi="Times New Roman" w:cs="Times New Roman"/>
          <w:sz w:val="24"/>
          <w:szCs w:val="24"/>
        </w:rPr>
        <w:t>стандардна терапија за лекување на многу чести кардиоваскуларни заболувања, како што се: акут</w:t>
      </w:r>
      <w:r w:rsidR="009D33CA">
        <w:rPr>
          <w:rFonts w:ascii="Times New Roman" w:hAnsi="Times New Roman" w:cs="Times New Roman"/>
          <w:sz w:val="24"/>
          <w:szCs w:val="24"/>
        </w:rPr>
        <w:t>ен</w:t>
      </w:r>
      <w:r w:rsidRPr="00215667">
        <w:rPr>
          <w:rFonts w:ascii="Times New Roman" w:hAnsi="Times New Roman" w:cs="Times New Roman"/>
          <w:sz w:val="24"/>
          <w:szCs w:val="24"/>
        </w:rPr>
        <w:t xml:space="preserve"> коронарен синдром (ACS), мозочен удар, периферна васкуларна болест, атријална фибрилација (AF) и венска тромбоемболија (VTE). На пазарот има две класи на орални антикоагуланси (ОАТ), кои широко се употребуваат: </w:t>
      </w:r>
      <w:r w:rsidR="009D33CA">
        <w:rPr>
          <w:rFonts w:ascii="Times New Roman" w:hAnsi="Times New Roman" w:cs="Times New Roman"/>
          <w:sz w:val="24"/>
          <w:szCs w:val="24"/>
        </w:rPr>
        <w:t>в</w:t>
      </w:r>
      <w:r w:rsidRPr="00215667">
        <w:rPr>
          <w:rFonts w:ascii="Times New Roman" w:hAnsi="Times New Roman" w:cs="Times New Roman"/>
          <w:sz w:val="24"/>
          <w:szCs w:val="24"/>
        </w:rPr>
        <w:t>итамин K антагонисти (VKAs) и директни орални антикоагуланси (DOACs). Посебна група се антиагрегациските лекови, нестероидните антиинфламаторни лекови (NSAIDs),</w:t>
      </w:r>
      <w:r w:rsidRPr="00215667">
        <w:rPr>
          <w:rFonts w:ascii="Times New Roman" w:hAnsi="Times New Roman" w:cs="Times New Roman"/>
          <w:b/>
          <w:bCs/>
          <w:color w:val="FF0000"/>
          <w:sz w:val="24"/>
          <w:szCs w:val="24"/>
        </w:rPr>
        <w:t xml:space="preserve"> </w:t>
      </w:r>
      <w:r w:rsidRPr="00215667">
        <w:rPr>
          <w:rFonts w:ascii="Times New Roman" w:hAnsi="Times New Roman" w:cs="Times New Roman"/>
          <w:bCs/>
          <w:sz w:val="24"/>
          <w:szCs w:val="24"/>
        </w:rPr>
        <w:t>кои се корист</w:t>
      </w:r>
      <w:r w:rsidR="009D33CA">
        <w:rPr>
          <w:rFonts w:ascii="Times New Roman" w:hAnsi="Times New Roman" w:cs="Times New Roman"/>
          <w:bCs/>
          <w:sz w:val="24"/>
          <w:szCs w:val="24"/>
        </w:rPr>
        <w:t>ат</w:t>
      </w:r>
      <w:r w:rsidRPr="00215667">
        <w:rPr>
          <w:rFonts w:ascii="Times New Roman" w:hAnsi="Times New Roman" w:cs="Times New Roman"/>
          <w:bCs/>
          <w:sz w:val="24"/>
          <w:szCs w:val="24"/>
        </w:rPr>
        <w:t xml:space="preserve"> самостојно или како двојна антикоагулациска терапија.</w:t>
      </w:r>
      <w:r w:rsidRPr="00215667">
        <w:rPr>
          <w:rFonts w:ascii="Times New Roman" w:hAnsi="Times New Roman" w:cs="Times New Roman"/>
          <w:sz w:val="24"/>
          <w:szCs w:val="24"/>
          <w:vertAlign w:val="superscript"/>
        </w:rPr>
        <w:t>65</w:t>
      </w:r>
    </w:p>
    <w:p w14:paraId="76638187" w14:textId="758C4FB8" w:rsidR="00412474" w:rsidRPr="00215667" w:rsidRDefault="00412474" w:rsidP="00D35942">
      <w:pPr>
        <w:spacing w:after="0" w:line="360" w:lineRule="auto"/>
        <w:ind w:firstLine="720"/>
        <w:jc w:val="both"/>
        <w:rPr>
          <w:rFonts w:ascii="Times New Roman" w:hAnsi="Times New Roman" w:cs="Times New Roman"/>
          <w:color w:val="FF0000"/>
          <w:sz w:val="24"/>
          <w:szCs w:val="24"/>
        </w:rPr>
      </w:pPr>
      <w:r w:rsidRPr="00562A37">
        <w:rPr>
          <w:rFonts w:ascii="Times New Roman" w:hAnsi="Times New Roman" w:cs="Times New Roman"/>
          <w:i/>
          <w:color w:val="000000" w:themeColor="text1"/>
          <w:sz w:val="24"/>
          <w:szCs w:val="24"/>
        </w:rPr>
        <w:t>Warfarin</w:t>
      </w:r>
      <w:r w:rsidRPr="00215667">
        <w:rPr>
          <w:rFonts w:ascii="Times New Roman" w:hAnsi="Times New Roman" w:cs="Times New Roman"/>
          <w:color w:val="000000" w:themeColor="text1"/>
          <w:sz w:val="24"/>
          <w:szCs w:val="24"/>
        </w:rPr>
        <w:t>, широко користен конвенционален орален антикоагуланси (ОАК), е антагонист на витаминот К (VKAs) кој ја намалува синтезата на факторите на коагулација зависни од витамин К1</w:t>
      </w:r>
      <w:r w:rsidR="00F00F01">
        <w:rPr>
          <w:rFonts w:ascii="Times New Roman" w:hAnsi="Times New Roman" w:cs="Times New Roman"/>
          <w:color w:val="000000" w:themeColor="text1"/>
          <w:sz w:val="24"/>
          <w:szCs w:val="24"/>
        </w:rPr>
        <w:t>.</w:t>
      </w:r>
      <w:r w:rsidRPr="00215667">
        <w:rPr>
          <w:rFonts w:ascii="Times New Roman" w:hAnsi="Times New Roman" w:cs="Times New Roman"/>
          <w:color w:val="000000" w:themeColor="text1"/>
          <w:sz w:val="24"/>
          <w:szCs w:val="24"/>
        </w:rPr>
        <w:t xml:space="preserve"> Полуживотот на варфаринот е доста долг </w:t>
      </w:r>
      <w:r w:rsidRPr="00215667">
        <w:rPr>
          <w:rFonts w:ascii="Times New Roman" w:hAnsi="Times New Roman" w:cs="Times New Roman"/>
          <w:color w:val="000000" w:themeColor="text1"/>
          <w:sz w:val="24"/>
          <w:szCs w:val="24"/>
        </w:rPr>
        <w:lastRenderedPageBreak/>
        <w:t xml:space="preserve">(околу 40 часа) и потребен е мониторинг за да се осигура дека (INR) е постигнат и се одржува во терапевтскиот опсег. Во поново време, директни орални антикоагуланси (DOACs) се користат алтернативно како замена на варфаринот кој не бара чести лабораториски испитувања и контролирања. Овие лекови делуваат со директно инхибирање на специфични фактори на коагулација. На пример, факторот II (тромбин) е инхибиран од </w:t>
      </w:r>
      <w:r w:rsidRPr="00562A37">
        <w:rPr>
          <w:rFonts w:ascii="Times New Roman" w:hAnsi="Times New Roman" w:cs="Times New Roman"/>
          <w:i/>
          <w:color w:val="000000" w:themeColor="text1"/>
          <w:sz w:val="24"/>
          <w:szCs w:val="24"/>
        </w:rPr>
        <w:t>dabigatran</w:t>
      </w:r>
      <w:r w:rsidRPr="00215667">
        <w:rPr>
          <w:rFonts w:ascii="Times New Roman" w:hAnsi="Times New Roman" w:cs="Times New Roman"/>
          <w:color w:val="000000" w:themeColor="text1"/>
          <w:sz w:val="24"/>
          <w:szCs w:val="24"/>
        </w:rPr>
        <w:t xml:space="preserve">, додека факторот Xa е инхибиран од </w:t>
      </w:r>
      <w:r w:rsidRPr="00562A37">
        <w:rPr>
          <w:rFonts w:ascii="Times New Roman" w:hAnsi="Times New Roman" w:cs="Times New Roman"/>
          <w:i/>
          <w:color w:val="000000" w:themeColor="text1"/>
          <w:sz w:val="24"/>
          <w:szCs w:val="24"/>
        </w:rPr>
        <w:t>rivaroxaban</w:t>
      </w:r>
      <w:r w:rsidRPr="00215667">
        <w:rPr>
          <w:rFonts w:ascii="Times New Roman" w:hAnsi="Times New Roman" w:cs="Times New Roman"/>
          <w:color w:val="000000" w:themeColor="text1"/>
          <w:sz w:val="24"/>
          <w:szCs w:val="24"/>
        </w:rPr>
        <w:t xml:space="preserve">, </w:t>
      </w:r>
      <w:r w:rsidRPr="00562A37">
        <w:rPr>
          <w:rFonts w:ascii="Times New Roman" w:hAnsi="Times New Roman" w:cs="Times New Roman"/>
          <w:i/>
          <w:color w:val="000000" w:themeColor="text1"/>
          <w:sz w:val="24"/>
          <w:szCs w:val="24"/>
        </w:rPr>
        <w:t>apixaban</w:t>
      </w:r>
      <w:r w:rsidRPr="00215667">
        <w:rPr>
          <w:rFonts w:ascii="Times New Roman" w:hAnsi="Times New Roman" w:cs="Times New Roman"/>
          <w:color w:val="000000" w:themeColor="text1"/>
          <w:sz w:val="24"/>
          <w:szCs w:val="24"/>
        </w:rPr>
        <w:t xml:space="preserve"> и </w:t>
      </w:r>
      <w:r w:rsidRPr="00562A37">
        <w:rPr>
          <w:rFonts w:ascii="Times New Roman" w:hAnsi="Times New Roman" w:cs="Times New Roman"/>
          <w:i/>
          <w:color w:val="000000" w:themeColor="text1"/>
          <w:sz w:val="24"/>
          <w:szCs w:val="24"/>
        </w:rPr>
        <w:t>edoxaban</w:t>
      </w:r>
      <w:r w:rsidR="00562A37">
        <w:rPr>
          <w:rFonts w:ascii="Times New Roman" w:hAnsi="Times New Roman" w:cs="Times New Roman"/>
          <w:color w:val="000000" w:themeColor="text1"/>
          <w:sz w:val="24"/>
          <w:szCs w:val="24"/>
        </w:rPr>
        <w:t>.</w:t>
      </w:r>
      <w:r w:rsidRPr="00215667">
        <w:rPr>
          <w:rFonts w:ascii="Times New Roman" w:hAnsi="Times New Roman" w:cs="Times New Roman"/>
          <w:color w:val="000000" w:themeColor="text1"/>
          <w:sz w:val="24"/>
          <w:szCs w:val="24"/>
        </w:rPr>
        <w:t xml:space="preserve"> Главните индикации за варфарин и DOAC се за превенција на мозочен удар кај пациенти со атријална фибрилација, третман на венски тромбоемболизам (ВТЕ) и VTE профилакса во ортопедската хирургија. Негативна страна на употребата на OAC е ризикот од крвавење, особено кај пациенти кои се подложени на инвазивни процедури. Во таква ситуација, ризикот од крвавење од OAC треба да се избалансира со ризикот од појава на тромбоемболични настани. Слично на другите инвазивни процедури, употребата на OAC кај пациенти подложени на стоматолошки процедури претставува посебен предизвик за стоматолозите.</w:t>
      </w:r>
      <w:r w:rsidRPr="00215667">
        <w:rPr>
          <w:rFonts w:ascii="Times New Roman" w:hAnsi="Times New Roman" w:cs="Times New Roman"/>
          <w:color w:val="000000" w:themeColor="text1"/>
          <w:sz w:val="24"/>
          <w:szCs w:val="24"/>
          <w:vertAlign w:val="superscript"/>
        </w:rPr>
        <w:t>116</w:t>
      </w:r>
    </w:p>
    <w:p w14:paraId="0C8D4E8E" w14:textId="0797AF84" w:rsidR="00412474" w:rsidRPr="00215667" w:rsidRDefault="00412474" w:rsidP="00D35942">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DOAC беа развиени како алтернативи на VKA. Главните предности на DOAC вклучуваат помалку интеракции со храна и лекови, краток полуживот и антикоагулација со фиксна доза без потреба од периодично следење (Hussain 2017). DOACs дејствуваат со директно инхибирање на активираните фактори на коагулација. Моментално достапните DOAC вклучуваат </w:t>
      </w:r>
      <w:r w:rsidR="00562A37" w:rsidRPr="00562A37">
        <w:rPr>
          <w:rFonts w:ascii="Times New Roman" w:hAnsi="Times New Roman" w:cs="Times New Roman"/>
          <w:i/>
          <w:color w:val="000000" w:themeColor="text1"/>
          <w:sz w:val="24"/>
          <w:szCs w:val="24"/>
        </w:rPr>
        <w:t>dabigatran</w:t>
      </w:r>
      <w:r w:rsidRPr="00215667">
        <w:rPr>
          <w:rFonts w:ascii="Times New Roman" w:hAnsi="Times New Roman" w:cs="Times New Roman"/>
          <w:sz w:val="24"/>
          <w:szCs w:val="24"/>
        </w:rPr>
        <w:t xml:space="preserve">, </w:t>
      </w:r>
      <w:r w:rsidR="00562A37" w:rsidRPr="00562A37">
        <w:rPr>
          <w:rFonts w:ascii="Times New Roman" w:hAnsi="Times New Roman" w:cs="Times New Roman"/>
          <w:i/>
          <w:color w:val="000000" w:themeColor="text1"/>
          <w:sz w:val="24"/>
          <w:szCs w:val="24"/>
        </w:rPr>
        <w:t>rivaroxaban</w:t>
      </w:r>
      <w:r w:rsidRPr="00215667">
        <w:rPr>
          <w:rFonts w:ascii="Times New Roman" w:hAnsi="Times New Roman" w:cs="Times New Roman"/>
          <w:sz w:val="24"/>
          <w:szCs w:val="24"/>
        </w:rPr>
        <w:t xml:space="preserve">, </w:t>
      </w:r>
      <w:r w:rsidR="00562A37" w:rsidRPr="00562A37">
        <w:rPr>
          <w:rFonts w:ascii="Times New Roman" w:hAnsi="Times New Roman" w:cs="Times New Roman"/>
          <w:i/>
          <w:color w:val="000000" w:themeColor="text1"/>
          <w:sz w:val="24"/>
          <w:szCs w:val="24"/>
        </w:rPr>
        <w:t>edoxaban</w:t>
      </w:r>
      <w:r w:rsidR="00562A37" w:rsidRPr="00215667">
        <w:rPr>
          <w:rFonts w:ascii="Times New Roman" w:hAnsi="Times New Roman" w:cs="Times New Roman"/>
          <w:sz w:val="24"/>
          <w:szCs w:val="24"/>
        </w:rPr>
        <w:t xml:space="preserve"> </w:t>
      </w:r>
      <w:r w:rsidRPr="00215667">
        <w:rPr>
          <w:rFonts w:ascii="Times New Roman" w:hAnsi="Times New Roman" w:cs="Times New Roman"/>
          <w:sz w:val="24"/>
          <w:szCs w:val="24"/>
        </w:rPr>
        <w:t xml:space="preserve">и </w:t>
      </w:r>
      <w:r w:rsidR="00562A37" w:rsidRPr="00562A37">
        <w:rPr>
          <w:rFonts w:ascii="Times New Roman" w:hAnsi="Times New Roman" w:cs="Times New Roman"/>
          <w:i/>
          <w:color w:val="000000" w:themeColor="text1"/>
          <w:sz w:val="24"/>
          <w:szCs w:val="24"/>
        </w:rPr>
        <w:t>apixaban</w:t>
      </w:r>
      <w:r w:rsidRPr="00215667">
        <w:rPr>
          <w:rFonts w:ascii="Times New Roman" w:hAnsi="Times New Roman" w:cs="Times New Roman"/>
          <w:sz w:val="24"/>
          <w:szCs w:val="24"/>
        </w:rPr>
        <w:t xml:space="preserve">. </w:t>
      </w:r>
      <w:r w:rsidR="00562A37">
        <w:rPr>
          <w:rFonts w:ascii="Times New Roman" w:hAnsi="Times New Roman" w:cs="Times New Roman"/>
          <w:i/>
          <w:color w:val="000000" w:themeColor="text1"/>
          <w:sz w:val="24"/>
          <w:szCs w:val="24"/>
          <w:lang w:val="en-US"/>
        </w:rPr>
        <w:t>D</w:t>
      </w:r>
      <w:r w:rsidR="00562A37" w:rsidRPr="00562A37">
        <w:rPr>
          <w:rFonts w:ascii="Times New Roman" w:hAnsi="Times New Roman" w:cs="Times New Roman"/>
          <w:i/>
          <w:color w:val="000000" w:themeColor="text1"/>
          <w:sz w:val="24"/>
          <w:szCs w:val="24"/>
        </w:rPr>
        <w:t>abigatran</w:t>
      </w:r>
      <w:r w:rsidR="00562A37" w:rsidRPr="00215667">
        <w:rPr>
          <w:rFonts w:ascii="Times New Roman" w:hAnsi="Times New Roman" w:cs="Times New Roman"/>
          <w:sz w:val="24"/>
          <w:szCs w:val="24"/>
        </w:rPr>
        <w:t xml:space="preserve"> </w:t>
      </w:r>
      <w:r w:rsidRPr="00215667">
        <w:rPr>
          <w:rFonts w:ascii="Times New Roman" w:hAnsi="Times New Roman" w:cs="Times New Roman"/>
          <w:sz w:val="24"/>
          <w:szCs w:val="24"/>
        </w:rPr>
        <w:t xml:space="preserve">го инхибира факторот IIa (тромбин), а </w:t>
      </w:r>
      <w:r w:rsidR="00562A37" w:rsidRPr="00562A37">
        <w:rPr>
          <w:rFonts w:ascii="Times New Roman" w:hAnsi="Times New Roman" w:cs="Times New Roman"/>
          <w:i/>
          <w:color w:val="000000" w:themeColor="text1"/>
          <w:sz w:val="24"/>
          <w:szCs w:val="24"/>
        </w:rPr>
        <w:t>rivaroxaban</w:t>
      </w:r>
      <w:r w:rsidR="00562A37" w:rsidRPr="00215667">
        <w:rPr>
          <w:rFonts w:ascii="Times New Roman" w:hAnsi="Times New Roman" w:cs="Times New Roman"/>
          <w:sz w:val="24"/>
          <w:szCs w:val="24"/>
        </w:rPr>
        <w:t xml:space="preserve">, </w:t>
      </w:r>
      <w:r w:rsidR="00562A37" w:rsidRPr="00562A37">
        <w:rPr>
          <w:rFonts w:ascii="Times New Roman" w:hAnsi="Times New Roman" w:cs="Times New Roman"/>
          <w:i/>
          <w:color w:val="000000" w:themeColor="text1"/>
          <w:sz w:val="24"/>
          <w:szCs w:val="24"/>
        </w:rPr>
        <w:t>edoxaban</w:t>
      </w:r>
      <w:r w:rsidR="00562A37" w:rsidRPr="00215667">
        <w:rPr>
          <w:rFonts w:ascii="Times New Roman" w:hAnsi="Times New Roman" w:cs="Times New Roman"/>
          <w:sz w:val="24"/>
          <w:szCs w:val="24"/>
        </w:rPr>
        <w:t xml:space="preserve"> и </w:t>
      </w:r>
      <w:r w:rsidR="00562A37" w:rsidRPr="00562A37">
        <w:rPr>
          <w:rFonts w:ascii="Times New Roman" w:hAnsi="Times New Roman" w:cs="Times New Roman"/>
          <w:i/>
          <w:color w:val="000000" w:themeColor="text1"/>
          <w:sz w:val="24"/>
          <w:szCs w:val="24"/>
        </w:rPr>
        <w:t>apixaban</w:t>
      </w:r>
      <w:r w:rsidRPr="00215667">
        <w:rPr>
          <w:rFonts w:ascii="Times New Roman" w:hAnsi="Times New Roman" w:cs="Times New Roman"/>
          <w:sz w:val="24"/>
          <w:szCs w:val="24"/>
        </w:rPr>
        <w:t xml:space="preserve"> го инхибираат факторот Xa (Adcock 2015). Неодамна објавена ретроспективна опсервациска</w:t>
      </w:r>
      <w:r w:rsidR="00562A37">
        <w:rPr>
          <w:rFonts w:ascii="Times New Roman" w:hAnsi="Times New Roman" w:cs="Times New Roman"/>
          <w:sz w:val="24"/>
          <w:szCs w:val="24"/>
        </w:rPr>
        <w:t xml:space="preserve"> </w:t>
      </w:r>
      <w:r w:rsidRPr="00215667">
        <w:rPr>
          <w:rFonts w:ascii="Times New Roman" w:hAnsi="Times New Roman" w:cs="Times New Roman"/>
          <w:sz w:val="24"/>
          <w:szCs w:val="24"/>
        </w:rPr>
        <w:t xml:space="preserve">студија спореди 52 орални процедури кај индивидуи под континуиран антикоагулантен третман со </w:t>
      </w:r>
      <w:r w:rsidR="00562A37" w:rsidRPr="00562A37">
        <w:rPr>
          <w:rFonts w:ascii="Times New Roman" w:hAnsi="Times New Roman" w:cs="Times New Roman"/>
          <w:i/>
          <w:color w:val="000000" w:themeColor="text1"/>
          <w:sz w:val="24"/>
          <w:szCs w:val="24"/>
        </w:rPr>
        <w:t>rivaroxaban</w:t>
      </w:r>
      <w:r w:rsidR="00562A37" w:rsidRPr="00215667">
        <w:rPr>
          <w:rFonts w:ascii="Times New Roman" w:hAnsi="Times New Roman" w:cs="Times New Roman"/>
          <w:sz w:val="24"/>
          <w:szCs w:val="24"/>
        </w:rPr>
        <w:t xml:space="preserve"> </w:t>
      </w:r>
      <w:r w:rsidRPr="00215667">
        <w:rPr>
          <w:rFonts w:ascii="Times New Roman" w:hAnsi="Times New Roman" w:cs="Times New Roman"/>
          <w:sz w:val="24"/>
          <w:szCs w:val="24"/>
        </w:rPr>
        <w:t>(20 mg на ден) со 285 орални процедури кај индивидуи без никаков антикоагулантен или антитромбоцитен третман (Hanken 2016). Бројот на постоперативни компликации на крва</w:t>
      </w:r>
      <w:r w:rsidR="00562A37">
        <w:rPr>
          <w:rFonts w:ascii="Times New Roman" w:hAnsi="Times New Roman" w:cs="Times New Roman"/>
          <w:sz w:val="24"/>
          <w:szCs w:val="24"/>
        </w:rPr>
        <w:t>в</w:t>
      </w:r>
      <w:r w:rsidRPr="00215667">
        <w:rPr>
          <w:rFonts w:ascii="Times New Roman" w:hAnsi="Times New Roman" w:cs="Times New Roman"/>
          <w:sz w:val="24"/>
          <w:szCs w:val="24"/>
        </w:rPr>
        <w:t xml:space="preserve">ење беше значително поголем во групата со </w:t>
      </w:r>
      <w:r w:rsidR="00562A37" w:rsidRPr="00562A37">
        <w:rPr>
          <w:rFonts w:ascii="Times New Roman" w:hAnsi="Times New Roman" w:cs="Times New Roman"/>
          <w:i/>
          <w:color w:val="000000" w:themeColor="text1"/>
          <w:sz w:val="24"/>
          <w:szCs w:val="24"/>
        </w:rPr>
        <w:t>rivaroxaban</w:t>
      </w:r>
      <w:r w:rsidR="00562A37" w:rsidRPr="00215667">
        <w:rPr>
          <w:rFonts w:ascii="Times New Roman" w:hAnsi="Times New Roman" w:cs="Times New Roman"/>
          <w:sz w:val="24"/>
          <w:szCs w:val="24"/>
        </w:rPr>
        <w:t xml:space="preserve"> </w:t>
      </w:r>
      <w:r w:rsidRPr="00215667">
        <w:rPr>
          <w:rFonts w:ascii="Times New Roman" w:hAnsi="Times New Roman" w:cs="Times New Roman"/>
          <w:sz w:val="24"/>
          <w:szCs w:val="24"/>
        </w:rPr>
        <w:t>во споредба со контролната група, со компликации на крва</w:t>
      </w:r>
      <w:r w:rsidR="00562A37">
        <w:rPr>
          <w:rFonts w:ascii="Times New Roman" w:hAnsi="Times New Roman" w:cs="Times New Roman"/>
          <w:sz w:val="24"/>
          <w:szCs w:val="24"/>
        </w:rPr>
        <w:t>в</w:t>
      </w:r>
      <w:r w:rsidRPr="00215667">
        <w:rPr>
          <w:rFonts w:ascii="Times New Roman" w:hAnsi="Times New Roman" w:cs="Times New Roman"/>
          <w:sz w:val="24"/>
          <w:szCs w:val="24"/>
        </w:rPr>
        <w:t>ење кај 11,5</w:t>
      </w:r>
      <w:r w:rsidR="00562A37">
        <w:rPr>
          <w:rFonts w:ascii="Times New Roman" w:hAnsi="Times New Roman" w:cs="Times New Roman"/>
          <w:sz w:val="24"/>
          <w:szCs w:val="24"/>
        </w:rPr>
        <w:t xml:space="preserve"> </w:t>
      </w:r>
      <w:r w:rsidRPr="00215667">
        <w:rPr>
          <w:rFonts w:ascii="Times New Roman" w:hAnsi="Times New Roman" w:cs="Times New Roman"/>
          <w:sz w:val="24"/>
          <w:szCs w:val="24"/>
        </w:rPr>
        <w:t>% и 0,7</w:t>
      </w:r>
      <w:r w:rsidR="00562A37">
        <w:rPr>
          <w:rFonts w:ascii="Times New Roman" w:hAnsi="Times New Roman" w:cs="Times New Roman"/>
          <w:sz w:val="24"/>
          <w:szCs w:val="24"/>
        </w:rPr>
        <w:t xml:space="preserve"> </w:t>
      </w:r>
      <w:r w:rsidRPr="00215667">
        <w:rPr>
          <w:rFonts w:ascii="Times New Roman" w:hAnsi="Times New Roman" w:cs="Times New Roman"/>
          <w:sz w:val="24"/>
          <w:szCs w:val="24"/>
        </w:rPr>
        <w:t>% соодветно. Сите компликации на крвавење беа контролирани со локални мерки.</w:t>
      </w:r>
      <w:r w:rsidRPr="00215667">
        <w:rPr>
          <w:rFonts w:ascii="Times New Roman" w:hAnsi="Times New Roman" w:cs="Times New Roman"/>
          <w:sz w:val="24"/>
          <w:szCs w:val="24"/>
          <w:vertAlign w:val="superscript"/>
        </w:rPr>
        <w:t>117</w:t>
      </w:r>
    </w:p>
    <w:p w14:paraId="240B460D" w14:textId="77777777" w:rsidR="00412474" w:rsidRPr="00215667" w:rsidRDefault="00412474" w:rsidP="00D35942">
      <w:pPr>
        <w:pStyle w:val="NoSpacing"/>
        <w:spacing w:line="360" w:lineRule="auto"/>
        <w:rPr>
          <w:rFonts w:ascii="Times New Roman" w:hAnsi="Times New Roman" w:cs="Times New Roman"/>
          <w:sz w:val="24"/>
          <w:szCs w:val="24"/>
        </w:rPr>
      </w:pPr>
    </w:p>
    <w:p w14:paraId="5F8B177E" w14:textId="72D1CD9C" w:rsidR="00412474" w:rsidRDefault="00412474" w:rsidP="00D35942">
      <w:pPr>
        <w:spacing w:after="0" w:line="360" w:lineRule="auto"/>
        <w:ind w:firstLine="720"/>
        <w:jc w:val="both"/>
        <w:rPr>
          <w:rFonts w:ascii="Times New Roman" w:hAnsi="Times New Roman" w:cs="Times New Roman"/>
          <w:sz w:val="24"/>
          <w:szCs w:val="24"/>
          <w:lang w:val="en-US"/>
        </w:rPr>
      </w:pPr>
      <w:r w:rsidRPr="00215667">
        <w:rPr>
          <w:rFonts w:ascii="Times New Roman" w:hAnsi="Times New Roman" w:cs="Times New Roman"/>
          <w:sz w:val="24"/>
          <w:szCs w:val="24"/>
        </w:rPr>
        <w:lastRenderedPageBreak/>
        <w:t xml:space="preserve">Хируршките интервенции кај пациенти со ОАТ и/или антиагрегациска, поради зголемен ризик од PEB се вистински предизвик во секојдневната </w:t>
      </w:r>
      <w:r w:rsidR="00562A37">
        <w:rPr>
          <w:rFonts w:ascii="Times New Roman" w:hAnsi="Times New Roman" w:cs="Times New Roman"/>
          <w:sz w:val="24"/>
          <w:szCs w:val="24"/>
        </w:rPr>
        <w:t>практика</w:t>
      </w:r>
      <w:r w:rsidRPr="00215667">
        <w:rPr>
          <w:rFonts w:ascii="Times New Roman" w:hAnsi="Times New Roman" w:cs="Times New Roman"/>
          <w:sz w:val="24"/>
          <w:szCs w:val="24"/>
        </w:rPr>
        <w:t xml:space="preserve">. Затоа, познавањето на механизмите на нивното интерферирање со хемостазата и </w:t>
      </w:r>
      <w:r w:rsidR="00562A37">
        <w:rPr>
          <w:rFonts w:ascii="Times New Roman" w:hAnsi="Times New Roman" w:cs="Times New Roman"/>
          <w:sz w:val="24"/>
          <w:szCs w:val="24"/>
        </w:rPr>
        <w:t>нивното оптимално</w:t>
      </w:r>
      <w:r w:rsidRPr="00215667">
        <w:rPr>
          <w:rFonts w:ascii="Times New Roman" w:hAnsi="Times New Roman" w:cs="Times New Roman"/>
          <w:sz w:val="24"/>
          <w:szCs w:val="24"/>
        </w:rPr>
        <w:t xml:space="preserve"> периоперативно менаџирање е од исклучителна важност.</w:t>
      </w:r>
      <w:r w:rsidRPr="00215667">
        <w:rPr>
          <w:rFonts w:ascii="Times New Roman" w:hAnsi="Times New Roman" w:cs="Times New Roman"/>
          <w:sz w:val="24"/>
          <w:szCs w:val="24"/>
          <w:vertAlign w:val="superscript"/>
        </w:rPr>
        <w:t>66</w:t>
      </w:r>
      <w:r w:rsidRPr="00215667">
        <w:rPr>
          <w:rFonts w:ascii="Times New Roman" w:hAnsi="Times New Roman" w:cs="Times New Roman"/>
          <w:sz w:val="24"/>
          <w:szCs w:val="24"/>
        </w:rPr>
        <w:t xml:space="preserve"> VKAs се најчесто користени, достапни лекови и покрај нивниот тесен терапевтски индекс и потребата за постојано следење на интернационален нормализиран сооднос- (INR) како и бројните интеракции со лекови. DOACs стануваат с</w:t>
      </w:r>
      <w:r w:rsidR="00562A37">
        <w:rPr>
          <w:rFonts w:ascii="Times New Roman" w:hAnsi="Times New Roman" w:cs="Times New Roman"/>
          <w:sz w:val="24"/>
          <w:szCs w:val="24"/>
        </w:rPr>
        <w:t>è</w:t>
      </w:r>
      <w:r w:rsidRPr="00215667">
        <w:rPr>
          <w:rFonts w:ascii="Times New Roman" w:hAnsi="Times New Roman" w:cs="Times New Roman"/>
          <w:sz w:val="24"/>
          <w:szCs w:val="24"/>
        </w:rPr>
        <w:t xml:space="preserve"> по</w:t>
      </w:r>
      <w:r w:rsidR="00562A37">
        <w:rPr>
          <w:rFonts w:ascii="Times New Roman" w:hAnsi="Times New Roman" w:cs="Times New Roman"/>
          <w:sz w:val="24"/>
          <w:szCs w:val="24"/>
        </w:rPr>
        <w:t>по</w:t>
      </w:r>
      <w:r w:rsidRPr="00215667">
        <w:rPr>
          <w:rFonts w:ascii="Times New Roman" w:hAnsi="Times New Roman" w:cs="Times New Roman"/>
          <w:sz w:val="24"/>
          <w:szCs w:val="24"/>
        </w:rPr>
        <w:t>пуларни, бидејќи имаат скратено време на полураспаѓање (8-10</w:t>
      </w:r>
      <w:r w:rsidR="00562A37">
        <w:rPr>
          <w:rFonts w:ascii="Times New Roman" w:hAnsi="Times New Roman" w:cs="Times New Roman"/>
          <w:sz w:val="24"/>
          <w:szCs w:val="24"/>
        </w:rPr>
        <w:t xml:space="preserve"> часа</w:t>
      </w:r>
      <w:r w:rsidRPr="00215667">
        <w:rPr>
          <w:rFonts w:ascii="Times New Roman" w:hAnsi="Times New Roman" w:cs="Times New Roman"/>
          <w:sz w:val="24"/>
          <w:szCs w:val="24"/>
        </w:rPr>
        <w:t>), не бараат рутинско следење и се сметаат за побезбедни и попредвидливи поради нивниот директен ефект врз коагулационата каскада. DOAC</w:t>
      </w:r>
      <w:bookmarkStart w:id="11" w:name="_Hlk154489837"/>
      <w:r w:rsidRPr="00215667">
        <w:rPr>
          <w:rFonts w:ascii="Times New Roman" w:hAnsi="Times New Roman" w:cs="Times New Roman"/>
          <w:sz w:val="24"/>
          <w:szCs w:val="24"/>
        </w:rPr>
        <w:t>s</w:t>
      </w:r>
      <w:bookmarkEnd w:id="11"/>
      <w:r w:rsidRPr="00215667">
        <w:rPr>
          <w:rFonts w:ascii="Times New Roman" w:hAnsi="Times New Roman" w:cs="Times New Roman"/>
          <w:sz w:val="24"/>
          <w:szCs w:val="24"/>
        </w:rPr>
        <w:t xml:space="preserve">, може да се смета дека се во предност кога станува збор за привремено прекинување на антикоагулантната терапија пред интервенции, но важно е да се знае дека не постои </w:t>
      </w:r>
      <w:r w:rsidR="00562A37">
        <w:rPr>
          <w:rFonts w:ascii="Times New Roman" w:hAnsi="Times New Roman" w:cs="Times New Roman"/>
          <w:sz w:val="24"/>
          <w:szCs w:val="24"/>
        </w:rPr>
        <w:t>„</w:t>
      </w:r>
      <w:r w:rsidRPr="00215667">
        <w:rPr>
          <w:rFonts w:ascii="Times New Roman" w:hAnsi="Times New Roman" w:cs="Times New Roman"/>
          <w:sz w:val="24"/>
          <w:szCs w:val="24"/>
        </w:rPr>
        <w:t>златен стандард</w:t>
      </w:r>
      <w:r w:rsidR="00562A37">
        <w:rPr>
          <w:rFonts w:ascii="Times New Roman" w:hAnsi="Times New Roman" w:cs="Times New Roman"/>
          <w:sz w:val="24"/>
          <w:szCs w:val="24"/>
        </w:rPr>
        <w:t>“</w:t>
      </w:r>
      <w:r w:rsidRPr="00215667">
        <w:rPr>
          <w:rFonts w:ascii="Times New Roman" w:hAnsi="Times New Roman" w:cs="Times New Roman"/>
          <w:sz w:val="24"/>
          <w:szCs w:val="24"/>
        </w:rPr>
        <w:t xml:space="preserve"> за ОАТ, поради опасноста од настанување на крвавење или </w:t>
      </w:r>
      <w:r w:rsidR="00065541">
        <w:rPr>
          <w:rFonts w:ascii="Times New Roman" w:hAnsi="Times New Roman" w:cs="Times New Roman"/>
          <w:sz w:val="24"/>
          <w:szCs w:val="24"/>
        </w:rPr>
        <w:t>тромбоемболија</w:t>
      </w:r>
      <w:r w:rsidRPr="00215667">
        <w:rPr>
          <w:rFonts w:ascii="Times New Roman" w:hAnsi="Times New Roman" w:cs="Times New Roman"/>
          <w:sz w:val="24"/>
          <w:szCs w:val="24"/>
        </w:rPr>
        <w:t>.</w:t>
      </w:r>
      <w:r w:rsidRPr="00215667">
        <w:rPr>
          <w:rFonts w:ascii="Times New Roman" w:hAnsi="Times New Roman" w:cs="Times New Roman"/>
          <w:sz w:val="24"/>
          <w:szCs w:val="24"/>
          <w:vertAlign w:val="superscript"/>
        </w:rPr>
        <w:t xml:space="preserve">67  </w:t>
      </w:r>
      <w:r w:rsidRPr="00215667">
        <w:rPr>
          <w:rFonts w:ascii="Times New Roman" w:hAnsi="Times New Roman" w:cs="Times New Roman"/>
          <w:sz w:val="24"/>
          <w:szCs w:val="24"/>
        </w:rPr>
        <w:t>Времето на полураспаѓање на NSAID</w:t>
      </w:r>
      <w:bookmarkStart w:id="12" w:name="_Hlk154489454"/>
      <w:r w:rsidRPr="00215667">
        <w:rPr>
          <w:rFonts w:ascii="Times New Roman" w:hAnsi="Times New Roman" w:cs="Times New Roman"/>
          <w:sz w:val="24"/>
          <w:szCs w:val="24"/>
        </w:rPr>
        <w:t>s</w:t>
      </w:r>
      <w:bookmarkEnd w:id="12"/>
      <w:r w:rsidRPr="00215667">
        <w:rPr>
          <w:rFonts w:ascii="Times New Roman" w:hAnsi="Times New Roman" w:cs="Times New Roman"/>
          <w:sz w:val="24"/>
          <w:szCs w:val="24"/>
        </w:rPr>
        <w:t xml:space="preserve"> e 8–9 дена, колку што е и животниот циклус на тромбоцитите, па мислењето за прекин на терапијата 3 дена пред интервенција или негова континуирана употреба, се дискутабилни </w:t>
      </w:r>
      <w:r w:rsidR="00562A37" w:rsidRPr="00215667">
        <w:rPr>
          <w:rFonts w:ascii="Times New Roman" w:hAnsi="Times New Roman" w:cs="Times New Roman"/>
          <w:sz w:val="24"/>
          <w:szCs w:val="24"/>
        </w:rPr>
        <w:t>(</w:t>
      </w:r>
      <w:r w:rsidR="00562A37">
        <w:rPr>
          <w:rFonts w:ascii="Times New Roman" w:hAnsi="Times New Roman" w:cs="Times New Roman"/>
          <w:sz w:val="24"/>
          <w:szCs w:val="24"/>
        </w:rPr>
        <w:t>с</w:t>
      </w:r>
      <w:r w:rsidR="00562A37" w:rsidRPr="00215667">
        <w:rPr>
          <w:rFonts w:ascii="Times New Roman" w:hAnsi="Times New Roman" w:cs="Times New Roman"/>
          <w:sz w:val="24"/>
          <w:szCs w:val="24"/>
        </w:rPr>
        <w:t>лика бр</w:t>
      </w:r>
      <w:r w:rsidR="00F00F01">
        <w:rPr>
          <w:rFonts w:ascii="Times New Roman" w:hAnsi="Times New Roman" w:cs="Times New Roman"/>
          <w:sz w:val="24"/>
          <w:szCs w:val="24"/>
        </w:rPr>
        <w:t>.</w:t>
      </w:r>
      <w:r w:rsidR="00562A37" w:rsidRPr="00215667">
        <w:rPr>
          <w:rFonts w:ascii="Times New Roman" w:hAnsi="Times New Roman" w:cs="Times New Roman"/>
          <w:sz w:val="24"/>
          <w:szCs w:val="24"/>
        </w:rPr>
        <w:t xml:space="preserve"> 4)</w:t>
      </w:r>
      <w:r w:rsidRPr="00215667">
        <w:rPr>
          <w:rFonts w:ascii="Times New Roman" w:hAnsi="Times New Roman" w:cs="Times New Roman"/>
          <w:sz w:val="24"/>
          <w:szCs w:val="24"/>
        </w:rPr>
        <w:t>.</w:t>
      </w:r>
      <w:r w:rsidRPr="00215667">
        <w:rPr>
          <w:rFonts w:ascii="Times New Roman" w:hAnsi="Times New Roman" w:cs="Times New Roman"/>
          <w:sz w:val="24"/>
          <w:szCs w:val="24"/>
          <w:vertAlign w:val="superscript"/>
        </w:rPr>
        <w:t>68-70</w:t>
      </w:r>
    </w:p>
    <w:p w14:paraId="76113482" w14:textId="48E2157A" w:rsidR="00412474" w:rsidRDefault="00412474" w:rsidP="00D35942">
      <w:pPr>
        <w:spacing w:after="0" w:line="360" w:lineRule="auto"/>
        <w:ind w:firstLine="720"/>
        <w:jc w:val="both"/>
        <w:rPr>
          <w:rFonts w:ascii="Times New Roman" w:hAnsi="Times New Roman" w:cs="Times New Roman"/>
          <w:color w:val="FF0000"/>
          <w:sz w:val="24"/>
          <w:szCs w:val="24"/>
          <w:lang w:val="en-US"/>
        </w:rPr>
      </w:pPr>
      <w:r w:rsidRPr="00215667">
        <w:rPr>
          <w:rFonts w:ascii="Times New Roman" w:hAnsi="Times New Roman" w:cs="Times New Roman"/>
          <w:sz w:val="24"/>
          <w:szCs w:val="24"/>
        </w:rPr>
        <w:t>Во однос на дилемата и контраверзиите во однос на балансирањето (суспендирање или продолжување на ОАТ);</w:t>
      </w:r>
      <w:r w:rsidRPr="00215667">
        <w:rPr>
          <w:rFonts w:ascii="Times New Roman" w:hAnsi="Times New Roman" w:cs="Times New Roman"/>
          <w:sz w:val="24"/>
          <w:szCs w:val="24"/>
          <w:vertAlign w:val="superscript"/>
        </w:rPr>
        <w:t>71</w:t>
      </w:r>
      <w:r w:rsidRPr="00215667">
        <w:rPr>
          <w:rFonts w:ascii="Times New Roman" w:hAnsi="Times New Roman" w:cs="Times New Roman"/>
          <w:sz w:val="24"/>
          <w:szCs w:val="24"/>
        </w:rPr>
        <w:t xml:space="preserve"> некои автори препорачуваат суспендирање на терапијата, намалување или замена на антитромбоцитни/</w:t>
      </w:r>
      <w:r w:rsidR="00065541">
        <w:rPr>
          <w:rFonts w:ascii="Times New Roman" w:hAnsi="Times New Roman" w:cs="Times New Roman"/>
          <w:sz w:val="24"/>
          <w:szCs w:val="24"/>
        </w:rPr>
        <w:t xml:space="preserve"> </w:t>
      </w:r>
      <w:r w:rsidRPr="00215667">
        <w:rPr>
          <w:rFonts w:ascii="Times New Roman" w:hAnsi="Times New Roman" w:cs="Times New Roman"/>
          <w:sz w:val="24"/>
          <w:szCs w:val="24"/>
        </w:rPr>
        <w:t>антикоагулациони лекови, три дена пред инвазивни стоматолошки третмани, додека пак останатите</w:t>
      </w:r>
      <w:r w:rsidR="00065541">
        <w:rPr>
          <w:rFonts w:ascii="Times New Roman" w:hAnsi="Times New Roman" w:cs="Times New Roman"/>
          <w:sz w:val="24"/>
          <w:szCs w:val="24"/>
          <w:vertAlign w:val="superscript"/>
        </w:rPr>
        <w:t xml:space="preserve">72, </w:t>
      </w:r>
      <w:r w:rsidRPr="00215667">
        <w:rPr>
          <w:rFonts w:ascii="Times New Roman" w:hAnsi="Times New Roman" w:cs="Times New Roman"/>
          <w:sz w:val="24"/>
          <w:szCs w:val="24"/>
          <w:vertAlign w:val="superscript"/>
        </w:rPr>
        <w:t>73</w:t>
      </w:r>
      <w:r w:rsidRPr="00215667">
        <w:rPr>
          <w:rFonts w:ascii="Times New Roman" w:hAnsi="Times New Roman" w:cs="Times New Roman"/>
          <w:sz w:val="24"/>
          <w:szCs w:val="24"/>
        </w:rPr>
        <w:t xml:space="preserve"> советуваат продолжување на терапијата, поради можноста од зголемен ризик од тромбоемболија.</w:t>
      </w:r>
      <w:r w:rsidRPr="00215667">
        <w:rPr>
          <w:rFonts w:ascii="Times New Roman" w:hAnsi="Times New Roman" w:cs="Times New Roman"/>
          <w:sz w:val="24"/>
          <w:szCs w:val="24"/>
          <w:vertAlign w:val="superscript"/>
        </w:rPr>
        <w:t>74, 75, 76</w:t>
      </w:r>
      <w:r w:rsidRPr="00215667">
        <w:rPr>
          <w:rFonts w:ascii="Times New Roman" w:hAnsi="Times New Roman" w:cs="Times New Roman"/>
          <w:color w:val="FF0000"/>
          <w:sz w:val="24"/>
          <w:szCs w:val="24"/>
        </w:rPr>
        <w:t xml:space="preserve">  </w:t>
      </w:r>
    </w:p>
    <w:p w14:paraId="0D18431C" w14:textId="7AF49EDF" w:rsidR="00412474" w:rsidRPr="00215667" w:rsidRDefault="00412474" w:rsidP="00D35942">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Предложен е широк спектар на постоечките докази за употребата на  различни видови ОАТ и антиагрегациони лекови, асоцирани со PEB.</w:t>
      </w:r>
      <w:r w:rsidRPr="00215667">
        <w:rPr>
          <w:rFonts w:ascii="Times New Roman" w:hAnsi="Times New Roman" w:cs="Times New Roman"/>
          <w:sz w:val="24"/>
          <w:szCs w:val="24"/>
          <w:vertAlign w:val="superscript"/>
        </w:rPr>
        <w:t>77</w:t>
      </w:r>
      <w:r w:rsidRPr="00215667">
        <w:rPr>
          <w:rFonts w:ascii="Times New Roman" w:hAnsi="Times New Roman" w:cs="Times New Roman"/>
          <w:sz w:val="24"/>
          <w:szCs w:val="24"/>
        </w:rPr>
        <w:t xml:space="preserve"> Инциденцата на PEB се движела од 0</w:t>
      </w:r>
      <w:r w:rsidR="00065541">
        <w:rPr>
          <w:rFonts w:ascii="Times New Roman" w:hAnsi="Times New Roman" w:cs="Times New Roman"/>
          <w:sz w:val="24"/>
          <w:szCs w:val="24"/>
        </w:rPr>
        <w:t xml:space="preserve"> %</w:t>
      </w:r>
      <w:r w:rsidRPr="00215667">
        <w:rPr>
          <w:rFonts w:ascii="Times New Roman" w:hAnsi="Times New Roman" w:cs="Times New Roman"/>
          <w:sz w:val="24"/>
          <w:szCs w:val="24"/>
        </w:rPr>
        <w:t xml:space="preserve"> до 26</w:t>
      </w:r>
      <w:r w:rsidR="00065541">
        <w:rPr>
          <w:rFonts w:ascii="Times New Roman" w:hAnsi="Times New Roman" w:cs="Times New Roman"/>
          <w:sz w:val="24"/>
          <w:szCs w:val="24"/>
        </w:rPr>
        <w:t xml:space="preserve"> </w:t>
      </w:r>
      <w:r w:rsidRPr="00215667">
        <w:rPr>
          <w:rFonts w:ascii="Times New Roman" w:hAnsi="Times New Roman" w:cs="Times New Roman"/>
          <w:sz w:val="24"/>
          <w:szCs w:val="24"/>
        </w:rPr>
        <w:t>% во повеќето кохортни студии. Некои автори утврдиле дека ризикот од крвавење не се разликува при употребата на раз</w:t>
      </w:r>
      <w:r w:rsidR="00065541">
        <w:rPr>
          <w:rFonts w:ascii="Times New Roman" w:hAnsi="Times New Roman" w:cs="Times New Roman"/>
          <w:sz w:val="24"/>
          <w:szCs w:val="24"/>
        </w:rPr>
        <w:t>л</w:t>
      </w:r>
      <w:r w:rsidRPr="00215667">
        <w:rPr>
          <w:rFonts w:ascii="Times New Roman" w:hAnsi="Times New Roman" w:cs="Times New Roman"/>
          <w:sz w:val="24"/>
          <w:szCs w:val="24"/>
        </w:rPr>
        <w:t xml:space="preserve">ични видови на VAKs, DOACs или NSAIDs и дека не постои сигнификанта разлика во појавата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асоцирано со видот на ОАТ или NSAIDs.</w:t>
      </w:r>
      <w:r w:rsidRPr="00215667">
        <w:rPr>
          <w:rFonts w:ascii="Times New Roman" w:hAnsi="Times New Roman" w:cs="Times New Roman"/>
          <w:sz w:val="24"/>
          <w:szCs w:val="24"/>
          <w:vertAlign w:val="superscript"/>
        </w:rPr>
        <w:t xml:space="preserve">78 </w:t>
      </w:r>
      <w:r w:rsidRPr="00215667">
        <w:rPr>
          <w:rFonts w:ascii="Times New Roman" w:hAnsi="Times New Roman" w:cs="Times New Roman"/>
          <w:sz w:val="24"/>
          <w:szCs w:val="24"/>
        </w:rPr>
        <w:t xml:space="preserve">Други пак потврдиле дека инциденцата на PEB е незначително поголема кај VAKs пациентите за 5,77% отколку кај DOACs. Употребата на NSAIDs во ниски дози 100мг-500мг., е исто така асоцирана со PEB и најчесто се појавува во првите 8 </w:t>
      </w:r>
      <w:r w:rsidRPr="00215667">
        <w:rPr>
          <w:rFonts w:ascii="Times New Roman" w:hAnsi="Times New Roman" w:cs="Times New Roman"/>
          <w:sz w:val="24"/>
          <w:szCs w:val="24"/>
        </w:rPr>
        <w:lastRenderedPageBreak/>
        <w:t>часа по интервенција кај 74</w:t>
      </w:r>
      <w:r w:rsidR="00065541">
        <w:rPr>
          <w:rFonts w:ascii="Times New Roman" w:hAnsi="Times New Roman" w:cs="Times New Roman"/>
          <w:sz w:val="24"/>
          <w:szCs w:val="24"/>
        </w:rPr>
        <w:t xml:space="preserve"> </w:t>
      </w:r>
      <w:r w:rsidRPr="00215667">
        <w:rPr>
          <w:rFonts w:ascii="Times New Roman" w:hAnsi="Times New Roman" w:cs="Times New Roman"/>
          <w:sz w:val="24"/>
          <w:szCs w:val="24"/>
        </w:rPr>
        <w:t>% од пациентите, но крвавењето кај овие пациенти може</w:t>
      </w:r>
      <w:r w:rsidR="00065541">
        <w:rPr>
          <w:rFonts w:ascii="Times New Roman" w:hAnsi="Times New Roman" w:cs="Times New Roman"/>
          <w:sz w:val="24"/>
          <w:szCs w:val="24"/>
        </w:rPr>
        <w:t xml:space="preserve"> да се контролира со предложените локални хемостатски методи </w:t>
      </w:r>
      <w:r w:rsidRPr="00215667">
        <w:rPr>
          <w:rFonts w:ascii="Times New Roman" w:hAnsi="Times New Roman" w:cs="Times New Roman"/>
          <w:sz w:val="24"/>
          <w:szCs w:val="24"/>
        </w:rPr>
        <w:t>кај 98</w:t>
      </w:r>
      <w:r w:rsidR="00065541">
        <w:rPr>
          <w:rFonts w:ascii="Times New Roman" w:hAnsi="Times New Roman" w:cs="Times New Roman"/>
          <w:sz w:val="24"/>
          <w:szCs w:val="24"/>
        </w:rPr>
        <w:t xml:space="preserve"> </w:t>
      </w:r>
      <w:r w:rsidRPr="00215667">
        <w:rPr>
          <w:rFonts w:ascii="Times New Roman" w:hAnsi="Times New Roman" w:cs="Times New Roman"/>
          <w:sz w:val="24"/>
          <w:szCs w:val="24"/>
        </w:rPr>
        <w:t>% од пациентите.</w:t>
      </w:r>
      <w:r w:rsidRPr="00215667">
        <w:rPr>
          <w:rFonts w:ascii="Times New Roman" w:hAnsi="Times New Roman" w:cs="Times New Roman"/>
          <w:sz w:val="24"/>
          <w:szCs w:val="24"/>
          <w:vertAlign w:val="superscript"/>
        </w:rPr>
        <w:t>79</w:t>
      </w:r>
      <w:r w:rsidRPr="00215667">
        <w:rPr>
          <w:rFonts w:ascii="Times New Roman" w:hAnsi="Times New Roman" w:cs="Times New Roman"/>
          <w:sz w:val="24"/>
          <w:szCs w:val="24"/>
        </w:rPr>
        <w:t xml:space="preserve"> </w:t>
      </w:r>
    </w:p>
    <w:p w14:paraId="76D34197" w14:textId="40C5E8F1" w:rsidR="00412474" w:rsidRPr="00215667" w:rsidRDefault="00412474" w:rsidP="00D35942">
      <w:pPr>
        <w:spacing w:after="0" w:line="360" w:lineRule="auto"/>
        <w:ind w:firstLine="720"/>
        <w:jc w:val="both"/>
        <w:rPr>
          <w:rFonts w:ascii="Times New Roman" w:hAnsi="Times New Roman" w:cs="Times New Roman"/>
          <w:b/>
          <w:color w:val="FF0000"/>
          <w:sz w:val="24"/>
          <w:szCs w:val="24"/>
        </w:rPr>
      </w:pPr>
      <w:r w:rsidRPr="00215667">
        <w:rPr>
          <w:rFonts w:ascii="Times New Roman" w:hAnsi="Times New Roman" w:cs="Times New Roman"/>
          <w:sz w:val="24"/>
          <w:szCs w:val="24"/>
        </w:rPr>
        <w:t>Се чини дека појавата на абудантните крвавења  кај 2</w:t>
      </w:r>
      <w:r w:rsidR="00065541">
        <w:rPr>
          <w:rFonts w:ascii="Times New Roman" w:hAnsi="Times New Roman" w:cs="Times New Roman"/>
          <w:sz w:val="24"/>
          <w:szCs w:val="24"/>
        </w:rPr>
        <w:t xml:space="preserve"> </w:t>
      </w:r>
      <w:r w:rsidRPr="00215667">
        <w:rPr>
          <w:rFonts w:ascii="Times New Roman" w:hAnsi="Times New Roman" w:cs="Times New Roman"/>
          <w:sz w:val="24"/>
          <w:szCs w:val="24"/>
        </w:rPr>
        <w:t>%, на VAKs, DOACs или NSAIDs</w:t>
      </w:r>
      <w:r w:rsidRPr="00215667">
        <w:rPr>
          <w:rFonts w:ascii="Times New Roman" w:hAnsi="Times New Roman" w:cs="Times New Roman"/>
          <w:color w:val="FF0000"/>
          <w:sz w:val="24"/>
          <w:szCs w:val="24"/>
        </w:rPr>
        <w:t xml:space="preserve"> </w:t>
      </w:r>
      <w:r w:rsidRPr="00215667">
        <w:rPr>
          <w:rFonts w:ascii="Times New Roman" w:hAnsi="Times New Roman" w:cs="Times New Roman"/>
          <w:sz w:val="24"/>
          <w:szCs w:val="24"/>
        </w:rPr>
        <w:t>пациентите, кои не</w:t>
      </w:r>
      <w:r w:rsidR="00065541">
        <w:rPr>
          <w:rFonts w:ascii="Times New Roman" w:hAnsi="Times New Roman" w:cs="Times New Roman"/>
          <w:sz w:val="24"/>
          <w:szCs w:val="24"/>
        </w:rPr>
        <w:t xml:space="preserve"> </w:t>
      </w:r>
      <w:r w:rsidRPr="00215667">
        <w:rPr>
          <w:rFonts w:ascii="Times New Roman" w:hAnsi="Times New Roman" w:cs="Times New Roman"/>
          <w:sz w:val="24"/>
          <w:szCs w:val="24"/>
        </w:rPr>
        <w:t>може да се контролираат со конзервативни хемостатски процедури, се јавуваат поради коморбидитети како што се: коагулопатии, хронична бубрежна или хепатална инсуфициенција, зависници од наркотици, алкохол ит</w:t>
      </w:r>
      <w:r w:rsidR="00065541">
        <w:rPr>
          <w:rFonts w:ascii="Times New Roman" w:hAnsi="Times New Roman" w:cs="Times New Roman"/>
          <w:sz w:val="24"/>
          <w:szCs w:val="24"/>
        </w:rPr>
        <w:t>н</w:t>
      </w:r>
      <w:r w:rsidRPr="00215667">
        <w:rPr>
          <w:rFonts w:ascii="Times New Roman" w:hAnsi="Times New Roman" w:cs="Times New Roman"/>
          <w:sz w:val="24"/>
          <w:szCs w:val="24"/>
        </w:rPr>
        <w:t>. За овие пациенти, со висок ризик е потребна постојана тесна соработка со лекарот ко</w:t>
      </w:r>
      <w:r w:rsidR="00065541">
        <w:rPr>
          <w:rFonts w:ascii="Times New Roman" w:hAnsi="Times New Roman" w:cs="Times New Roman"/>
          <w:sz w:val="24"/>
          <w:szCs w:val="24"/>
        </w:rPr>
        <w:t>ј</w:t>
      </w:r>
      <w:r w:rsidRPr="00215667">
        <w:rPr>
          <w:rFonts w:ascii="Times New Roman" w:hAnsi="Times New Roman" w:cs="Times New Roman"/>
          <w:sz w:val="24"/>
          <w:szCs w:val="24"/>
        </w:rPr>
        <w:t xml:space="preserve"> го лекува основното заболување на пациентот и со трансфузиолог.</w:t>
      </w:r>
      <w:r w:rsidRPr="00215667">
        <w:rPr>
          <w:rFonts w:ascii="Times New Roman" w:hAnsi="Times New Roman" w:cs="Times New Roman"/>
          <w:sz w:val="24"/>
          <w:szCs w:val="24"/>
          <w:vertAlign w:val="superscript"/>
        </w:rPr>
        <w:t>80</w:t>
      </w:r>
    </w:p>
    <w:p w14:paraId="017705FF" w14:textId="1AA3004C" w:rsidR="00412474" w:rsidRPr="00215667" w:rsidRDefault="00412474" w:rsidP="00D35942">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bCs/>
          <w:sz w:val="24"/>
          <w:szCs w:val="24"/>
        </w:rPr>
        <w:t>Предложени се различни водичи за процена за зголемен ризик</w:t>
      </w:r>
      <w:r w:rsidR="00065541">
        <w:rPr>
          <w:rFonts w:ascii="Times New Roman" w:hAnsi="Times New Roman" w:cs="Times New Roman"/>
          <w:bCs/>
          <w:sz w:val="24"/>
          <w:szCs w:val="24"/>
        </w:rPr>
        <w:t xml:space="preserve"> од PEB кај ОАТ/ </w:t>
      </w:r>
      <w:r w:rsidRPr="00215667">
        <w:rPr>
          <w:rFonts w:ascii="Times New Roman" w:hAnsi="Times New Roman" w:cs="Times New Roman"/>
          <w:bCs/>
          <w:sz w:val="24"/>
          <w:szCs w:val="24"/>
        </w:rPr>
        <w:t>антиагрегациските пациенти. Во ризик</w:t>
      </w:r>
      <w:r w:rsidR="00065541">
        <w:rPr>
          <w:rFonts w:ascii="Times New Roman" w:hAnsi="Times New Roman" w:cs="Times New Roman"/>
          <w:bCs/>
          <w:sz w:val="24"/>
          <w:szCs w:val="24"/>
        </w:rPr>
        <w:t>-</w:t>
      </w:r>
      <w:r w:rsidRPr="00215667">
        <w:rPr>
          <w:rFonts w:ascii="Times New Roman" w:hAnsi="Times New Roman" w:cs="Times New Roman"/>
          <w:bCs/>
          <w:sz w:val="24"/>
          <w:szCs w:val="24"/>
        </w:rPr>
        <w:t>фактори се вбројуваат хипертензија, нарушена</w:t>
      </w:r>
      <w:r w:rsidR="00065541">
        <w:rPr>
          <w:rFonts w:ascii="Times New Roman" w:hAnsi="Times New Roman" w:cs="Times New Roman"/>
          <w:bCs/>
          <w:sz w:val="24"/>
          <w:szCs w:val="24"/>
        </w:rPr>
        <w:t xml:space="preserve"> </w:t>
      </w:r>
      <w:r w:rsidRPr="00215667">
        <w:rPr>
          <w:rFonts w:ascii="Times New Roman" w:hAnsi="Times New Roman" w:cs="Times New Roman"/>
          <w:bCs/>
          <w:sz w:val="24"/>
          <w:szCs w:val="24"/>
        </w:rPr>
        <w:t>бубрежна/</w:t>
      </w:r>
      <w:r w:rsidR="00065541">
        <w:rPr>
          <w:rFonts w:ascii="Times New Roman" w:hAnsi="Times New Roman" w:cs="Times New Roman"/>
          <w:bCs/>
          <w:sz w:val="24"/>
          <w:szCs w:val="24"/>
        </w:rPr>
        <w:t xml:space="preserve"> </w:t>
      </w:r>
      <w:r w:rsidRPr="00215667">
        <w:rPr>
          <w:rFonts w:ascii="Times New Roman" w:hAnsi="Times New Roman" w:cs="Times New Roman"/>
          <w:bCs/>
          <w:sz w:val="24"/>
          <w:szCs w:val="24"/>
        </w:rPr>
        <w:t xml:space="preserve">црнодробна функција, мозочен удар, историја или предиспозиција на </w:t>
      </w:r>
      <w:r w:rsidR="00EC49EB" w:rsidRPr="00215667">
        <w:rPr>
          <w:rFonts w:ascii="Times New Roman" w:hAnsi="Times New Roman" w:cs="Times New Roman"/>
          <w:bCs/>
          <w:sz w:val="24"/>
          <w:szCs w:val="24"/>
        </w:rPr>
        <w:t>крвавење</w:t>
      </w:r>
      <w:r w:rsidRPr="00215667">
        <w:rPr>
          <w:rFonts w:ascii="Times New Roman" w:hAnsi="Times New Roman" w:cs="Times New Roman"/>
          <w:b/>
          <w:sz w:val="24"/>
          <w:szCs w:val="24"/>
        </w:rPr>
        <w:t xml:space="preserve">. </w:t>
      </w:r>
      <w:r w:rsidRPr="00215667">
        <w:rPr>
          <w:rFonts w:ascii="Times New Roman" w:hAnsi="Times New Roman" w:cs="Times New Roman"/>
          <w:sz w:val="24"/>
          <w:szCs w:val="24"/>
        </w:rPr>
        <w:t>Во предоперативната припрема  кај о</w:t>
      </w:r>
      <w:r w:rsidR="00E26DC1">
        <w:rPr>
          <w:rFonts w:ascii="Times New Roman" w:hAnsi="Times New Roman" w:cs="Times New Roman"/>
          <w:sz w:val="24"/>
          <w:szCs w:val="24"/>
        </w:rPr>
        <w:t>вие пациенти е клучна анмнезата</w:t>
      </w:r>
      <w:r w:rsidRPr="00215667">
        <w:rPr>
          <w:rFonts w:ascii="Times New Roman" w:hAnsi="Times New Roman" w:cs="Times New Roman"/>
          <w:sz w:val="24"/>
          <w:szCs w:val="24"/>
        </w:rPr>
        <w:t>,</w:t>
      </w:r>
      <w:r w:rsidR="00E26DC1">
        <w:rPr>
          <w:rFonts w:ascii="Times New Roman" w:hAnsi="Times New Roman" w:cs="Times New Roman"/>
          <w:sz w:val="24"/>
          <w:szCs w:val="24"/>
        </w:rPr>
        <w:t xml:space="preserve"> </w:t>
      </w:r>
      <w:r w:rsidRPr="00215667">
        <w:rPr>
          <w:rFonts w:ascii="Times New Roman" w:hAnsi="Times New Roman" w:cs="Times New Roman"/>
          <w:sz w:val="24"/>
          <w:szCs w:val="24"/>
        </w:rPr>
        <w:t>основните коморбидитети, општата здравствена состојба и евалуација на сигнификантните предиктори за PEB: протромбинско време (PT), ALT, AST, креатинин, уреа и задолжително INR (кај VKAs пациентите).</w:t>
      </w:r>
      <w:r w:rsidRPr="00215667">
        <w:rPr>
          <w:rFonts w:ascii="Times New Roman" w:hAnsi="Times New Roman" w:cs="Times New Roman"/>
          <w:sz w:val="24"/>
          <w:szCs w:val="24"/>
          <w:vertAlign w:val="superscript"/>
        </w:rPr>
        <w:t>81</w:t>
      </w:r>
      <w:r w:rsidRPr="00215667">
        <w:rPr>
          <w:rFonts w:ascii="Times New Roman" w:hAnsi="Times New Roman" w:cs="Times New Roman"/>
          <w:sz w:val="24"/>
          <w:szCs w:val="24"/>
        </w:rPr>
        <w:t xml:space="preserve"> Кај  VKAs пациентите, главен индикатор за периоперативното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е INR, кој се користи и за следење на терапевтскиот ефект на антикоагулансите и за корегирање на терапијата. Кај DOACs пациентите,</w:t>
      </w:r>
      <w:r w:rsidR="00E26DC1">
        <w:rPr>
          <w:rFonts w:ascii="Times New Roman" w:hAnsi="Times New Roman" w:cs="Times New Roman"/>
          <w:sz w:val="24"/>
          <w:szCs w:val="24"/>
        </w:rPr>
        <w:t xml:space="preserve"> </w:t>
      </w:r>
      <w:r w:rsidRPr="00215667">
        <w:rPr>
          <w:rFonts w:ascii="Times New Roman" w:hAnsi="Times New Roman" w:cs="Times New Roman"/>
          <w:sz w:val="24"/>
          <w:szCs w:val="24"/>
        </w:rPr>
        <w:t xml:space="preserve">ефектот на лекот се следи со одредување на минимална и максимална доза на лекот во плазма и со општите </w:t>
      </w:r>
      <w:r w:rsidR="00D80713">
        <w:rPr>
          <w:rFonts w:ascii="Times New Roman" w:hAnsi="Times New Roman" w:cs="Times New Roman"/>
          <w:sz w:val="24"/>
          <w:szCs w:val="24"/>
        </w:rPr>
        <w:t>лабораториски</w:t>
      </w:r>
      <w:r w:rsidRPr="00215667">
        <w:rPr>
          <w:rFonts w:ascii="Times New Roman" w:hAnsi="Times New Roman" w:cs="Times New Roman"/>
          <w:sz w:val="24"/>
          <w:szCs w:val="24"/>
        </w:rPr>
        <w:t xml:space="preserve"> хемостатски испитувања. За итни интервенции, додека не ја добиеме хемостазата и вредноста на INR кај ОАТ пациентите, се дава протромбински комплекс, </w:t>
      </w:r>
      <w:r w:rsidR="00E26DC1">
        <w:rPr>
          <w:rFonts w:ascii="Times New Roman" w:hAnsi="Times New Roman" w:cs="Times New Roman"/>
          <w:sz w:val="24"/>
          <w:szCs w:val="24"/>
        </w:rPr>
        <w:t>о</w:t>
      </w:r>
      <w:r w:rsidRPr="00215667">
        <w:rPr>
          <w:rFonts w:ascii="Times New Roman" w:hAnsi="Times New Roman" w:cs="Times New Roman"/>
          <w:sz w:val="24"/>
          <w:szCs w:val="24"/>
        </w:rPr>
        <w:t>ктаплекс.</w:t>
      </w:r>
    </w:p>
    <w:p w14:paraId="4D672293" w14:textId="27DCE370" w:rsidR="00412474" w:rsidRPr="00215667" w:rsidRDefault="00412474" w:rsidP="00D35942">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Нормална вредност на </w:t>
      </w:r>
      <w:r w:rsidR="00E26DC1">
        <w:rPr>
          <w:rFonts w:ascii="Times New Roman" w:hAnsi="Times New Roman" w:cs="Times New Roman"/>
          <w:sz w:val="24"/>
          <w:szCs w:val="24"/>
        </w:rPr>
        <w:t>INR е 0.8-</w:t>
      </w:r>
      <w:r w:rsidRPr="00215667">
        <w:rPr>
          <w:rFonts w:ascii="Times New Roman" w:hAnsi="Times New Roman" w:cs="Times New Roman"/>
          <w:sz w:val="24"/>
          <w:szCs w:val="24"/>
        </w:rPr>
        <w:t>1.2, а препорачанo ниво на INR, за безбедна интервенција, варира помеѓу 2-3. Во многу студии нивото на INR е главен предиктор за појавата на крвавење. Исклучок се пациенти со импланти на срцеви валвули, кај кои INR треба да се одржува помеѓу 2,5-3 и каде е потребно да се супституираат ОАТ и антиагрегационата терапија</w:t>
      </w:r>
      <w:r w:rsidR="006934F2">
        <w:rPr>
          <w:rFonts w:ascii="Times New Roman" w:hAnsi="Times New Roman" w:cs="Times New Roman"/>
          <w:sz w:val="24"/>
          <w:szCs w:val="24"/>
        </w:rPr>
        <w:t>,</w:t>
      </w:r>
      <w:r w:rsidRPr="00215667">
        <w:rPr>
          <w:rFonts w:ascii="Times New Roman" w:hAnsi="Times New Roman" w:cs="Times New Roman"/>
          <w:sz w:val="24"/>
          <w:szCs w:val="24"/>
        </w:rPr>
        <w:t xml:space="preserve"> пред интервенција да се супституираат ОАТ и DOACs со ниско молекуларен хепарин, во консултација со кардиолог и трансфузиолог</w:t>
      </w:r>
      <w:r w:rsidRPr="00215667">
        <w:rPr>
          <w:rFonts w:ascii="Times New Roman" w:hAnsi="Times New Roman" w:cs="Times New Roman"/>
          <w:b/>
          <w:sz w:val="24"/>
          <w:szCs w:val="24"/>
        </w:rPr>
        <w:t>.</w:t>
      </w:r>
      <w:r w:rsidRPr="00215667">
        <w:rPr>
          <w:rFonts w:ascii="Times New Roman" w:hAnsi="Times New Roman" w:cs="Times New Roman"/>
          <w:sz w:val="24"/>
          <w:szCs w:val="24"/>
          <w:vertAlign w:val="superscript"/>
        </w:rPr>
        <w:t>82</w:t>
      </w:r>
      <w:r w:rsidRPr="00215667">
        <w:rPr>
          <w:rFonts w:ascii="Times New Roman" w:hAnsi="Times New Roman" w:cs="Times New Roman"/>
          <w:b/>
          <w:sz w:val="24"/>
          <w:szCs w:val="24"/>
        </w:rPr>
        <w:t xml:space="preserve"> </w:t>
      </w:r>
      <w:r w:rsidRPr="00215667">
        <w:rPr>
          <w:rFonts w:ascii="Times New Roman" w:hAnsi="Times New Roman" w:cs="Times New Roman"/>
          <w:sz w:val="24"/>
          <w:szCs w:val="24"/>
        </w:rPr>
        <w:t xml:space="preserve">Веројатноста за пролонгирано и абудантно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е значајно поголема доколку  вредноста на INR е над 3.</w:t>
      </w:r>
      <w:r w:rsidRPr="00215667">
        <w:rPr>
          <w:rFonts w:ascii="Times New Roman" w:hAnsi="Times New Roman" w:cs="Times New Roman"/>
          <w:sz w:val="24"/>
          <w:szCs w:val="24"/>
          <w:vertAlign w:val="superscript"/>
        </w:rPr>
        <w:t xml:space="preserve">83 </w:t>
      </w:r>
      <w:r w:rsidRPr="00215667">
        <w:rPr>
          <w:rFonts w:ascii="Times New Roman" w:hAnsi="Times New Roman" w:cs="Times New Roman"/>
          <w:sz w:val="24"/>
          <w:szCs w:val="24"/>
        </w:rPr>
        <w:t xml:space="preserve">Некои автори </w:t>
      </w:r>
      <w:r w:rsidRPr="00215667">
        <w:rPr>
          <w:rFonts w:ascii="Times New Roman" w:hAnsi="Times New Roman" w:cs="Times New Roman"/>
          <w:sz w:val="24"/>
          <w:szCs w:val="24"/>
        </w:rPr>
        <w:lastRenderedPageBreak/>
        <w:t xml:space="preserve">се поборници за ставот </w:t>
      </w:r>
      <w:r w:rsidR="006934F2">
        <w:rPr>
          <w:rFonts w:ascii="Times New Roman" w:hAnsi="Times New Roman" w:cs="Times New Roman"/>
          <w:sz w:val="24"/>
          <w:szCs w:val="24"/>
        </w:rPr>
        <w:t>дека при</w:t>
      </w:r>
      <w:r w:rsidRPr="00215667">
        <w:rPr>
          <w:rFonts w:ascii="Times New Roman" w:hAnsi="Times New Roman" w:cs="Times New Roman"/>
          <w:sz w:val="24"/>
          <w:szCs w:val="24"/>
        </w:rPr>
        <w:t xml:space="preserve"> изведување на мала хирургија безбедно ниво на INR </w:t>
      </w:r>
      <w:r w:rsidR="006934F2">
        <w:rPr>
          <w:rFonts w:ascii="Times New Roman" w:hAnsi="Times New Roman" w:cs="Times New Roman"/>
          <w:sz w:val="24"/>
          <w:szCs w:val="24"/>
        </w:rPr>
        <w:t>е</w:t>
      </w:r>
      <w:r w:rsidRPr="00215667">
        <w:rPr>
          <w:rFonts w:ascii="Times New Roman" w:hAnsi="Times New Roman" w:cs="Times New Roman"/>
          <w:sz w:val="24"/>
          <w:szCs w:val="24"/>
        </w:rPr>
        <w:t xml:space="preserve"> помало или еднакво на 1,6. Ние во нашето истражување го следиме конвенционалниот пристап на стопирање на терапија 3 дена пред интервенција и постигнување на ниво на INR еднакво или помало од 1,5.</w:t>
      </w:r>
      <w:r w:rsidRPr="00215667">
        <w:rPr>
          <w:rFonts w:ascii="Times New Roman" w:hAnsi="Times New Roman" w:cs="Times New Roman"/>
          <w:sz w:val="24"/>
          <w:szCs w:val="24"/>
          <w:vertAlign w:val="superscript"/>
        </w:rPr>
        <w:t>84, 85</w:t>
      </w:r>
    </w:p>
    <w:p w14:paraId="6F0A2ADC" w14:textId="0F562C53" w:rsidR="00412474" w:rsidRDefault="00412474" w:rsidP="00D35942">
      <w:pPr>
        <w:spacing w:after="0" w:line="360" w:lineRule="auto"/>
        <w:ind w:firstLine="720"/>
        <w:jc w:val="both"/>
        <w:rPr>
          <w:rFonts w:ascii="Times New Roman" w:hAnsi="Times New Roman" w:cs="Times New Roman"/>
          <w:sz w:val="24"/>
          <w:szCs w:val="24"/>
          <w:vertAlign w:val="superscript"/>
          <w:lang w:val="en-US"/>
        </w:rPr>
      </w:pPr>
      <w:r w:rsidRPr="00215667">
        <w:rPr>
          <w:rFonts w:ascii="Times New Roman" w:hAnsi="Times New Roman" w:cs="Times New Roman"/>
          <w:sz w:val="24"/>
          <w:szCs w:val="24"/>
        </w:rPr>
        <w:t xml:space="preserve">Со цел предоперативно да се предвиди ризикот од PEB, кај ОАТ и антитромботична терапија, </w:t>
      </w:r>
      <w:r w:rsidR="006934F2" w:rsidRPr="00215667">
        <w:rPr>
          <w:rFonts w:ascii="Times New Roman" w:hAnsi="Times New Roman" w:cs="Times New Roman"/>
          <w:sz w:val="24"/>
          <w:szCs w:val="24"/>
        </w:rPr>
        <w:t xml:space="preserve">е </w:t>
      </w:r>
      <w:r w:rsidRPr="00215667">
        <w:rPr>
          <w:rFonts w:ascii="Times New Roman" w:hAnsi="Times New Roman" w:cs="Times New Roman"/>
          <w:sz w:val="24"/>
          <w:szCs w:val="24"/>
        </w:rPr>
        <w:t xml:space="preserve">предложен модел за способност на ,,процена на ризик од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vertAlign w:val="superscript"/>
        </w:rPr>
        <w:t xml:space="preserve"> </w:t>
      </w:r>
      <w:r w:rsidRPr="00215667">
        <w:rPr>
          <w:rFonts w:ascii="Times New Roman" w:hAnsi="Times New Roman" w:cs="Times New Roman"/>
          <w:sz w:val="24"/>
          <w:szCs w:val="24"/>
        </w:rPr>
        <w:t>HAS-BLED score</w:t>
      </w:r>
      <w:r w:rsidR="006934F2">
        <w:rPr>
          <w:rFonts w:ascii="Times New Roman" w:hAnsi="Times New Roman" w:cs="Times New Roman"/>
          <w:sz w:val="24"/>
          <w:szCs w:val="24"/>
          <w:vertAlign w:val="superscript"/>
        </w:rPr>
        <w:t xml:space="preserve">“ </w:t>
      </w:r>
      <w:r w:rsidR="006934F2" w:rsidRPr="00215667">
        <w:rPr>
          <w:rFonts w:ascii="Times New Roman" w:hAnsi="Times New Roman" w:cs="Times New Roman"/>
          <w:sz w:val="24"/>
          <w:szCs w:val="24"/>
        </w:rPr>
        <w:t>(</w:t>
      </w:r>
      <w:r w:rsidR="006934F2">
        <w:rPr>
          <w:rFonts w:ascii="Times New Roman" w:hAnsi="Times New Roman" w:cs="Times New Roman"/>
          <w:sz w:val="24"/>
          <w:szCs w:val="24"/>
        </w:rPr>
        <w:t>слика бр</w:t>
      </w:r>
      <w:r w:rsidR="00F00F01">
        <w:rPr>
          <w:rFonts w:ascii="Times New Roman" w:hAnsi="Times New Roman" w:cs="Times New Roman"/>
          <w:sz w:val="24"/>
          <w:szCs w:val="24"/>
        </w:rPr>
        <w:t>.</w:t>
      </w:r>
      <w:r w:rsidR="006934F2">
        <w:rPr>
          <w:rFonts w:ascii="Times New Roman" w:hAnsi="Times New Roman" w:cs="Times New Roman"/>
          <w:sz w:val="24"/>
          <w:szCs w:val="24"/>
        </w:rPr>
        <w:t xml:space="preserve"> 5)</w:t>
      </w:r>
      <w:r w:rsidRPr="00215667">
        <w:rPr>
          <w:rFonts w:ascii="Times New Roman" w:hAnsi="Times New Roman" w:cs="Times New Roman"/>
          <w:sz w:val="24"/>
          <w:szCs w:val="24"/>
        </w:rPr>
        <w:t>.</w:t>
      </w:r>
      <w:r w:rsidRPr="00215667">
        <w:rPr>
          <w:rFonts w:ascii="Times New Roman" w:hAnsi="Times New Roman" w:cs="Times New Roman"/>
          <w:sz w:val="24"/>
          <w:szCs w:val="24"/>
          <w:vertAlign w:val="superscript"/>
        </w:rPr>
        <w:t>86, 87</w:t>
      </w:r>
      <w:r w:rsidRPr="00215667">
        <w:rPr>
          <w:rFonts w:ascii="Times New Roman" w:hAnsi="Times New Roman" w:cs="Times New Roman"/>
          <w:sz w:val="24"/>
          <w:szCs w:val="24"/>
        </w:rPr>
        <w:t xml:space="preserve"> Оп</w:t>
      </w:r>
      <w:r w:rsidR="006934F2">
        <w:rPr>
          <w:rFonts w:ascii="Times New Roman" w:hAnsi="Times New Roman" w:cs="Times New Roman"/>
          <w:sz w:val="24"/>
          <w:szCs w:val="24"/>
        </w:rPr>
        <w:t>ределувањето на ризикот од пост</w:t>
      </w:r>
      <w:r w:rsidRPr="00215667">
        <w:rPr>
          <w:rFonts w:ascii="Times New Roman" w:hAnsi="Times New Roman" w:cs="Times New Roman"/>
          <w:sz w:val="24"/>
          <w:szCs w:val="24"/>
        </w:rPr>
        <w:t xml:space="preserve">екстракционо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HAS-BLED, кај пациенти кои примаат антикоагулантна терапија пред операцијата, во многу студии се покажал дека е </w:t>
      </w:r>
      <w:r w:rsidR="006934F2">
        <w:rPr>
          <w:rFonts w:ascii="Times New Roman" w:hAnsi="Times New Roman" w:cs="Times New Roman"/>
          <w:sz w:val="24"/>
          <w:szCs w:val="24"/>
        </w:rPr>
        <w:t>корисен за предвидување на пост</w:t>
      </w:r>
      <w:r w:rsidRPr="00215667">
        <w:rPr>
          <w:rFonts w:ascii="Times New Roman" w:hAnsi="Times New Roman" w:cs="Times New Roman"/>
          <w:sz w:val="24"/>
          <w:szCs w:val="24"/>
        </w:rPr>
        <w:t xml:space="preserve">екстракционото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w:t>
      </w:r>
      <w:r w:rsidRPr="00215667">
        <w:rPr>
          <w:rFonts w:ascii="Times New Roman" w:hAnsi="Times New Roman" w:cs="Times New Roman"/>
          <w:sz w:val="24"/>
          <w:szCs w:val="24"/>
          <w:vertAlign w:val="superscript"/>
        </w:rPr>
        <w:t xml:space="preserve">88 </w:t>
      </w:r>
      <w:r w:rsidRPr="00215667">
        <w:rPr>
          <w:rFonts w:ascii="Times New Roman" w:hAnsi="Times New Roman" w:cs="Times New Roman"/>
          <w:sz w:val="24"/>
          <w:szCs w:val="24"/>
        </w:rPr>
        <w:t xml:space="preserve">Просечниот резултат HAS-BLED во антикоагулантната група (DOAC и VKA и НСАИД) биле 2 (IQR 1-2), што потврдило дека резултатите од HAS-BLED биле значително поврзани со ризикот од постекстракционо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(OR(95</w:t>
      </w:r>
      <w:r w:rsidR="006934F2">
        <w:rPr>
          <w:rFonts w:ascii="Times New Roman" w:hAnsi="Times New Roman" w:cs="Times New Roman"/>
          <w:sz w:val="24"/>
          <w:szCs w:val="24"/>
        </w:rPr>
        <w:t xml:space="preserve"> </w:t>
      </w:r>
      <w:r w:rsidRPr="00215667">
        <w:rPr>
          <w:rFonts w:ascii="Times New Roman" w:hAnsi="Times New Roman" w:cs="Times New Roman"/>
          <w:sz w:val="24"/>
          <w:szCs w:val="24"/>
        </w:rPr>
        <w:t>% CIs) 2,93 (1,05 до 8,12),; p</w:t>
      </w:r>
      <w:r w:rsidR="006934F2">
        <w:rPr>
          <w:rFonts w:ascii="Times New Roman" w:hAnsi="Times New Roman" w:cs="Times New Roman"/>
          <w:sz w:val="24"/>
          <w:szCs w:val="24"/>
        </w:rPr>
        <w:t xml:space="preserve"> </w:t>
      </w:r>
      <w:r w:rsidRPr="00215667">
        <w:rPr>
          <w:rFonts w:ascii="Times New Roman" w:hAnsi="Times New Roman" w:cs="Times New Roman"/>
          <w:sz w:val="24"/>
          <w:szCs w:val="24"/>
        </w:rPr>
        <w:t>=</w:t>
      </w:r>
      <w:r w:rsidR="006934F2">
        <w:rPr>
          <w:rFonts w:ascii="Times New Roman" w:hAnsi="Times New Roman" w:cs="Times New Roman"/>
          <w:sz w:val="24"/>
          <w:szCs w:val="24"/>
        </w:rPr>
        <w:t xml:space="preserve"> </w:t>
      </w:r>
      <w:r w:rsidRPr="00215667">
        <w:rPr>
          <w:rFonts w:ascii="Times New Roman" w:hAnsi="Times New Roman" w:cs="Times New Roman"/>
          <w:sz w:val="24"/>
          <w:szCs w:val="24"/>
        </w:rPr>
        <w:t>0,03, p</w:t>
      </w:r>
      <w:r w:rsidR="006934F2">
        <w:rPr>
          <w:rFonts w:ascii="Times New Roman" w:hAnsi="Times New Roman" w:cs="Times New Roman"/>
          <w:sz w:val="24"/>
          <w:szCs w:val="24"/>
        </w:rPr>
        <w:t xml:space="preserve"> </w:t>
      </w:r>
      <w:r w:rsidRPr="00215667">
        <w:rPr>
          <w:rFonts w:ascii="Times New Roman" w:hAnsi="Times New Roman" w:cs="Times New Roman"/>
          <w:sz w:val="24"/>
          <w:szCs w:val="24"/>
        </w:rPr>
        <w:t>&lt;</w:t>
      </w:r>
      <w:r w:rsidR="006934F2">
        <w:rPr>
          <w:rFonts w:ascii="Times New Roman" w:hAnsi="Times New Roman" w:cs="Times New Roman"/>
          <w:sz w:val="24"/>
          <w:szCs w:val="24"/>
        </w:rPr>
        <w:t xml:space="preserve"> </w:t>
      </w:r>
      <w:r w:rsidRPr="00215667">
        <w:rPr>
          <w:rFonts w:ascii="Times New Roman" w:hAnsi="Times New Roman" w:cs="Times New Roman"/>
          <w:sz w:val="24"/>
          <w:szCs w:val="24"/>
        </w:rPr>
        <w:t>0,001 и p</w:t>
      </w:r>
      <w:r w:rsidR="006934F2">
        <w:rPr>
          <w:rFonts w:ascii="Times New Roman" w:hAnsi="Times New Roman" w:cs="Times New Roman"/>
          <w:sz w:val="24"/>
          <w:szCs w:val="24"/>
        </w:rPr>
        <w:t xml:space="preserve"> </w:t>
      </w:r>
      <w:r w:rsidRPr="00215667">
        <w:rPr>
          <w:rFonts w:ascii="Times New Roman" w:hAnsi="Times New Roman" w:cs="Times New Roman"/>
          <w:sz w:val="24"/>
          <w:szCs w:val="24"/>
        </w:rPr>
        <w:t>=</w:t>
      </w:r>
      <w:r w:rsidR="006934F2">
        <w:rPr>
          <w:rFonts w:ascii="Times New Roman" w:hAnsi="Times New Roman" w:cs="Times New Roman"/>
          <w:sz w:val="24"/>
          <w:szCs w:val="24"/>
        </w:rPr>
        <w:t xml:space="preserve"> </w:t>
      </w:r>
      <w:r w:rsidRPr="00215667">
        <w:rPr>
          <w:rFonts w:ascii="Times New Roman" w:hAnsi="Times New Roman" w:cs="Times New Roman"/>
          <w:sz w:val="24"/>
          <w:szCs w:val="24"/>
        </w:rPr>
        <w:t>0,03, соодветно).</w:t>
      </w:r>
      <w:r w:rsidRPr="00215667">
        <w:rPr>
          <w:rFonts w:ascii="Times New Roman" w:hAnsi="Times New Roman" w:cs="Times New Roman"/>
          <w:sz w:val="24"/>
          <w:szCs w:val="24"/>
          <w:vertAlign w:val="superscript"/>
        </w:rPr>
        <w:t>89</w:t>
      </w:r>
      <w:r w:rsidRPr="00215667">
        <w:rPr>
          <w:rFonts w:ascii="Times New Roman" w:hAnsi="Times New Roman" w:cs="Times New Roman"/>
          <w:sz w:val="24"/>
          <w:szCs w:val="24"/>
        </w:rPr>
        <w:t xml:space="preserve"> Врз основа на метаанализи на м</w:t>
      </w:r>
      <w:r w:rsidR="006934F2">
        <w:rPr>
          <w:rFonts w:ascii="Times New Roman" w:hAnsi="Times New Roman" w:cs="Times New Roman"/>
          <w:sz w:val="24"/>
          <w:szCs w:val="24"/>
        </w:rPr>
        <w:t xml:space="preserve">ногу студии, оптималните пресеци </w:t>
      </w:r>
      <w:r w:rsidRPr="00215667">
        <w:rPr>
          <w:rFonts w:ascii="Times New Roman" w:hAnsi="Times New Roman" w:cs="Times New Roman"/>
          <w:sz w:val="24"/>
          <w:szCs w:val="24"/>
        </w:rPr>
        <w:t>на вредн</w:t>
      </w:r>
      <w:r w:rsidR="006934F2">
        <w:rPr>
          <w:rFonts w:ascii="Times New Roman" w:hAnsi="Times New Roman" w:cs="Times New Roman"/>
          <w:sz w:val="24"/>
          <w:szCs w:val="24"/>
        </w:rPr>
        <w:t>ости за HAS-BLED е 2,</w:t>
      </w:r>
      <w:r w:rsidRPr="00215667">
        <w:rPr>
          <w:rFonts w:ascii="Times New Roman" w:hAnsi="Times New Roman" w:cs="Times New Roman"/>
          <w:sz w:val="24"/>
          <w:szCs w:val="24"/>
        </w:rPr>
        <w:t>5.</w:t>
      </w:r>
      <w:r w:rsidRPr="00215667">
        <w:rPr>
          <w:rFonts w:ascii="Times New Roman" w:hAnsi="Times New Roman" w:cs="Times New Roman"/>
          <w:sz w:val="24"/>
          <w:szCs w:val="24"/>
          <w:vertAlign w:val="superscript"/>
        </w:rPr>
        <w:t>90,91,92,93</w:t>
      </w:r>
    </w:p>
    <w:p w14:paraId="77F81611" w14:textId="40046A3C" w:rsidR="00215667" w:rsidRDefault="00412474" w:rsidP="00D35942">
      <w:pPr>
        <w:spacing w:after="0" w:line="360" w:lineRule="auto"/>
        <w:ind w:firstLine="720"/>
        <w:jc w:val="both"/>
        <w:rPr>
          <w:rFonts w:ascii="Times New Roman" w:hAnsi="Times New Roman" w:cs="Times New Roman"/>
          <w:b/>
          <w:color w:val="FF0000"/>
          <w:sz w:val="24"/>
          <w:szCs w:val="24"/>
        </w:rPr>
      </w:pPr>
      <w:r w:rsidRPr="00215667">
        <w:rPr>
          <w:rFonts w:ascii="Times New Roman" w:hAnsi="Times New Roman" w:cs="Times New Roman"/>
          <w:sz w:val="24"/>
          <w:szCs w:val="24"/>
        </w:rPr>
        <w:t>Според долгогодишното искуство со справување на PEB речиси сите клиничари, од релевантни болнички установи, се сложиле со фактот дека со помалку или повеќе користени методи на механичка компресија и медикаментозна локална апликација во оперативното поле, може безбедно да се постигне хемостазата (со или без прекин на ОАТ).</w:t>
      </w:r>
      <w:r w:rsidRPr="00215667">
        <w:rPr>
          <w:rFonts w:ascii="Times New Roman" w:hAnsi="Times New Roman" w:cs="Times New Roman"/>
          <w:sz w:val="24"/>
          <w:szCs w:val="24"/>
          <w:vertAlign w:val="superscript"/>
        </w:rPr>
        <w:t>94,</w:t>
      </w:r>
      <w:r w:rsidR="006934F2">
        <w:rPr>
          <w:rFonts w:ascii="Times New Roman" w:hAnsi="Times New Roman" w:cs="Times New Roman"/>
          <w:sz w:val="24"/>
          <w:szCs w:val="24"/>
          <w:vertAlign w:val="superscript"/>
        </w:rPr>
        <w:t xml:space="preserve"> </w:t>
      </w:r>
      <w:r w:rsidRPr="00215667">
        <w:rPr>
          <w:rFonts w:ascii="Times New Roman" w:hAnsi="Times New Roman" w:cs="Times New Roman"/>
          <w:sz w:val="24"/>
          <w:szCs w:val="24"/>
          <w:vertAlign w:val="superscript"/>
        </w:rPr>
        <w:t>95</w:t>
      </w:r>
      <w:r w:rsidR="006934F2">
        <w:rPr>
          <w:rFonts w:ascii="Times New Roman" w:hAnsi="Times New Roman" w:cs="Times New Roman"/>
          <w:sz w:val="24"/>
          <w:szCs w:val="24"/>
          <w:vertAlign w:val="superscript"/>
        </w:rPr>
        <w:t>,</w:t>
      </w:r>
      <w:r w:rsidRPr="00215667">
        <w:rPr>
          <w:rFonts w:ascii="Times New Roman" w:hAnsi="Times New Roman" w:cs="Times New Roman"/>
          <w:sz w:val="24"/>
          <w:szCs w:val="24"/>
          <w:vertAlign w:val="superscript"/>
        </w:rPr>
        <w:t xml:space="preserve"> 96</w:t>
      </w:r>
      <w:r w:rsidR="006934F2">
        <w:rPr>
          <w:rFonts w:ascii="Times New Roman" w:hAnsi="Times New Roman" w:cs="Times New Roman"/>
          <w:sz w:val="24"/>
          <w:szCs w:val="24"/>
        </w:rPr>
        <w:t xml:space="preserve"> </w:t>
      </w:r>
      <w:r w:rsidRPr="00215667">
        <w:rPr>
          <w:rFonts w:ascii="Times New Roman" w:hAnsi="Times New Roman" w:cs="Times New Roman"/>
          <w:sz w:val="24"/>
          <w:szCs w:val="24"/>
        </w:rPr>
        <w:t>Со соодветна предоперативна припрема на пациентите и а</w:t>
      </w:r>
      <w:r w:rsidR="006934F2">
        <w:rPr>
          <w:rFonts w:ascii="Times New Roman" w:hAnsi="Times New Roman" w:cs="Times New Roman"/>
          <w:sz w:val="24"/>
          <w:szCs w:val="24"/>
        </w:rPr>
        <w:t>ж</w:t>
      </w:r>
      <w:r w:rsidRPr="00215667">
        <w:rPr>
          <w:rFonts w:ascii="Times New Roman" w:hAnsi="Times New Roman" w:cs="Times New Roman"/>
          <w:sz w:val="24"/>
          <w:szCs w:val="24"/>
        </w:rPr>
        <w:t>урирање на главните предиктори, крвавењ</w:t>
      </w:r>
      <w:r w:rsidR="006934F2">
        <w:rPr>
          <w:rFonts w:ascii="Times New Roman" w:hAnsi="Times New Roman" w:cs="Times New Roman"/>
          <w:sz w:val="24"/>
          <w:szCs w:val="24"/>
        </w:rPr>
        <w:t>ата</w:t>
      </w:r>
      <w:r w:rsidRPr="00215667">
        <w:rPr>
          <w:rFonts w:ascii="Times New Roman" w:hAnsi="Times New Roman" w:cs="Times New Roman"/>
          <w:sz w:val="24"/>
          <w:szCs w:val="24"/>
        </w:rPr>
        <w:t xml:space="preserve"> кај 91,7</w:t>
      </w:r>
      <w:r w:rsidR="006934F2">
        <w:rPr>
          <w:rFonts w:ascii="Times New Roman" w:hAnsi="Times New Roman" w:cs="Times New Roman"/>
          <w:sz w:val="24"/>
          <w:szCs w:val="24"/>
        </w:rPr>
        <w:t xml:space="preserve"> </w:t>
      </w:r>
      <w:r w:rsidRPr="00215667">
        <w:rPr>
          <w:rFonts w:ascii="Times New Roman" w:hAnsi="Times New Roman" w:cs="Times New Roman"/>
          <w:sz w:val="24"/>
          <w:szCs w:val="24"/>
        </w:rPr>
        <w:t>% од пациентите</w:t>
      </w:r>
      <w:r w:rsidR="006934F2">
        <w:rPr>
          <w:rFonts w:ascii="Times New Roman" w:hAnsi="Times New Roman" w:cs="Times New Roman"/>
          <w:sz w:val="24"/>
          <w:szCs w:val="24"/>
        </w:rPr>
        <w:t xml:space="preserve"> </w:t>
      </w:r>
      <w:r w:rsidRPr="00215667">
        <w:rPr>
          <w:rFonts w:ascii="Times New Roman" w:hAnsi="Times New Roman" w:cs="Times New Roman"/>
          <w:sz w:val="24"/>
          <w:szCs w:val="24"/>
        </w:rPr>
        <w:t xml:space="preserve">се со слаб интензитет и можат да се контролираат со примена на притисок на местото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со газа. Кај останатите 8,3</w:t>
      </w:r>
      <w:r w:rsidR="006934F2">
        <w:rPr>
          <w:rFonts w:ascii="Times New Roman" w:hAnsi="Times New Roman" w:cs="Times New Roman"/>
          <w:sz w:val="24"/>
          <w:szCs w:val="24"/>
        </w:rPr>
        <w:t xml:space="preserve"> </w:t>
      </w:r>
      <w:r w:rsidRPr="00215667">
        <w:rPr>
          <w:rFonts w:ascii="Times New Roman" w:hAnsi="Times New Roman" w:cs="Times New Roman"/>
          <w:sz w:val="24"/>
          <w:szCs w:val="24"/>
        </w:rPr>
        <w:t xml:space="preserve">% се изведува приближување на рабовите на раната, сутурирање на раната (со ресорптивен конец) и локална топична апликација на </w:t>
      </w:r>
      <w:r w:rsidR="006934F2">
        <w:rPr>
          <w:rFonts w:ascii="Times New Roman" w:hAnsi="Times New Roman" w:cs="Times New Roman"/>
          <w:sz w:val="24"/>
          <w:szCs w:val="24"/>
        </w:rPr>
        <w:t>т</w:t>
      </w:r>
      <w:r w:rsidR="006934F2" w:rsidRPr="00215667">
        <w:rPr>
          <w:rFonts w:ascii="Times New Roman" w:hAnsi="Times New Roman" w:cs="Times New Roman"/>
          <w:sz w:val="24"/>
          <w:szCs w:val="24"/>
        </w:rPr>
        <w:t>ранекс</w:t>
      </w:r>
      <w:r w:rsidR="006934F2">
        <w:rPr>
          <w:rFonts w:ascii="Times New Roman" w:hAnsi="Times New Roman" w:cs="Times New Roman"/>
          <w:sz w:val="24"/>
          <w:szCs w:val="24"/>
        </w:rPr>
        <w:t>а</w:t>
      </w:r>
      <w:r w:rsidR="006934F2" w:rsidRPr="00215667">
        <w:rPr>
          <w:rFonts w:ascii="Times New Roman" w:hAnsi="Times New Roman" w:cs="Times New Roman"/>
          <w:sz w:val="24"/>
          <w:szCs w:val="24"/>
        </w:rPr>
        <w:t xml:space="preserve">мична </w:t>
      </w:r>
      <w:r w:rsidRPr="00215667">
        <w:rPr>
          <w:rFonts w:ascii="Times New Roman" w:hAnsi="Times New Roman" w:cs="Times New Roman"/>
          <w:sz w:val="24"/>
          <w:szCs w:val="24"/>
        </w:rPr>
        <w:t>киселина на газа која се гризнува во траење од 20</w:t>
      </w:r>
      <w:r w:rsidR="006934F2">
        <w:rPr>
          <w:rFonts w:ascii="Times New Roman" w:hAnsi="Times New Roman" w:cs="Times New Roman"/>
          <w:sz w:val="24"/>
          <w:szCs w:val="24"/>
        </w:rPr>
        <w:t xml:space="preserve"> до </w:t>
      </w:r>
      <w:r w:rsidRPr="00215667">
        <w:rPr>
          <w:rFonts w:ascii="Times New Roman" w:hAnsi="Times New Roman" w:cs="Times New Roman"/>
          <w:sz w:val="24"/>
          <w:szCs w:val="24"/>
        </w:rPr>
        <w:t>30</w:t>
      </w:r>
      <w:r w:rsidR="006934F2">
        <w:rPr>
          <w:rFonts w:ascii="Times New Roman" w:hAnsi="Times New Roman" w:cs="Times New Roman"/>
          <w:sz w:val="24"/>
          <w:szCs w:val="24"/>
        </w:rPr>
        <w:t xml:space="preserve"> </w:t>
      </w:r>
      <w:r w:rsidRPr="00215667">
        <w:rPr>
          <w:rFonts w:ascii="Times New Roman" w:hAnsi="Times New Roman" w:cs="Times New Roman"/>
          <w:sz w:val="24"/>
          <w:szCs w:val="24"/>
        </w:rPr>
        <w:t>мин.</w:t>
      </w:r>
      <w:r w:rsidRPr="00215667">
        <w:rPr>
          <w:rFonts w:ascii="Times New Roman" w:hAnsi="Times New Roman" w:cs="Times New Roman"/>
          <w:sz w:val="24"/>
          <w:szCs w:val="24"/>
          <w:vertAlign w:val="superscript"/>
        </w:rPr>
        <w:t>97</w:t>
      </w:r>
      <w:r w:rsidRPr="00215667">
        <w:rPr>
          <w:rFonts w:ascii="Times New Roman" w:hAnsi="Times New Roman" w:cs="Times New Roman"/>
          <w:color w:val="FF0000"/>
          <w:sz w:val="24"/>
          <w:szCs w:val="24"/>
          <w:vertAlign w:val="superscript"/>
        </w:rPr>
        <w:t>.</w:t>
      </w:r>
      <w:r w:rsidRPr="00215667">
        <w:rPr>
          <w:rFonts w:ascii="Times New Roman" w:hAnsi="Times New Roman" w:cs="Times New Roman"/>
          <w:sz w:val="24"/>
          <w:szCs w:val="24"/>
        </w:rPr>
        <w:t>Во случаи кога е ледиран поголем крвен сад, н</w:t>
      </w:r>
      <w:r w:rsidR="00711686">
        <w:rPr>
          <w:rFonts w:ascii="Times New Roman" w:hAnsi="Times New Roman" w:cs="Times New Roman"/>
          <w:sz w:val="24"/>
          <w:szCs w:val="24"/>
        </w:rPr>
        <w:t xml:space="preserve">ема можност да се формира тромб, </w:t>
      </w:r>
      <w:r w:rsidRPr="00215667">
        <w:rPr>
          <w:rFonts w:ascii="Times New Roman" w:hAnsi="Times New Roman" w:cs="Times New Roman"/>
          <w:sz w:val="24"/>
          <w:szCs w:val="24"/>
        </w:rPr>
        <w:t xml:space="preserve">е </w:t>
      </w:r>
      <w:r w:rsidR="00711686">
        <w:rPr>
          <w:rFonts w:ascii="Times New Roman" w:hAnsi="Times New Roman" w:cs="Times New Roman"/>
          <w:sz w:val="24"/>
          <w:szCs w:val="24"/>
        </w:rPr>
        <w:t>индицирана електрокаутеризација</w:t>
      </w:r>
      <w:r w:rsidRPr="00215667">
        <w:rPr>
          <w:rFonts w:ascii="Times New Roman" w:hAnsi="Times New Roman" w:cs="Times New Roman"/>
          <w:sz w:val="24"/>
          <w:szCs w:val="24"/>
        </w:rPr>
        <w:t xml:space="preserve">. Сургицел и многу ретко коскениот восок, се користат за тампонада, во случаите на коскено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но употребата на коскен восок треба да се сведе на минимум, бидејќи восокот не се ресорбира, симулира туѓо тело и може да предизвика воспалителен одговор и инфекција.</w:t>
      </w:r>
      <w:r w:rsidRPr="00215667">
        <w:rPr>
          <w:rFonts w:ascii="Times New Roman" w:hAnsi="Times New Roman" w:cs="Times New Roman"/>
          <w:sz w:val="24"/>
          <w:szCs w:val="24"/>
          <w:vertAlign w:val="superscript"/>
        </w:rPr>
        <w:t xml:space="preserve">98 </w:t>
      </w:r>
      <w:r w:rsidRPr="00215667">
        <w:rPr>
          <w:rFonts w:ascii="Times New Roman" w:hAnsi="Times New Roman" w:cs="Times New Roman"/>
          <w:sz w:val="24"/>
          <w:szCs w:val="24"/>
        </w:rPr>
        <w:t>Доколку крвав</w:t>
      </w:r>
      <w:r w:rsidR="00711686">
        <w:rPr>
          <w:rFonts w:ascii="Times New Roman" w:hAnsi="Times New Roman" w:cs="Times New Roman"/>
          <w:sz w:val="24"/>
          <w:szCs w:val="24"/>
        </w:rPr>
        <w:t>ењето е силно и значајно и по</w:t>
      </w:r>
      <w:r w:rsidRPr="00215667">
        <w:rPr>
          <w:rFonts w:ascii="Times New Roman" w:hAnsi="Times New Roman" w:cs="Times New Roman"/>
          <w:sz w:val="24"/>
          <w:szCs w:val="24"/>
        </w:rPr>
        <w:t xml:space="preserve"> 12</w:t>
      </w:r>
      <w:r w:rsidR="00711686">
        <w:rPr>
          <w:rFonts w:ascii="Times New Roman" w:hAnsi="Times New Roman" w:cs="Times New Roman"/>
          <w:sz w:val="24"/>
          <w:szCs w:val="24"/>
        </w:rPr>
        <w:t xml:space="preserve"> </w:t>
      </w:r>
      <w:r w:rsidRPr="00215667">
        <w:rPr>
          <w:rFonts w:ascii="Times New Roman" w:hAnsi="Times New Roman" w:cs="Times New Roman"/>
          <w:sz w:val="24"/>
          <w:szCs w:val="24"/>
        </w:rPr>
        <w:t>ч</w:t>
      </w:r>
      <w:r w:rsidR="00711686">
        <w:rPr>
          <w:rFonts w:ascii="Times New Roman" w:hAnsi="Times New Roman" w:cs="Times New Roman"/>
          <w:sz w:val="24"/>
          <w:szCs w:val="24"/>
        </w:rPr>
        <w:t>аса</w:t>
      </w:r>
      <w:r w:rsidRPr="00215667">
        <w:rPr>
          <w:rFonts w:ascii="Times New Roman" w:hAnsi="Times New Roman" w:cs="Times New Roman"/>
          <w:sz w:val="24"/>
          <w:szCs w:val="24"/>
        </w:rPr>
        <w:t xml:space="preserve"> од операција</w:t>
      </w:r>
      <w:r w:rsidR="00711686">
        <w:rPr>
          <w:rFonts w:ascii="Times New Roman" w:hAnsi="Times New Roman" w:cs="Times New Roman"/>
          <w:sz w:val="24"/>
          <w:szCs w:val="24"/>
        </w:rPr>
        <w:t>та</w:t>
      </w:r>
      <w:r w:rsidRPr="00215667">
        <w:rPr>
          <w:rFonts w:ascii="Times New Roman" w:hAnsi="Times New Roman" w:cs="Times New Roman"/>
          <w:sz w:val="24"/>
          <w:szCs w:val="24"/>
        </w:rPr>
        <w:t xml:space="preserve">, пациентот се јавува кај орален и </w:t>
      </w:r>
      <w:r w:rsidRPr="00215667">
        <w:rPr>
          <w:rFonts w:ascii="Times New Roman" w:hAnsi="Times New Roman" w:cs="Times New Roman"/>
          <w:sz w:val="24"/>
          <w:szCs w:val="24"/>
        </w:rPr>
        <w:lastRenderedPageBreak/>
        <w:t>максилофацијален хирург. На преглед обично раната е исполнета со голем и растресит хематом и околни ехимотични жаришта, во тој случај, прво се прави ревизија на раната (се отстранува хематомот), доколку е потреб</w:t>
      </w:r>
      <w:r w:rsidR="00711686">
        <w:rPr>
          <w:rFonts w:ascii="Times New Roman" w:hAnsi="Times New Roman" w:cs="Times New Roman"/>
          <w:sz w:val="24"/>
          <w:szCs w:val="24"/>
        </w:rPr>
        <w:t>н</w:t>
      </w:r>
      <w:r w:rsidRPr="00215667">
        <w:rPr>
          <w:rFonts w:ascii="Times New Roman" w:hAnsi="Times New Roman" w:cs="Times New Roman"/>
          <w:sz w:val="24"/>
          <w:szCs w:val="24"/>
        </w:rPr>
        <w:t xml:space="preserve">о се изведува електрокаутеризација, раната се ресутурира и локално се аплицира </w:t>
      </w:r>
      <w:r w:rsidR="00F00F01">
        <w:rPr>
          <w:rFonts w:ascii="Times New Roman" w:hAnsi="Times New Roman" w:cs="Times New Roman"/>
          <w:sz w:val="24"/>
          <w:szCs w:val="24"/>
        </w:rPr>
        <w:t>транексамична</w:t>
      </w:r>
      <w:r w:rsidRPr="00215667">
        <w:rPr>
          <w:rFonts w:ascii="Times New Roman" w:hAnsi="Times New Roman" w:cs="Times New Roman"/>
          <w:sz w:val="24"/>
          <w:szCs w:val="24"/>
        </w:rPr>
        <w:t xml:space="preserve"> киселина на газа под притисок.</w:t>
      </w:r>
      <w:r w:rsidRPr="00215667">
        <w:rPr>
          <w:rFonts w:ascii="Times New Roman" w:hAnsi="Times New Roman" w:cs="Times New Roman"/>
          <w:sz w:val="24"/>
          <w:szCs w:val="24"/>
          <w:vertAlign w:val="superscript"/>
        </w:rPr>
        <w:t>99,</w:t>
      </w:r>
      <w:r w:rsidR="00711686">
        <w:rPr>
          <w:rFonts w:ascii="Times New Roman" w:hAnsi="Times New Roman" w:cs="Times New Roman"/>
          <w:sz w:val="24"/>
          <w:szCs w:val="24"/>
          <w:vertAlign w:val="superscript"/>
        </w:rPr>
        <w:t xml:space="preserve"> </w:t>
      </w:r>
      <w:r w:rsidRPr="00215667">
        <w:rPr>
          <w:rFonts w:ascii="Times New Roman" w:hAnsi="Times New Roman" w:cs="Times New Roman"/>
          <w:sz w:val="24"/>
          <w:szCs w:val="24"/>
          <w:vertAlign w:val="superscript"/>
        </w:rPr>
        <w:t>100</w:t>
      </w:r>
      <w:r w:rsidRPr="00215667">
        <w:rPr>
          <w:rFonts w:ascii="Times New Roman" w:hAnsi="Times New Roman" w:cs="Times New Roman"/>
          <w:b/>
          <w:color w:val="FF0000"/>
          <w:sz w:val="24"/>
          <w:szCs w:val="24"/>
        </w:rPr>
        <w:t xml:space="preserve">  </w:t>
      </w:r>
    </w:p>
    <w:p w14:paraId="075057A7" w14:textId="77777777" w:rsidR="00711686" w:rsidRDefault="00711686" w:rsidP="00D35942">
      <w:pPr>
        <w:pStyle w:val="NoSpacing"/>
        <w:spacing w:line="360" w:lineRule="auto"/>
        <w:ind w:firstLine="720"/>
        <w:rPr>
          <w:rFonts w:ascii="Times New Roman" w:hAnsi="Times New Roman" w:cs="Times New Roman"/>
          <w:b/>
          <w:bCs/>
          <w:color w:val="000000" w:themeColor="text1"/>
          <w:sz w:val="24"/>
          <w:szCs w:val="24"/>
        </w:rPr>
      </w:pPr>
    </w:p>
    <w:p w14:paraId="170CF5C7" w14:textId="00592BF5" w:rsidR="00412474" w:rsidRDefault="00412474" w:rsidP="00D35942">
      <w:pPr>
        <w:pStyle w:val="NoSpacing"/>
        <w:spacing w:line="360" w:lineRule="auto"/>
        <w:ind w:firstLine="720"/>
        <w:rPr>
          <w:rFonts w:ascii="Times New Roman" w:hAnsi="Times New Roman" w:cs="Times New Roman"/>
          <w:b/>
          <w:bCs/>
          <w:color w:val="000000" w:themeColor="text1"/>
          <w:sz w:val="24"/>
          <w:szCs w:val="24"/>
        </w:rPr>
      </w:pPr>
      <w:r w:rsidRPr="00215667">
        <w:rPr>
          <w:rFonts w:ascii="Times New Roman" w:hAnsi="Times New Roman" w:cs="Times New Roman"/>
          <w:b/>
          <w:bCs/>
          <w:color w:val="000000" w:themeColor="text1"/>
          <w:sz w:val="24"/>
          <w:szCs w:val="24"/>
        </w:rPr>
        <w:t>Идеја за предмет на докторското истражување</w:t>
      </w:r>
    </w:p>
    <w:p w14:paraId="673D9202" w14:textId="0C58A503" w:rsidR="00412474" w:rsidRPr="00215667" w:rsidRDefault="00412474" w:rsidP="00D35942">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Идејата за ова докторско истражување потекнува од честата инциденца на периоперативно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во секојдневната</w:t>
      </w:r>
      <w:r w:rsidR="00711686">
        <w:rPr>
          <w:rFonts w:ascii="Times New Roman" w:hAnsi="Times New Roman" w:cs="Times New Roman"/>
          <w:sz w:val="24"/>
          <w:szCs w:val="24"/>
        </w:rPr>
        <w:t xml:space="preserve"> </w:t>
      </w:r>
      <w:r w:rsidRPr="00215667">
        <w:rPr>
          <w:rFonts w:ascii="Times New Roman" w:hAnsi="Times New Roman" w:cs="Times New Roman"/>
          <w:sz w:val="24"/>
          <w:szCs w:val="24"/>
        </w:rPr>
        <w:t>дентална прак</w:t>
      </w:r>
      <w:r w:rsidR="00711686">
        <w:rPr>
          <w:rFonts w:ascii="Times New Roman" w:hAnsi="Times New Roman" w:cs="Times New Roman"/>
          <w:sz w:val="24"/>
          <w:szCs w:val="24"/>
        </w:rPr>
        <w:t>тик</w:t>
      </w:r>
      <w:r w:rsidRPr="00215667">
        <w:rPr>
          <w:rFonts w:ascii="Times New Roman" w:hAnsi="Times New Roman" w:cs="Times New Roman"/>
          <w:sz w:val="24"/>
          <w:szCs w:val="24"/>
        </w:rPr>
        <w:t xml:space="preserve">a, состојба која предизвикува вознемиреност и страв кај пациентите и лекарите. Најчеста причина за појавата на PEB на нашата клиника се: вродените тромбоцитопатии- тромбоцитната хипоагрегабилност, како и стекнати </w:t>
      </w:r>
      <w:r w:rsidR="00711686">
        <w:rPr>
          <w:rFonts w:ascii="Times New Roman" w:hAnsi="Times New Roman" w:cs="Times New Roman"/>
          <w:sz w:val="24"/>
          <w:szCs w:val="24"/>
        </w:rPr>
        <w:t>нарушувања</w:t>
      </w:r>
      <w:r w:rsidRPr="00215667">
        <w:rPr>
          <w:rFonts w:ascii="Times New Roman" w:hAnsi="Times New Roman" w:cs="Times New Roman"/>
          <w:sz w:val="24"/>
          <w:szCs w:val="24"/>
        </w:rPr>
        <w:t xml:space="preserve"> на хемостазата предизвикана од честата примена на антикоагулансни/ антиагрегациски лекови. Менаџирањето со периоперативното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е сложено и вклучува повеќе методи и стратегии за процена и за обезбедување оптимална грижа за секој пациент посебно, во зависност од патологијата на крвната дискразија. </w:t>
      </w:r>
    </w:p>
    <w:p w14:paraId="401731D7" w14:textId="66051975" w:rsidR="00412474" w:rsidRPr="00215667" w:rsidRDefault="00412474" w:rsidP="00D35942">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Главната идеја е да се анализираат важни </w:t>
      </w:r>
      <w:r w:rsidR="00BC09B5">
        <w:rPr>
          <w:rFonts w:ascii="Times New Roman" w:hAnsi="Times New Roman" w:cs="Times New Roman"/>
          <w:sz w:val="24"/>
          <w:szCs w:val="24"/>
        </w:rPr>
        <w:t>аспекти од досегашните искуства</w:t>
      </w:r>
      <w:r w:rsidRPr="00215667">
        <w:rPr>
          <w:rFonts w:ascii="Times New Roman" w:hAnsi="Times New Roman" w:cs="Times New Roman"/>
          <w:sz w:val="24"/>
          <w:szCs w:val="24"/>
        </w:rPr>
        <w:t xml:space="preserve"> за предоперативната припрема на овие пациенти, да ги евалуираме ризици</w:t>
      </w:r>
      <w:r w:rsidR="00BC09B5">
        <w:rPr>
          <w:rFonts w:ascii="Times New Roman" w:hAnsi="Times New Roman" w:cs="Times New Roman"/>
          <w:sz w:val="24"/>
          <w:szCs w:val="24"/>
        </w:rPr>
        <w:t>те</w:t>
      </w:r>
      <w:r w:rsidRPr="00215667">
        <w:rPr>
          <w:rFonts w:ascii="Times New Roman" w:hAnsi="Times New Roman" w:cs="Times New Roman"/>
          <w:sz w:val="24"/>
          <w:szCs w:val="24"/>
        </w:rPr>
        <w:t xml:space="preserve"> кои го фаворизираат крвавењето и да понудиме упатства за сопирање на крвавење</w:t>
      </w:r>
      <w:r w:rsidR="00BC09B5">
        <w:rPr>
          <w:rFonts w:ascii="Times New Roman" w:hAnsi="Times New Roman" w:cs="Times New Roman"/>
          <w:sz w:val="24"/>
          <w:szCs w:val="24"/>
        </w:rPr>
        <w:t>то</w:t>
      </w:r>
      <w:r w:rsidRPr="00215667">
        <w:rPr>
          <w:rFonts w:ascii="Times New Roman" w:hAnsi="Times New Roman" w:cs="Times New Roman"/>
          <w:sz w:val="24"/>
          <w:szCs w:val="24"/>
        </w:rPr>
        <w:t xml:space="preserve">. </w:t>
      </w:r>
    </w:p>
    <w:p w14:paraId="54DFDA26" w14:textId="21C29E41" w:rsidR="00412474" w:rsidRPr="00215667" w:rsidRDefault="00412474" w:rsidP="00D35942">
      <w:pPr>
        <w:spacing w:line="360" w:lineRule="auto"/>
        <w:ind w:firstLine="720"/>
        <w:jc w:val="both"/>
        <w:rPr>
          <w:rFonts w:ascii="Times New Roman" w:hAnsi="Times New Roman" w:cs="Times New Roman"/>
          <w:sz w:val="24"/>
          <w:szCs w:val="24"/>
        </w:rPr>
      </w:pPr>
      <w:r w:rsidRPr="00215667">
        <w:rPr>
          <w:rFonts w:ascii="Times New Roman" w:hAnsi="Times New Roman" w:cs="Times New Roman"/>
          <w:b/>
          <w:sz w:val="24"/>
          <w:szCs w:val="24"/>
        </w:rPr>
        <w:t>Нулта хипотеза</w:t>
      </w:r>
      <w:r w:rsidRPr="00215667">
        <w:rPr>
          <w:rFonts w:ascii="Times New Roman" w:hAnsi="Times New Roman" w:cs="Times New Roman"/>
          <w:sz w:val="24"/>
          <w:szCs w:val="24"/>
        </w:rPr>
        <w:t>: Соодветното познавање на механизмите кои лежат во основата на хемостазата и оптималното проследување на овие пациенти, се од круци</w:t>
      </w:r>
      <w:r w:rsidR="00BC09B5">
        <w:rPr>
          <w:rFonts w:ascii="Times New Roman" w:hAnsi="Times New Roman" w:cs="Times New Roman"/>
          <w:sz w:val="24"/>
          <w:szCs w:val="24"/>
        </w:rPr>
        <w:t>ј</w:t>
      </w:r>
      <w:r w:rsidRPr="00215667">
        <w:rPr>
          <w:rFonts w:ascii="Times New Roman" w:hAnsi="Times New Roman" w:cs="Times New Roman"/>
          <w:sz w:val="24"/>
          <w:szCs w:val="24"/>
        </w:rPr>
        <w:t xml:space="preserve">ално значење, со цел на сведување на минимум на ризикот од појава на постоперативно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кое често може да биде и животозагрозувачко. </w:t>
      </w:r>
    </w:p>
    <w:p w14:paraId="4026C9E1" w14:textId="1F0FE0B0" w:rsidR="00412474" w:rsidRPr="00215667" w:rsidRDefault="00412474" w:rsidP="00D35942">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Врз основа на прегледот на литературата и минатите истражувања како дел од прелиминарната работа и споредбено</w:t>
      </w:r>
      <w:r w:rsidR="00BC09B5">
        <w:rPr>
          <w:rFonts w:ascii="Times New Roman" w:hAnsi="Times New Roman" w:cs="Times New Roman"/>
          <w:sz w:val="24"/>
          <w:szCs w:val="24"/>
        </w:rPr>
        <w:t>-</w:t>
      </w:r>
      <w:r w:rsidRPr="00215667">
        <w:rPr>
          <w:rFonts w:ascii="Times New Roman" w:hAnsi="Times New Roman" w:cs="Times New Roman"/>
          <w:sz w:val="24"/>
          <w:szCs w:val="24"/>
        </w:rPr>
        <w:t xml:space="preserve">логичната низа на причинско-последичните врски, се утврдува следната </w:t>
      </w:r>
      <w:r w:rsidRPr="00215667">
        <w:rPr>
          <w:rFonts w:ascii="Times New Roman" w:hAnsi="Times New Roman" w:cs="Times New Roman"/>
          <w:b/>
          <w:sz w:val="24"/>
          <w:szCs w:val="24"/>
        </w:rPr>
        <w:t>работна хипотеза</w:t>
      </w:r>
      <w:r w:rsidRPr="00215667">
        <w:rPr>
          <w:rFonts w:ascii="Times New Roman" w:hAnsi="Times New Roman" w:cs="Times New Roman"/>
          <w:sz w:val="24"/>
          <w:szCs w:val="24"/>
        </w:rPr>
        <w:t>:</w:t>
      </w:r>
      <w:r w:rsidR="00BC09B5">
        <w:rPr>
          <w:rFonts w:ascii="Times New Roman" w:hAnsi="Times New Roman" w:cs="Times New Roman"/>
          <w:sz w:val="24"/>
          <w:szCs w:val="24"/>
        </w:rPr>
        <w:t xml:space="preserve"> д</w:t>
      </w:r>
      <w:r w:rsidRPr="00215667">
        <w:rPr>
          <w:rFonts w:ascii="Times New Roman" w:hAnsi="Times New Roman" w:cs="Times New Roman"/>
          <w:sz w:val="24"/>
          <w:szCs w:val="24"/>
        </w:rPr>
        <w:t>а ја разјасниме дилемата за ризикот и периоперативното менаџирање</w:t>
      </w:r>
      <w:r w:rsidR="00BC09B5">
        <w:rPr>
          <w:rFonts w:ascii="Times New Roman" w:hAnsi="Times New Roman" w:cs="Times New Roman"/>
          <w:sz w:val="24"/>
          <w:szCs w:val="24"/>
        </w:rPr>
        <w:t xml:space="preserve"> </w:t>
      </w:r>
      <w:r w:rsidRPr="00215667">
        <w:rPr>
          <w:rFonts w:ascii="Times New Roman" w:hAnsi="Times New Roman" w:cs="Times New Roman"/>
          <w:sz w:val="24"/>
          <w:szCs w:val="24"/>
        </w:rPr>
        <w:t xml:space="preserve">на </w:t>
      </w:r>
      <w:r w:rsidR="00BC09B5">
        <w:rPr>
          <w:rFonts w:ascii="Times New Roman" w:hAnsi="Times New Roman" w:cs="Times New Roman"/>
          <w:sz w:val="24"/>
          <w:szCs w:val="24"/>
        </w:rPr>
        <w:t>PEB</w:t>
      </w:r>
      <w:r w:rsidRPr="00215667">
        <w:rPr>
          <w:rFonts w:ascii="Times New Roman" w:hAnsi="Times New Roman" w:cs="Times New Roman"/>
          <w:sz w:val="24"/>
          <w:szCs w:val="24"/>
        </w:rPr>
        <w:t xml:space="preserve"> кај пациентите со хипоагрегабилни на</w:t>
      </w:r>
      <w:r w:rsidR="00BC09B5">
        <w:rPr>
          <w:rFonts w:ascii="Times New Roman" w:hAnsi="Times New Roman" w:cs="Times New Roman"/>
          <w:sz w:val="24"/>
          <w:szCs w:val="24"/>
        </w:rPr>
        <w:t>рушувања и пациентите кои примаа</w:t>
      </w:r>
      <w:r w:rsidRPr="00215667">
        <w:rPr>
          <w:rFonts w:ascii="Times New Roman" w:hAnsi="Times New Roman" w:cs="Times New Roman"/>
          <w:sz w:val="24"/>
          <w:szCs w:val="24"/>
        </w:rPr>
        <w:t xml:space="preserve">т ОАТ и антиагрегациска терапија, во однос на видот на антикоагулантните лекови, достапни на нашиот пазар. Да предложиме специфични упатства за предоперативната припрема, точно време за интервенција, инвазивноста на стоматолошките процедури, како и за </w:t>
      </w:r>
      <w:r w:rsidRPr="00215667">
        <w:rPr>
          <w:rFonts w:ascii="Times New Roman" w:hAnsi="Times New Roman" w:cs="Times New Roman"/>
          <w:sz w:val="24"/>
          <w:szCs w:val="24"/>
        </w:rPr>
        <w:lastRenderedPageBreak/>
        <w:t xml:space="preserve">востановување на системски и локални процедури за превенција и справување со PEB.  </w:t>
      </w:r>
    </w:p>
    <w:p w14:paraId="2B1B995A" w14:textId="4DBCFC9C" w:rsidR="00412474" w:rsidRPr="00215667" w:rsidRDefault="00412474" w:rsidP="00D35942">
      <w:pPr>
        <w:spacing w:after="0" w:line="360" w:lineRule="auto"/>
        <w:ind w:firstLine="720"/>
        <w:jc w:val="both"/>
        <w:rPr>
          <w:rFonts w:ascii="Times New Roman" w:hAnsi="Times New Roman" w:cs="Times New Roman"/>
          <w:b/>
          <w:bCs/>
          <w:sz w:val="24"/>
          <w:szCs w:val="24"/>
        </w:rPr>
      </w:pPr>
      <w:r w:rsidRPr="00215667">
        <w:rPr>
          <w:rFonts w:ascii="Times New Roman" w:hAnsi="Times New Roman" w:cs="Times New Roman"/>
          <w:sz w:val="24"/>
          <w:szCs w:val="24"/>
        </w:rPr>
        <w:t xml:space="preserve">Соодветните дијагностички и терапевтски пристапи, го смалуваат ризикот </w:t>
      </w:r>
      <w:r w:rsidR="00BC09B5">
        <w:rPr>
          <w:rFonts w:ascii="Times New Roman" w:hAnsi="Times New Roman" w:cs="Times New Roman"/>
          <w:sz w:val="24"/>
          <w:szCs w:val="24"/>
        </w:rPr>
        <w:t>од периоперативно крвавење: (1)</w:t>
      </w:r>
      <w:r w:rsidRPr="00215667">
        <w:rPr>
          <w:rFonts w:ascii="Times New Roman" w:hAnsi="Times New Roman" w:cs="Times New Roman"/>
          <w:sz w:val="24"/>
          <w:szCs w:val="24"/>
        </w:rPr>
        <w:t xml:space="preserve"> дијагностички и терапевтски пристап за менаџирање на пациентите со тромбоцитна хипоагрегабилност и проследување на  хемостатскиот ефект на </w:t>
      </w:r>
      <w:r w:rsidR="00F00F01">
        <w:rPr>
          <w:rFonts w:ascii="Times New Roman" w:hAnsi="Times New Roman" w:cs="Times New Roman"/>
          <w:sz w:val="24"/>
          <w:szCs w:val="24"/>
        </w:rPr>
        <w:t>транексамична</w:t>
      </w:r>
      <w:r w:rsidRPr="00215667">
        <w:rPr>
          <w:rFonts w:ascii="Times New Roman" w:hAnsi="Times New Roman" w:cs="Times New Roman"/>
          <w:sz w:val="24"/>
          <w:szCs w:val="24"/>
        </w:rPr>
        <w:t xml:space="preserve">та киселина; (2) протокол за периоперативно менаџирање на пациенти кои користат орални антитромботични лекови: VAK, DOACs или </w:t>
      </w:r>
      <w:bookmarkStart w:id="13" w:name="_Hlk154393237"/>
      <w:r w:rsidRPr="00215667">
        <w:rPr>
          <w:rFonts w:ascii="Times New Roman" w:hAnsi="Times New Roman" w:cs="Times New Roman"/>
          <w:sz w:val="24"/>
          <w:szCs w:val="24"/>
        </w:rPr>
        <w:t>NSAIDs</w:t>
      </w:r>
      <w:bookmarkEnd w:id="13"/>
      <w:r w:rsidRPr="00215667">
        <w:rPr>
          <w:rFonts w:ascii="Times New Roman" w:hAnsi="Times New Roman" w:cs="Times New Roman"/>
          <w:sz w:val="24"/>
          <w:szCs w:val="24"/>
        </w:rPr>
        <w:t>; и (3) да предложиме и ажурираме упатство за локални и системски хемостатски методи кои ќе помогнат во клиничка</w:t>
      </w:r>
      <w:r w:rsidR="00BC09B5">
        <w:rPr>
          <w:rFonts w:ascii="Times New Roman" w:hAnsi="Times New Roman" w:cs="Times New Roman"/>
          <w:sz w:val="24"/>
          <w:szCs w:val="24"/>
        </w:rPr>
        <w:t>та</w:t>
      </w:r>
      <w:r w:rsidRPr="00215667">
        <w:rPr>
          <w:rFonts w:ascii="Times New Roman" w:hAnsi="Times New Roman" w:cs="Times New Roman"/>
          <w:sz w:val="24"/>
          <w:szCs w:val="24"/>
        </w:rPr>
        <w:t xml:space="preserve"> </w:t>
      </w:r>
      <w:r w:rsidR="00562A37">
        <w:rPr>
          <w:rFonts w:ascii="Times New Roman" w:hAnsi="Times New Roman" w:cs="Times New Roman"/>
          <w:sz w:val="24"/>
          <w:szCs w:val="24"/>
        </w:rPr>
        <w:t>практика</w:t>
      </w:r>
      <w:r w:rsidRPr="00215667">
        <w:rPr>
          <w:rFonts w:ascii="Times New Roman" w:hAnsi="Times New Roman" w:cs="Times New Roman"/>
          <w:sz w:val="24"/>
          <w:szCs w:val="24"/>
        </w:rPr>
        <w:t xml:space="preserve">. </w:t>
      </w:r>
    </w:p>
    <w:p w14:paraId="43780624" w14:textId="77777777" w:rsidR="00215667" w:rsidRDefault="00215667" w:rsidP="00215667">
      <w:pPr>
        <w:pStyle w:val="Heading1"/>
        <w:rPr>
          <w:rFonts w:ascii="Times New Roman" w:hAnsi="Times New Roman" w:cs="Times New Roman"/>
          <w:b/>
          <w:bCs/>
          <w:color w:val="000000" w:themeColor="text1"/>
          <w:sz w:val="28"/>
          <w:szCs w:val="28"/>
        </w:rPr>
      </w:pPr>
    </w:p>
    <w:p w14:paraId="6C45CBE1" w14:textId="77777777" w:rsidR="00215667" w:rsidRDefault="00215667" w:rsidP="00215667"/>
    <w:p w14:paraId="0A3A183A" w14:textId="77777777" w:rsidR="00BC09B5" w:rsidRDefault="00BC09B5" w:rsidP="00215667"/>
    <w:p w14:paraId="71C029F5" w14:textId="77777777" w:rsidR="00BC09B5" w:rsidRDefault="00BC09B5" w:rsidP="00215667"/>
    <w:p w14:paraId="2927B660" w14:textId="77777777" w:rsidR="00E152A1" w:rsidRDefault="00E152A1" w:rsidP="00215667"/>
    <w:p w14:paraId="65FA8445" w14:textId="77777777" w:rsidR="00E152A1" w:rsidRDefault="00E152A1" w:rsidP="00215667"/>
    <w:p w14:paraId="667F9754" w14:textId="77777777" w:rsidR="00E152A1" w:rsidRDefault="00E152A1" w:rsidP="00215667"/>
    <w:p w14:paraId="129D5155" w14:textId="77777777" w:rsidR="00E152A1" w:rsidRDefault="00E152A1" w:rsidP="00215667"/>
    <w:p w14:paraId="6DAB2250" w14:textId="77777777" w:rsidR="00E152A1" w:rsidRDefault="00E152A1" w:rsidP="00215667"/>
    <w:p w14:paraId="75AD1170" w14:textId="77777777" w:rsidR="00E152A1" w:rsidRDefault="00E152A1" w:rsidP="00215667"/>
    <w:p w14:paraId="3668884F" w14:textId="77777777" w:rsidR="00E152A1" w:rsidRDefault="00E152A1" w:rsidP="00215667"/>
    <w:p w14:paraId="771675EF" w14:textId="77777777" w:rsidR="00E152A1" w:rsidRDefault="00E152A1" w:rsidP="00215667"/>
    <w:p w14:paraId="1AEC870E" w14:textId="77777777" w:rsidR="00E152A1" w:rsidRDefault="00E152A1" w:rsidP="00215667"/>
    <w:p w14:paraId="1E4B1F90" w14:textId="77777777" w:rsidR="00E152A1" w:rsidRDefault="00E152A1" w:rsidP="00215667"/>
    <w:p w14:paraId="74168161" w14:textId="77777777" w:rsidR="00BC09B5" w:rsidRDefault="00BC09B5" w:rsidP="00215667"/>
    <w:p w14:paraId="1E6E5D4D" w14:textId="77777777" w:rsidR="00BC09B5" w:rsidRDefault="00BC09B5" w:rsidP="00215667"/>
    <w:p w14:paraId="649DBFBC" w14:textId="77777777" w:rsidR="00215667" w:rsidRDefault="00215667" w:rsidP="00215667"/>
    <w:p w14:paraId="51E7D1CE" w14:textId="77777777" w:rsidR="00BC09B5" w:rsidRDefault="00BC09B5" w:rsidP="00215667"/>
    <w:p w14:paraId="461FB1EC" w14:textId="26969621" w:rsidR="00215667" w:rsidRDefault="00412474" w:rsidP="00215667">
      <w:pPr>
        <w:pStyle w:val="Heading1"/>
        <w:rPr>
          <w:rFonts w:ascii="Times New Roman" w:hAnsi="Times New Roman" w:cs="Times New Roman"/>
          <w:b/>
          <w:bCs/>
          <w:color w:val="000000" w:themeColor="text1"/>
          <w:sz w:val="28"/>
          <w:szCs w:val="28"/>
        </w:rPr>
      </w:pPr>
      <w:bookmarkStart w:id="14" w:name="_Toc209005148"/>
      <w:r w:rsidRPr="00215667">
        <w:rPr>
          <w:rFonts w:ascii="Times New Roman" w:hAnsi="Times New Roman" w:cs="Times New Roman"/>
          <w:b/>
          <w:bCs/>
          <w:color w:val="000000" w:themeColor="text1"/>
          <w:sz w:val="28"/>
          <w:szCs w:val="28"/>
        </w:rPr>
        <w:lastRenderedPageBreak/>
        <w:t>ЦЕЛИ НА ИСТРАЖУВАЊЕТО</w:t>
      </w:r>
      <w:bookmarkEnd w:id="14"/>
    </w:p>
    <w:p w14:paraId="0AFE1E94" w14:textId="77777777" w:rsidR="00BC09B5" w:rsidRPr="00BC09B5" w:rsidRDefault="00BC09B5" w:rsidP="00BC09B5"/>
    <w:p w14:paraId="6BDAB78E" w14:textId="38385303" w:rsidR="00412474" w:rsidRPr="00215667" w:rsidRDefault="00412474" w:rsidP="00E152A1">
      <w:pPr>
        <w:pStyle w:val="NoSpacing"/>
        <w:numPr>
          <w:ilvl w:val="0"/>
          <w:numId w:val="40"/>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 xml:space="preserve">Да се идентификуваат и потврдат вредностите на ADP, </w:t>
      </w:r>
      <w:r w:rsidR="001E068C">
        <w:rPr>
          <w:rFonts w:ascii="Times New Roman" w:hAnsi="Times New Roman" w:cs="Times New Roman"/>
          <w:sz w:val="24"/>
          <w:szCs w:val="24"/>
        </w:rPr>
        <w:t>ристоцетин</w:t>
      </w:r>
      <w:r w:rsidRPr="00215667">
        <w:rPr>
          <w:rFonts w:ascii="Times New Roman" w:hAnsi="Times New Roman" w:cs="Times New Roman"/>
          <w:sz w:val="24"/>
          <w:szCs w:val="24"/>
        </w:rPr>
        <w:t xml:space="preserve"> </w:t>
      </w:r>
      <w:r w:rsidR="001E068C">
        <w:rPr>
          <w:rFonts w:ascii="Times New Roman" w:hAnsi="Times New Roman" w:cs="Times New Roman"/>
          <w:sz w:val="24"/>
          <w:szCs w:val="24"/>
        </w:rPr>
        <w:t>и</w:t>
      </w:r>
      <w:r w:rsidRPr="00215667">
        <w:rPr>
          <w:rFonts w:ascii="Times New Roman" w:hAnsi="Times New Roman" w:cs="Times New Roman"/>
          <w:sz w:val="24"/>
          <w:szCs w:val="24"/>
        </w:rPr>
        <w:t xml:space="preserve"> </w:t>
      </w:r>
      <w:r w:rsidR="001E068C">
        <w:rPr>
          <w:rFonts w:ascii="Times New Roman" w:hAnsi="Times New Roman" w:cs="Times New Roman"/>
          <w:sz w:val="24"/>
          <w:szCs w:val="24"/>
        </w:rPr>
        <w:t>колаген</w:t>
      </w:r>
      <w:r w:rsidRPr="00215667">
        <w:rPr>
          <w:rFonts w:ascii="Times New Roman" w:hAnsi="Times New Roman" w:cs="Times New Roman"/>
          <w:sz w:val="24"/>
          <w:szCs w:val="24"/>
        </w:rPr>
        <w:t>, како сигнифи</w:t>
      </w:r>
      <w:r w:rsidR="001E068C">
        <w:rPr>
          <w:rFonts w:ascii="Times New Roman" w:hAnsi="Times New Roman" w:cs="Times New Roman"/>
          <w:sz w:val="24"/>
          <w:szCs w:val="24"/>
        </w:rPr>
        <w:t>к</w:t>
      </w:r>
      <w:r w:rsidRPr="00215667">
        <w:rPr>
          <w:rFonts w:ascii="Times New Roman" w:hAnsi="Times New Roman" w:cs="Times New Roman"/>
          <w:sz w:val="24"/>
          <w:szCs w:val="24"/>
        </w:rPr>
        <w:t>антни предиктори за тромбоцитна хипоагрегабилност во корелација со здравите пациенти.</w:t>
      </w:r>
    </w:p>
    <w:p w14:paraId="40C0C26A" w14:textId="77777777" w:rsidR="00412474" w:rsidRPr="00215667" w:rsidRDefault="00412474" w:rsidP="00E152A1">
      <w:pPr>
        <w:pStyle w:val="NoSpacing"/>
        <w:spacing w:line="360" w:lineRule="auto"/>
        <w:jc w:val="both"/>
        <w:rPr>
          <w:rFonts w:ascii="Times New Roman" w:hAnsi="Times New Roman" w:cs="Times New Roman"/>
          <w:sz w:val="24"/>
          <w:szCs w:val="24"/>
        </w:rPr>
      </w:pPr>
    </w:p>
    <w:p w14:paraId="3DEF31B4" w14:textId="22CB2985" w:rsidR="00412474" w:rsidRPr="00215667" w:rsidRDefault="00412474" w:rsidP="00E152A1">
      <w:pPr>
        <w:pStyle w:val="NoSpacing"/>
        <w:numPr>
          <w:ilvl w:val="0"/>
          <w:numId w:val="40"/>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Да</w:t>
      </w:r>
      <w:r w:rsidR="001E068C">
        <w:rPr>
          <w:rFonts w:ascii="Times New Roman" w:hAnsi="Times New Roman" w:cs="Times New Roman"/>
          <w:sz w:val="24"/>
          <w:szCs w:val="24"/>
        </w:rPr>
        <w:t xml:space="preserve"> се идентификуваат и корелираат</w:t>
      </w:r>
      <w:r w:rsidRPr="00215667">
        <w:rPr>
          <w:rFonts w:ascii="Times New Roman" w:hAnsi="Times New Roman" w:cs="Times New Roman"/>
          <w:sz w:val="24"/>
          <w:szCs w:val="24"/>
        </w:rPr>
        <w:t xml:space="preserve"> нивоата на ADP, </w:t>
      </w:r>
      <w:r w:rsidR="001E068C">
        <w:rPr>
          <w:rFonts w:ascii="Times New Roman" w:hAnsi="Times New Roman" w:cs="Times New Roman"/>
          <w:sz w:val="24"/>
          <w:szCs w:val="24"/>
        </w:rPr>
        <w:t>ристоцетин</w:t>
      </w:r>
      <w:r w:rsidR="001E068C" w:rsidRPr="00215667">
        <w:rPr>
          <w:rFonts w:ascii="Times New Roman" w:hAnsi="Times New Roman" w:cs="Times New Roman"/>
          <w:sz w:val="24"/>
          <w:szCs w:val="24"/>
        </w:rPr>
        <w:t xml:space="preserve"> </w:t>
      </w:r>
      <w:r w:rsidR="001E068C">
        <w:rPr>
          <w:rFonts w:ascii="Times New Roman" w:hAnsi="Times New Roman" w:cs="Times New Roman"/>
          <w:sz w:val="24"/>
          <w:szCs w:val="24"/>
        </w:rPr>
        <w:t>и</w:t>
      </w:r>
      <w:r w:rsidR="001E068C" w:rsidRPr="00215667">
        <w:rPr>
          <w:rFonts w:ascii="Times New Roman" w:hAnsi="Times New Roman" w:cs="Times New Roman"/>
          <w:sz w:val="24"/>
          <w:szCs w:val="24"/>
        </w:rPr>
        <w:t xml:space="preserve"> </w:t>
      </w:r>
      <w:r w:rsidR="001E068C">
        <w:rPr>
          <w:rFonts w:ascii="Times New Roman" w:hAnsi="Times New Roman" w:cs="Times New Roman"/>
          <w:sz w:val="24"/>
          <w:szCs w:val="24"/>
        </w:rPr>
        <w:t>колаген, со</w:t>
      </w:r>
      <w:r w:rsidRPr="00215667">
        <w:rPr>
          <w:rFonts w:ascii="Times New Roman" w:hAnsi="Times New Roman" w:cs="Times New Roman"/>
          <w:sz w:val="24"/>
          <w:szCs w:val="24"/>
        </w:rPr>
        <w:t xml:space="preserve"> времето на крвавење и интензитетот на постоперативното крвавење, кај пациентите со хипоагрегабилност, со цел на предикција на PEB;</w:t>
      </w:r>
    </w:p>
    <w:p w14:paraId="1C528E06" w14:textId="77777777" w:rsidR="00412474" w:rsidRPr="00215667" w:rsidRDefault="00412474" w:rsidP="00E152A1">
      <w:pPr>
        <w:pStyle w:val="NoSpacing"/>
        <w:spacing w:line="360" w:lineRule="auto"/>
        <w:ind w:left="720"/>
        <w:jc w:val="both"/>
        <w:rPr>
          <w:rFonts w:ascii="Times New Roman" w:hAnsi="Times New Roman" w:cs="Times New Roman"/>
          <w:sz w:val="24"/>
          <w:szCs w:val="24"/>
        </w:rPr>
      </w:pPr>
    </w:p>
    <w:p w14:paraId="261F4889" w14:textId="48C7ACD0" w:rsidR="00412474" w:rsidRPr="00215667" w:rsidRDefault="00412474" w:rsidP="00E152A1">
      <w:pPr>
        <w:pStyle w:val="NoSpacing"/>
        <w:numPr>
          <w:ilvl w:val="0"/>
          <w:numId w:val="40"/>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Да се утврди ефикасноста и безбедноста на интравенската апликација на TXA и локалните методи</w:t>
      </w:r>
      <w:r w:rsidR="001E068C">
        <w:rPr>
          <w:rFonts w:ascii="Times New Roman" w:hAnsi="Times New Roman" w:cs="Times New Roman"/>
          <w:sz w:val="24"/>
          <w:szCs w:val="24"/>
        </w:rPr>
        <w:t xml:space="preserve"> на хемостаза, во менаџирање на</w:t>
      </w:r>
      <w:r w:rsidRPr="00215667">
        <w:rPr>
          <w:rFonts w:ascii="Times New Roman" w:hAnsi="Times New Roman" w:cs="Times New Roman"/>
          <w:sz w:val="24"/>
          <w:szCs w:val="24"/>
        </w:rPr>
        <w:t xml:space="preserve"> периоперативните крвавењ</w:t>
      </w:r>
      <w:r w:rsidR="001E068C">
        <w:rPr>
          <w:rFonts w:ascii="Times New Roman" w:hAnsi="Times New Roman" w:cs="Times New Roman"/>
          <w:sz w:val="24"/>
          <w:szCs w:val="24"/>
        </w:rPr>
        <w:t>а</w:t>
      </w:r>
      <w:r w:rsidRPr="00215667">
        <w:rPr>
          <w:rFonts w:ascii="Times New Roman" w:hAnsi="Times New Roman" w:cs="Times New Roman"/>
          <w:sz w:val="24"/>
          <w:szCs w:val="24"/>
        </w:rPr>
        <w:t xml:space="preserve"> кај пациенти со хипоагрегабилност, асоцирано со локацијата и екстензивноста на дентоалвеоларната хирургија; </w:t>
      </w:r>
    </w:p>
    <w:p w14:paraId="192E66C5" w14:textId="77777777" w:rsidR="00412474" w:rsidRPr="00215667" w:rsidRDefault="00412474" w:rsidP="00E152A1">
      <w:pPr>
        <w:pStyle w:val="NoSpacing"/>
        <w:spacing w:line="360" w:lineRule="auto"/>
        <w:ind w:left="720"/>
        <w:jc w:val="both"/>
        <w:rPr>
          <w:rFonts w:ascii="Times New Roman" w:hAnsi="Times New Roman" w:cs="Times New Roman"/>
          <w:sz w:val="24"/>
          <w:szCs w:val="24"/>
        </w:rPr>
      </w:pPr>
    </w:p>
    <w:p w14:paraId="2429537B" w14:textId="4C36971F" w:rsidR="00412474" w:rsidRPr="00215667" w:rsidRDefault="00412474" w:rsidP="00E152A1">
      <w:pPr>
        <w:pStyle w:val="NoSpacing"/>
        <w:numPr>
          <w:ilvl w:val="0"/>
          <w:numId w:val="40"/>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Да се утврди инциденцата</w:t>
      </w:r>
      <w:r w:rsidR="001E068C">
        <w:rPr>
          <w:rFonts w:ascii="Times New Roman" w:hAnsi="Times New Roman" w:cs="Times New Roman"/>
          <w:sz w:val="24"/>
          <w:szCs w:val="24"/>
        </w:rPr>
        <w:t xml:space="preserve"> на</w:t>
      </w:r>
      <w:r w:rsidRPr="00215667">
        <w:rPr>
          <w:rFonts w:ascii="Times New Roman" w:hAnsi="Times New Roman" w:cs="Times New Roman"/>
          <w:sz w:val="24"/>
          <w:szCs w:val="24"/>
        </w:rPr>
        <w:t xml:space="preserve"> PEB во зависност од видот на лекот: DOACs</w:t>
      </w:r>
      <w:bookmarkStart w:id="15" w:name="_Hlk154415814"/>
      <w:r w:rsidRPr="00215667">
        <w:rPr>
          <w:rFonts w:ascii="Times New Roman" w:hAnsi="Times New Roman" w:cs="Times New Roman"/>
          <w:sz w:val="24"/>
          <w:szCs w:val="24"/>
        </w:rPr>
        <w:t>, VKA</w:t>
      </w:r>
      <w:bookmarkStart w:id="16" w:name="_Hlk154393160"/>
      <w:r w:rsidRPr="00215667">
        <w:rPr>
          <w:rFonts w:ascii="Times New Roman" w:hAnsi="Times New Roman" w:cs="Times New Roman"/>
          <w:sz w:val="24"/>
          <w:szCs w:val="24"/>
        </w:rPr>
        <w:t>s</w:t>
      </w:r>
      <w:bookmarkEnd w:id="16"/>
      <w:r w:rsidRPr="00215667">
        <w:rPr>
          <w:rFonts w:ascii="Times New Roman" w:hAnsi="Times New Roman" w:cs="Times New Roman"/>
          <w:sz w:val="24"/>
          <w:szCs w:val="24"/>
        </w:rPr>
        <w:t xml:space="preserve"> </w:t>
      </w:r>
      <w:bookmarkEnd w:id="15"/>
      <w:r w:rsidRPr="00215667">
        <w:rPr>
          <w:rFonts w:ascii="Times New Roman" w:hAnsi="Times New Roman" w:cs="Times New Roman"/>
          <w:sz w:val="24"/>
          <w:szCs w:val="24"/>
        </w:rPr>
        <w:t>или NSAIDs, кај пациенти кои континуирано примаат терапија и оние кои ја прекинале ОАТ терапијата пред интервенција, во однос на контролната,</w:t>
      </w:r>
      <w:r w:rsidR="001E068C">
        <w:rPr>
          <w:rFonts w:ascii="Times New Roman" w:hAnsi="Times New Roman" w:cs="Times New Roman"/>
          <w:sz w:val="24"/>
          <w:szCs w:val="24"/>
        </w:rPr>
        <w:t xml:space="preserve"> </w:t>
      </w:r>
      <w:r w:rsidRPr="00215667">
        <w:rPr>
          <w:rFonts w:ascii="Times New Roman" w:hAnsi="Times New Roman" w:cs="Times New Roman"/>
          <w:sz w:val="24"/>
          <w:szCs w:val="24"/>
        </w:rPr>
        <w:t xml:space="preserve">здрава група; </w:t>
      </w:r>
    </w:p>
    <w:p w14:paraId="60746D33" w14:textId="77777777" w:rsidR="00412474" w:rsidRPr="00215667" w:rsidRDefault="00412474" w:rsidP="00E152A1">
      <w:pPr>
        <w:pStyle w:val="NoSpacing"/>
        <w:spacing w:line="360" w:lineRule="auto"/>
        <w:ind w:left="720"/>
        <w:jc w:val="both"/>
        <w:rPr>
          <w:rFonts w:ascii="Times New Roman" w:hAnsi="Times New Roman" w:cs="Times New Roman"/>
          <w:sz w:val="24"/>
          <w:szCs w:val="24"/>
        </w:rPr>
      </w:pPr>
    </w:p>
    <w:p w14:paraId="6D8E1D5C" w14:textId="2F3D9136" w:rsidR="00412474" w:rsidRPr="00215667" w:rsidRDefault="00412474" w:rsidP="00E152A1">
      <w:pPr>
        <w:pStyle w:val="NoSpacing"/>
        <w:numPr>
          <w:ilvl w:val="0"/>
          <w:numId w:val="40"/>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Да се идентификува нивото на</w:t>
      </w:r>
      <w:r w:rsidR="001E068C">
        <w:rPr>
          <w:rFonts w:ascii="Times New Roman" w:hAnsi="Times New Roman" w:cs="Times New Roman"/>
          <w:sz w:val="24"/>
          <w:szCs w:val="24"/>
        </w:rPr>
        <w:t xml:space="preserve"> </w:t>
      </w:r>
      <w:r w:rsidRPr="00215667">
        <w:rPr>
          <w:rFonts w:ascii="Times New Roman" w:hAnsi="Times New Roman" w:cs="Times New Roman"/>
          <w:sz w:val="24"/>
          <w:szCs w:val="24"/>
        </w:rPr>
        <w:t>INR како сигнифик</w:t>
      </w:r>
      <w:r w:rsidR="001E068C">
        <w:rPr>
          <w:rFonts w:ascii="Times New Roman" w:hAnsi="Times New Roman" w:cs="Times New Roman"/>
          <w:sz w:val="24"/>
          <w:szCs w:val="24"/>
        </w:rPr>
        <w:t>антен предиктор за PEB и да се утврди вредноста на „</w:t>
      </w:r>
      <w:r w:rsidRPr="00215667">
        <w:rPr>
          <w:rFonts w:ascii="Times New Roman" w:hAnsi="Times New Roman" w:cs="Times New Roman"/>
          <w:sz w:val="24"/>
          <w:szCs w:val="24"/>
        </w:rPr>
        <w:t xml:space="preserve">HAS-BLED </w:t>
      </w:r>
      <w:r w:rsidR="001E068C">
        <w:rPr>
          <w:rFonts w:ascii="Times New Roman" w:hAnsi="Times New Roman" w:cs="Times New Roman"/>
          <w:sz w:val="24"/>
          <w:szCs w:val="24"/>
        </w:rPr>
        <w:t xml:space="preserve">степенот на ризик </w:t>
      </w:r>
      <w:r w:rsidRPr="00215667">
        <w:rPr>
          <w:rFonts w:ascii="Times New Roman" w:hAnsi="Times New Roman" w:cs="Times New Roman"/>
          <w:sz w:val="24"/>
          <w:szCs w:val="24"/>
        </w:rPr>
        <w:t>од крвавењ</w:t>
      </w:r>
      <w:r w:rsidR="001E068C">
        <w:rPr>
          <w:rFonts w:ascii="Times New Roman" w:hAnsi="Times New Roman" w:cs="Times New Roman"/>
          <w:sz w:val="24"/>
          <w:szCs w:val="24"/>
        </w:rPr>
        <w:t>е“</w:t>
      </w:r>
      <w:r w:rsidRPr="00215667">
        <w:rPr>
          <w:rFonts w:ascii="Times New Roman" w:hAnsi="Times New Roman" w:cs="Times New Roman"/>
          <w:sz w:val="24"/>
          <w:szCs w:val="24"/>
        </w:rPr>
        <w:t>, со цел предоперативно да се предвиди ризикот од PEB кај пациентите кои примаат ОАТ/антиагрегациона терапија;</w:t>
      </w:r>
    </w:p>
    <w:p w14:paraId="0009387A" w14:textId="77777777" w:rsidR="00412474" w:rsidRPr="00215667" w:rsidRDefault="00412474" w:rsidP="00E152A1">
      <w:pPr>
        <w:pStyle w:val="NoSpacing"/>
        <w:spacing w:line="360" w:lineRule="auto"/>
        <w:ind w:left="720"/>
        <w:jc w:val="both"/>
        <w:rPr>
          <w:rFonts w:ascii="Times New Roman" w:hAnsi="Times New Roman" w:cs="Times New Roman"/>
          <w:sz w:val="24"/>
          <w:szCs w:val="24"/>
        </w:rPr>
      </w:pPr>
    </w:p>
    <w:p w14:paraId="7CC862EE" w14:textId="7FE5A68A" w:rsidR="00412474" w:rsidRPr="00215667" w:rsidRDefault="001E068C" w:rsidP="00E152A1">
      <w:pPr>
        <w:pStyle w:val="NoSpacing"/>
        <w:numPr>
          <w:ilvl w:val="0"/>
          <w:numId w:val="4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Да се процени </w:t>
      </w:r>
      <w:r w:rsidR="00412474" w:rsidRPr="00215667">
        <w:rPr>
          <w:rFonts w:ascii="Times New Roman" w:hAnsi="Times New Roman" w:cs="Times New Roman"/>
          <w:sz w:val="24"/>
          <w:szCs w:val="24"/>
        </w:rPr>
        <w:t>ефектот на локалните и системските хемостатски интервенции во сопирање на периоперативното крвавење кај пациенти кои примаат антикоагулантна/антиагрегациска</w:t>
      </w:r>
      <w:r>
        <w:rPr>
          <w:rFonts w:ascii="Times New Roman" w:hAnsi="Times New Roman" w:cs="Times New Roman"/>
          <w:sz w:val="24"/>
          <w:szCs w:val="24"/>
        </w:rPr>
        <w:t xml:space="preserve"> терапија</w:t>
      </w:r>
      <w:r w:rsidR="00412474" w:rsidRPr="00215667">
        <w:rPr>
          <w:rFonts w:ascii="Times New Roman" w:hAnsi="Times New Roman" w:cs="Times New Roman"/>
          <w:sz w:val="24"/>
          <w:szCs w:val="24"/>
        </w:rPr>
        <w:t>, со цел да изготвиме упатство за клинички практичари за периоперативно менаџирање на PEB.</w:t>
      </w:r>
    </w:p>
    <w:p w14:paraId="6B5AF18A" w14:textId="77777777" w:rsidR="00215667" w:rsidRPr="001E068C" w:rsidRDefault="00215667" w:rsidP="001E068C">
      <w:pPr>
        <w:pStyle w:val="NoSpacing"/>
        <w:ind w:left="360"/>
        <w:jc w:val="both"/>
        <w:rPr>
          <w:rFonts w:ascii="Times New Roman" w:hAnsi="Times New Roman" w:cs="Times New Roman"/>
          <w:sz w:val="24"/>
          <w:szCs w:val="24"/>
        </w:rPr>
      </w:pPr>
    </w:p>
    <w:p w14:paraId="30172B1A" w14:textId="77777777" w:rsidR="00215667" w:rsidRDefault="00215667" w:rsidP="001E068C">
      <w:pPr>
        <w:pStyle w:val="Heading1"/>
        <w:jc w:val="both"/>
        <w:rPr>
          <w:rFonts w:ascii="Times New Roman" w:hAnsi="Times New Roman" w:cs="Times New Roman"/>
          <w:b/>
          <w:bCs/>
          <w:color w:val="000000" w:themeColor="text1"/>
          <w:sz w:val="28"/>
          <w:szCs w:val="28"/>
        </w:rPr>
      </w:pPr>
    </w:p>
    <w:p w14:paraId="28C5E42E" w14:textId="77777777" w:rsidR="00215667" w:rsidRPr="00215667" w:rsidRDefault="00215667" w:rsidP="00215667"/>
    <w:p w14:paraId="39BF8F99" w14:textId="35ACA01C" w:rsidR="00412474" w:rsidRDefault="00215667" w:rsidP="00E152A1">
      <w:pPr>
        <w:pStyle w:val="Heading1"/>
        <w:spacing w:before="0" w:line="360" w:lineRule="auto"/>
        <w:rPr>
          <w:rFonts w:ascii="Times New Roman" w:hAnsi="Times New Roman" w:cs="Times New Roman"/>
          <w:b/>
          <w:bCs/>
          <w:color w:val="000000" w:themeColor="text1"/>
          <w:sz w:val="28"/>
          <w:szCs w:val="28"/>
        </w:rPr>
      </w:pPr>
      <w:bookmarkStart w:id="17" w:name="_Toc209005149"/>
      <w:r w:rsidRPr="00215667">
        <w:rPr>
          <w:rFonts w:ascii="Times New Roman" w:hAnsi="Times New Roman" w:cs="Times New Roman"/>
          <w:b/>
          <w:bCs/>
          <w:color w:val="000000" w:themeColor="text1"/>
          <w:sz w:val="28"/>
          <w:szCs w:val="28"/>
        </w:rPr>
        <w:lastRenderedPageBreak/>
        <w:t>МАТЕРИЈАЛ И МЕТОДИ</w:t>
      </w:r>
      <w:bookmarkEnd w:id="17"/>
    </w:p>
    <w:p w14:paraId="25EAD421" w14:textId="77777777" w:rsidR="00215667" w:rsidRPr="00215667" w:rsidRDefault="00215667" w:rsidP="00E152A1">
      <w:pPr>
        <w:spacing w:line="360" w:lineRule="auto"/>
      </w:pPr>
    </w:p>
    <w:p w14:paraId="04F4B003" w14:textId="1BDEB9F0"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Со цел да се имплементира нулта и работна хипотеза и реализација на поставените цели, спроведовме ретроспективно истражување (след</w:t>
      </w:r>
      <w:r w:rsidR="001E068C">
        <w:rPr>
          <w:rFonts w:ascii="Times New Roman" w:hAnsi="Times New Roman" w:cs="Times New Roman"/>
          <w:sz w:val="24"/>
          <w:szCs w:val="24"/>
        </w:rPr>
        <w:t>ува</w:t>
      </w:r>
      <w:r w:rsidRPr="00215667">
        <w:rPr>
          <w:rFonts w:ascii="Times New Roman" w:hAnsi="Times New Roman" w:cs="Times New Roman"/>
          <w:sz w:val="24"/>
          <w:szCs w:val="24"/>
        </w:rPr>
        <w:t xml:space="preserve"> проспективно), анализирајќи 302 пациенти (64 пациенти со тромбоцитна хипоагрегабилност, 102 пациенти кои примаат ОАТ, 66 пациенти кои примаат </w:t>
      </w:r>
      <w:r w:rsidRPr="001E068C">
        <w:rPr>
          <w:rFonts w:ascii="Times New Roman" w:hAnsi="Times New Roman" w:cs="Times New Roman"/>
          <w:i/>
          <w:sz w:val="24"/>
          <w:szCs w:val="24"/>
        </w:rPr>
        <w:t>Aspirin</w:t>
      </w:r>
      <w:r w:rsidRPr="00215667">
        <w:rPr>
          <w:rFonts w:ascii="Times New Roman" w:hAnsi="Times New Roman" w:cs="Times New Roman"/>
          <w:sz w:val="24"/>
          <w:szCs w:val="24"/>
        </w:rPr>
        <w:t xml:space="preserve"> и 70 здрави пациенти). </w:t>
      </w:r>
      <w:bookmarkStart w:id="18" w:name="_Hlk154470878"/>
      <w:r w:rsidRPr="00215667">
        <w:rPr>
          <w:rFonts w:ascii="Times New Roman" w:hAnsi="Times New Roman" w:cs="Times New Roman"/>
          <w:sz w:val="24"/>
          <w:szCs w:val="24"/>
        </w:rPr>
        <w:t>Сите пациенти беа подложени на едноставна екстракција на заб или мал</w:t>
      </w:r>
      <w:r w:rsidR="001E068C">
        <w:rPr>
          <w:rFonts w:ascii="Times New Roman" w:hAnsi="Times New Roman" w:cs="Times New Roman"/>
          <w:sz w:val="24"/>
          <w:szCs w:val="24"/>
        </w:rPr>
        <w:t>а</w:t>
      </w:r>
      <w:r w:rsidRPr="00215667">
        <w:rPr>
          <w:rFonts w:ascii="Times New Roman" w:hAnsi="Times New Roman" w:cs="Times New Roman"/>
          <w:sz w:val="24"/>
          <w:szCs w:val="24"/>
        </w:rPr>
        <w:t xml:space="preserve"> дентоалвеоларна операција, во периодот од 2019</w:t>
      </w:r>
      <w:r w:rsidR="001E068C">
        <w:rPr>
          <w:rFonts w:ascii="Times New Roman" w:hAnsi="Times New Roman" w:cs="Times New Roman"/>
          <w:sz w:val="24"/>
          <w:szCs w:val="24"/>
        </w:rPr>
        <w:t xml:space="preserve"> до</w:t>
      </w:r>
      <w:r w:rsidRPr="00215667">
        <w:rPr>
          <w:rFonts w:ascii="Times New Roman" w:hAnsi="Times New Roman" w:cs="Times New Roman"/>
          <w:sz w:val="24"/>
          <w:szCs w:val="24"/>
        </w:rPr>
        <w:t xml:space="preserve"> 2024 година и беа лекувани на Универзитетската клиника за максилофацијална хирургија-</w:t>
      </w:r>
      <w:r w:rsidR="001E068C">
        <w:rPr>
          <w:rFonts w:ascii="Times New Roman" w:hAnsi="Times New Roman" w:cs="Times New Roman"/>
          <w:sz w:val="24"/>
          <w:szCs w:val="24"/>
        </w:rPr>
        <w:t xml:space="preserve"> </w:t>
      </w:r>
      <w:r w:rsidRPr="00215667">
        <w:rPr>
          <w:rFonts w:ascii="Times New Roman" w:hAnsi="Times New Roman" w:cs="Times New Roman"/>
          <w:sz w:val="24"/>
          <w:szCs w:val="24"/>
        </w:rPr>
        <w:t>Скопје.</w:t>
      </w:r>
    </w:p>
    <w:p w14:paraId="3A1104E2" w14:textId="77777777" w:rsidR="00412474" w:rsidRPr="00215667" w:rsidRDefault="00412474" w:rsidP="00E152A1">
      <w:pPr>
        <w:pStyle w:val="Heading2"/>
        <w:spacing w:line="360" w:lineRule="auto"/>
        <w:rPr>
          <w:rFonts w:ascii="Times New Roman" w:hAnsi="Times New Roman" w:cs="Times New Roman"/>
          <w:b/>
          <w:bCs/>
          <w:color w:val="000000" w:themeColor="text1"/>
          <w:sz w:val="24"/>
          <w:szCs w:val="24"/>
        </w:rPr>
      </w:pPr>
      <w:bookmarkStart w:id="19" w:name="_Toc209005150"/>
      <w:r w:rsidRPr="00215667">
        <w:rPr>
          <w:rFonts w:ascii="Times New Roman" w:hAnsi="Times New Roman" w:cs="Times New Roman"/>
          <w:b/>
          <w:bCs/>
          <w:color w:val="000000" w:themeColor="text1"/>
          <w:sz w:val="24"/>
          <w:szCs w:val="24"/>
        </w:rPr>
        <w:t>Клиничка евалуација</w:t>
      </w:r>
      <w:bookmarkEnd w:id="19"/>
    </w:p>
    <w:p w14:paraId="39F528DF" w14:textId="2B4E890D"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Спроведена е анализа на 422 пациенти, со детални клинички и демографски податоци, за сите пациенти вклучени во студијата: возраст, пол и локализација на дентоалвеоларната интервенција. Податоците од исцрпна</w:t>
      </w:r>
      <w:r w:rsidR="001E068C">
        <w:rPr>
          <w:rFonts w:ascii="Times New Roman" w:hAnsi="Times New Roman" w:cs="Times New Roman"/>
          <w:sz w:val="24"/>
          <w:szCs w:val="24"/>
        </w:rPr>
        <w:t>та</w:t>
      </w:r>
      <w:r w:rsidRPr="00215667">
        <w:rPr>
          <w:rFonts w:ascii="Times New Roman" w:hAnsi="Times New Roman" w:cs="Times New Roman"/>
          <w:sz w:val="24"/>
          <w:szCs w:val="24"/>
        </w:rPr>
        <w:t xml:space="preserve"> анамнеза, основни заболувања, претходни операции, конзумирање на хронична терапија и историја на крвавење, беа проследени со физички преглед и скрининг </w:t>
      </w:r>
      <w:r w:rsidR="00D80713">
        <w:rPr>
          <w:rFonts w:ascii="Times New Roman" w:hAnsi="Times New Roman" w:cs="Times New Roman"/>
          <w:sz w:val="24"/>
          <w:szCs w:val="24"/>
        </w:rPr>
        <w:t>лабораториски</w:t>
      </w:r>
      <w:r w:rsidRPr="00215667">
        <w:rPr>
          <w:rFonts w:ascii="Times New Roman" w:hAnsi="Times New Roman" w:cs="Times New Roman"/>
          <w:sz w:val="24"/>
          <w:szCs w:val="24"/>
        </w:rPr>
        <w:t xml:space="preserve"> методи за откривање на хипоагрегабилноста на тромбоцитите или коагулациони нарушувања, предизвикани од хронична антикоагулантна или антитроботична терапија.</w:t>
      </w:r>
    </w:p>
    <w:p w14:paraId="0D2DB387" w14:textId="1354EE8C" w:rsidR="00412474"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Согласно </w:t>
      </w:r>
      <w:r w:rsidR="00161B73">
        <w:rPr>
          <w:rFonts w:ascii="Times New Roman" w:hAnsi="Times New Roman" w:cs="Times New Roman"/>
          <w:sz w:val="24"/>
          <w:szCs w:val="24"/>
        </w:rPr>
        <w:t xml:space="preserve">со </w:t>
      </w:r>
      <w:r w:rsidRPr="00215667">
        <w:rPr>
          <w:rFonts w:ascii="Times New Roman" w:hAnsi="Times New Roman" w:cs="Times New Roman"/>
          <w:sz w:val="24"/>
          <w:szCs w:val="24"/>
        </w:rPr>
        <w:t>критериумите, пациентите беа поделени во 4 групи за понатамошна евалуација:</w:t>
      </w:r>
    </w:p>
    <w:p w14:paraId="7F0B36C9" w14:textId="77777777" w:rsidR="00161B73" w:rsidRPr="00215667" w:rsidRDefault="00161B73" w:rsidP="00E152A1">
      <w:pPr>
        <w:spacing w:after="0" w:line="360" w:lineRule="auto"/>
        <w:ind w:firstLine="720"/>
        <w:jc w:val="both"/>
        <w:rPr>
          <w:rFonts w:ascii="Times New Roman" w:hAnsi="Times New Roman" w:cs="Times New Roman"/>
          <w:sz w:val="24"/>
          <w:szCs w:val="24"/>
        </w:rPr>
      </w:pPr>
    </w:p>
    <w:bookmarkEnd w:id="18"/>
    <w:p w14:paraId="3D378A00" w14:textId="77777777" w:rsidR="001A1F41" w:rsidRDefault="00412474" w:rsidP="001A1F41">
      <w:pPr>
        <w:spacing w:line="360" w:lineRule="auto"/>
        <w:jc w:val="both"/>
        <w:rPr>
          <w:rFonts w:ascii="Times New Roman" w:hAnsi="Times New Roman" w:cs="Times New Roman"/>
          <w:sz w:val="24"/>
          <w:szCs w:val="24"/>
        </w:rPr>
      </w:pPr>
      <w:r w:rsidRPr="00161B73">
        <w:rPr>
          <w:rFonts w:ascii="Times New Roman" w:hAnsi="Times New Roman" w:cs="Times New Roman"/>
          <w:b/>
          <w:sz w:val="24"/>
          <w:szCs w:val="24"/>
        </w:rPr>
        <w:t>I група</w:t>
      </w:r>
      <w:r w:rsidRPr="00215667">
        <w:rPr>
          <w:rFonts w:ascii="Times New Roman" w:hAnsi="Times New Roman" w:cs="Times New Roman"/>
          <w:sz w:val="24"/>
          <w:szCs w:val="24"/>
        </w:rPr>
        <w:t xml:space="preserve"> - пациент</w:t>
      </w:r>
      <w:r w:rsidR="00161B73">
        <w:rPr>
          <w:rFonts w:ascii="Times New Roman" w:hAnsi="Times New Roman" w:cs="Times New Roman"/>
          <w:sz w:val="24"/>
          <w:szCs w:val="24"/>
        </w:rPr>
        <w:t>и</w:t>
      </w:r>
      <w:r w:rsidRPr="00215667">
        <w:rPr>
          <w:rFonts w:ascii="Times New Roman" w:hAnsi="Times New Roman" w:cs="Times New Roman"/>
          <w:sz w:val="24"/>
          <w:szCs w:val="24"/>
        </w:rPr>
        <w:t xml:space="preserve"> со</w:t>
      </w:r>
      <w:r w:rsidR="00161B73">
        <w:rPr>
          <w:rFonts w:ascii="Times New Roman" w:hAnsi="Times New Roman" w:cs="Times New Roman"/>
          <w:sz w:val="24"/>
          <w:szCs w:val="24"/>
        </w:rPr>
        <w:t xml:space="preserve"> дијагностицирана тромбоцитната </w:t>
      </w:r>
      <w:r w:rsidRPr="00215667">
        <w:rPr>
          <w:rFonts w:ascii="Times New Roman" w:hAnsi="Times New Roman" w:cs="Times New Roman"/>
          <w:sz w:val="24"/>
          <w:szCs w:val="24"/>
        </w:rPr>
        <w:t>хипоагрегабилност,</w:t>
      </w:r>
    </w:p>
    <w:p w14:paraId="590E8F4F" w14:textId="77777777" w:rsidR="001A1F41" w:rsidRDefault="00412474" w:rsidP="001A1F41">
      <w:pPr>
        <w:spacing w:line="360" w:lineRule="auto"/>
        <w:jc w:val="both"/>
        <w:rPr>
          <w:rFonts w:ascii="Times New Roman" w:hAnsi="Times New Roman" w:cs="Times New Roman"/>
          <w:sz w:val="24"/>
          <w:szCs w:val="24"/>
        </w:rPr>
      </w:pPr>
      <w:r w:rsidRPr="00161B73">
        <w:rPr>
          <w:rFonts w:ascii="Times New Roman" w:hAnsi="Times New Roman" w:cs="Times New Roman"/>
          <w:b/>
          <w:sz w:val="24"/>
          <w:szCs w:val="24"/>
        </w:rPr>
        <w:t xml:space="preserve">II група </w:t>
      </w:r>
      <w:r w:rsidRPr="00161B73">
        <w:rPr>
          <w:rFonts w:ascii="Times New Roman" w:hAnsi="Times New Roman" w:cs="Times New Roman"/>
          <w:sz w:val="24"/>
          <w:szCs w:val="24"/>
        </w:rPr>
        <w:t>- пациент</w:t>
      </w:r>
      <w:r w:rsidR="00161B73" w:rsidRPr="00161B73">
        <w:rPr>
          <w:rFonts w:ascii="Times New Roman" w:hAnsi="Times New Roman" w:cs="Times New Roman"/>
          <w:sz w:val="24"/>
          <w:szCs w:val="24"/>
        </w:rPr>
        <w:t>и</w:t>
      </w:r>
      <w:r w:rsidRPr="00161B73">
        <w:rPr>
          <w:rFonts w:ascii="Times New Roman" w:hAnsi="Times New Roman" w:cs="Times New Roman"/>
          <w:sz w:val="24"/>
          <w:szCs w:val="24"/>
        </w:rPr>
        <w:t xml:space="preserve"> кои примаат хронична орална</w:t>
      </w:r>
      <w:r w:rsidR="00161B73">
        <w:rPr>
          <w:rFonts w:ascii="Times New Roman" w:hAnsi="Times New Roman" w:cs="Times New Roman"/>
          <w:sz w:val="24"/>
          <w:szCs w:val="24"/>
        </w:rPr>
        <w:t xml:space="preserve"> </w:t>
      </w:r>
      <w:r w:rsidRPr="00161B73">
        <w:rPr>
          <w:rFonts w:ascii="Times New Roman" w:hAnsi="Times New Roman" w:cs="Times New Roman"/>
          <w:sz w:val="24"/>
          <w:szCs w:val="24"/>
        </w:rPr>
        <w:t>антикоагулантна/</w:t>
      </w:r>
      <w:r w:rsidR="00161B73">
        <w:rPr>
          <w:rFonts w:ascii="Times New Roman" w:hAnsi="Times New Roman" w:cs="Times New Roman"/>
          <w:sz w:val="24"/>
          <w:szCs w:val="24"/>
        </w:rPr>
        <w:t xml:space="preserve"> </w:t>
      </w:r>
      <w:r w:rsidRPr="00161B73">
        <w:rPr>
          <w:rFonts w:ascii="Times New Roman" w:hAnsi="Times New Roman" w:cs="Times New Roman"/>
          <w:sz w:val="24"/>
          <w:szCs w:val="24"/>
        </w:rPr>
        <w:t>антиагрегациска терапија; VKAs, DOC</w:t>
      </w:r>
      <w:bookmarkStart w:id="20" w:name="_Hlk154418209"/>
      <w:r w:rsidRPr="00161B73">
        <w:rPr>
          <w:rFonts w:ascii="Times New Roman" w:hAnsi="Times New Roman" w:cs="Times New Roman"/>
          <w:sz w:val="24"/>
          <w:szCs w:val="24"/>
        </w:rPr>
        <w:t>s</w:t>
      </w:r>
      <w:bookmarkEnd w:id="20"/>
      <w:r w:rsidRPr="00161B73">
        <w:rPr>
          <w:rFonts w:ascii="Times New Roman" w:hAnsi="Times New Roman" w:cs="Times New Roman"/>
          <w:sz w:val="24"/>
          <w:szCs w:val="24"/>
        </w:rPr>
        <w:t xml:space="preserve"> и NSAIDs лекови</w:t>
      </w:r>
      <w:r w:rsidR="00161B73">
        <w:rPr>
          <w:rFonts w:ascii="Times New Roman" w:hAnsi="Times New Roman" w:cs="Times New Roman"/>
          <w:sz w:val="24"/>
          <w:szCs w:val="24"/>
        </w:rPr>
        <w:t>,</w:t>
      </w:r>
    </w:p>
    <w:p w14:paraId="1BE4734F" w14:textId="77777777" w:rsidR="001A1F41" w:rsidRDefault="00412474" w:rsidP="001A1F41">
      <w:pPr>
        <w:spacing w:line="360" w:lineRule="auto"/>
        <w:jc w:val="both"/>
        <w:rPr>
          <w:rFonts w:ascii="Times New Roman" w:hAnsi="Times New Roman" w:cs="Times New Roman"/>
          <w:sz w:val="24"/>
          <w:szCs w:val="24"/>
        </w:rPr>
      </w:pPr>
      <w:r w:rsidRPr="00161B73">
        <w:rPr>
          <w:rFonts w:ascii="Times New Roman" w:hAnsi="Times New Roman" w:cs="Times New Roman"/>
          <w:b/>
          <w:sz w:val="24"/>
          <w:szCs w:val="24"/>
        </w:rPr>
        <w:t>III група</w:t>
      </w:r>
      <w:r w:rsidRPr="00215667">
        <w:rPr>
          <w:rFonts w:ascii="Times New Roman" w:hAnsi="Times New Roman" w:cs="Times New Roman"/>
          <w:sz w:val="24"/>
          <w:szCs w:val="24"/>
        </w:rPr>
        <w:t xml:space="preserve"> - пациент</w:t>
      </w:r>
      <w:r w:rsidR="00161B73">
        <w:rPr>
          <w:rFonts w:ascii="Times New Roman" w:hAnsi="Times New Roman" w:cs="Times New Roman"/>
          <w:sz w:val="24"/>
          <w:szCs w:val="24"/>
        </w:rPr>
        <w:t>и</w:t>
      </w:r>
      <w:r w:rsidRPr="00215667">
        <w:rPr>
          <w:rFonts w:ascii="Times New Roman" w:hAnsi="Times New Roman" w:cs="Times New Roman"/>
          <w:sz w:val="24"/>
          <w:szCs w:val="24"/>
        </w:rPr>
        <w:t xml:space="preserve"> ко</w:t>
      </w:r>
      <w:r w:rsidR="00161B73">
        <w:rPr>
          <w:rFonts w:ascii="Times New Roman" w:hAnsi="Times New Roman" w:cs="Times New Roman"/>
          <w:sz w:val="24"/>
          <w:szCs w:val="24"/>
        </w:rPr>
        <w:t>и</w:t>
      </w:r>
      <w:r w:rsidRPr="00215667">
        <w:rPr>
          <w:rFonts w:ascii="Times New Roman" w:hAnsi="Times New Roman" w:cs="Times New Roman"/>
          <w:sz w:val="24"/>
          <w:szCs w:val="24"/>
        </w:rPr>
        <w:t xml:space="preserve"> ја прекинале орална</w:t>
      </w:r>
      <w:r w:rsidR="00161B73">
        <w:rPr>
          <w:rFonts w:ascii="Times New Roman" w:hAnsi="Times New Roman" w:cs="Times New Roman"/>
          <w:sz w:val="24"/>
          <w:szCs w:val="24"/>
        </w:rPr>
        <w:t>та</w:t>
      </w:r>
      <w:r w:rsidRPr="00215667">
        <w:rPr>
          <w:rFonts w:ascii="Times New Roman" w:hAnsi="Times New Roman" w:cs="Times New Roman"/>
          <w:sz w:val="24"/>
          <w:szCs w:val="24"/>
        </w:rPr>
        <w:t xml:space="preserve"> антитромботична терапија пред интервенција според наводи на трансфузиолог</w:t>
      </w:r>
      <w:r w:rsidR="00161B73">
        <w:rPr>
          <w:rFonts w:ascii="Times New Roman" w:hAnsi="Times New Roman" w:cs="Times New Roman"/>
          <w:sz w:val="24"/>
          <w:szCs w:val="24"/>
        </w:rPr>
        <w:t>,</w:t>
      </w:r>
    </w:p>
    <w:p w14:paraId="0807E7F5" w14:textId="7ABC10FB" w:rsidR="00412474" w:rsidRPr="00215667" w:rsidRDefault="00412474" w:rsidP="001A1F41">
      <w:pPr>
        <w:spacing w:line="360" w:lineRule="auto"/>
        <w:jc w:val="both"/>
        <w:rPr>
          <w:rFonts w:ascii="Times New Roman" w:hAnsi="Times New Roman" w:cs="Times New Roman"/>
          <w:sz w:val="24"/>
          <w:szCs w:val="24"/>
        </w:rPr>
      </w:pPr>
      <w:r w:rsidRPr="00161B73">
        <w:rPr>
          <w:rFonts w:ascii="Times New Roman" w:hAnsi="Times New Roman" w:cs="Times New Roman"/>
          <w:b/>
          <w:sz w:val="24"/>
          <w:szCs w:val="24"/>
        </w:rPr>
        <w:t>IV група</w:t>
      </w:r>
      <w:r w:rsidRPr="00215667">
        <w:rPr>
          <w:rFonts w:ascii="Times New Roman" w:hAnsi="Times New Roman" w:cs="Times New Roman"/>
          <w:sz w:val="24"/>
          <w:szCs w:val="24"/>
        </w:rPr>
        <w:t xml:space="preserve"> </w:t>
      </w:r>
      <w:r w:rsidR="00161B73" w:rsidRPr="00215667">
        <w:rPr>
          <w:rFonts w:ascii="Times New Roman" w:hAnsi="Times New Roman" w:cs="Times New Roman"/>
          <w:sz w:val="24"/>
          <w:szCs w:val="24"/>
        </w:rPr>
        <w:t xml:space="preserve">- </w:t>
      </w:r>
      <w:r w:rsidRPr="00215667">
        <w:rPr>
          <w:rFonts w:ascii="Times New Roman" w:hAnsi="Times New Roman" w:cs="Times New Roman"/>
          <w:sz w:val="24"/>
          <w:szCs w:val="24"/>
        </w:rPr>
        <w:t xml:space="preserve">здрави, контролни пациенти. </w:t>
      </w:r>
    </w:p>
    <w:p w14:paraId="325A5C73" w14:textId="77777777" w:rsidR="00412474" w:rsidRPr="00215667" w:rsidRDefault="00412474" w:rsidP="00E152A1">
      <w:pPr>
        <w:pStyle w:val="NoSpacing"/>
        <w:spacing w:line="360" w:lineRule="auto"/>
        <w:rPr>
          <w:rFonts w:ascii="Times New Roman" w:hAnsi="Times New Roman" w:cs="Times New Roman"/>
          <w:sz w:val="24"/>
          <w:szCs w:val="24"/>
        </w:rPr>
      </w:pPr>
    </w:p>
    <w:p w14:paraId="4F997554" w14:textId="19A756C2" w:rsidR="00412474" w:rsidRPr="00215667" w:rsidRDefault="00412474" w:rsidP="00E152A1">
      <w:pPr>
        <w:pStyle w:val="Heading2"/>
        <w:spacing w:line="360" w:lineRule="auto"/>
        <w:jc w:val="both"/>
        <w:rPr>
          <w:rFonts w:ascii="Times New Roman" w:hAnsi="Times New Roman" w:cs="Times New Roman"/>
          <w:b/>
          <w:bCs/>
          <w:color w:val="000000" w:themeColor="text1"/>
          <w:sz w:val="24"/>
          <w:szCs w:val="24"/>
        </w:rPr>
      </w:pPr>
      <w:r w:rsidRPr="00215667">
        <w:rPr>
          <w:rFonts w:ascii="Times New Roman" w:hAnsi="Times New Roman" w:cs="Times New Roman"/>
          <w:b/>
          <w:bCs/>
          <w:color w:val="000000" w:themeColor="text1"/>
          <w:sz w:val="24"/>
          <w:szCs w:val="24"/>
        </w:rPr>
        <w:lastRenderedPageBreak/>
        <w:t xml:space="preserve"> </w:t>
      </w:r>
      <w:bookmarkStart w:id="21" w:name="_Toc209005151"/>
      <w:r w:rsidRPr="00215667">
        <w:rPr>
          <w:rFonts w:ascii="Times New Roman" w:hAnsi="Times New Roman" w:cs="Times New Roman"/>
          <w:b/>
          <w:bCs/>
          <w:color w:val="000000" w:themeColor="text1"/>
          <w:sz w:val="24"/>
          <w:szCs w:val="24"/>
        </w:rPr>
        <w:t>Алгоритам за предоперативна припрема на пациентите</w:t>
      </w:r>
      <w:bookmarkEnd w:id="21"/>
    </w:p>
    <w:p w14:paraId="4D36F147" w14:textId="77777777" w:rsidR="00412474" w:rsidRPr="00215667" w:rsidRDefault="00412474" w:rsidP="00E152A1">
      <w:pPr>
        <w:pStyle w:val="NoSpacing"/>
        <w:spacing w:line="360" w:lineRule="auto"/>
        <w:rPr>
          <w:rFonts w:ascii="Times New Roman" w:hAnsi="Times New Roman" w:cs="Times New Roman"/>
          <w:i/>
          <w:iCs/>
          <w:sz w:val="24"/>
          <w:szCs w:val="24"/>
        </w:rPr>
      </w:pPr>
    </w:p>
    <w:p w14:paraId="4FD321DC" w14:textId="51C742CB"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Врз основа на анамнезата, клиничкиот преглед и Rtg ортопантомограмот, се поста</w:t>
      </w:r>
      <w:r w:rsidR="00161B73">
        <w:rPr>
          <w:rFonts w:ascii="Times New Roman" w:hAnsi="Times New Roman" w:cs="Times New Roman"/>
          <w:sz w:val="24"/>
          <w:szCs w:val="24"/>
        </w:rPr>
        <w:t>вува индика</w:t>
      </w:r>
      <w:r w:rsidRPr="00215667">
        <w:rPr>
          <w:rFonts w:ascii="Times New Roman" w:hAnsi="Times New Roman" w:cs="Times New Roman"/>
          <w:sz w:val="24"/>
          <w:szCs w:val="24"/>
        </w:rPr>
        <w:t>ција за дентоалвеоларна хирургија која е категоризирана како: едноставна екстракција на заб (отстранет заб без трауматизирање на околната алвеоларна коска) или дентоалвеоларна хирургија (со подигање на мукопериостал</w:t>
      </w:r>
      <w:r w:rsidR="00161B73">
        <w:rPr>
          <w:rFonts w:ascii="Times New Roman" w:hAnsi="Times New Roman" w:cs="Times New Roman"/>
          <w:sz w:val="24"/>
          <w:szCs w:val="24"/>
        </w:rPr>
        <w:t>ен</w:t>
      </w:r>
      <w:r w:rsidRPr="00215667">
        <w:rPr>
          <w:rFonts w:ascii="Times New Roman" w:hAnsi="Times New Roman" w:cs="Times New Roman"/>
          <w:sz w:val="24"/>
          <w:szCs w:val="24"/>
        </w:rPr>
        <w:t xml:space="preserve"> флап и дефекти на алвеоларната коска, најчесто екстракција на трет молар). </w:t>
      </w:r>
    </w:p>
    <w:p w14:paraId="71C6D26E" w14:textId="77777777" w:rsidR="00412474" w:rsidRPr="00215667" w:rsidRDefault="00412474" w:rsidP="00E152A1">
      <w:pPr>
        <w:pStyle w:val="NoSpacing"/>
        <w:spacing w:line="360" w:lineRule="auto"/>
        <w:rPr>
          <w:rFonts w:ascii="Times New Roman" w:hAnsi="Times New Roman" w:cs="Times New Roman"/>
          <w:sz w:val="24"/>
          <w:szCs w:val="24"/>
        </w:rPr>
      </w:pPr>
    </w:p>
    <w:p w14:paraId="7383BA2C" w14:textId="3C99DDE5" w:rsidR="00412474" w:rsidRPr="00215667" w:rsidRDefault="00412474" w:rsidP="00E152A1">
      <w:pPr>
        <w:spacing w:after="0" w:line="360" w:lineRule="auto"/>
        <w:ind w:firstLine="720"/>
        <w:jc w:val="both"/>
        <w:rPr>
          <w:rFonts w:ascii="Times New Roman" w:hAnsi="Times New Roman" w:cs="Times New Roman"/>
          <w:sz w:val="24"/>
          <w:szCs w:val="24"/>
        </w:rPr>
      </w:pPr>
      <w:bookmarkStart w:id="22" w:name="_Hlk154425213"/>
      <w:r w:rsidRPr="00215667">
        <w:rPr>
          <w:rFonts w:ascii="Times New Roman" w:hAnsi="Times New Roman" w:cs="Times New Roman"/>
          <w:sz w:val="24"/>
          <w:szCs w:val="24"/>
        </w:rPr>
        <w:t xml:space="preserve">Варијабли во предоперативната припрема </w:t>
      </w:r>
      <w:bookmarkEnd w:id="22"/>
      <w:r w:rsidRPr="00215667">
        <w:rPr>
          <w:rFonts w:ascii="Times New Roman" w:hAnsi="Times New Roman" w:cs="Times New Roman"/>
          <w:sz w:val="24"/>
          <w:szCs w:val="24"/>
        </w:rPr>
        <w:t>се: возраст, пол, локација на изваден заб, број на екстракции или вид на дентоалвеоларна хирургија, лаб</w:t>
      </w:r>
      <w:r w:rsidR="00161B73">
        <w:rPr>
          <w:rFonts w:ascii="Times New Roman" w:hAnsi="Times New Roman" w:cs="Times New Roman"/>
          <w:sz w:val="24"/>
          <w:szCs w:val="24"/>
        </w:rPr>
        <w:t xml:space="preserve">ораториски </w:t>
      </w:r>
      <w:r w:rsidRPr="00215667">
        <w:rPr>
          <w:rFonts w:ascii="Times New Roman" w:hAnsi="Times New Roman" w:cs="Times New Roman"/>
          <w:sz w:val="24"/>
          <w:szCs w:val="24"/>
        </w:rPr>
        <w:t>тестови.</w:t>
      </w:r>
    </w:p>
    <w:p w14:paraId="1F8A1FB3" w14:textId="77777777" w:rsidR="00412474" w:rsidRPr="00215667" w:rsidRDefault="00412474" w:rsidP="00E152A1">
      <w:pPr>
        <w:pStyle w:val="NoSpacing"/>
        <w:spacing w:line="360" w:lineRule="auto"/>
        <w:rPr>
          <w:rFonts w:ascii="Times New Roman" w:hAnsi="Times New Roman" w:cs="Times New Roman"/>
          <w:sz w:val="24"/>
          <w:szCs w:val="24"/>
        </w:rPr>
      </w:pPr>
    </w:p>
    <w:p w14:paraId="10EED74B" w14:textId="1A9D75DD" w:rsidR="00412474" w:rsidRPr="00215667" w:rsidRDefault="00D80713" w:rsidP="00E152A1">
      <w:pPr>
        <w:pStyle w:val="NoSpacing"/>
        <w:spacing w:line="360" w:lineRule="auto"/>
        <w:rPr>
          <w:rFonts w:ascii="Times New Roman" w:hAnsi="Times New Roman" w:cs="Times New Roman"/>
          <w:i/>
          <w:iCs/>
          <w:sz w:val="24"/>
          <w:szCs w:val="24"/>
        </w:rPr>
      </w:pPr>
      <w:r>
        <w:rPr>
          <w:rFonts w:ascii="Times New Roman" w:hAnsi="Times New Roman" w:cs="Times New Roman"/>
          <w:i/>
          <w:iCs/>
          <w:sz w:val="24"/>
          <w:szCs w:val="24"/>
        </w:rPr>
        <w:t>Лабораториски</w:t>
      </w:r>
      <w:r w:rsidR="00412474" w:rsidRPr="00215667">
        <w:rPr>
          <w:rFonts w:ascii="Times New Roman" w:hAnsi="Times New Roman" w:cs="Times New Roman"/>
          <w:i/>
          <w:iCs/>
          <w:sz w:val="24"/>
          <w:szCs w:val="24"/>
        </w:rPr>
        <w:t xml:space="preserve"> тестови </w:t>
      </w:r>
    </w:p>
    <w:p w14:paraId="35C613BD" w14:textId="77777777" w:rsidR="00412474" w:rsidRPr="00215667" w:rsidRDefault="00412474" w:rsidP="00E152A1">
      <w:pPr>
        <w:pStyle w:val="NoSpacing"/>
        <w:spacing w:line="360" w:lineRule="auto"/>
        <w:rPr>
          <w:rFonts w:ascii="Times New Roman" w:hAnsi="Times New Roman" w:cs="Times New Roman"/>
          <w:sz w:val="24"/>
          <w:szCs w:val="24"/>
        </w:rPr>
      </w:pPr>
    </w:p>
    <w:p w14:paraId="662517EC" w14:textId="306D7B15" w:rsidR="00E152A1" w:rsidRDefault="00161B73" w:rsidP="00E152A1">
      <w:pPr>
        <w:pStyle w:val="NoSpacing"/>
        <w:spacing w:line="276" w:lineRule="auto"/>
        <w:jc w:val="center"/>
        <w:rPr>
          <w:rFonts w:ascii="Times New Roman" w:hAnsi="Times New Roman" w:cs="Times New Roman"/>
          <w:sz w:val="24"/>
          <w:szCs w:val="24"/>
        </w:rPr>
      </w:pPr>
      <w:r>
        <w:rPr>
          <w:rFonts w:ascii="Times New Roman" w:hAnsi="Times New Roman" w:cs="Times New Roman"/>
          <w:sz w:val="24"/>
          <w:szCs w:val="24"/>
        </w:rPr>
        <w:t>Слика бр</w:t>
      </w:r>
      <w:r w:rsidR="000C0052">
        <w:rPr>
          <w:rFonts w:ascii="Times New Roman" w:hAnsi="Times New Roman" w:cs="Times New Roman"/>
          <w:sz w:val="24"/>
          <w:szCs w:val="24"/>
          <w:lang w:val="en-US"/>
        </w:rPr>
        <w:t>.</w:t>
      </w:r>
      <w:r>
        <w:rPr>
          <w:rFonts w:ascii="Times New Roman" w:hAnsi="Times New Roman" w:cs="Times New Roman"/>
          <w:sz w:val="24"/>
          <w:szCs w:val="24"/>
        </w:rPr>
        <w:t xml:space="preserve"> 2-</w:t>
      </w:r>
      <w:r w:rsidR="00412474" w:rsidRPr="00215667">
        <w:rPr>
          <w:rFonts w:ascii="Times New Roman" w:hAnsi="Times New Roman" w:cs="Times New Roman"/>
          <w:sz w:val="24"/>
          <w:szCs w:val="24"/>
        </w:rPr>
        <w:t xml:space="preserve"> </w:t>
      </w:r>
      <w:r w:rsidR="00D80713">
        <w:rPr>
          <w:rFonts w:ascii="Times New Roman" w:hAnsi="Times New Roman" w:cs="Times New Roman"/>
          <w:sz w:val="24"/>
          <w:szCs w:val="24"/>
        </w:rPr>
        <w:t>Лабораториски</w:t>
      </w:r>
      <w:r w:rsidR="00412474" w:rsidRPr="00215667">
        <w:rPr>
          <w:rFonts w:ascii="Times New Roman" w:hAnsi="Times New Roman" w:cs="Times New Roman"/>
          <w:sz w:val="24"/>
          <w:szCs w:val="24"/>
        </w:rPr>
        <w:t xml:space="preserve"> тестови, начин на земање примерок крв за анализа; видови </w:t>
      </w:r>
      <w:r w:rsidR="00D80713">
        <w:rPr>
          <w:rFonts w:ascii="Times New Roman" w:hAnsi="Times New Roman" w:cs="Times New Roman"/>
          <w:sz w:val="24"/>
          <w:szCs w:val="24"/>
        </w:rPr>
        <w:t>лабораториски</w:t>
      </w:r>
      <w:r w:rsidR="00412474" w:rsidRPr="00215667">
        <w:rPr>
          <w:rFonts w:ascii="Times New Roman" w:hAnsi="Times New Roman" w:cs="Times New Roman"/>
          <w:sz w:val="24"/>
          <w:szCs w:val="24"/>
        </w:rPr>
        <w:t xml:space="preserve"> тестови според индикации за потврдување на дијагноза, </w:t>
      </w:r>
    </w:p>
    <w:p w14:paraId="0AF01C0B" w14:textId="75A61F30" w:rsidR="00412474" w:rsidRPr="00215667" w:rsidRDefault="00412474" w:rsidP="00E152A1">
      <w:pPr>
        <w:pStyle w:val="NoSpacing"/>
        <w:spacing w:line="276" w:lineRule="auto"/>
        <w:jc w:val="center"/>
        <w:rPr>
          <w:rFonts w:ascii="Times New Roman" w:hAnsi="Times New Roman" w:cs="Times New Roman"/>
          <w:sz w:val="24"/>
          <w:szCs w:val="24"/>
        </w:rPr>
      </w:pPr>
      <w:r w:rsidRPr="00215667">
        <w:rPr>
          <w:rFonts w:ascii="Times New Roman" w:hAnsi="Times New Roman" w:cs="Times New Roman"/>
          <w:sz w:val="24"/>
          <w:szCs w:val="24"/>
        </w:rPr>
        <w:t xml:space="preserve">методологија на изведување на </w:t>
      </w:r>
      <w:r w:rsidR="00D80713">
        <w:rPr>
          <w:rFonts w:ascii="Times New Roman" w:hAnsi="Times New Roman" w:cs="Times New Roman"/>
          <w:sz w:val="24"/>
          <w:szCs w:val="24"/>
        </w:rPr>
        <w:t>лабораториски</w:t>
      </w:r>
      <w:r w:rsidRPr="00215667">
        <w:rPr>
          <w:rFonts w:ascii="Times New Roman" w:hAnsi="Times New Roman" w:cs="Times New Roman"/>
          <w:sz w:val="24"/>
          <w:szCs w:val="24"/>
        </w:rPr>
        <w:t xml:space="preserve"> тестови и р</w:t>
      </w:r>
      <w:r w:rsidR="00161B73">
        <w:rPr>
          <w:rFonts w:ascii="Times New Roman" w:hAnsi="Times New Roman" w:cs="Times New Roman"/>
          <w:sz w:val="24"/>
          <w:szCs w:val="24"/>
        </w:rPr>
        <w:t>еферентни вредности за поединечни варијабилни параметри</w:t>
      </w:r>
    </w:p>
    <w:tbl>
      <w:tblPr>
        <w:tblStyle w:val="TableGrid"/>
        <w:tblpPr w:leftFromText="180" w:rightFromText="180" w:vertAnchor="text" w:horzAnchor="margin" w:tblpY="-713"/>
        <w:tblW w:w="9085" w:type="dxa"/>
        <w:tblLook w:val="04A0" w:firstRow="1" w:lastRow="0" w:firstColumn="1" w:lastColumn="0" w:noHBand="0" w:noVBand="1"/>
      </w:tblPr>
      <w:tblGrid>
        <w:gridCol w:w="4675"/>
        <w:gridCol w:w="4410"/>
      </w:tblGrid>
      <w:tr w:rsidR="00412474" w:rsidRPr="00215667" w14:paraId="529483E9" w14:textId="77777777" w:rsidTr="00435E3A">
        <w:trPr>
          <w:trHeight w:val="1008"/>
        </w:trPr>
        <w:tc>
          <w:tcPr>
            <w:tcW w:w="9085" w:type="dxa"/>
            <w:gridSpan w:val="2"/>
          </w:tcPr>
          <w:p w14:paraId="3870986E" w14:textId="2F816F6C" w:rsidR="00412474" w:rsidRPr="00215667" w:rsidRDefault="00412474" w:rsidP="00FD7C2A">
            <w:pPr>
              <w:spacing w:after="160"/>
              <w:jc w:val="both"/>
              <w:rPr>
                <w:rFonts w:ascii="Times New Roman" w:hAnsi="Times New Roman" w:cs="Times New Roman"/>
                <w:i/>
                <w:iCs/>
                <w:sz w:val="24"/>
                <w:szCs w:val="24"/>
              </w:rPr>
            </w:pPr>
            <w:r w:rsidRPr="00215667">
              <w:rPr>
                <w:rFonts w:ascii="Times New Roman" w:hAnsi="Times New Roman" w:cs="Times New Roman"/>
                <w:sz w:val="24"/>
                <w:szCs w:val="24"/>
              </w:rPr>
              <w:lastRenderedPageBreak/>
              <w:t>Контејнер: Четири (4) епрувети со сино капаче (3,2</w:t>
            </w:r>
            <w:r w:rsidR="00161B73">
              <w:rPr>
                <w:rFonts w:ascii="Times New Roman" w:hAnsi="Times New Roman" w:cs="Times New Roman"/>
                <w:sz w:val="24"/>
                <w:szCs w:val="24"/>
              </w:rPr>
              <w:t xml:space="preserve"> </w:t>
            </w:r>
            <w:r w:rsidRPr="00215667">
              <w:rPr>
                <w:rFonts w:ascii="Times New Roman" w:hAnsi="Times New Roman" w:cs="Times New Roman"/>
                <w:sz w:val="24"/>
                <w:szCs w:val="24"/>
              </w:rPr>
              <w:t xml:space="preserve">% натриум-цитрат) и една (1) </w:t>
            </w:r>
            <w:r w:rsidR="00161B73" w:rsidRPr="00215667">
              <w:rPr>
                <w:rFonts w:ascii="Times New Roman" w:hAnsi="Times New Roman" w:cs="Times New Roman"/>
                <w:sz w:val="24"/>
                <w:szCs w:val="24"/>
              </w:rPr>
              <w:t xml:space="preserve"> епрувет</w:t>
            </w:r>
            <w:r w:rsidR="00161B73">
              <w:rPr>
                <w:rFonts w:ascii="Times New Roman" w:hAnsi="Times New Roman" w:cs="Times New Roman"/>
                <w:sz w:val="24"/>
                <w:szCs w:val="24"/>
              </w:rPr>
              <w:t>а</w:t>
            </w:r>
            <w:r w:rsidR="00161B73" w:rsidRPr="00215667">
              <w:rPr>
                <w:rFonts w:ascii="Times New Roman" w:hAnsi="Times New Roman" w:cs="Times New Roman"/>
                <w:sz w:val="24"/>
                <w:szCs w:val="24"/>
              </w:rPr>
              <w:t xml:space="preserve"> </w:t>
            </w:r>
            <w:r w:rsidRPr="00215667">
              <w:rPr>
                <w:rFonts w:ascii="Times New Roman" w:hAnsi="Times New Roman" w:cs="Times New Roman"/>
                <w:sz w:val="24"/>
                <w:szCs w:val="24"/>
              </w:rPr>
              <w:t>со виолетово капаче. Големината на иглата треба да биде 19–21. Рутинска венска пункција; да се фрли 1-виот мл крв или да се собер</w:t>
            </w:r>
            <w:r w:rsidR="00FD7C2A">
              <w:rPr>
                <w:rFonts w:ascii="Times New Roman" w:hAnsi="Times New Roman" w:cs="Times New Roman"/>
                <w:sz w:val="24"/>
                <w:szCs w:val="24"/>
              </w:rPr>
              <w:t>е во</w:t>
            </w:r>
            <w:r w:rsidRPr="00215667">
              <w:rPr>
                <w:rFonts w:ascii="Times New Roman" w:hAnsi="Times New Roman" w:cs="Times New Roman"/>
                <w:sz w:val="24"/>
                <w:szCs w:val="24"/>
              </w:rPr>
              <w:t xml:space="preserve"> други епрувети (EDTA, со црвен врв) пред да ги собереме епруветите со примероците на крв. Веднаш да се превртат епруветите нежно најмалку 4 пати за да се измешаат</w:t>
            </w:r>
            <w:r w:rsidR="00FD7C2A">
              <w:rPr>
                <w:rFonts w:ascii="Times New Roman" w:hAnsi="Times New Roman" w:cs="Times New Roman"/>
                <w:sz w:val="24"/>
                <w:szCs w:val="24"/>
              </w:rPr>
              <w:t>.</w:t>
            </w:r>
          </w:p>
        </w:tc>
      </w:tr>
      <w:tr w:rsidR="00412474" w:rsidRPr="00215667" w14:paraId="4A79CDD7" w14:textId="77777777" w:rsidTr="00435E3A">
        <w:tc>
          <w:tcPr>
            <w:tcW w:w="4675" w:type="dxa"/>
          </w:tcPr>
          <w:p w14:paraId="26955438" w14:textId="732F6AEC" w:rsidR="00412474" w:rsidRPr="00215667" w:rsidRDefault="00FD7C2A" w:rsidP="00435E3A">
            <w:pPr>
              <w:spacing w:after="160"/>
              <w:rPr>
                <w:rFonts w:ascii="Times New Roman" w:hAnsi="Times New Roman" w:cs="Times New Roman"/>
                <w:i/>
                <w:iCs/>
                <w:sz w:val="24"/>
                <w:szCs w:val="24"/>
              </w:rPr>
            </w:pPr>
            <w:r>
              <w:rPr>
                <w:rFonts w:ascii="Times New Roman" w:hAnsi="Times New Roman" w:cs="Times New Roman"/>
                <w:sz w:val="24"/>
                <w:szCs w:val="24"/>
              </w:rPr>
              <w:t xml:space="preserve"> Складирање/Транспорт</w:t>
            </w:r>
          </w:p>
        </w:tc>
        <w:tc>
          <w:tcPr>
            <w:tcW w:w="4410" w:type="dxa"/>
          </w:tcPr>
          <w:p w14:paraId="49CCA243" w14:textId="77777777" w:rsidR="00412474" w:rsidRPr="00215667" w:rsidRDefault="00412474" w:rsidP="00435E3A">
            <w:pPr>
              <w:spacing w:after="160"/>
              <w:rPr>
                <w:rFonts w:ascii="Times New Roman" w:hAnsi="Times New Roman" w:cs="Times New Roman"/>
                <w:i/>
                <w:iCs/>
                <w:sz w:val="24"/>
                <w:szCs w:val="24"/>
              </w:rPr>
            </w:pPr>
            <w:r w:rsidRPr="00215667">
              <w:rPr>
                <w:rFonts w:ascii="Times New Roman" w:hAnsi="Times New Roman" w:cs="Times New Roman"/>
                <w:sz w:val="24"/>
                <w:szCs w:val="24"/>
              </w:rPr>
              <w:t>Примерокот се чува на собна температура, не се става во фрижидер или замрзнувач (тромбоцитите се активираат на ладна температура).</w:t>
            </w:r>
          </w:p>
        </w:tc>
      </w:tr>
      <w:tr w:rsidR="00412474" w:rsidRPr="00215667" w14:paraId="00595CE2" w14:textId="77777777" w:rsidTr="00435E3A">
        <w:tc>
          <w:tcPr>
            <w:tcW w:w="4675" w:type="dxa"/>
          </w:tcPr>
          <w:p w14:paraId="3DDA815B" w14:textId="225D48D1"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Подгото</w:t>
            </w:r>
            <w:r w:rsidR="00FD7C2A">
              <w:rPr>
                <w:rFonts w:ascii="Times New Roman" w:hAnsi="Times New Roman" w:cs="Times New Roman"/>
                <w:sz w:val="24"/>
                <w:szCs w:val="24"/>
              </w:rPr>
              <w:t>вка и стабилност на примерокот</w:t>
            </w:r>
          </w:p>
        </w:tc>
        <w:tc>
          <w:tcPr>
            <w:tcW w:w="4410" w:type="dxa"/>
          </w:tcPr>
          <w:p w14:paraId="02A14825" w14:textId="78AA2EF2"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Примерокот мора да се достави во лабораторија во рок од 1 час по венепункција</w:t>
            </w:r>
            <w:r w:rsidR="00FD7C2A">
              <w:rPr>
                <w:rFonts w:ascii="Times New Roman" w:hAnsi="Times New Roman" w:cs="Times New Roman"/>
                <w:sz w:val="24"/>
                <w:szCs w:val="24"/>
              </w:rPr>
              <w:t>та</w:t>
            </w:r>
            <w:r w:rsidRPr="00215667">
              <w:rPr>
                <w:rFonts w:ascii="Times New Roman" w:hAnsi="Times New Roman" w:cs="Times New Roman"/>
                <w:sz w:val="24"/>
                <w:szCs w:val="24"/>
              </w:rPr>
              <w:t>; се чува на собна температура (20-25</w:t>
            </w:r>
            <w:r w:rsidR="00FD7C2A">
              <w:rPr>
                <w:rFonts w:ascii="Times New Roman" w:hAnsi="Times New Roman" w:cs="Times New Roman"/>
                <w:sz w:val="24"/>
                <w:szCs w:val="24"/>
              </w:rPr>
              <w:t xml:space="preserve"> </w:t>
            </w:r>
            <w:r w:rsidRPr="00215667">
              <w:rPr>
                <w:rFonts w:ascii="Times New Roman" w:hAnsi="Times New Roman" w:cs="Times New Roman"/>
                <w:sz w:val="24"/>
                <w:szCs w:val="24"/>
              </w:rPr>
              <w:t xml:space="preserve">°C) 3–4 часа; </w:t>
            </w:r>
          </w:p>
        </w:tc>
      </w:tr>
      <w:tr w:rsidR="00412474" w:rsidRPr="00215667" w14:paraId="3F944795" w14:textId="77777777" w:rsidTr="00435E3A">
        <w:trPr>
          <w:trHeight w:val="2064"/>
        </w:trPr>
        <w:tc>
          <w:tcPr>
            <w:tcW w:w="4675" w:type="dxa"/>
          </w:tcPr>
          <w:p w14:paraId="7F4CE85F" w14:textId="38DD4C30"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Референтни вредности на варијабилните параметри кај пациенти с</w:t>
            </w:r>
            <w:r w:rsidR="00FD7C2A">
              <w:rPr>
                <w:rFonts w:ascii="Times New Roman" w:hAnsi="Times New Roman" w:cs="Times New Roman"/>
                <w:sz w:val="24"/>
                <w:szCs w:val="24"/>
              </w:rPr>
              <w:t>о тромбоцитна хипоагрегабилност</w:t>
            </w:r>
          </w:p>
        </w:tc>
        <w:tc>
          <w:tcPr>
            <w:tcW w:w="4410" w:type="dxa"/>
          </w:tcPr>
          <w:p w14:paraId="447B8409" w14:textId="77777777" w:rsidR="00412474" w:rsidRPr="00215667" w:rsidRDefault="00412474" w:rsidP="00435E3A">
            <w:pPr>
              <w:pStyle w:val="NoSpacing"/>
              <w:rPr>
                <w:rFonts w:ascii="Times New Roman" w:hAnsi="Times New Roman" w:cs="Times New Roman"/>
                <w:sz w:val="24"/>
                <w:szCs w:val="24"/>
              </w:rPr>
            </w:pPr>
            <w:r w:rsidRPr="00215667">
              <w:rPr>
                <w:rFonts w:ascii="Times New Roman" w:hAnsi="Times New Roman" w:cs="Times New Roman"/>
                <w:sz w:val="24"/>
                <w:szCs w:val="24"/>
              </w:rPr>
              <w:t>Финална агрегација % е пријавена за секој тестиран агонист:</w:t>
            </w:r>
          </w:p>
          <w:p w14:paraId="51851CC5" w14:textId="6D8CDD38" w:rsidR="00412474" w:rsidRPr="00215667" w:rsidRDefault="00412474" w:rsidP="00435E3A">
            <w:pPr>
              <w:pStyle w:val="NoSpacing"/>
              <w:rPr>
                <w:rFonts w:ascii="Times New Roman" w:hAnsi="Times New Roman" w:cs="Times New Roman"/>
                <w:sz w:val="24"/>
                <w:szCs w:val="24"/>
              </w:rPr>
            </w:pPr>
            <w:r w:rsidRPr="00215667">
              <w:rPr>
                <w:rFonts w:ascii="Times New Roman" w:hAnsi="Times New Roman" w:cs="Times New Roman"/>
                <w:sz w:val="24"/>
                <w:szCs w:val="24"/>
              </w:rPr>
              <w:t>ADP оптички %                 </w:t>
            </w:r>
            <w:r w:rsidR="00FD7C2A">
              <w:rPr>
                <w:rFonts w:ascii="Times New Roman" w:hAnsi="Times New Roman" w:cs="Times New Roman"/>
                <w:sz w:val="24"/>
                <w:szCs w:val="24"/>
              </w:rPr>
              <w:t>      </w:t>
            </w:r>
            <w:r w:rsidRPr="00215667">
              <w:rPr>
                <w:rFonts w:ascii="Times New Roman" w:hAnsi="Times New Roman" w:cs="Times New Roman"/>
                <w:sz w:val="24"/>
                <w:szCs w:val="24"/>
              </w:rPr>
              <w:t>69-88        </w:t>
            </w:r>
          </w:p>
          <w:p w14:paraId="7AAD80B0" w14:textId="75D2279D" w:rsidR="00412474" w:rsidRPr="00215667" w:rsidRDefault="00FD7C2A" w:rsidP="00435E3A">
            <w:pPr>
              <w:pStyle w:val="NoSpacing"/>
              <w:rPr>
                <w:rFonts w:ascii="Times New Roman" w:hAnsi="Times New Roman" w:cs="Times New Roman"/>
                <w:sz w:val="24"/>
                <w:szCs w:val="24"/>
              </w:rPr>
            </w:pPr>
            <w:r>
              <w:rPr>
                <w:rFonts w:ascii="Times New Roman" w:hAnsi="Times New Roman" w:cs="Times New Roman"/>
                <w:sz w:val="24"/>
                <w:szCs w:val="24"/>
              </w:rPr>
              <w:t>колаген оптички %                  </w:t>
            </w:r>
            <w:r w:rsidR="00412474" w:rsidRPr="00215667">
              <w:rPr>
                <w:rFonts w:ascii="Times New Roman" w:hAnsi="Times New Roman" w:cs="Times New Roman"/>
                <w:sz w:val="24"/>
                <w:szCs w:val="24"/>
              </w:rPr>
              <w:t>70-94</w:t>
            </w:r>
          </w:p>
          <w:p w14:paraId="6D2ED8F2" w14:textId="32F3BF49" w:rsidR="00412474" w:rsidRPr="00215667" w:rsidRDefault="00FD7C2A" w:rsidP="00435E3A">
            <w:pPr>
              <w:pStyle w:val="NoSpacing"/>
              <w:rPr>
                <w:rFonts w:ascii="Times New Roman" w:hAnsi="Times New Roman" w:cs="Times New Roman"/>
                <w:sz w:val="24"/>
                <w:szCs w:val="24"/>
              </w:rPr>
            </w:pPr>
            <w:r>
              <w:rPr>
                <w:rFonts w:ascii="Times New Roman" w:hAnsi="Times New Roman" w:cs="Times New Roman"/>
                <w:sz w:val="24"/>
                <w:szCs w:val="24"/>
              </w:rPr>
              <w:t>ристоцетин оптички %            </w:t>
            </w:r>
            <w:r w:rsidR="00412474" w:rsidRPr="00215667">
              <w:rPr>
                <w:rFonts w:ascii="Times New Roman" w:hAnsi="Times New Roman" w:cs="Times New Roman"/>
                <w:sz w:val="24"/>
                <w:szCs w:val="24"/>
              </w:rPr>
              <w:t>87-102%</w:t>
            </w:r>
          </w:p>
          <w:p w14:paraId="3945A33E" w14:textId="2C23BF4A" w:rsidR="00412474" w:rsidRPr="00215667" w:rsidRDefault="00412474" w:rsidP="00FD7C2A">
            <w:pPr>
              <w:pStyle w:val="NoSpacing"/>
              <w:rPr>
                <w:rFonts w:ascii="Times New Roman" w:hAnsi="Times New Roman" w:cs="Times New Roman"/>
                <w:i/>
                <w:sz w:val="24"/>
                <w:szCs w:val="24"/>
              </w:rPr>
            </w:pPr>
            <w:r w:rsidRPr="00215667">
              <w:rPr>
                <w:rFonts w:ascii="Times New Roman" w:hAnsi="Times New Roman" w:cs="Times New Roman"/>
                <w:sz w:val="24"/>
                <w:szCs w:val="24"/>
              </w:rPr>
              <w:t xml:space="preserve">Комплетна крвна слика, број на тромбоцити, протромбинско време (РТ); парцијално тромбопластинско време (рTT), фактори на коагулација, </w:t>
            </w:r>
            <w:r w:rsidR="00FD7C2A" w:rsidRPr="00FD7C2A">
              <w:rPr>
                <w:rFonts w:ascii="Times New Roman" w:hAnsi="Times New Roman" w:cs="Times New Roman"/>
                <w:i/>
                <w:iCs/>
                <w:sz w:val="24"/>
                <w:szCs w:val="24"/>
              </w:rPr>
              <w:t xml:space="preserve"> von Willebrand</w:t>
            </w:r>
            <w:r w:rsidR="00FD7C2A" w:rsidRPr="00215667">
              <w:rPr>
                <w:rFonts w:ascii="Times New Roman" w:hAnsi="Times New Roman" w:cs="Times New Roman"/>
                <w:sz w:val="24"/>
                <w:szCs w:val="24"/>
              </w:rPr>
              <w:t xml:space="preserve"> </w:t>
            </w:r>
            <w:r w:rsidRPr="00215667">
              <w:rPr>
                <w:rFonts w:ascii="Times New Roman" w:hAnsi="Times New Roman" w:cs="Times New Roman"/>
                <w:sz w:val="24"/>
                <w:szCs w:val="24"/>
              </w:rPr>
              <w:t>фактор (VWF), ADP, колаген и ристоцетин</w:t>
            </w:r>
          </w:p>
        </w:tc>
      </w:tr>
      <w:tr w:rsidR="00412474" w:rsidRPr="00215667" w14:paraId="3E67F6E3" w14:textId="77777777" w:rsidTr="00435E3A">
        <w:tc>
          <w:tcPr>
            <w:tcW w:w="4675" w:type="dxa"/>
          </w:tcPr>
          <w:p w14:paraId="368AF29A" w14:textId="08926B4E"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Вре</w:t>
            </w:r>
            <w:r w:rsidR="00FD7C2A">
              <w:rPr>
                <w:rFonts w:ascii="Times New Roman" w:hAnsi="Times New Roman" w:cs="Times New Roman"/>
                <w:sz w:val="24"/>
                <w:szCs w:val="24"/>
              </w:rPr>
              <w:t>ме и методологија на обработка:</w:t>
            </w:r>
          </w:p>
        </w:tc>
        <w:tc>
          <w:tcPr>
            <w:tcW w:w="4410" w:type="dxa"/>
          </w:tcPr>
          <w:p w14:paraId="0B89BEC3" w14:textId="7B4153BF" w:rsidR="00412474" w:rsidRPr="00215667" w:rsidRDefault="00412474" w:rsidP="00FD7C2A">
            <w:pPr>
              <w:spacing w:after="160"/>
              <w:rPr>
                <w:rFonts w:ascii="Times New Roman" w:hAnsi="Times New Roman" w:cs="Times New Roman"/>
                <w:i/>
                <w:iCs/>
                <w:sz w:val="24"/>
                <w:szCs w:val="24"/>
              </w:rPr>
            </w:pPr>
            <w:r w:rsidRPr="00215667">
              <w:rPr>
                <w:rFonts w:ascii="Times New Roman" w:hAnsi="Times New Roman" w:cs="Times New Roman"/>
                <w:iCs/>
                <w:sz w:val="24"/>
                <w:szCs w:val="24"/>
              </w:rPr>
              <w:t xml:space="preserve">24 - 48 часа фотооптичка детекција со </w:t>
            </w:r>
            <w:r w:rsidRPr="00FD7C2A">
              <w:rPr>
                <w:rFonts w:ascii="Times New Roman" w:hAnsi="Times New Roman" w:cs="Times New Roman"/>
                <w:i/>
                <w:iCs/>
                <w:sz w:val="24"/>
                <w:szCs w:val="24"/>
              </w:rPr>
              <w:t>lumiagregometar</w:t>
            </w:r>
            <w:r w:rsidRPr="00215667">
              <w:rPr>
                <w:rFonts w:ascii="Times New Roman" w:hAnsi="Times New Roman" w:cs="Times New Roman"/>
                <w:iCs/>
                <w:sz w:val="24"/>
                <w:szCs w:val="24"/>
              </w:rPr>
              <w:t xml:space="preserve"> Chrono-Log Model 700 со Chrono-Par </w:t>
            </w:r>
            <w:r w:rsidR="00FD7C2A">
              <w:rPr>
                <w:rFonts w:ascii="Times New Roman" w:hAnsi="Times New Roman" w:cs="Times New Roman"/>
                <w:iCs/>
                <w:sz w:val="24"/>
                <w:szCs w:val="24"/>
              </w:rPr>
              <w:t xml:space="preserve">и </w:t>
            </w:r>
            <w:r w:rsidRPr="00215667">
              <w:rPr>
                <w:rFonts w:ascii="Times New Roman" w:hAnsi="Times New Roman" w:cs="Times New Roman"/>
                <w:iCs/>
                <w:sz w:val="24"/>
                <w:szCs w:val="24"/>
              </w:rPr>
              <w:t>Chrono-lume реагенси за мерење на максималната агрегација и ослободување на ATP користејќи аденозин</w:t>
            </w:r>
            <w:r w:rsidR="00FD7C2A">
              <w:rPr>
                <w:rFonts w:ascii="Times New Roman" w:hAnsi="Times New Roman" w:cs="Times New Roman"/>
                <w:iCs/>
                <w:sz w:val="24"/>
                <w:szCs w:val="24"/>
              </w:rPr>
              <w:t xml:space="preserve"> дифосфат (2 mmol/L), колаген (</w:t>
            </w:r>
            <w:r w:rsidRPr="00215667">
              <w:rPr>
                <w:rFonts w:ascii="Times New Roman" w:hAnsi="Times New Roman" w:cs="Times New Roman"/>
                <w:iCs/>
                <w:sz w:val="24"/>
                <w:szCs w:val="24"/>
              </w:rPr>
              <w:t xml:space="preserve">mg/mL), ристоцетин (1,25 mg/mL) и тромбин (1 U/mL). BCT анализаторот врши коагулометриски и </w:t>
            </w:r>
            <w:r w:rsidR="00FD7C2A">
              <w:rPr>
                <w:rFonts w:ascii="Times New Roman" w:hAnsi="Times New Roman" w:cs="Times New Roman"/>
                <w:iCs/>
                <w:sz w:val="24"/>
                <w:szCs w:val="24"/>
              </w:rPr>
              <w:t xml:space="preserve">хромогени тестови како што се: </w:t>
            </w:r>
            <w:r w:rsidRPr="00215667">
              <w:rPr>
                <w:rFonts w:ascii="Times New Roman" w:hAnsi="Times New Roman" w:cs="Times New Roman"/>
                <w:iCs/>
                <w:sz w:val="24"/>
                <w:szCs w:val="24"/>
              </w:rPr>
              <w:t>РТ</w:t>
            </w:r>
            <w:r w:rsidR="00FD7C2A">
              <w:rPr>
                <w:rFonts w:ascii="Times New Roman" w:hAnsi="Times New Roman" w:cs="Times New Roman"/>
                <w:iCs/>
                <w:sz w:val="24"/>
                <w:szCs w:val="24"/>
              </w:rPr>
              <w:t xml:space="preserve">; </w:t>
            </w:r>
            <w:r w:rsidRPr="00215667">
              <w:rPr>
                <w:rFonts w:ascii="Times New Roman" w:hAnsi="Times New Roman" w:cs="Times New Roman"/>
                <w:iCs/>
                <w:sz w:val="24"/>
                <w:szCs w:val="24"/>
              </w:rPr>
              <w:t xml:space="preserve">рРT како и специјални тестови за </w:t>
            </w:r>
            <w:r w:rsidRPr="00FD7C2A">
              <w:rPr>
                <w:rFonts w:ascii="Times New Roman" w:hAnsi="Times New Roman" w:cs="Times New Roman"/>
                <w:i/>
                <w:iCs/>
                <w:sz w:val="24"/>
                <w:szCs w:val="24"/>
              </w:rPr>
              <w:t>von Willebrand</w:t>
            </w:r>
            <w:r w:rsidRPr="00215667">
              <w:rPr>
                <w:rFonts w:ascii="Times New Roman" w:hAnsi="Times New Roman" w:cs="Times New Roman"/>
                <w:iCs/>
                <w:sz w:val="24"/>
                <w:szCs w:val="24"/>
              </w:rPr>
              <w:t xml:space="preserve"> фактор</w:t>
            </w:r>
            <w:r w:rsidRPr="00215667">
              <w:rPr>
                <w:rFonts w:ascii="Times New Roman" w:hAnsi="Times New Roman" w:cs="Times New Roman"/>
                <w:iCs/>
                <w:color w:val="45B0E1" w:themeColor="accent1" w:themeTint="99"/>
                <w:sz w:val="24"/>
                <w:szCs w:val="24"/>
              </w:rPr>
              <w:t>.</w:t>
            </w:r>
          </w:p>
        </w:tc>
      </w:tr>
      <w:tr w:rsidR="00412474" w:rsidRPr="00215667" w14:paraId="04A30B57" w14:textId="77777777" w:rsidTr="00435E3A">
        <w:tc>
          <w:tcPr>
            <w:tcW w:w="4675" w:type="dxa"/>
          </w:tcPr>
          <w:p w14:paraId="35773736" w14:textId="77777777" w:rsidR="00412474" w:rsidRPr="00215667" w:rsidRDefault="00412474" w:rsidP="00435E3A">
            <w:pPr>
              <w:rPr>
                <w:rFonts w:ascii="Times New Roman" w:hAnsi="Times New Roman" w:cs="Times New Roman"/>
                <w:iCs/>
                <w:sz w:val="24"/>
                <w:szCs w:val="24"/>
              </w:rPr>
            </w:pPr>
            <w:r w:rsidRPr="00215667">
              <w:rPr>
                <w:rFonts w:ascii="Times New Roman" w:hAnsi="Times New Roman" w:cs="Times New Roman"/>
                <w:iCs/>
                <w:sz w:val="24"/>
                <w:szCs w:val="24"/>
              </w:rPr>
              <w:t>Параметри (варијабилни параметри за OAT пациент за споредување и добивање резултати</w:t>
            </w:r>
          </w:p>
          <w:p w14:paraId="398DD6CD" w14:textId="77777777" w:rsidR="00412474" w:rsidRPr="00215667" w:rsidRDefault="00412474" w:rsidP="00435E3A">
            <w:pPr>
              <w:spacing w:after="160"/>
              <w:rPr>
                <w:rFonts w:ascii="Times New Roman" w:hAnsi="Times New Roman" w:cs="Times New Roman"/>
                <w:iCs/>
                <w:sz w:val="24"/>
                <w:szCs w:val="24"/>
              </w:rPr>
            </w:pPr>
          </w:p>
        </w:tc>
        <w:tc>
          <w:tcPr>
            <w:tcW w:w="4410" w:type="dxa"/>
          </w:tcPr>
          <w:p w14:paraId="11765B8E" w14:textId="6C3E9C63" w:rsidR="00412474" w:rsidRPr="00215667" w:rsidRDefault="00412474" w:rsidP="00FD7C2A">
            <w:pPr>
              <w:spacing w:after="160"/>
              <w:rPr>
                <w:rFonts w:ascii="Times New Roman" w:hAnsi="Times New Roman" w:cs="Times New Roman"/>
                <w:iCs/>
                <w:sz w:val="24"/>
                <w:szCs w:val="24"/>
              </w:rPr>
            </w:pPr>
            <w:r w:rsidRPr="00215667">
              <w:rPr>
                <w:rFonts w:ascii="Times New Roman" w:hAnsi="Times New Roman" w:cs="Times New Roman"/>
                <w:iCs/>
                <w:sz w:val="24"/>
                <w:szCs w:val="24"/>
              </w:rPr>
              <w:t xml:space="preserve">Комплетна крвна слика, време на </w:t>
            </w:r>
            <w:r w:rsidR="00EC49EB" w:rsidRPr="00215667">
              <w:rPr>
                <w:rFonts w:ascii="Times New Roman" w:hAnsi="Times New Roman" w:cs="Times New Roman"/>
                <w:iCs/>
                <w:sz w:val="24"/>
                <w:szCs w:val="24"/>
              </w:rPr>
              <w:t>крвавење</w:t>
            </w:r>
            <w:r w:rsidRPr="00215667">
              <w:rPr>
                <w:rFonts w:ascii="Times New Roman" w:hAnsi="Times New Roman" w:cs="Times New Roman"/>
                <w:iCs/>
                <w:sz w:val="24"/>
                <w:szCs w:val="24"/>
              </w:rPr>
              <w:t xml:space="preserve"> (BT), протромбинско време (PT); парцијално тромбопластинско време (PTT), фактори на коагулација- </w:t>
            </w:r>
            <w:r w:rsidRPr="00215667">
              <w:rPr>
                <w:rFonts w:ascii="Times New Roman" w:hAnsi="Times New Roman" w:cs="Times New Roman"/>
                <w:sz w:val="24"/>
                <w:szCs w:val="24"/>
              </w:rPr>
              <w:t xml:space="preserve"> </w:t>
            </w:r>
            <w:r w:rsidRPr="00FD7C2A">
              <w:rPr>
                <w:rFonts w:ascii="Times New Roman" w:hAnsi="Times New Roman" w:cs="Times New Roman"/>
                <w:i/>
                <w:iCs/>
                <w:sz w:val="24"/>
                <w:szCs w:val="24"/>
              </w:rPr>
              <w:t>von Willebrand</w:t>
            </w:r>
            <w:r w:rsidRPr="00215667">
              <w:rPr>
                <w:rFonts w:ascii="Times New Roman" w:hAnsi="Times New Roman" w:cs="Times New Roman"/>
                <w:iCs/>
                <w:sz w:val="24"/>
                <w:szCs w:val="24"/>
              </w:rPr>
              <w:t xml:space="preserve"> (VWF), тестови за коагулација: </w:t>
            </w:r>
            <w:r w:rsidR="00FD7C2A">
              <w:rPr>
                <w:rFonts w:ascii="Times New Roman" w:hAnsi="Times New Roman" w:cs="Times New Roman"/>
                <w:iCs/>
                <w:sz w:val="24"/>
                <w:szCs w:val="24"/>
              </w:rPr>
              <w:t xml:space="preserve">PT, </w:t>
            </w:r>
            <w:r w:rsidRPr="00215667">
              <w:rPr>
                <w:rFonts w:ascii="Times New Roman" w:hAnsi="Times New Roman" w:cs="Times New Roman"/>
                <w:iCs/>
                <w:sz w:val="24"/>
                <w:szCs w:val="24"/>
              </w:rPr>
              <w:t xml:space="preserve">aPTT, TT, FXIII, INR </w:t>
            </w:r>
          </w:p>
        </w:tc>
      </w:tr>
      <w:tr w:rsidR="00412474" w:rsidRPr="00215667" w14:paraId="107A415D" w14:textId="77777777" w:rsidTr="00435E3A">
        <w:tc>
          <w:tcPr>
            <w:tcW w:w="4675" w:type="dxa"/>
          </w:tcPr>
          <w:p w14:paraId="7DF6B748" w14:textId="091DC326" w:rsidR="00412474" w:rsidRPr="00215667" w:rsidRDefault="00412474" w:rsidP="00FD7C2A">
            <w:pPr>
              <w:spacing w:after="160"/>
              <w:rPr>
                <w:rFonts w:ascii="Times New Roman" w:hAnsi="Times New Roman" w:cs="Times New Roman"/>
                <w:i/>
                <w:iCs/>
                <w:sz w:val="24"/>
                <w:szCs w:val="24"/>
              </w:rPr>
            </w:pPr>
            <w:r w:rsidRPr="00215667">
              <w:rPr>
                <w:rFonts w:ascii="Times New Roman" w:hAnsi="Times New Roman" w:cs="Times New Roman"/>
                <w:iCs/>
                <w:sz w:val="24"/>
                <w:szCs w:val="24"/>
              </w:rPr>
              <w:t>Изведено во лаб</w:t>
            </w:r>
            <w:r w:rsidR="00FD7C2A">
              <w:rPr>
                <w:rFonts w:ascii="Times New Roman" w:hAnsi="Times New Roman" w:cs="Times New Roman"/>
                <w:iCs/>
                <w:sz w:val="24"/>
                <w:szCs w:val="24"/>
              </w:rPr>
              <w:t>ораторија</w:t>
            </w:r>
          </w:p>
        </w:tc>
        <w:tc>
          <w:tcPr>
            <w:tcW w:w="4410" w:type="dxa"/>
          </w:tcPr>
          <w:p w14:paraId="7CE24B93" w14:textId="48619B9D" w:rsidR="00412474" w:rsidRPr="00215667" w:rsidRDefault="00412474" w:rsidP="00FD7C2A">
            <w:pPr>
              <w:spacing w:after="160"/>
              <w:rPr>
                <w:rFonts w:ascii="Times New Roman" w:hAnsi="Times New Roman" w:cs="Times New Roman"/>
                <w:i/>
                <w:iCs/>
                <w:sz w:val="24"/>
                <w:szCs w:val="24"/>
              </w:rPr>
            </w:pPr>
            <w:r w:rsidRPr="00215667">
              <w:rPr>
                <w:rFonts w:ascii="Times New Roman" w:hAnsi="Times New Roman" w:cs="Times New Roman"/>
                <w:iCs/>
                <w:sz w:val="24"/>
                <w:szCs w:val="24"/>
              </w:rPr>
              <w:t xml:space="preserve">Институт за трансфузиологија, </w:t>
            </w:r>
            <w:r w:rsidR="00FD7C2A">
              <w:rPr>
                <w:rFonts w:ascii="Times New Roman" w:hAnsi="Times New Roman" w:cs="Times New Roman"/>
                <w:iCs/>
                <w:sz w:val="24"/>
                <w:szCs w:val="24"/>
              </w:rPr>
              <w:t>х</w:t>
            </w:r>
            <w:r w:rsidRPr="00215667">
              <w:rPr>
                <w:rFonts w:ascii="Times New Roman" w:hAnsi="Times New Roman" w:cs="Times New Roman"/>
                <w:iCs/>
                <w:sz w:val="24"/>
                <w:szCs w:val="24"/>
              </w:rPr>
              <w:t>ематопатологија</w:t>
            </w:r>
          </w:p>
        </w:tc>
      </w:tr>
      <w:tr w:rsidR="00412474" w:rsidRPr="00215667" w14:paraId="2CE33053" w14:textId="77777777" w:rsidTr="00435E3A">
        <w:tc>
          <w:tcPr>
            <w:tcW w:w="4675" w:type="dxa"/>
          </w:tcPr>
          <w:p w14:paraId="3D2A431C" w14:textId="6926B9FB" w:rsidR="00412474" w:rsidRPr="00215667" w:rsidRDefault="00412474" w:rsidP="00435E3A">
            <w:pPr>
              <w:spacing w:after="160"/>
              <w:rPr>
                <w:rFonts w:ascii="Times New Roman" w:hAnsi="Times New Roman" w:cs="Times New Roman"/>
                <w:i/>
                <w:iCs/>
                <w:sz w:val="24"/>
                <w:szCs w:val="24"/>
              </w:rPr>
            </w:pPr>
            <w:r w:rsidRPr="00215667">
              <w:rPr>
                <w:rFonts w:ascii="Times New Roman" w:hAnsi="Times New Roman" w:cs="Times New Roman"/>
                <w:iCs/>
                <w:sz w:val="24"/>
                <w:szCs w:val="24"/>
              </w:rPr>
              <w:lastRenderedPageBreak/>
              <w:t>Клиничка индикација и дијагностицирање на хи</w:t>
            </w:r>
            <w:r w:rsidR="00FD7C2A">
              <w:rPr>
                <w:rFonts w:ascii="Times New Roman" w:hAnsi="Times New Roman" w:cs="Times New Roman"/>
                <w:iCs/>
                <w:sz w:val="24"/>
                <w:szCs w:val="24"/>
              </w:rPr>
              <w:t>поагрегабилност на тромбоцитите</w:t>
            </w:r>
            <w:r w:rsidRPr="00215667">
              <w:rPr>
                <w:rFonts w:ascii="Times New Roman" w:hAnsi="Times New Roman" w:cs="Times New Roman"/>
                <w:iCs/>
                <w:sz w:val="24"/>
                <w:szCs w:val="24"/>
              </w:rPr>
              <w:t xml:space="preserve"> </w:t>
            </w:r>
          </w:p>
        </w:tc>
        <w:tc>
          <w:tcPr>
            <w:tcW w:w="4410" w:type="dxa"/>
          </w:tcPr>
          <w:p w14:paraId="195D571A" w14:textId="52D11A87" w:rsidR="00412474" w:rsidRPr="00215667" w:rsidRDefault="00FD7C2A" w:rsidP="00FD7C2A">
            <w:pPr>
              <w:spacing w:after="160"/>
              <w:rPr>
                <w:rFonts w:ascii="Times New Roman" w:hAnsi="Times New Roman" w:cs="Times New Roman"/>
                <w:i/>
                <w:iCs/>
                <w:sz w:val="24"/>
                <w:szCs w:val="24"/>
              </w:rPr>
            </w:pPr>
            <w:r>
              <w:rPr>
                <w:rFonts w:ascii="Times New Roman" w:hAnsi="Times New Roman" w:cs="Times New Roman"/>
                <w:iCs/>
                <w:sz w:val="24"/>
                <w:szCs w:val="24"/>
              </w:rPr>
              <w:t>Д</w:t>
            </w:r>
            <w:r w:rsidR="00412474" w:rsidRPr="00215667">
              <w:rPr>
                <w:rFonts w:ascii="Times New Roman" w:hAnsi="Times New Roman" w:cs="Times New Roman"/>
                <w:iCs/>
                <w:sz w:val="24"/>
                <w:szCs w:val="24"/>
              </w:rPr>
              <w:t xml:space="preserve">иференцијален функционален статус и абнормалности базирани на  тромбоцитниот одговор на ADP, </w:t>
            </w:r>
            <w:r>
              <w:rPr>
                <w:rFonts w:ascii="Times New Roman" w:hAnsi="Times New Roman" w:cs="Times New Roman"/>
                <w:iCs/>
                <w:sz w:val="24"/>
                <w:szCs w:val="24"/>
              </w:rPr>
              <w:t>колаген</w:t>
            </w:r>
            <w:r w:rsidR="00412474" w:rsidRPr="00215667">
              <w:rPr>
                <w:rFonts w:ascii="Times New Roman" w:hAnsi="Times New Roman" w:cs="Times New Roman"/>
                <w:iCs/>
                <w:sz w:val="24"/>
                <w:szCs w:val="24"/>
              </w:rPr>
              <w:t xml:space="preserve"> и </w:t>
            </w:r>
            <w:r>
              <w:rPr>
                <w:rFonts w:ascii="Times New Roman" w:hAnsi="Times New Roman" w:cs="Times New Roman"/>
                <w:iCs/>
                <w:sz w:val="24"/>
                <w:szCs w:val="24"/>
              </w:rPr>
              <w:t>ристоцетин</w:t>
            </w:r>
          </w:p>
        </w:tc>
      </w:tr>
      <w:tr w:rsidR="00412474" w:rsidRPr="00215667" w14:paraId="74629579" w14:textId="77777777" w:rsidTr="00435E3A">
        <w:tc>
          <w:tcPr>
            <w:tcW w:w="4675" w:type="dxa"/>
          </w:tcPr>
          <w:p w14:paraId="22C1BC9E" w14:textId="37CF7081" w:rsidR="00412474" w:rsidRPr="00215667" w:rsidRDefault="00FD7C2A" w:rsidP="00435E3A">
            <w:pPr>
              <w:spacing w:after="160"/>
              <w:rPr>
                <w:rFonts w:ascii="Times New Roman" w:hAnsi="Times New Roman" w:cs="Times New Roman"/>
                <w:iCs/>
                <w:sz w:val="24"/>
                <w:szCs w:val="24"/>
              </w:rPr>
            </w:pPr>
            <w:r>
              <w:rPr>
                <w:rFonts w:ascii="Times New Roman" w:hAnsi="Times New Roman" w:cs="Times New Roman"/>
                <w:iCs/>
                <w:sz w:val="24"/>
                <w:szCs w:val="24"/>
              </w:rPr>
              <w:t>Подготовка на пациентот</w:t>
            </w:r>
          </w:p>
        </w:tc>
        <w:tc>
          <w:tcPr>
            <w:tcW w:w="4410" w:type="dxa"/>
          </w:tcPr>
          <w:p w14:paraId="7D6DB26A" w14:textId="77777777" w:rsidR="00412474" w:rsidRPr="00215667" w:rsidRDefault="00412474" w:rsidP="00435E3A">
            <w:pPr>
              <w:spacing w:after="160"/>
              <w:rPr>
                <w:rFonts w:ascii="Times New Roman" w:hAnsi="Times New Roman" w:cs="Times New Roman"/>
                <w:iCs/>
                <w:sz w:val="24"/>
                <w:szCs w:val="24"/>
              </w:rPr>
            </w:pPr>
            <w:r w:rsidRPr="00215667">
              <w:rPr>
                <w:rFonts w:ascii="Times New Roman" w:hAnsi="Times New Roman" w:cs="Times New Roman"/>
                <w:iCs/>
                <w:sz w:val="24"/>
                <w:szCs w:val="24"/>
              </w:rPr>
              <w:t xml:space="preserve">Пред да се земе примерокот, пациентот не треба да јаде 8 часа и не смее да зема аспирин или лекови кои содржат аспирин во претходните 7-10 дена (контактна лабораторија за список на лекови). </w:t>
            </w:r>
          </w:p>
        </w:tc>
      </w:tr>
    </w:tbl>
    <w:p w14:paraId="050D44A9" w14:textId="77777777" w:rsidR="00412474" w:rsidRPr="00215667" w:rsidRDefault="00412474" w:rsidP="00412474">
      <w:pPr>
        <w:rPr>
          <w:rFonts w:ascii="Times New Roman" w:hAnsi="Times New Roman" w:cs="Times New Roman"/>
          <w:sz w:val="24"/>
          <w:szCs w:val="24"/>
        </w:rPr>
      </w:pPr>
    </w:p>
    <w:p w14:paraId="690FCB0D" w14:textId="613A1854"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Толкување на резултатите и воспоставена дијагноза тромбоцитопати</w:t>
      </w:r>
      <w:r w:rsidR="00FD7C2A">
        <w:rPr>
          <w:rFonts w:ascii="Times New Roman" w:hAnsi="Times New Roman" w:cs="Times New Roman"/>
          <w:sz w:val="24"/>
          <w:szCs w:val="24"/>
        </w:rPr>
        <w:t>ј</w:t>
      </w:r>
      <w:r w:rsidRPr="00215667">
        <w:rPr>
          <w:rFonts w:ascii="Times New Roman" w:hAnsi="Times New Roman" w:cs="Times New Roman"/>
          <w:sz w:val="24"/>
          <w:szCs w:val="24"/>
        </w:rPr>
        <w:t xml:space="preserve">а, тромбоцитна хипоагрегабилност, од страна на хематолог: </w:t>
      </w:r>
      <w:r w:rsidR="00FD7C2A">
        <w:rPr>
          <w:rFonts w:ascii="Times New Roman" w:hAnsi="Times New Roman" w:cs="Times New Roman"/>
          <w:sz w:val="24"/>
          <w:szCs w:val="24"/>
        </w:rPr>
        <w:t>с</w:t>
      </w:r>
      <w:r w:rsidRPr="00215667">
        <w:rPr>
          <w:rFonts w:ascii="Times New Roman" w:hAnsi="Times New Roman" w:cs="Times New Roman"/>
          <w:sz w:val="24"/>
          <w:szCs w:val="24"/>
        </w:rPr>
        <w:t xml:space="preserve">екоја вредност на ADP, </w:t>
      </w:r>
      <w:r w:rsidR="00FD7C2A">
        <w:rPr>
          <w:rFonts w:ascii="Times New Roman" w:hAnsi="Times New Roman" w:cs="Times New Roman"/>
          <w:sz w:val="24"/>
          <w:szCs w:val="24"/>
        </w:rPr>
        <w:t>колаген</w:t>
      </w:r>
      <w:r w:rsidRPr="00215667">
        <w:rPr>
          <w:rFonts w:ascii="Times New Roman" w:hAnsi="Times New Roman" w:cs="Times New Roman"/>
          <w:sz w:val="24"/>
          <w:szCs w:val="24"/>
        </w:rPr>
        <w:t xml:space="preserve"> и </w:t>
      </w:r>
      <w:r w:rsidR="00FD7C2A">
        <w:rPr>
          <w:rFonts w:ascii="Times New Roman" w:hAnsi="Times New Roman" w:cs="Times New Roman"/>
          <w:sz w:val="24"/>
          <w:szCs w:val="24"/>
        </w:rPr>
        <w:t>ристоцетин</w:t>
      </w:r>
      <w:r w:rsidRPr="00215667">
        <w:rPr>
          <w:rFonts w:ascii="Times New Roman" w:hAnsi="Times New Roman" w:cs="Times New Roman"/>
          <w:sz w:val="24"/>
          <w:szCs w:val="24"/>
        </w:rPr>
        <w:t xml:space="preserve"> под референтниот опсег наведен во </w:t>
      </w:r>
      <w:r w:rsidR="004120A4">
        <w:rPr>
          <w:rFonts w:ascii="Times New Roman" w:hAnsi="Times New Roman" w:cs="Times New Roman"/>
          <w:sz w:val="24"/>
          <w:szCs w:val="24"/>
        </w:rPr>
        <w:t xml:space="preserve">слика бр. 2 </w:t>
      </w:r>
      <w:r w:rsidRPr="00215667">
        <w:rPr>
          <w:rFonts w:ascii="Times New Roman" w:hAnsi="Times New Roman" w:cs="Times New Roman"/>
          <w:sz w:val="24"/>
          <w:szCs w:val="24"/>
        </w:rPr>
        <w:t xml:space="preserve">се смета за хипоагрегабилност. Евалуацијата на степенот на намалување за секој сигнификантен предиктор, ADP, </w:t>
      </w:r>
      <w:r w:rsidR="00FD7C2A">
        <w:rPr>
          <w:rFonts w:ascii="Times New Roman" w:hAnsi="Times New Roman" w:cs="Times New Roman"/>
          <w:sz w:val="24"/>
          <w:szCs w:val="24"/>
        </w:rPr>
        <w:t>колаген</w:t>
      </w:r>
      <w:r w:rsidRPr="00215667">
        <w:rPr>
          <w:rFonts w:ascii="Times New Roman" w:hAnsi="Times New Roman" w:cs="Times New Roman"/>
          <w:sz w:val="24"/>
          <w:szCs w:val="24"/>
        </w:rPr>
        <w:t xml:space="preserve"> и </w:t>
      </w:r>
      <w:r w:rsidR="00FD7C2A">
        <w:rPr>
          <w:rFonts w:ascii="Times New Roman" w:hAnsi="Times New Roman" w:cs="Times New Roman"/>
          <w:sz w:val="24"/>
          <w:szCs w:val="24"/>
        </w:rPr>
        <w:t>ристоцетин</w:t>
      </w:r>
      <w:r w:rsidRPr="00215667">
        <w:rPr>
          <w:rFonts w:ascii="Times New Roman" w:hAnsi="Times New Roman" w:cs="Times New Roman"/>
          <w:sz w:val="24"/>
          <w:szCs w:val="24"/>
        </w:rPr>
        <w:t>, о</w:t>
      </w:r>
      <w:r w:rsidR="00FD7C2A">
        <w:rPr>
          <w:rFonts w:ascii="Times New Roman" w:hAnsi="Times New Roman" w:cs="Times New Roman"/>
          <w:sz w:val="24"/>
          <w:szCs w:val="24"/>
        </w:rPr>
        <w:t>д</w:t>
      </w:r>
      <w:r w:rsidRPr="00215667">
        <w:rPr>
          <w:rFonts w:ascii="Times New Roman" w:hAnsi="Times New Roman" w:cs="Times New Roman"/>
          <w:sz w:val="24"/>
          <w:szCs w:val="24"/>
        </w:rPr>
        <w:t xml:space="preserve">делно, ќе се корелира со појавата и интензитетот на </w:t>
      </w:r>
      <w:r w:rsidR="00FD7C2A">
        <w:rPr>
          <w:rFonts w:ascii="Times New Roman" w:hAnsi="Times New Roman" w:cs="Times New Roman"/>
          <w:sz w:val="24"/>
          <w:szCs w:val="24"/>
        </w:rPr>
        <w:t>крвавењето</w:t>
      </w:r>
      <w:r w:rsidRPr="00215667">
        <w:rPr>
          <w:rFonts w:ascii="Times New Roman" w:hAnsi="Times New Roman" w:cs="Times New Roman"/>
          <w:sz w:val="24"/>
          <w:szCs w:val="24"/>
        </w:rPr>
        <w:t xml:space="preserve">. Според параметрите, за секој пациент поединечно е пропишан протокол за предоперативна припрема и терапија, што се состои од интравенска апликација на </w:t>
      </w:r>
      <w:r w:rsidR="00FD7C2A">
        <w:rPr>
          <w:rFonts w:ascii="Times New Roman" w:hAnsi="Times New Roman" w:cs="Times New Roman"/>
          <w:sz w:val="24"/>
          <w:szCs w:val="24"/>
          <w:lang w:val="en-US"/>
        </w:rPr>
        <w:t>a</w:t>
      </w:r>
      <w:r w:rsidRPr="00215667">
        <w:rPr>
          <w:rFonts w:ascii="Times New Roman" w:hAnsi="Times New Roman" w:cs="Times New Roman"/>
          <w:sz w:val="24"/>
          <w:szCs w:val="24"/>
        </w:rPr>
        <w:t xml:space="preserve">mp. Tranexemic acid, i.v.- 10 mg/kg 30 </w:t>
      </w:r>
      <w:r w:rsidR="00FD7C2A">
        <w:rPr>
          <w:rFonts w:ascii="Times New Roman" w:hAnsi="Times New Roman" w:cs="Times New Roman"/>
          <w:sz w:val="24"/>
          <w:szCs w:val="24"/>
          <w:lang w:val="en-US"/>
        </w:rPr>
        <w:t>min</w:t>
      </w:r>
      <w:r w:rsidRPr="00215667">
        <w:rPr>
          <w:rFonts w:ascii="Times New Roman" w:hAnsi="Times New Roman" w:cs="Times New Roman"/>
          <w:sz w:val="24"/>
          <w:szCs w:val="24"/>
        </w:rPr>
        <w:t xml:space="preserve"> пред интервенција, опционално, при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повторување на дозата на секои 8 часа. Интравенската администрација не смее да надмине 100 mg/min. Пациентите се следат за време на интравенската апликација на ТХА и се нотира појавата и видот на несакани ефекти: гадење, вртоглавица и хипотензија. </w:t>
      </w:r>
    </w:p>
    <w:p w14:paraId="1DEDB2C0" w14:textId="5DAF6DFA"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Вредностите на INR кај сите ОАТ пациенти се мер</w:t>
      </w:r>
      <w:r w:rsidR="00FD7C2A">
        <w:rPr>
          <w:rFonts w:ascii="Times New Roman" w:hAnsi="Times New Roman" w:cs="Times New Roman"/>
          <w:sz w:val="24"/>
          <w:szCs w:val="24"/>
        </w:rPr>
        <w:t>ат</w:t>
      </w:r>
      <w:r w:rsidRPr="00215667">
        <w:rPr>
          <w:rFonts w:ascii="Times New Roman" w:hAnsi="Times New Roman" w:cs="Times New Roman"/>
          <w:sz w:val="24"/>
          <w:szCs w:val="24"/>
        </w:rPr>
        <w:t xml:space="preserve"> 2 дена пред операцијата/ екстракција</w:t>
      </w:r>
      <w:r w:rsidR="00FD7C2A">
        <w:rPr>
          <w:rFonts w:ascii="Times New Roman" w:hAnsi="Times New Roman" w:cs="Times New Roman"/>
          <w:sz w:val="24"/>
          <w:szCs w:val="24"/>
        </w:rPr>
        <w:t>та</w:t>
      </w:r>
      <w:r w:rsidRPr="00215667">
        <w:rPr>
          <w:rFonts w:ascii="Times New Roman" w:hAnsi="Times New Roman" w:cs="Times New Roman"/>
          <w:sz w:val="24"/>
          <w:szCs w:val="24"/>
        </w:rPr>
        <w:t xml:space="preserve"> со користење на стандардизирани процедури. Осумдесет антикоагу</w:t>
      </w:r>
      <w:r w:rsidR="00FD7C2A">
        <w:rPr>
          <w:rFonts w:ascii="Times New Roman" w:hAnsi="Times New Roman" w:cs="Times New Roman"/>
          <w:sz w:val="24"/>
          <w:szCs w:val="24"/>
        </w:rPr>
        <w:t>л</w:t>
      </w:r>
      <w:r w:rsidRPr="00215667">
        <w:rPr>
          <w:rFonts w:ascii="Times New Roman" w:hAnsi="Times New Roman" w:cs="Times New Roman"/>
          <w:sz w:val="24"/>
          <w:szCs w:val="24"/>
        </w:rPr>
        <w:t>ирани пациенти беа ограничени на INR вредност &lt;</w:t>
      </w:r>
      <w:r w:rsidR="00FD7C2A">
        <w:rPr>
          <w:rFonts w:ascii="Times New Roman" w:hAnsi="Times New Roman" w:cs="Times New Roman"/>
          <w:sz w:val="24"/>
          <w:szCs w:val="24"/>
        </w:rPr>
        <w:t xml:space="preserve"> </w:t>
      </w:r>
      <w:r w:rsidRPr="00215667">
        <w:rPr>
          <w:rFonts w:ascii="Times New Roman" w:hAnsi="Times New Roman" w:cs="Times New Roman"/>
          <w:sz w:val="24"/>
          <w:szCs w:val="24"/>
        </w:rPr>
        <w:t>1,6. Профилактичен антибиотик пред екстракција се препишува кога е индицирано.</w:t>
      </w:r>
    </w:p>
    <w:p w14:paraId="2D52431F" w14:textId="68B78BB0" w:rsidR="00D809D4"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Варијабилни параметри според </w:t>
      </w:r>
      <w:r w:rsidR="00D80713">
        <w:rPr>
          <w:rFonts w:ascii="Times New Roman" w:hAnsi="Times New Roman" w:cs="Times New Roman"/>
          <w:sz w:val="24"/>
          <w:szCs w:val="24"/>
        </w:rPr>
        <w:t>лабораториски</w:t>
      </w:r>
      <w:r w:rsidRPr="00215667">
        <w:rPr>
          <w:rFonts w:ascii="Times New Roman" w:hAnsi="Times New Roman" w:cs="Times New Roman"/>
          <w:sz w:val="24"/>
          <w:szCs w:val="24"/>
        </w:rPr>
        <w:t xml:space="preserve">те тестови во предоперативната припрема, кои понатаму се евалуирани се: (1) за тромбоцитопатија- тромбоцитна хипоагрегабилност се ADP, </w:t>
      </w:r>
      <w:r w:rsidR="00D809D4">
        <w:rPr>
          <w:rFonts w:ascii="Times New Roman" w:hAnsi="Times New Roman" w:cs="Times New Roman"/>
          <w:sz w:val="24"/>
          <w:szCs w:val="24"/>
        </w:rPr>
        <w:t>колаген</w:t>
      </w:r>
      <w:r w:rsidRPr="00215667">
        <w:rPr>
          <w:rFonts w:ascii="Times New Roman" w:hAnsi="Times New Roman" w:cs="Times New Roman"/>
          <w:sz w:val="24"/>
          <w:szCs w:val="24"/>
        </w:rPr>
        <w:t xml:space="preserve"> и </w:t>
      </w:r>
      <w:r w:rsidR="00D809D4">
        <w:rPr>
          <w:rFonts w:ascii="Times New Roman" w:hAnsi="Times New Roman" w:cs="Times New Roman"/>
          <w:sz w:val="24"/>
          <w:szCs w:val="24"/>
        </w:rPr>
        <w:t>ристоцетин</w:t>
      </w:r>
      <w:r w:rsidRPr="00215667">
        <w:rPr>
          <w:rFonts w:ascii="Times New Roman" w:hAnsi="Times New Roman" w:cs="Times New Roman"/>
          <w:sz w:val="24"/>
          <w:szCs w:val="24"/>
        </w:rPr>
        <w:t>; (2)</w:t>
      </w:r>
      <w:r w:rsidR="00D809D4">
        <w:rPr>
          <w:rFonts w:ascii="Times New Roman" w:hAnsi="Times New Roman" w:cs="Times New Roman"/>
          <w:sz w:val="24"/>
          <w:szCs w:val="24"/>
        </w:rPr>
        <w:t xml:space="preserve"> </w:t>
      </w:r>
      <w:r w:rsidRPr="00215667">
        <w:rPr>
          <w:rFonts w:ascii="Times New Roman" w:hAnsi="Times New Roman" w:cs="Times New Roman"/>
          <w:sz w:val="24"/>
          <w:szCs w:val="24"/>
        </w:rPr>
        <w:t>за пациентите кои примаат ОАТ/ антитромботична терапија се:</w:t>
      </w:r>
      <w:r w:rsidR="00D809D4">
        <w:rPr>
          <w:rFonts w:ascii="Times New Roman" w:hAnsi="Times New Roman" w:cs="Times New Roman"/>
          <w:sz w:val="24"/>
          <w:szCs w:val="24"/>
        </w:rPr>
        <w:t xml:space="preserve"> к</w:t>
      </w:r>
      <w:r w:rsidRPr="00215667">
        <w:rPr>
          <w:rFonts w:ascii="Times New Roman" w:hAnsi="Times New Roman" w:cs="Times New Roman"/>
          <w:sz w:val="24"/>
          <w:szCs w:val="24"/>
        </w:rPr>
        <w:t xml:space="preserve">омплетна крвна слика (ККС), време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(BT), протромбинско време (PT); парцијално тромбопластинско време (PTT), фактори на коагулација- </w:t>
      </w:r>
      <w:r w:rsidRPr="00D809D4">
        <w:rPr>
          <w:rFonts w:ascii="Times New Roman" w:hAnsi="Times New Roman" w:cs="Times New Roman"/>
          <w:i/>
          <w:sz w:val="24"/>
          <w:szCs w:val="24"/>
        </w:rPr>
        <w:t xml:space="preserve">von </w:t>
      </w:r>
      <w:r w:rsidRPr="00D809D4">
        <w:rPr>
          <w:rFonts w:ascii="Times New Roman" w:hAnsi="Times New Roman" w:cs="Times New Roman"/>
          <w:i/>
          <w:sz w:val="24"/>
          <w:szCs w:val="24"/>
        </w:rPr>
        <w:lastRenderedPageBreak/>
        <w:t>Willebrand</w:t>
      </w:r>
      <w:r w:rsidRPr="00215667">
        <w:rPr>
          <w:rFonts w:ascii="Times New Roman" w:hAnsi="Times New Roman" w:cs="Times New Roman"/>
          <w:sz w:val="24"/>
          <w:szCs w:val="24"/>
        </w:rPr>
        <w:t xml:space="preserve"> (VWF), тестови за коагулација: PT,</w:t>
      </w:r>
      <w:r w:rsidR="00D809D4">
        <w:rPr>
          <w:rFonts w:ascii="Times New Roman" w:hAnsi="Times New Roman" w:cs="Times New Roman"/>
          <w:sz w:val="24"/>
          <w:szCs w:val="24"/>
        </w:rPr>
        <w:t xml:space="preserve"> </w:t>
      </w:r>
      <w:r w:rsidRPr="00215667">
        <w:rPr>
          <w:rFonts w:ascii="Times New Roman" w:hAnsi="Times New Roman" w:cs="Times New Roman"/>
          <w:sz w:val="24"/>
          <w:szCs w:val="24"/>
        </w:rPr>
        <w:t>aPTT, TT</w:t>
      </w:r>
      <w:r w:rsidR="00D809D4">
        <w:rPr>
          <w:rFonts w:ascii="Times New Roman" w:hAnsi="Times New Roman" w:cs="Times New Roman"/>
          <w:sz w:val="24"/>
          <w:szCs w:val="24"/>
        </w:rPr>
        <w:t>, FXIII</w:t>
      </w:r>
      <w:r w:rsidRPr="00215667">
        <w:rPr>
          <w:rFonts w:ascii="Times New Roman" w:hAnsi="Times New Roman" w:cs="Times New Roman"/>
          <w:sz w:val="24"/>
          <w:szCs w:val="24"/>
        </w:rPr>
        <w:t xml:space="preserve"> и сигнификантниот предиктор за PEB- INR (интернационален нормализиран сооднос)</w:t>
      </w:r>
      <w:r w:rsidR="00D809D4">
        <w:rPr>
          <w:rFonts w:ascii="Times New Roman" w:hAnsi="Times New Roman" w:cs="Times New Roman"/>
          <w:sz w:val="24"/>
          <w:szCs w:val="24"/>
        </w:rPr>
        <w:t>.</w:t>
      </w:r>
    </w:p>
    <w:p w14:paraId="42EF4159" w14:textId="47E5D2CE" w:rsidR="00412474" w:rsidRPr="00215667" w:rsidRDefault="00412474" w:rsidP="00E152A1">
      <w:pPr>
        <w:spacing w:after="0" w:line="360" w:lineRule="auto"/>
        <w:ind w:firstLine="720"/>
        <w:jc w:val="both"/>
        <w:rPr>
          <w:rFonts w:ascii="Times New Roman" w:hAnsi="Times New Roman" w:cs="Times New Roman"/>
          <w:color w:val="FF0000"/>
          <w:sz w:val="24"/>
          <w:szCs w:val="24"/>
        </w:rPr>
      </w:pPr>
      <w:r w:rsidRPr="00215667">
        <w:rPr>
          <w:rFonts w:ascii="Times New Roman" w:hAnsi="Times New Roman" w:cs="Times New Roman"/>
          <w:sz w:val="24"/>
          <w:szCs w:val="24"/>
        </w:rPr>
        <w:t xml:space="preserve"> </w:t>
      </w:r>
    </w:p>
    <w:p w14:paraId="6FAAC5C0" w14:textId="77777777" w:rsidR="00412474" w:rsidRPr="00215667" w:rsidRDefault="00412474" w:rsidP="00E152A1">
      <w:pPr>
        <w:spacing w:line="360" w:lineRule="auto"/>
        <w:rPr>
          <w:rFonts w:ascii="Times New Roman" w:hAnsi="Times New Roman" w:cs="Times New Roman"/>
          <w:i/>
          <w:sz w:val="24"/>
          <w:szCs w:val="24"/>
        </w:rPr>
      </w:pPr>
      <w:r w:rsidRPr="00B61C18">
        <w:rPr>
          <w:rFonts w:ascii="Times New Roman" w:hAnsi="Times New Roman" w:cs="Times New Roman"/>
          <w:i/>
          <w:sz w:val="24"/>
          <w:szCs w:val="24"/>
        </w:rPr>
        <w:t>Дополнителни испитувања во случај на коморбидитети кај пациенти</w:t>
      </w:r>
    </w:p>
    <w:p w14:paraId="05714F77" w14:textId="58376B37"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Се изведува кај пациенти кои имаат зголем</w:t>
      </w:r>
      <w:r w:rsidR="00B61C18">
        <w:rPr>
          <w:rFonts w:ascii="Times New Roman" w:hAnsi="Times New Roman" w:cs="Times New Roman"/>
          <w:sz w:val="24"/>
          <w:szCs w:val="24"/>
        </w:rPr>
        <w:t>ен</w:t>
      </w:r>
      <w:r w:rsidRPr="00215667">
        <w:rPr>
          <w:rFonts w:ascii="Times New Roman" w:hAnsi="Times New Roman" w:cs="Times New Roman"/>
          <w:sz w:val="24"/>
          <w:szCs w:val="24"/>
        </w:rPr>
        <w:t xml:space="preserve"> ризик од продолжено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примаат двојна антикоагулантна терапија, имаат дополнителни коморбидитети, бубрежна или хепатална инсуфициенција; алкохолизам; тромбоцитопенија, хемофилија или други хематолошки нарушувања или се на хемотерапија. Потребна е консултација со лекар кој го лекува основното заболување. Секоја предложена промена на режимот на лекови пред денталната процедура се прави во консултација и по совет на лекарот на пациентот. Пред екстракциите, кај ови</w:t>
      </w:r>
      <w:r w:rsidR="00B61C18">
        <w:rPr>
          <w:rFonts w:ascii="Times New Roman" w:hAnsi="Times New Roman" w:cs="Times New Roman"/>
          <w:sz w:val="24"/>
          <w:szCs w:val="24"/>
        </w:rPr>
        <w:t>е</w:t>
      </w:r>
      <w:r w:rsidRPr="00215667">
        <w:rPr>
          <w:rFonts w:ascii="Times New Roman" w:hAnsi="Times New Roman" w:cs="Times New Roman"/>
          <w:sz w:val="24"/>
          <w:szCs w:val="24"/>
        </w:rPr>
        <w:t xml:space="preserve"> пациенти, ги правиме следните </w:t>
      </w:r>
      <w:r w:rsidR="00D80713">
        <w:rPr>
          <w:rFonts w:ascii="Times New Roman" w:hAnsi="Times New Roman" w:cs="Times New Roman"/>
          <w:sz w:val="24"/>
          <w:szCs w:val="24"/>
        </w:rPr>
        <w:t>лабораториски</w:t>
      </w:r>
      <w:r w:rsidRPr="00215667">
        <w:rPr>
          <w:rFonts w:ascii="Times New Roman" w:hAnsi="Times New Roman" w:cs="Times New Roman"/>
          <w:sz w:val="24"/>
          <w:szCs w:val="24"/>
        </w:rPr>
        <w:t xml:space="preserve"> тестови: комплетна крвна слика, број на тромбоцити, активирано парцијално тромбопластинско време (APTT), протромбинско време</w:t>
      </w:r>
      <w:r w:rsidR="00B61C18">
        <w:rPr>
          <w:rFonts w:ascii="Times New Roman" w:hAnsi="Times New Roman" w:cs="Times New Roman"/>
          <w:sz w:val="24"/>
          <w:szCs w:val="24"/>
        </w:rPr>
        <w:t xml:space="preserve"> </w:t>
      </w:r>
      <w:r w:rsidRPr="00215667">
        <w:rPr>
          <w:rFonts w:ascii="Times New Roman" w:hAnsi="Times New Roman" w:cs="Times New Roman"/>
          <w:sz w:val="24"/>
          <w:szCs w:val="24"/>
        </w:rPr>
        <w:t>-</w:t>
      </w:r>
      <w:r w:rsidR="00B61C18">
        <w:rPr>
          <w:rFonts w:ascii="Times New Roman" w:hAnsi="Times New Roman" w:cs="Times New Roman"/>
          <w:sz w:val="24"/>
          <w:szCs w:val="24"/>
        </w:rPr>
        <w:t xml:space="preserve"> </w:t>
      </w:r>
      <w:r w:rsidRPr="00215667">
        <w:rPr>
          <w:rFonts w:ascii="Times New Roman" w:hAnsi="Times New Roman" w:cs="Times New Roman"/>
          <w:sz w:val="24"/>
          <w:szCs w:val="24"/>
        </w:rPr>
        <w:t>меѓународен нормализиран сооднос (PT-INR) и нивоа на хемоглобин, вкупен билирубин, аспартат аминотрансфераза, аланин аминотрансфераза, алкална фосфатаза, крвен уреа, креатинин. Според „Упатствата за пациенти на антитромбоцитна терапија за кои е потребна стоматолошка екстракција“, доколку PT-INR е &gt;</w:t>
      </w:r>
      <w:r w:rsidR="00B61C18">
        <w:rPr>
          <w:rFonts w:ascii="Times New Roman" w:hAnsi="Times New Roman" w:cs="Times New Roman"/>
          <w:sz w:val="24"/>
          <w:szCs w:val="24"/>
        </w:rPr>
        <w:t xml:space="preserve"> </w:t>
      </w:r>
      <w:r w:rsidRPr="00215667">
        <w:rPr>
          <w:rFonts w:ascii="Times New Roman" w:hAnsi="Times New Roman" w:cs="Times New Roman"/>
          <w:sz w:val="24"/>
          <w:szCs w:val="24"/>
        </w:rPr>
        <w:t>2, екстракцијата се одложува и се консултира лекарот на пациентот.</w:t>
      </w:r>
    </w:p>
    <w:p w14:paraId="67022D51" w14:textId="014EFB22" w:rsidR="00412474" w:rsidRPr="00215667" w:rsidRDefault="00412474" w:rsidP="00E152A1">
      <w:pPr>
        <w:pStyle w:val="Heading2"/>
        <w:spacing w:line="360" w:lineRule="auto"/>
        <w:rPr>
          <w:rFonts w:ascii="Times New Roman" w:hAnsi="Times New Roman" w:cs="Times New Roman"/>
          <w:b/>
          <w:bCs/>
          <w:color w:val="000000" w:themeColor="text1"/>
          <w:sz w:val="24"/>
          <w:szCs w:val="24"/>
        </w:rPr>
      </w:pPr>
      <w:bookmarkStart w:id="23" w:name="_Toc209005152"/>
      <w:r w:rsidRPr="00215667">
        <w:rPr>
          <w:rFonts w:ascii="Times New Roman" w:hAnsi="Times New Roman" w:cs="Times New Roman"/>
          <w:b/>
          <w:bCs/>
          <w:color w:val="000000" w:themeColor="text1"/>
          <w:sz w:val="24"/>
          <w:szCs w:val="24"/>
        </w:rPr>
        <w:t>Оперативни мерки</w:t>
      </w:r>
      <w:bookmarkEnd w:id="23"/>
    </w:p>
    <w:p w14:paraId="59917941" w14:textId="2DF46D27"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Екстракција на заб или дентоалвеоларна операција кај пациенти со </w:t>
      </w:r>
      <w:r w:rsidR="00B61C18">
        <w:rPr>
          <w:rFonts w:ascii="Times New Roman" w:hAnsi="Times New Roman" w:cs="Times New Roman"/>
          <w:sz w:val="24"/>
          <w:szCs w:val="24"/>
        </w:rPr>
        <w:t>нарушување</w:t>
      </w:r>
      <w:r w:rsidRPr="00215667">
        <w:rPr>
          <w:rFonts w:ascii="Times New Roman" w:hAnsi="Times New Roman" w:cs="Times New Roman"/>
          <w:sz w:val="24"/>
          <w:szCs w:val="24"/>
        </w:rPr>
        <w:t xml:space="preserve"> на тромбоцитната хипоагрегација (група I) ја изведуваме 30 мин. по интравенска администрација на </w:t>
      </w:r>
      <w:r w:rsidR="00B61C18">
        <w:rPr>
          <w:rFonts w:ascii="Times New Roman" w:hAnsi="Times New Roman" w:cs="Times New Roman"/>
          <w:sz w:val="24"/>
          <w:szCs w:val="24"/>
        </w:rPr>
        <w:t>т</w:t>
      </w:r>
      <w:r w:rsidR="00B61C18" w:rsidRPr="00215667">
        <w:rPr>
          <w:rFonts w:ascii="Times New Roman" w:hAnsi="Times New Roman" w:cs="Times New Roman"/>
          <w:sz w:val="24"/>
          <w:szCs w:val="24"/>
        </w:rPr>
        <w:t>ранекс</w:t>
      </w:r>
      <w:r w:rsidR="00B61C18">
        <w:rPr>
          <w:rFonts w:ascii="Times New Roman" w:hAnsi="Times New Roman" w:cs="Times New Roman"/>
          <w:sz w:val="24"/>
          <w:szCs w:val="24"/>
        </w:rPr>
        <w:t>а</w:t>
      </w:r>
      <w:r w:rsidR="00B61C18" w:rsidRPr="00215667">
        <w:rPr>
          <w:rFonts w:ascii="Times New Roman" w:hAnsi="Times New Roman" w:cs="Times New Roman"/>
          <w:sz w:val="24"/>
          <w:szCs w:val="24"/>
        </w:rPr>
        <w:t xml:space="preserve">мична </w:t>
      </w:r>
      <w:r w:rsidRPr="00215667">
        <w:rPr>
          <w:rFonts w:ascii="Times New Roman" w:hAnsi="Times New Roman" w:cs="Times New Roman"/>
          <w:sz w:val="24"/>
          <w:szCs w:val="24"/>
        </w:rPr>
        <w:t>киселина (операцијата се изведува на почетокот на денот). За пациентите од I, II и III група посветувa</w:t>
      </w:r>
      <w:r w:rsidR="00B61C18">
        <w:rPr>
          <w:rFonts w:ascii="Times New Roman" w:hAnsi="Times New Roman" w:cs="Times New Roman"/>
          <w:sz w:val="24"/>
          <w:szCs w:val="24"/>
        </w:rPr>
        <w:t>ме</w:t>
      </w:r>
      <w:r w:rsidRPr="00215667">
        <w:rPr>
          <w:rFonts w:ascii="Times New Roman" w:hAnsi="Times New Roman" w:cs="Times New Roman"/>
          <w:sz w:val="24"/>
          <w:szCs w:val="24"/>
        </w:rPr>
        <w:t xml:space="preserve"> особено внимание за минимизирање на траумата, процедурата ја изведуваме што е можно по атрауматска; да не се вадат повеќе од 2 заб</w:t>
      </w:r>
      <w:r w:rsidR="00B61C18">
        <w:rPr>
          <w:rFonts w:ascii="Times New Roman" w:hAnsi="Times New Roman" w:cs="Times New Roman"/>
          <w:sz w:val="24"/>
          <w:szCs w:val="24"/>
        </w:rPr>
        <w:t>а</w:t>
      </w:r>
      <w:r w:rsidRPr="00215667">
        <w:rPr>
          <w:rFonts w:ascii="Times New Roman" w:hAnsi="Times New Roman" w:cs="Times New Roman"/>
          <w:sz w:val="24"/>
          <w:szCs w:val="24"/>
        </w:rPr>
        <w:t>; мукопериосталната и коскената операција на строго редуцирана, ограничена област.</w:t>
      </w:r>
    </w:p>
    <w:p w14:paraId="3CE5A3FB" w14:textId="150C2D43" w:rsidR="00412474" w:rsidRPr="00215667" w:rsidRDefault="00412474" w:rsidP="00E152A1">
      <w:pPr>
        <w:pStyle w:val="Heading2"/>
        <w:spacing w:line="360" w:lineRule="auto"/>
        <w:rPr>
          <w:rFonts w:ascii="Times New Roman" w:hAnsi="Times New Roman" w:cs="Times New Roman"/>
          <w:b/>
          <w:bCs/>
          <w:color w:val="000000" w:themeColor="text1"/>
          <w:sz w:val="24"/>
          <w:szCs w:val="24"/>
        </w:rPr>
      </w:pPr>
      <w:bookmarkStart w:id="24" w:name="_Toc209005153"/>
      <w:r w:rsidRPr="00215667">
        <w:rPr>
          <w:rFonts w:ascii="Times New Roman" w:hAnsi="Times New Roman" w:cs="Times New Roman"/>
          <w:b/>
          <w:bCs/>
          <w:color w:val="000000" w:themeColor="text1"/>
          <w:sz w:val="24"/>
          <w:szCs w:val="24"/>
        </w:rPr>
        <w:t>Мерка за примарен исход по дентоалвеоларната интервенција</w:t>
      </w:r>
      <w:bookmarkEnd w:id="24"/>
    </w:p>
    <w:p w14:paraId="50D0A734" w14:textId="01B745ED"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Постекстракционото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кое не се контролира со основна</w:t>
      </w:r>
      <w:r w:rsidR="00B61C18">
        <w:rPr>
          <w:rFonts w:ascii="Times New Roman" w:hAnsi="Times New Roman" w:cs="Times New Roman"/>
          <w:sz w:val="24"/>
          <w:szCs w:val="24"/>
        </w:rPr>
        <w:t>та</w:t>
      </w:r>
      <w:r w:rsidRPr="00215667">
        <w:rPr>
          <w:rFonts w:ascii="Times New Roman" w:hAnsi="Times New Roman" w:cs="Times New Roman"/>
          <w:sz w:val="24"/>
          <w:szCs w:val="24"/>
        </w:rPr>
        <w:t xml:space="preserve"> процедура за хемостаза дефинирано како </w:t>
      </w:r>
      <w:r w:rsidR="00B61C18">
        <w:rPr>
          <w:rFonts w:ascii="Times New Roman" w:hAnsi="Times New Roman" w:cs="Times New Roman"/>
          <w:sz w:val="24"/>
          <w:szCs w:val="24"/>
        </w:rPr>
        <w:t>„</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кое не можеше да се запре со гризење на газа и бара медицински третман помеѓу 30 мин</w:t>
      </w:r>
      <w:r w:rsidR="00B61C18">
        <w:rPr>
          <w:rFonts w:ascii="Times New Roman" w:hAnsi="Times New Roman" w:cs="Times New Roman"/>
          <w:sz w:val="24"/>
          <w:szCs w:val="24"/>
        </w:rPr>
        <w:t>.</w:t>
      </w:r>
      <w:r w:rsidRPr="00215667">
        <w:rPr>
          <w:rFonts w:ascii="Times New Roman" w:hAnsi="Times New Roman" w:cs="Times New Roman"/>
          <w:sz w:val="24"/>
          <w:szCs w:val="24"/>
        </w:rPr>
        <w:t xml:space="preserve"> и 7 дена</w:t>
      </w:r>
      <w:r w:rsidR="00B61C18">
        <w:rPr>
          <w:rFonts w:ascii="Times New Roman" w:hAnsi="Times New Roman" w:cs="Times New Roman"/>
          <w:sz w:val="24"/>
          <w:szCs w:val="24"/>
        </w:rPr>
        <w:t>“</w:t>
      </w:r>
      <w:r w:rsidRPr="00215667">
        <w:rPr>
          <w:rFonts w:ascii="Times New Roman" w:hAnsi="Times New Roman" w:cs="Times New Roman"/>
          <w:sz w:val="24"/>
          <w:szCs w:val="24"/>
        </w:rPr>
        <w:t xml:space="preserve">, е клинички </w:t>
      </w:r>
      <w:r w:rsidRPr="00215667">
        <w:rPr>
          <w:rFonts w:ascii="Times New Roman" w:hAnsi="Times New Roman" w:cs="Times New Roman"/>
          <w:sz w:val="24"/>
          <w:szCs w:val="24"/>
        </w:rPr>
        <w:lastRenderedPageBreak/>
        <w:t>значајно. Потоа ја забележуваме инциденцата на постекстракционо</w:t>
      </w:r>
      <w:r w:rsidR="00B61C18">
        <w:rPr>
          <w:rFonts w:ascii="Times New Roman" w:hAnsi="Times New Roman" w:cs="Times New Roman"/>
          <w:sz w:val="24"/>
          <w:szCs w:val="24"/>
        </w:rPr>
        <w:t>то</w:t>
      </w:r>
      <w:r w:rsidRPr="00215667">
        <w:rPr>
          <w:rFonts w:ascii="Times New Roman" w:hAnsi="Times New Roman" w:cs="Times New Roman"/>
          <w:sz w:val="24"/>
          <w:szCs w:val="24"/>
        </w:rPr>
        <w:t xml:space="preserve">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Варијабли се: PEB</w:t>
      </w:r>
      <w:r w:rsidR="00B61C18">
        <w:rPr>
          <w:rFonts w:ascii="Times New Roman" w:hAnsi="Times New Roman" w:cs="Times New Roman"/>
          <w:sz w:val="24"/>
          <w:szCs w:val="24"/>
        </w:rPr>
        <w:t xml:space="preserve"> - </w:t>
      </w:r>
      <w:r w:rsidRPr="00215667">
        <w:rPr>
          <w:rFonts w:ascii="Times New Roman" w:hAnsi="Times New Roman" w:cs="Times New Roman"/>
          <w:sz w:val="24"/>
          <w:szCs w:val="24"/>
        </w:rPr>
        <w:t xml:space="preserve">време на појавување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обилност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и време на сопирање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w:t>
      </w:r>
    </w:p>
    <w:p w14:paraId="6FAB599E" w14:textId="3B440897"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Појавата на постекстракционо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w:t>
      </w:r>
      <w:r w:rsidR="00B61C18">
        <w:rPr>
          <w:rFonts w:ascii="Times New Roman" w:hAnsi="Times New Roman" w:cs="Times New Roman"/>
          <w:sz w:val="24"/>
          <w:szCs w:val="24"/>
        </w:rPr>
        <w:t>(</w:t>
      </w:r>
      <w:r w:rsidRPr="00215667">
        <w:rPr>
          <w:rFonts w:ascii="Times New Roman" w:hAnsi="Times New Roman" w:cs="Times New Roman"/>
          <w:sz w:val="24"/>
          <w:szCs w:val="24"/>
        </w:rPr>
        <w:t>PEB</w:t>
      </w:r>
      <w:r w:rsidR="00B61C18">
        <w:rPr>
          <w:rFonts w:ascii="Times New Roman" w:hAnsi="Times New Roman" w:cs="Times New Roman"/>
          <w:sz w:val="24"/>
          <w:szCs w:val="24"/>
        </w:rPr>
        <w:t>)</w:t>
      </w:r>
      <w:r w:rsidRPr="00215667">
        <w:rPr>
          <w:rFonts w:ascii="Times New Roman" w:hAnsi="Times New Roman" w:cs="Times New Roman"/>
          <w:sz w:val="24"/>
          <w:szCs w:val="24"/>
        </w:rPr>
        <w:t>, според времето на појава е дефинирано како примарно, реактивно и секундарно (</w:t>
      </w:r>
      <w:r w:rsidR="00B61C18">
        <w:rPr>
          <w:rFonts w:ascii="Times New Roman" w:hAnsi="Times New Roman" w:cs="Times New Roman"/>
          <w:sz w:val="24"/>
          <w:szCs w:val="24"/>
        </w:rPr>
        <w:t>с</w:t>
      </w:r>
      <w:r w:rsidRPr="00215667">
        <w:rPr>
          <w:rFonts w:ascii="Times New Roman" w:hAnsi="Times New Roman" w:cs="Times New Roman"/>
          <w:sz w:val="24"/>
          <w:szCs w:val="24"/>
        </w:rPr>
        <w:t>лика број</w:t>
      </w:r>
      <w:r w:rsidR="00B61C18">
        <w:rPr>
          <w:rFonts w:ascii="Times New Roman" w:hAnsi="Times New Roman" w:cs="Times New Roman"/>
          <w:sz w:val="24"/>
          <w:szCs w:val="24"/>
        </w:rPr>
        <w:t xml:space="preserve"> </w:t>
      </w:r>
      <w:r w:rsidRPr="00215667">
        <w:rPr>
          <w:rFonts w:ascii="Times New Roman" w:hAnsi="Times New Roman" w:cs="Times New Roman"/>
          <w:sz w:val="24"/>
          <w:szCs w:val="24"/>
        </w:rPr>
        <w:t xml:space="preserve">3). Според времето на појава и обемот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(PEB) го категоризиравме според моделот за поделбата за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на Abdullah и Amer, во четири категории (објаснети во горниот текст</w:t>
      </w:r>
      <w:r w:rsidR="008A2C96">
        <w:rPr>
          <w:rFonts w:ascii="Times New Roman" w:hAnsi="Times New Roman" w:cs="Times New Roman"/>
          <w:sz w:val="24"/>
          <w:szCs w:val="24"/>
        </w:rPr>
        <w:t>, стр.</w:t>
      </w:r>
      <w:r w:rsidR="000C0052">
        <w:rPr>
          <w:rFonts w:ascii="Times New Roman" w:hAnsi="Times New Roman" w:cs="Times New Roman"/>
          <w:sz w:val="24"/>
          <w:szCs w:val="24"/>
          <w:lang w:val="en-US"/>
        </w:rPr>
        <w:t xml:space="preserve"> 24</w:t>
      </w:r>
      <w:r w:rsidR="008A2C96">
        <w:rPr>
          <w:rFonts w:ascii="Times New Roman" w:hAnsi="Times New Roman" w:cs="Times New Roman"/>
          <w:sz w:val="24"/>
          <w:szCs w:val="24"/>
        </w:rPr>
        <w:t>)</w:t>
      </w:r>
      <w:r w:rsidRPr="00215667">
        <w:rPr>
          <w:rFonts w:ascii="Times New Roman" w:hAnsi="Times New Roman" w:cs="Times New Roman"/>
          <w:sz w:val="24"/>
          <w:szCs w:val="24"/>
        </w:rPr>
        <w:t xml:space="preserve">. </w:t>
      </w:r>
    </w:p>
    <w:p w14:paraId="14E23108" w14:textId="77777777" w:rsidR="00B61C18" w:rsidRDefault="00B61C18" w:rsidP="00412474">
      <w:pPr>
        <w:rPr>
          <w:rFonts w:ascii="Times New Roman" w:hAnsi="Times New Roman" w:cs="Times New Roman"/>
          <w:sz w:val="24"/>
          <w:szCs w:val="24"/>
        </w:rPr>
      </w:pPr>
    </w:p>
    <w:p w14:paraId="1B99F989" w14:textId="3A371983" w:rsidR="00412474" w:rsidRPr="00215667" w:rsidRDefault="00412474" w:rsidP="00B61C18">
      <w:pPr>
        <w:jc w:val="center"/>
        <w:rPr>
          <w:rFonts w:ascii="Times New Roman" w:hAnsi="Times New Roman" w:cs="Times New Roman"/>
          <w:sz w:val="24"/>
          <w:szCs w:val="24"/>
        </w:rPr>
      </w:pPr>
      <w:r w:rsidRPr="00215667">
        <w:rPr>
          <w:rFonts w:ascii="Times New Roman" w:hAnsi="Times New Roman" w:cs="Times New Roman"/>
          <w:sz w:val="24"/>
          <w:szCs w:val="24"/>
        </w:rPr>
        <w:t>Слика бр.</w:t>
      </w:r>
      <w:r w:rsidR="00B61C18">
        <w:rPr>
          <w:rFonts w:ascii="Times New Roman" w:hAnsi="Times New Roman" w:cs="Times New Roman"/>
          <w:sz w:val="24"/>
          <w:szCs w:val="24"/>
        </w:rPr>
        <w:t xml:space="preserve"> </w:t>
      </w:r>
      <w:r w:rsidRPr="00215667">
        <w:rPr>
          <w:rFonts w:ascii="Times New Roman" w:hAnsi="Times New Roman" w:cs="Times New Roman"/>
          <w:sz w:val="24"/>
          <w:szCs w:val="24"/>
        </w:rPr>
        <w:t>3</w:t>
      </w:r>
      <w:r w:rsidR="00B61C18">
        <w:rPr>
          <w:rFonts w:ascii="Times New Roman" w:hAnsi="Times New Roman" w:cs="Times New Roman"/>
          <w:sz w:val="24"/>
          <w:szCs w:val="24"/>
        </w:rPr>
        <w:t xml:space="preserve"> -</w:t>
      </w:r>
      <w:r w:rsidRPr="00215667">
        <w:rPr>
          <w:rFonts w:ascii="Times New Roman" w:hAnsi="Times New Roman" w:cs="Times New Roman"/>
          <w:sz w:val="24"/>
          <w:szCs w:val="24"/>
        </w:rPr>
        <w:t xml:space="preserve"> Видови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според времето на појава</w:t>
      </w:r>
    </w:p>
    <w:p w14:paraId="7D06CF43" w14:textId="77777777" w:rsidR="00412474" w:rsidRPr="00215667" w:rsidRDefault="00412474" w:rsidP="00412474">
      <w:pPr>
        <w:rPr>
          <w:rFonts w:ascii="Times New Roman" w:hAnsi="Times New Roman" w:cs="Times New Roman"/>
          <w:b/>
          <w:bCs/>
          <w:color w:val="FF0000"/>
          <w:sz w:val="24"/>
          <w:szCs w:val="24"/>
        </w:rPr>
      </w:pPr>
      <w:r w:rsidRPr="00215667">
        <w:rPr>
          <w:rFonts w:ascii="Times New Roman" w:hAnsi="Times New Roman" w:cs="Times New Roman"/>
          <w:b/>
          <w:bCs/>
          <w:noProof/>
          <w:color w:val="FF0000"/>
          <w:sz w:val="24"/>
          <w:szCs w:val="24"/>
          <w:lang w:val="en-US"/>
        </w:rPr>
        <w:drawing>
          <wp:inline distT="0" distB="0" distL="0" distR="0" wp14:anchorId="3465FA92" wp14:editId="5EF628D5">
            <wp:extent cx="4648200" cy="2612638"/>
            <wp:effectExtent l="0" t="0" r="0" b="0"/>
            <wp:docPr id="570027112" name="Picture 6"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027112" name="Picture 6" descr="A screenshot of a diagram&#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5787" cy="2616902"/>
                    </a:xfrm>
                    <a:prstGeom prst="rect">
                      <a:avLst/>
                    </a:prstGeom>
                    <a:noFill/>
                  </pic:spPr>
                </pic:pic>
              </a:graphicData>
            </a:graphic>
          </wp:inline>
        </w:drawing>
      </w:r>
    </w:p>
    <w:p w14:paraId="094A3D05" w14:textId="19476635" w:rsidR="00412474" w:rsidRPr="00215667" w:rsidRDefault="00412474" w:rsidP="00E152A1">
      <w:pPr>
        <w:spacing w:after="0" w:line="360" w:lineRule="auto"/>
        <w:ind w:firstLine="720"/>
        <w:jc w:val="both"/>
        <w:rPr>
          <w:rFonts w:ascii="Times New Roman" w:hAnsi="Times New Roman" w:cs="Times New Roman"/>
          <w:color w:val="FF0000"/>
          <w:sz w:val="24"/>
          <w:szCs w:val="24"/>
        </w:rPr>
      </w:pPr>
      <w:r w:rsidRPr="00215667">
        <w:rPr>
          <w:rFonts w:ascii="Times New Roman" w:hAnsi="Times New Roman" w:cs="Times New Roman"/>
          <w:sz w:val="24"/>
          <w:szCs w:val="24"/>
        </w:rPr>
        <w:t xml:space="preserve">Според времето на појава и обемот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(PEB) го категоризиравме според моделот за поделбата за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на Abdullah и Amer, во четири категории: 1.</w:t>
      </w:r>
      <w:r w:rsidR="00B61C18">
        <w:rPr>
          <w:rFonts w:ascii="Times New Roman" w:hAnsi="Times New Roman" w:cs="Times New Roman"/>
          <w:sz w:val="24"/>
          <w:szCs w:val="24"/>
        </w:rPr>
        <w:t xml:space="preserve"> п</w:t>
      </w:r>
      <w:r w:rsidRPr="00215667">
        <w:rPr>
          <w:rFonts w:ascii="Times New Roman" w:hAnsi="Times New Roman" w:cs="Times New Roman"/>
          <w:sz w:val="24"/>
          <w:szCs w:val="24"/>
        </w:rPr>
        <w:t>рисуство на сукрвица во плунка (</w:t>
      </w:r>
      <w:r w:rsidRPr="00B61C18">
        <w:rPr>
          <w:rFonts w:ascii="Times New Roman" w:hAnsi="Times New Roman" w:cs="Times New Roman"/>
          <w:i/>
          <w:iCs/>
          <w:sz w:val="24"/>
          <w:szCs w:val="24"/>
        </w:rPr>
        <w:t>оozing bleeding</w:t>
      </w:r>
      <w:r w:rsidRPr="00215667">
        <w:rPr>
          <w:rFonts w:ascii="Times New Roman" w:hAnsi="Times New Roman" w:cs="Times New Roman"/>
          <w:sz w:val="24"/>
          <w:szCs w:val="24"/>
        </w:rPr>
        <w:t xml:space="preserve">); 2. </w:t>
      </w:r>
      <w:r w:rsidR="00B61C18">
        <w:rPr>
          <w:rFonts w:ascii="Times New Roman" w:hAnsi="Times New Roman" w:cs="Times New Roman"/>
          <w:sz w:val="24"/>
          <w:szCs w:val="24"/>
        </w:rPr>
        <w:t>л</w:t>
      </w:r>
      <w:r w:rsidRPr="00215667">
        <w:rPr>
          <w:rFonts w:ascii="Times New Roman" w:hAnsi="Times New Roman" w:cs="Times New Roman"/>
          <w:sz w:val="24"/>
          <w:szCs w:val="24"/>
        </w:rPr>
        <w:t>есно крвавење (благо натопување на газа/ тупфер со крв и присуство на сукрвица на подот на уста. Се контролира и престанува по 20 мин.</w:t>
      </w:r>
      <w:r w:rsidR="00B61C18">
        <w:rPr>
          <w:rFonts w:ascii="Times New Roman" w:hAnsi="Times New Roman" w:cs="Times New Roman"/>
          <w:sz w:val="24"/>
          <w:szCs w:val="24"/>
        </w:rPr>
        <w:t>)</w:t>
      </w:r>
      <w:r w:rsidRPr="00215667">
        <w:rPr>
          <w:rFonts w:ascii="Times New Roman" w:hAnsi="Times New Roman" w:cs="Times New Roman"/>
          <w:sz w:val="24"/>
          <w:szCs w:val="24"/>
        </w:rPr>
        <w:t xml:space="preserve">; 3.  умерено (крвавење кое продолжува и вториот ден по екстракција; циклично се повторува и се појачува, ја натопува газата со крв, но се контролира со притисок со газа и со локални хемостатски методи) и 4. </w:t>
      </w:r>
      <w:r w:rsidR="00B61C18">
        <w:rPr>
          <w:rFonts w:ascii="Times New Roman" w:hAnsi="Times New Roman" w:cs="Times New Roman"/>
          <w:sz w:val="24"/>
          <w:szCs w:val="24"/>
        </w:rPr>
        <w:t>т</w:t>
      </w:r>
      <w:r w:rsidRPr="00215667">
        <w:rPr>
          <w:rFonts w:ascii="Times New Roman" w:hAnsi="Times New Roman" w:cs="Times New Roman"/>
          <w:sz w:val="24"/>
          <w:szCs w:val="24"/>
        </w:rPr>
        <w:t xml:space="preserve">ешко крвавење (секое крвавење кое бара хоспитализација и системски и локални хемостатски методи). </w:t>
      </w:r>
    </w:p>
    <w:p w14:paraId="0013B014" w14:textId="6E2C45AC" w:rsidR="00412474" w:rsidRPr="00215667" w:rsidRDefault="00412474" w:rsidP="00E152A1">
      <w:pPr>
        <w:spacing w:after="0" w:line="360" w:lineRule="auto"/>
        <w:ind w:firstLine="720"/>
        <w:jc w:val="both"/>
        <w:rPr>
          <w:rFonts w:ascii="Times New Roman" w:hAnsi="Times New Roman" w:cs="Times New Roman"/>
          <w:b/>
          <w:bCs/>
          <w:sz w:val="24"/>
          <w:szCs w:val="24"/>
        </w:rPr>
      </w:pPr>
      <w:r w:rsidRPr="00215667">
        <w:rPr>
          <w:rFonts w:ascii="Times New Roman" w:hAnsi="Times New Roman" w:cs="Times New Roman"/>
          <w:sz w:val="24"/>
          <w:szCs w:val="24"/>
        </w:rPr>
        <w:t>Кај пациенти</w:t>
      </w:r>
      <w:r w:rsidR="00B8532E">
        <w:rPr>
          <w:rFonts w:ascii="Times New Roman" w:hAnsi="Times New Roman" w:cs="Times New Roman"/>
          <w:sz w:val="24"/>
          <w:szCs w:val="24"/>
        </w:rPr>
        <w:t>те</w:t>
      </w:r>
      <w:r w:rsidRPr="00215667">
        <w:rPr>
          <w:rFonts w:ascii="Times New Roman" w:hAnsi="Times New Roman" w:cs="Times New Roman"/>
          <w:sz w:val="24"/>
          <w:szCs w:val="24"/>
        </w:rPr>
        <w:t xml:space="preserve"> беа користени системски или локални хемостатички методи согласно </w:t>
      </w:r>
      <w:r w:rsidR="00B8532E">
        <w:rPr>
          <w:rFonts w:ascii="Times New Roman" w:hAnsi="Times New Roman" w:cs="Times New Roman"/>
          <w:sz w:val="24"/>
          <w:szCs w:val="24"/>
        </w:rPr>
        <w:t xml:space="preserve">со </w:t>
      </w:r>
      <w:r w:rsidRPr="00215667">
        <w:rPr>
          <w:rFonts w:ascii="Times New Roman" w:hAnsi="Times New Roman" w:cs="Times New Roman"/>
          <w:sz w:val="24"/>
          <w:szCs w:val="24"/>
        </w:rPr>
        <w:t xml:space="preserve">етиологијата на крвавење. На местото </w:t>
      </w:r>
      <w:r w:rsidR="00B8532E">
        <w:rPr>
          <w:rFonts w:ascii="Times New Roman" w:hAnsi="Times New Roman" w:cs="Times New Roman"/>
          <w:sz w:val="24"/>
          <w:szCs w:val="24"/>
        </w:rPr>
        <w:t xml:space="preserve">на </w:t>
      </w:r>
      <w:r w:rsidRPr="00215667">
        <w:rPr>
          <w:rFonts w:ascii="Times New Roman" w:hAnsi="Times New Roman" w:cs="Times New Roman"/>
          <w:sz w:val="24"/>
          <w:szCs w:val="24"/>
        </w:rPr>
        <w:t>екстракција  применува</w:t>
      </w:r>
      <w:r w:rsidR="00B8532E">
        <w:rPr>
          <w:rFonts w:ascii="Times New Roman" w:hAnsi="Times New Roman" w:cs="Times New Roman"/>
          <w:sz w:val="24"/>
          <w:szCs w:val="24"/>
        </w:rPr>
        <w:t>в</w:t>
      </w:r>
      <w:r w:rsidRPr="00215667">
        <w:rPr>
          <w:rFonts w:ascii="Times New Roman" w:hAnsi="Times New Roman" w:cs="Times New Roman"/>
          <w:sz w:val="24"/>
          <w:szCs w:val="24"/>
        </w:rPr>
        <w:t xml:space="preserve">ме газа под притисок </w:t>
      </w:r>
      <w:r w:rsidR="00B8532E">
        <w:rPr>
          <w:rFonts w:ascii="Times New Roman" w:hAnsi="Times New Roman" w:cs="Times New Roman"/>
          <w:sz w:val="24"/>
          <w:szCs w:val="24"/>
        </w:rPr>
        <w:t xml:space="preserve">во времетраење од </w:t>
      </w:r>
      <w:r w:rsidRPr="00215667">
        <w:rPr>
          <w:rFonts w:ascii="Times New Roman" w:hAnsi="Times New Roman" w:cs="Times New Roman"/>
          <w:sz w:val="24"/>
          <w:szCs w:val="24"/>
        </w:rPr>
        <w:t xml:space="preserve">30 минути.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то од </w:t>
      </w:r>
      <w:r w:rsidRPr="00215667">
        <w:rPr>
          <w:rFonts w:ascii="Times New Roman" w:hAnsi="Times New Roman" w:cs="Times New Roman"/>
          <w:sz w:val="24"/>
          <w:szCs w:val="24"/>
        </w:rPr>
        <w:lastRenderedPageBreak/>
        <w:t xml:space="preserve">местото на екстракција беше проценето и евидентирано веднаш по екстракцијата до вториот ден по екстракцијата. Вообичаено по екстракција од алвеолата или постоперативното поле се забележува слабо истекување на крв. Кога крвавењето продолжило на вториот ден, пациентот се јавува на клиника, во тој случај лесните крвавења се менаџираат со локални мерки (притисок со газа), </w:t>
      </w:r>
      <w:r w:rsidR="00B8532E">
        <w:rPr>
          <w:rFonts w:ascii="Times New Roman" w:hAnsi="Times New Roman" w:cs="Times New Roman"/>
          <w:sz w:val="24"/>
          <w:szCs w:val="24"/>
        </w:rPr>
        <w:t>з</w:t>
      </w:r>
      <w:r w:rsidRPr="00215667">
        <w:rPr>
          <w:rFonts w:ascii="Times New Roman" w:hAnsi="Times New Roman" w:cs="Times New Roman"/>
          <w:sz w:val="24"/>
          <w:szCs w:val="24"/>
        </w:rPr>
        <w:t>а умерени крвавења користиме локален хемостатичен агенс- ТХА</w:t>
      </w:r>
      <w:r w:rsidR="00B8532E">
        <w:rPr>
          <w:rFonts w:ascii="Times New Roman" w:hAnsi="Times New Roman" w:cs="Times New Roman"/>
          <w:sz w:val="24"/>
          <w:szCs w:val="24"/>
        </w:rPr>
        <w:t xml:space="preserve"> </w:t>
      </w:r>
      <w:r w:rsidRPr="00215667">
        <w:rPr>
          <w:rFonts w:ascii="Times New Roman" w:hAnsi="Times New Roman" w:cs="Times New Roman"/>
          <w:sz w:val="24"/>
          <w:szCs w:val="24"/>
        </w:rPr>
        <w:t xml:space="preserve">и тампонада). Секое крвавење кое бара хоспитализација се смета за тешко крвавење, кога се употребуваат следните локални хемостатски методи: киретажа и отстранување на коагулум, длабока тампонада и шиење на рана со 3/0 </w:t>
      </w:r>
      <w:r w:rsidRPr="00B8532E">
        <w:rPr>
          <w:rFonts w:ascii="Times New Roman" w:hAnsi="Times New Roman" w:cs="Times New Roman"/>
          <w:i/>
          <w:iCs/>
          <w:sz w:val="24"/>
          <w:szCs w:val="24"/>
        </w:rPr>
        <w:t>Vicryl</w:t>
      </w:r>
      <w:r w:rsidRPr="00215667">
        <w:rPr>
          <w:rFonts w:ascii="Times New Roman" w:hAnsi="Times New Roman" w:cs="Times New Roman"/>
          <w:sz w:val="24"/>
          <w:szCs w:val="24"/>
        </w:rPr>
        <w:t xml:space="preserve"> и/или користење на електрокаутер). Пациентите беа строго советувани да се јават во клиниката во секое време по екстракцијата во случај на </w:t>
      </w:r>
      <w:r w:rsidR="00B8532E" w:rsidRPr="00215667">
        <w:rPr>
          <w:rFonts w:ascii="Times New Roman" w:hAnsi="Times New Roman" w:cs="Times New Roman"/>
          <w:sz w:val="24"/>
          <w:szCs w:val="24"/>
        </w:rPr>
        <w:t xml:space="preserve">какви </w:t>
      </w:r>
      <w:r w:rsidRPr="00215667">
        <w:rPr>
          <w:rFonts w:ascii="Times New Roman" w:hAnsi="Times New Roman" w:cs="Times New Roman"/>
          <w:sz w:val="24"/>
          <w:szCs w:val="24"/>
        </w:rPr>
        <w:t>било компликации поврзани со екстракцијата.</w:t>
      </w:r>
    </w:p>
    <w:p w14:paraId="0E5698C7" w14:textId="12CAF008" w:rsidR="00412474"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Времето за изведување на дентоалвеоларните процедури кај итни случаи го определуваме според времето на полураспаѓање на лекот и препораките за суспендирање и повторно продолжување на лекот по интервенција</w:t>
      </w:r>
      <w:r w:rsidR="00B8532E">
        <w:rPr>
          <w:rFonts w:ascii="Times New Roman" w:hAnsi="Times New Roman" w:cs="Times New Roman"/>
          <w:sz w:val="24"/>
          <w:szCs w:val="24"/>
        </w:rPr>
        <w:t xml:space="preserve"> (с</w:t>
      </w:r>
      <w:r w:rsidRPr="00215667">
        <w:rPr>
          <w:rFonts w:ascii="Times New Roman" w:hAnsi="Times New Roman" w:cs="Times New Roman"/>
          <w:sz w:val="24"/>
          <w:szCs w:val="24"/>
        </w:rPr>
        <w:t>лика бр</w:t>
      </w:r>
      <w:r w:rsidR="000C0052">
        <w:rPr>
          <w:rFonts w:ascii="Times New Roman" w:hAnsi="Times New Roman" w:cs="Times New Roman"/>
          <w:sz w:val="24"/>
          <w:szCs w:val="24"/>
          <w:lang w:val="en-US"/>
        </w:rPr>
        <w:t>.</w:t>
      </w:r>
      <w:r w:rsidR="00B8532E">
        <w:rPr>
          <w:rFonts w:ascii="Times New Roman" w:hAnsi="Times New Roman" w:cs="Times New Roman"/>
          <w:sz w:val="24"/>
          <w:szCs w:val="24"/>
        </w:rPr>
        <w:t xml:space="preserve"> </w:t>
      </w:r>
      <w:r w:rsidRPr="00215667">
        <w:rPr>
          <w:rFonts w:ascii="Times New Roman" w:hAnsi="Times New Roman" w:cs="Times New Roman"/>
          <w:sz w:val="24"/>
          <w:szCs w:val="24"/>
        </w:rPr>
        <w:t>4</w:t>
      </w:r>
      <w:r w:rsidR="00B8532E">
        <w:rPr>
          <w:rFonts w:ascii="Times New Roman" w:hAnsi="Times New Roman" w:cs="Times New Roman"/>
          <w:sz w:val="24"/>
          <w:szCs w:val="24"/>
        </w:rPr>
        <w:t>)</w:t>
      </w:r>
      <w:r w:rsidRPr="00215667">
        <w:rPr>
          <w:rFonts w:ascii="Times New Roman" w:hAnsi="Times New Roman" w:cs="Times New Roman"/>
          <w:sz w:val="24"/>
          <w:szCs w:val="24"/>
        </w:rPr>
        <w:t>.</w:t>
      </w:r>
    </w:p>
    <w:p w14:paraId="67F1894A" w14:textId="77777777" w:rsidR="00B8532E" w:rsidRPr="00215667" w:rsidRDefault="00B8532E" w:rsidP="00B8532E">
      <w:pPr>
        <w:spacing w:after="0" w:line="240" w:lineRule="auto"/>
        <w:ind w:firstLine="720"/>
        <w:jc w:val="both"/>
        <w:rPr>
          <w:rFonts w:ascii="Times New Roman" w:hAnsi="Times New Roman" w:cs="Times New Roman"/>
          <w:sz w:val="24"/>
          <w:szCs w:val="24"/>
        </w:rPr>
      </w:pPr>
    </w:p>
    <w:p w14:paraId="2B2FD5E6" w14:textId="2ACD3D10" w:rsidR="00412474" w:rsidRPr="00215667" w:rsidRDefault="00412474" w:rsidP="00E152A1">
      <w:pPr>
        <w:spacing w:line="360" w:lineRule="auto"/>
        <w:jc w:val="center"/>
        <w:rPr>
          <w:rFonts w:ascii="Times New Roman" w:hAnsi="Times New Roman" w:cs="Times New Roman"/>
          <w:sz w:val="24"/>
          <w:szCs w:val="24"/>
        </w:rPr>
      </w:pPr>
      <w:r w:rsidRPr="00215667">
        <w:rPr>
          <w:rFonts w:ascii="Times New Roman" w:hAnsi="Times New Roman" w:cs="Times New Roman"/>
          <w:sz w:val="24"/>
          <w:szCs w:val="24"/>
        </w:rPr>
        <w:t>Слика бр</w:t>
      </w:r>
      <w:r w:rsidR="00B8532E">
        <w:rPr>
          <w:rFonts w:ascii="Times New Roman" w:hAnsi="Times New Roman" w:cs="Times New Roman"/>
          <w:sz w:val="24"/>
          <w:szCs w:val="24"/>
        </w:rPr>
        <w:t xml:space="preserve">. </w:t>
      </w:r>
      <w:r w:rsidRPr="00215667">
        <w:rPr>
          <w:rFonts w:ascii="Times New Roman" w:hAnsi="Times New Roman" w:cs="Times New Roman"/>
          <w:sz w:val="24"/>
          <w:szCs w:val="24"/>
        </w:rPr>
        <w:t>4</w:t>
      </w:r>
      <w:r w:rsidR="00B8532E">
        <w:rPr>
          <w:rFonts w:ascii="Times New Roman" w:hAnsi="Times New Roman" w:cs="Times New Roman"/>
          <w:sz w:val="24"/>
          <w:szCs w:val="24"/>
        </w:rPr>
        <w:t xml:space="preserve"> -</w:t>
      </w:r>
      <w:r w:rsidRPr="00215667">
        <w:rPr>
          <w:rFonts w:ascii="Times New Roman" w:hAnsi="Times New Roman" w:cs="Times New Roman"/>
          <w:sz w:val="24"/>
          <w:szCs w:val="24"/>
        </w:rPr>
        <w:t xml:space="preserve"> Полувреме на распаѓање, време на суспендирање на лекот пред интервенција и време за повторно започнување на терапија по интервенција</w:t>
      </w:r>
    </w:p>
    <w:tbl>
      <w:tblPr>
        <w:tblStyle w:val="TableGrid"/>
        <w:tblW w:w="0" w:type="auto"/>
        <w:tblLook w:val="04A0" w:firstRow="1" w:lastRow="0" w:firstColumn="1" w:lastColumn="0" w:noHBand="0" w:noVBand="1"/>
      </w:tblPr>
      <w:tblGrid>
        <w:gridCol w:w="2065"/>
        <w:gridCol w:w="2125"/>
        <w:gridCol w:w="2265"/>
        <w:gridCol w:w="2265"/>
      </w:tblGrid>
      <w:tr w:rsidR="00412474" w:rsidRPr="00215667" w14:paraId="49691441" w14:textId="77777777" w:rsidTr="00435E3A">
        <w:tc>
          <w:tcPr>
            <w:tcW w:w="2137" w:type="dxa"/>
          </w:tcPr>
          <w:p w14:paraId="652DA440" w14:textId="539CE9DA" w:rsidR="00412474" w:rsidRPr="00215667" w:rsidRDefault="00B8532E" w:rsidP="00B8532E">
            <w:pPr>
              <w:spacing w:after="160"/>
              <w:jc w:val="center"/>
              <w:rPr>
                <w:rFonts w:ascii="Times New Roman" w:hAnsi="Times New Roman" w:cs="Times New Roman"/>
                <w:sz w:val="24"/>
                <w:szCs w:val="24"/>
              </w:rPr>
            </w:pPr>
            <w:r>
              <w:rPr>
                <w:rFonts w:ascii="Times New Roman" w:hAnsi="Times New Roman" w:cs="Times New Roman"/>
                <w:sz w:val="24"/>
                <w:szCs w:val="24"/>
              </w:rPr>
              <w:t>Л</w:t>
            </w:r>
            <w:r w:rsidR="00412474" w:rsidRPr="00215667">
              <w:rPr>
                <w:rFonts w:ascii="Times New Roman" w:hAnsi="Times New Roman" w:cs="Times New Roman"/>
                <w:sz w:val="24"/>
                <w:szCs w:val="24"/>
              </w:rPr>
              <w:t>ек</w:t>
            </w:r>
          </w:p>
        </w:tc>
        <w:tc>
          <w:tcPr>
            <w:tcW w:w="2187" w:type="dxa"/>
          </w:tcPr>
          <w:p w14:paraId="23030ECB" w14:textId="14422DC7" w:rsidR="00412474" w:rsidRPr="00215667" w:rsidRDefault="00B8532E" w:rsidP="00B8532E">
            <w:pPr>
              <w:spacing w:after="160"/>
              <w:jc w:val="center"/>
              <w:rPr>
                <w:rFonts w:ascii="Times New Roman" w:hAnsi="Times New Roman" w:cs="Times New Roman"/>
                <w:sz w:val="24"/>
                <w:szCs w:val="24"/>
              </w:rPr>
            </w:pPr>
            <w:r>
              <w:rPr>
                <w:rFonts w:ascii="Times New Roman" w:hAnsi="Times New Roman" w:cs="Times New Roman"/>
                <w:sz w:val="24"/>
                <w:szCs w:val="24"/>
              </w:rPr>
              <w:t>П</w:t>
            </w:r>
            <w:r w:rsidR="00412474" w:rsidRPr="00215667">
              <w:rPr>
                <w:rFonts w:ascii="Times New Roman" w:hAnsi="Times New Roman" w:cs="Times New Roman"/>
                <w:sz w:val="24"/>
                <w:szCs w:val="24"/>
              </w:rPr>
              <w:t>олуживот</w:t>
            </w:r>
          </w:p>
        </w:tc>
        <w:tc>
          <w:tcPr>
            <w:tcW w:w="2286" w:type="dxa"/>
          </w:tcPr>
          <w:p w14:paraId="475B5451" w14:textId="3B42319D" w:rsidR="00412474" w:rsidRPr="00215667" w:rsidRDefault="00412474" w:rsidP="00B8532E">
            <w:pPr>
              <w:spacing w:after="160"/>
              <w:jc w:val="center"/>
              <w:rPr>
                <w:rFonts w:ascii="Times New Roman" w:hAnsi="Times New Roman" w:cs="Times New Roman"/>
                <w:sz w:val="24"/>
                <w:szCs w:val="24"/>
              </w:rPr>
            </w:pPr>
            <w:r w:rsidRPr="00215667">
              <w:rPr>
                <w:rFonts w:ascii="Times New Roman" w:hAnsi="Times New Roman" w:cs="Times New Roman"/>
                <w:sz w:val="24"/>
                <w:szCs w:val="24"/>
              </w:rPr>
              <w:t>Време на прекинување на лекот пред</w:t>
            </w:r>
            <w:r w:rsidR="00B8532E">
              <w:rPr>
                <w:rFonts w:ascii="Times New Roman" w:hAnsi="Times New Roman" w:cs="Times New Roman"/>
                <w:sz w:val="24"/>
                <w:szCs w:val="24"/>
              </w:rPr>
              <w:t xml:space="preserve"> </w:t>
            </w:r>
            <w:r w:rsidR="00B8532E" w:rsidRPr="00215667">
              <w:rPr>
                <w:rFonts w:ascii="Times New Roman" w:hAnsi="Times New Roman" w:cs="Times New Roman"/>
                <w:sz w:val="24"/>
                <w:szCs w:val="24"/>
              </w:rPr>
              <w:t>интервенција</w:t>
            </w:r>
            <w:r w:rsidR="00B8532E">
              <w:rPr>
                <w:rFonts w:ascii="Times New Roman" w:hAnsi="Times New Roman" w:cs="Times New Roman"/>
                <w:sz w:val="24"/>
                <w:szCs w:val="24"/>
              </w:rPr>
              <w:t>та</w:t>
            </w:r>
          </w:p>
        </w:tc>
        <w:tc>
          <w:tcPr>
            <w:tcW w:w="2286" w:type="dxa"/>
          </w:tcPr>
          <w:p w14:paraId="15BE87B6" w14:textId="7576215C" w:rsidR="00412474" w:rsidRPr="00215667" w:rsidRDefault="00412474" w:rsidP="00B8532E">
            <w:pPr>
              <w:spacing w:after="160"/>
              <w:jc w:val="center"/>
              <w:rPr>
                <w:rFonts w:ascii="Times New Roman" w:hAnsi="Times New Roman" w:cs="Times New Roman"/>
                <w:sz w:val="24"/>
                <w:szCs w:val="24"/>
              </w:rPr>
            </w:pPr>
            <w:r w:rsidRPr="00215667">
              <w:rPr>
                <w:rFonts w:ascii="Times New Roman" w:hAnsi="Times New Roman" w:cs="Times New Roman"/>
                <w:sz w:val="24"/>
                <w:szCs w:val="24"/>
              </w:rPr>
              <w:t xml:space="preserve">Време на продолжување на лекот по </w:t>
            </w:r>
            <w:r w:rsidR="00B8532E" w:rsidRPr="00215667">
              <w:rPr>
                <w:rFonts w:ascii="Times New Roman" w:hAnsi="Times New Roman" w:cs="Times New Roman"/>
                <w:sz w:val="24"/>
                <w:szCs w:val="24"/>
              </w:rPr>
              <w:t>интервенција</w:t>
            </w:r>
          </w:p>
        </w:tc>
      </w:tr>
      <w:tr w:rsidR="00412474" w:rsidRPr="00215667" w14:paraId="45C4551D" w14:textId="77777777" w:rsidTr="00435E3A">
        <w:tc>
          <w:tcPr>
            <w:tcW w:w="2137" w:type="dxa"/>
          </w:tcPr>
          <w:p w14:paraId="5F3AD1DC" w14:textId="77777777" w:rsidR="00412474" w:rsidRPr="00215667" w:rsidRDefault="00412474" w:rsidP="00435E3A">
            <w:pPr>
              <w:spacing w:after="160"/>
              <w:rPr>
                <w:rFonts w:ascii="Times New Roman" w:hAnsi="Times New Roman" w:cs="Times New Roman"/>
                <w:sz w:val="24"/>
                <w:szCs w:val="24"/>
              </w:rPr>
            </w:pPr>
          </w:p>
        </w:tc>
        <w:tc>
          <w:tcPr>
            <w:tcW w:w="2187" w:type="dxa"/>
          </w:tcPr>
          <w:p w14:paraId="6E91D35D" w14:textId="77777777" w:rsidR="00412474" w:rsidRPr="00215667" w:rsidRDefault="00412474" w:rsidP="00435E3A">
            <w:pPr>
              <w:spacing w:after="160"/>
              <w:rPr>
                <w:rFonts w:ascii="Times New Roman" w:hAnsi="Times New Roman" w:cs="Times New Roman"/>
                <w:sz w:val="24"/>
                <w:szCs w:val="24"/>
              </w:rPr>
            </w:pPr>
          </w:p>
        </w:tc>
        <w:tc>
          <w:tcPr>
            <w:tcW w:w="2286" w:type="dxa"/>
          </w:tcPr>
          <w:p w14:paraId="6B668CF2" w14:textId="77777777"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Дентоалвеоларни процедури</w:t>
            </w:r>
          </w:p>
        </w:tc>
        <w:tc>
          <w:tcPr>
            <w:tcW w:w="2286" w:type="dxa"/>
          </w:tcPr>
          <w:p w14:paraId="583A0AFC" w14:textId="77777777"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Дентоалвеоларни процедури</w:t>
            </w:r>
          </w:p>
        </w:tc>
      </w:tr>
      <w:tr w:rsidR="00412474" w:rsidRPr="00215667" w14:paraId="2F6E55B5" w14:textId="77777777" w:rsidTr="00435E3A">
        <w:tc>
          <w:tcPr>
            <w:tcW w:w="2137" w:type="dxa"/>
          </w:tcPr>
          <w:p w14:paraId="18022523" w14:textId="77777777"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 xml:space="preserve">(VKA) </w:t>
            </w:r>
            <w:r w:rsidRPr="00B8532E">
              <w:rPr>
                <w:rFonts w:ascii="Times New Roman" w:hAnsi="Times New Roman" w:cs="Times New Roman"/>
                <w:i/>
                <w:iCs/>
                <w:sz w:val="24"/>
                <w:szCs w:val="24"/>
              </w:rPr>
              <w:t>Sintrom, Pelentan</w:t>
            </w:r>
          </w:p>
          <w:p w14:paraId="25575CE6" w14:textId="77777777" w:rsidR="00412474" w:rsidRPr="00215667" w:rsidRDefault="00412474" w:rsidP="00435E3A">
            <w:pPr>
              <w:spacing w:after="160"/>
              <w:rPr>
                <w:rFonts w:ascii="Times New Roman" w:hAnsi="Times New Roman" w:cs="Times New Roman"/>
                <w:sz w:val="24"/>
                <w:szCs w:val="24"/>
              </w:rPr>
            </w:pPr>
          </w:p>
        </w:tc>
        <w:tc>
          <w:tcPr>
            <w:tcW w:w="2187" w:type="dxa"/>
          </w:tcPr>
          <w:p w14:paraId="2393AB57" w14:textId="77777777"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36 часа </w:t>
            </w:r>
          </w:p>
        </w:tc>
        <w:tc>
          <w:tcPr>
            <w:tcW w:w="2286" w:type="dxa"/>
          </w:tcPr>
          <w:p w14:paraId="7320DC87" w14:textId="77777777"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3–5 дена*</w:t>
            </w:r>
          </w:p>
        </w:tc>
        <w:tc>
          <w:tcPr>
            <w:tcW w:w="2286" w:type="dxa"/>
          </w:tcPr>
          <w:p w14:paraId="4EB92286" w14:textId="41243BAD"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24 ч</w:t>
            </w:r>
            <w:r w:rsidR="00B8532E">
              <w:rPr>
                <w:rFonts w:ascii="Times New Roman" w:hAnsi="Times New Roman" w:cs="Times New Roman"/>
                <w:sz w:val="24"/>
                <w:szCs w:val="24"/>
              </w:rPr>
              <w:t>аса</w:t>
            </w:r>
            <w:r w:rsidRPr="00215667">
              <w:rPr>
                <w:rFonts w:ascii="Times New Roman" w:hAnsi="Times New Roman" w:cs="Times New Roman"/>
                <w:sz w:val="24"/>
                <w:szCs w:val="24"/>
              </w:rPr>
              <w:t xml:space="preserve">, премостување со </w:t>
            </w:r>
            <w:r w:rsidRPr="00B8532E">
              <w:rPr>
                <w:rFonts w:ascii="Times New Roman" w:hAnsi="Times New Roman" w:cs="Times New Roman"/>
                <w:i/>
                <w:iCs/>
                <w:sz w:val="24"/>
                <w:szCs w:val="24"/>
              </w:rPr>
              <w:t>heparin</w:t>
            </w:r>
            <w:r w:rsidRPr="00215667">
              <w:rPr>
                <w:rFonts w:ascii="Times New Roman" w:hAnsi="Times New Roman" w:cs="Times New Roman"/>
                <w:sz w:val="24"/>
                <w:szCs w:val="24"/>
              </w:rPr>
              <w:t xml:space="preserve"> 48–72 h; </w:t>
            </w:r>
          </w:p>
        </w:tc>
      </w:tr>
      <w:tr w:rsidR="00412474" w:rsidRPr="00215667" w14:paraId="196AC3AB" w14:textId="77777777" w:rsidTr="00435E3A">
        <w:tc>
          <w:tcPr>
            <w:tcW w:w="2137" w:type="dxa"/>
          </w:tcPr>
          <w:p w14:paraId="36DAD13A" w14:textId="77777777"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 xml:space="preserve">(DOCS)-  </w:t>
            </w:r>
            <w:r w:rsidRPr="00B8532E">
              <w:rPr>
                <w:rFonts w:ascii="Times New Roman" w:hAnsi="Times New Roman" w:cs="Times New Roman"/>
                <w:i/>
                <w:iCs/>
                <w:sz w:val="24"/>
                <w:szCs w:val="24"/>
              </w:rPr>
              <w:t>Xarelto</w:t>
            </w:r>
            <w:r w:rsidRPr="00215667">
              <w:rPr>
                <w:rFonts w:ascii="Times New Roman" w:hAnsi="Times New Roman" w:cs="Times New Roman"/>
                <w:sz w:val="24"/>
                <w:szCs w:val="24"/>
              </w:rPr>
              <w:t xml:space="preserve">, </w:t>
            </w:r>
          </w:p>
        </w:tc>
        <w:tc>
          <w:tcPr>
            <w:tcW w:w="2187" w:type="dxa"/>
          </w:tcPr>
          <w:p w14:paraId="03997B0F" w14:textId="599ECDFD"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8-10</w:t>
            </w:r>
            <w:r w:rsidR="00B8532E">
              <w:rPr>
                <w:rFonts w:ascii="Times New Roman" w:hAnsi="Times New Roman" w:cs="Times New Roman"/>
                <w:sz w:val="24"/>
                <w:szCs w:val="24"/>
              </w:rPr>
              <w:t xml:space="preserve"> </w:t>
            </w:r>
            <w:r w:rsidRPr="00215667">
              <w:rPr>
                <w:rFonts w:ascii="Times New Roman" w:hAnsi="Times New Roman" w:cs="Times New Roman"/>
                <w:sz w:val="24"/>
                <w:szCs w:val="24"/>
              </w:rPr>
              <w:t>ч</w:t>
            </w:r>
            <w:r w:rsidR="00B8532E">
              <w:rPr>
                <w:rFonts w:ascii="Times New Roman" w:hAnsi="Times New Roman" w:cs="Times New Roman"/>
                <w:sz w:val="24"/>
                <w:szCs w:val="24"/>
              </w:rPr>
              <w:t>аса</w:t>
            </w:r>
          </w:p>
        </w:tc>
        <w:tc>
          <w:tcPr>
            <w:tcW w:w="2286" w:type="dxa"/>
          </w:tcPr>
          <w:p w14:paraId="3212B1E3" w14:textId="1C8F25F0"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24 ч</w:t>
            </w:r>
            <w:r w:rsidR="00B8532E">
              <w:rPr>
                <w:rFonts w:ascii="Times New Roman" w:hAnsi="Times New Roman" w:cs="Times New Roman"/>
                <w:sz w:val="24"/>
                <w:szCs w:val="24"/>
              </w:rPr>
              <w:t>аса</w:t>
            </w:r>
            <w:r w:rsidRPr="00215667">
              <w:rPr>
                <w:rFonts w:ascii="Times New Roman" w:hAnsi="Times New Roman" w:cs="Times New Roman"/>
                <w:sz w:val="24"/>
                <w:szCs w:val="24"/>
              </w:rPr>
              <w:t>**</w:t>
            </w:r>
          </w:p>
        </w:tc>
        <w:tc>
          <w:tcPr>
            <w:tcW w:w="2286" w:type="dxa"/>
          </w:tcPr>
          <w:p w14:paraId="123F173A" w14:textId="10AF11CC"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24 ч</w:t>
            </w:r>
            <w:r w:rsidR="00B8532E">
              <w:rPr>
                <w:rFonts w:ascii="Times New Roman" w:hAnsi="Times New Roman" w:cs="Times New Roman"/>
                <w:sz w:val="24"/>
                <w:szCs w:val="24"/>
              </w:rPr>
              <w:t>аса</w:t>
            </w:r>
          </w:p>
        </w:tc>
      </w:tr>
      <w:tr w:rsidR="00412474" w:rsidRPr="00215667" w14:paraId="14FD5958" w14:textId="77777777" w:rsidTr="00435E3A">
        <w:tc>
          <w:tcPr>
            <w:tcW w:w="2137" w:type="dxa"/>
          </w:tcPr>
          <w:p w14:paraId="2FE1486B" w14:textId="77777777"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(NSAIDs) -</w:t>
            </w:r>
            <w:r w:rsidRPr="00B8532E">
              <w:rPr>
                <w:rFonts w:ascii="Times New Roman" w:hAnsi="Times New Roman" w:cs="Times New Roman"/>
                <w:i/>
                <w:iCs/>
                <w:sz w:val="24"/>
                <w:szCs w:val="24"/>
              </w:rPr>
              <w:t>Aspirin</w:t>
            </w:r>
            <w:r w:rsidRPr="00215667">
              <w:rPr>
                <w:rFonts w:ascii="Times New Roman" w:hAnsi="Times New Roman" w:cs="Times New Roman"/>
                <w:sz w:val="24"/>
                <w:szCs w:val="24"/>
              </w:rPr>
              <w:t xml:space="preserve"> </w:t>
            </w:r>
          </w:p>
        </w:tc>
        <w:tc>
          <w:tcPr>
            <w:tcW w:w="2187" w:type="dxa"/>
          </w:tcPr>
          <w:p w14:paraId="70A40DC8" w14:textId="77777777"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7–10 дена</w:t>
            </w:r>
          </w:p>
        </w:tc>
        <w:tc>
          <w:tcPr>
            <w:tcW w:w="2286" w:type="dxa"/>
          </w:tcPr>
          <w:p w14:paraId="60B1947C" w14:textId="77777777"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3–5 дена</w:t>
            </w:r>
          </w:p>
        </w:tc>
        <w:tc>
          <w:tcPr>
            <w:tcW w:w="2286" w:type="dxa"/>
          </w:tcPr>
          <w:p w14:paraId="179A495E" w14:textId="77777777" w:rsidR="00412474" w:rsidRPr="00215667" w:rsidRDefault="00412474" w:rsidP="00435E3A">
            <w:pPr>
              <w:spacing w:after="160"/>
              <w:rPr>
                <w:rFonts w:ascii="Times New Roman" w:hAnsi="Times New Roman" w:cs="Times New Roman"/>
                <w:sz w:val="24"/>
                <w:szCs w:val="24"/>
              </w:rPr>
            </w:pPr>
            <w:r w:rsidRPr="00215667">
              <w:rPr>
                <w:rFonts w:ascii="Times New Roman" w:hAnsi="Times New Roman" w:cs="Times New Roman"/>
                <w:sz w:val="24"/>
                <w:szCs w:val="24"/>
              </w:rPr>
              <w:t>Обично продолжува</w:t>
            </w:r>
          </w:p>
        </w:tc>
      </w:tr>
    </w:tbl>
    <w:p w14:paraId="2973E944" w14:textId="77777777" w:rsidR="00B8532E" w:rsidRPr="00E152A1" w:rsidRDefault="00B8532E" w:rsidP="00E152A1">
      <w:pPr>
        <w:spacing w:line="360" w:lineRule="auto"/>
        <w:jc w:val="both"/>
        <w:rPr>
          <w:rFonts w:ascii="Times New Roman" w:hAnsi="Times New Roman" w:cs="Times New Roman"/>
          <w:sz w:val="18"/>
          <w:szCs w:val="18"/>
        </w:rPr>
      </w:pPr>
      <w:r w:rsidRPr="00E152A1">
        <w:rPr>
          <w:rFonts w:ascii="Times New Roman" w:hAnsi="Times New Roman" w:cs="Times New Roman"/>
          <w:sz w:val="18"/>
          <w:szCs w:val="18"/>
        </w:rPr>
        <w:t xml:space="preserve">* </w:t>
      </w:r>
      <w:r w:rsidR="00412474" w:rsidRPr="00E152A1">
        <w:rPr>
          <w:rFonts w:ascii="Times New Roman" w:hAnsi="Times New Roman" w:cs="Times New Roman"/>
          <w:sz w:val="18"/>
          <w:szCs w:val="18"/>
        </w:rPr>
        <w:t xml:space="preserve">Во некои случаи, </w:t>
      </w:r>
      <w:r w:rsidRPr="00E152A1">
        <w:rPr>
          <w:rFonts w:ascii="Times New Roman" w:hAnsi="Times New Roman" w:cs="Times New Roman"/>
          <w:sz w:val="18"/>
          <w:szCs w:val="18"/>
        </w:rPr>
        <w:t xml:space="preserve">е дозволено </w:t>
      </w:r>
      <w:r w:rsidR="00412474" w:rsidRPr="00E152A1">
        <w:rPr>
          <w:rFonts w:ascii="Times New Roman" w:hAnsi="Times New Roman" w:cs="Times New Roman"/>
          <w:sz w:val="18"/>
          <w:szCs w:val="18"/>
        </w:rPr>
        <w:t>продолжување на примање на лекот</w:t>
      </w:r>
      <w:r w:rsidRPr="00E152A1">
        <w:rPr>
          <w:rFonts w:ascii="Times New Roman" w:hAnsi="Times New Roman" w:cs="Times New Roman"/>
          <w:sz w:val="18"/>
          <w:szCs w:val="18"/>
        </w:rPr>
        <w:t>.</w:t>
      </w:r>
      <w:r w:rsidR="00412474" w:rsidRPr="00E152A1">
        <w:rPr>
          <w:rFonts w:ascii="Times New Roman" w:hAnsi="Times New Roman" w:cs="Times New Roman"/>
          <w:sz w:val="18"/>
          <w:szCs w:val="18"/>
        </w:rPr>
        <w:t xml:space="preserve"> </w:t>
      </w:r>
    </w:p>
    <w:p w14:paraId="56592F4D" w14:textId="5EC895B1" w:rsidR="00412474" w:rsidRPr="00E152A1" w:rsidRDefault="00412474" w:rsidP="00E152A1">
      <w:pPr>
        <w:spacing w:line="360" w:lineRule="auto"/>
        <w:jc w:val="both"/>
        <w:rPr>
          <w:rFonts w:ascii="Times New Roman" w:hAnsi="Times New Roman" w:cs="Times New Roman"/>
          <w:sz w:val="18"/>
          <w:szCs w:val="18"/>
        </w:rPr>
      </w:pPr>
      <w:r w:rsidRPr="00E152A1">
        <w:rPr>
          <w:rFonts w:ascii="Times New Roman" w:hAnsi="Times New Roman" w:cs="Times New Roman"/>
          <w:sz w:val="18"/>
          <w:szCs w:val="18"/>
        </w:rPr>
        <w:t>**</w:t>
      </w:r>
      <w:r w:rsidR="00B8532E" w:rsidRPr="00E152A1">
        <w:rPr>
          <w:rFonts w:ascii="Times New Roman" w:hAnsi="Times New Roman" w:cs="Times New Roman"/>
          <w:sz w:val="18"/>
          <w:szCs w:val="18"/>
        </w:rPr>
        <w:t xml:space="preserve"> </w:t>
      </w:r>
      <w:r w:rsidRPr="00E152A1">
        <w:rPr>
          <w:rFonts w:ascii="Times New Roman" w:hAnsi="Times New Roman" w:cs="Times New Roman"/>
          <w:sz w:val="18"/>
          <w:szCs w:val="18"/>
        </w:rPr>
        <w:t>Во случај на нарушена бубрежна функција, интервалот на прекин на лекот треба да се продолжи и/или нивото на лекот треба да се процени со лабораториски тестови, клиренс на креатинин</w:t>
      </w:r>
      <w:r w:rsidR="00B8532E" w:rsidRPr="00E152A1">
        <w:rPr>
          <w:rFonts w:ascii="Times New Roman" w:hAnsi="Times New Roman" w:cs="Times New Roman"/>
          <w:sz w:val="18"/>
          <w:szCs w:val="18"/>
        </w:rPr>
        <w:t>.</w:t>
      </w:r>
    </w:p>
    <w:p w14:paraId="36788EDD" w14:textId="7A3C965A"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lastRenderedPageBreak/>
        <w:t xml:space="preserve">Максималните нивоа на DOAC се постигнуваат 2-4 часа по земањето на лекот. Кај пациенти со нормална бубрежна и хепатална функција, без акумулација на лекот и без интеракции со лекови, нивото на DOAC во плазмата 24 часа по администрацијата е генерално премногу ниско за да предизвика клинички релевантен ризик од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Ризикот од акумулација на лекот е поголем кај пациенти со бубрежна дисфункција (клиренс на креатинин [CrCl] од 30 mL/min или помалку). Операцијата треба да се одложи, доколку е можно, до најмалку 24–48 часа по последната доза на DOAC. За пациенти со благи крварења кои не се опасни по живот, доволно е да се прекине DOAC; за пациенти со тешки крварења, постојат посебни алгоритми за третманот што треба да се следи.</w:t>
      </w:r>
    </w:p>
    <w:p w14:paraId="4A0D91B8" w14:textId="2D3958C6" w:rsidR="00412474" w:rsidRPr="00215667" w:rsidRDefault="00412474" w:rsidP="00E152A1">
      <w:pPr>
        <w:pStyle w:val="Heading2"/>
        <w:spacing w:line="360" w:lineRule="auto"/>
        <w:rPr>
          <w:rFonts w:ascii="Times New Roman" w:hAnsi="Times New Roman" w:cs="Times New Roman"/>
          <w:b/>
          <w:bCs/>
          <w:color w:val="000000" w:themeColor="text1"/>
          <w:sz w:val="24"/>
          <w:szCs w:val="24"/>
        </w:rPr>
      </w:pPr>
      <w:bookmarkStart w:id="25" w:name="_Toc209005154"/>
      <w:r w:rsidRPr="00215667">
        <w:rPr>
          <w:rFonts w:ascii="Times New Roman" w:hAnsi="Times New Roman" w:cs="Times New Roman"/>
          <w:b/>
          <w:bCs/>
          <w:color w:val="000000" w:themeColor="text1"/>
          <w:sz w:val="24"/>
          <w:szCs w:val="24"/>
        </w:rPr>
        <w:t>Менаџирање на постоперативно крвавење (PEB)</w:t>
      </w:r>
      <w:bookmarkEnd w:id="25"/>
    </w:p>
    <w:p w14:paraId="059C2D18" w14:textId="77777777" w:rsidR="00412474" w:rsidRPr="00215667" w:rsidRDefault="00412474" w:rsidP="00E152A1">
      <w:pPr>
        <w:pStyle w:val="NoSpacing"/>
        <w:spacing w:line="360" w:lineRule="auto"/>
        <w:rPr>
          <w:rFonts w:ascii="Times New Roman" w:hAnsi="Times New Roman" w:cs="Times New Roman"/>
          <w:sz w:val="24"/>
          <w:szCs w:val="24"/>
        </w:rPr>
      </w:pPr>
      <w:r w:rsidRPr="00215667">
        <w:rPr>
          <w:rFonts w:ascii="Times New Roman" w:hAnsi="Times New Roman" w:cs="Times New Roman"/>
          <w:sz w:val="24"/>
          <w:szCs w:val="24"/>
        </w:rPr>
        <w:t>Системски хемостатски методи</w:t>
      </w:r>
    </w:p>
    <w:p w14:paraId="22290BF6" w14:textId="42D73107"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Системските интервенции вклучуваа интравенска администрација на  </w:t>
      </w:r>
      <w:r w:rsidR="00B8532E">
        <w:rPr>
          <w:rFonts w:ascii="Times New Roman" w:hAnsi="Times New Roman" w:cs="Times New Roman"/>
          <w:sz w:val="24"/>
          <w:szCs w:val="24"/>
        </w:rPr>
        <w:t>т</w:t>
      </w:r>
      <w:r w:rsidR="00B8532E" w:rsidRPr="00215667">
        <w:rPr>
          <w:rFonts w:ascii="Times New Roman" w:hAnsi="Times New Roman" w:cs="Times New Roman"/>
          <w:sz w:val="24"/>
          <w:szCs w:val="24"/>
        </w:rPr>
        <w:t>ранекс</w:t>
      </w:r>
      <w:r w:rsidR="00B8532E">
        <w:rPr>
          <w:rFonts w:ascii="Times New Roman" w:hAnsi="Times New Roman" w:cs="Times New Roman"/>
          <w:sz w:val="24"/>
          <w:szCs w:val="24"/>
        </w:rPr>
        <w:t>а</w:t>
      </w:r>
      <w:r w:rsidR="00B8532E" w:rsidRPr="00215667">
        <w:rPr>
          <w:rFonts w:ascii="Times New Roman" w:hAnsi="Times New Roman" w:cs="Times New Roman"/>
          <w:sz w:val="24"/>
          <w:szCs w:val="24"/>
        </w:rPr>
        <w:t xml:space="preserve">мична </w:t>
      </w:r>
      <w:r w:rsidRPr="00215667">
        <w:rPr>
          <w:rFonts w:ascii="Times New Roman" w:hAnsi="Times New Roman" w:cs="Times New Roman"/>
          <w:sz w:val="24"/>
          <w:szCs w:val="24"/>
        </w:rPr>
        <w:t>киселина, 1-1,5</w:t>
      </w:r>
      <w:r w:rsidR="00B8532E">
        <w:rPr>
          <w:rFonts w:ascii="Times New Roman" w:hAnsi="Times New Roman" w:cs="Times New Roman"/>
          <w:sz w:val="24"/>
          <w:szCs w:val="24"/>
        </w:rPr>
        <w:t xml:space="preserve"> </w:t>
      </w:r>
      <w:r w:rsidRPr="00215667">
        <w:rPr>
          <w:rFonts w:ascii="Times New Roman" w:hAnsi="Times New Roman" w:cs="Times New Roman"/>
          <w:sz w:val="24"/>
          <w:szCs w:val="24"/>
        </w:rPr>
        <w:t xml:space="preserve">гр. Во зависност од тежината на пациентот и според извештај од трансфузиолог, по потреба свежо замрзната плазма (FFP),  протромбински комплекс или комбинација, во консултација со трансфузиолог. </w:t>
      </w:r>
    </w:p>
    <w:p w14:paraId="1BBC988A" w14:textId="77777777" w:rsidR="00412474" w:rsidRPr="00215667" w:rsidRDefault="00412474" w:rsidP="00E152A1">
      <w:pPr>
        <w:pStyle w:val="NoSpacing"/>
        <w:spacing w:line="360" w:lineRule="auto"/>
        <w:rPr>
          <w:rFonts w:ascii="Times New Roman" w:hAnsi="Times New Roman" w:cs="Times New Roman"/>
          <w:color w:val="FF0000"/>
          <w:sz w:val="24"/>
          <w:szCs w:val="24"/>
        </w:rPr>
      </w:pPr>
    </w:p>
    <w:p w14:paraId="2D349424" w14:textId="77777777" w:rsidR="00412474" w:rsidRPr="00215667" w:rsidRDefault="00412474" w:rsidP="00E152A1">
      <w:pPr>
        <w:pStyle w:val="NoSpacing"/>
        <w:spacing w:line="360" w:lineRule="auto"/>
        <w:rPr>
          <w:rFonts w:ascii="Times New Roman" w:hAnsi="Times New Roman" w:cs="Times New Roman"/>
          <w:sz w:val="24"/>
          <w:szCs w:val="24"/>
        </w:rPr>
      </w:pPr>
      <w:r w:rsidRPr="00215667">
        <w:rPr>
          <w:rFonts w:ascii="Times New Roman" w:hAnsi="Times New Roman" w:cs="Times New Roman"/>
          <w:sz w:val="24"/>
          <w:szCs w:val="24"/>
        </w:rPr>
        <w:t>Локални хемостатички методи</w:t>
      </w:r>
    </w:p>
    <w:p w14:paraId="5ED92257" w14:textId="6953B848"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На местото на екстракција или оперативно поле, паци</w:t>
      </w:r>
      <w:r w:rsidR="00B8532E">
        <w:rPr>
          <w:rFonts w:ascii="Times New Roman" w:hAnsi="Times New Roman" w:cs="Times New Roman"/>
          <w:sz w:val="24"/>
          <w:szCs w:val="24"/>
        </w:rPr>
        <w:t>е</w:t>
      </w:r>
      <w:r w:rsidRPr="00215667">
        <w:rPr>
          <w:rFonts w:ascii="Times New Roman" w:hAnsi="Times New Roman" w:cs="Times New Roman"/>
          <w:sz w:val="24"/>
          <w:szCs w:val="24"/>
        </w:rPr>
        <w:t>нтот прво загризува газа под притисок, во траење од 20 мин. Го контролираме по 20 мин</w:t>
      </w:r>
      <w:r w:rsidR="00B8532E">
        <w:rPr>
          <w:rFonts w:ascii="Times New Roman" w:hAnsi="Times New Roman" w:cs="Times New Roman"/>
          <w:sz w:val="24"/>
          <w:szCs w:val="24"/>
        </w:rPr>
        <w:t>ути</w:t>
      </w:r>
      <w:r w:rsidRPr="00215667">
        <w:rPr>
          <w:rFonts w:ascii="Times New Roman" w:hAnsi="Times New Roman" w:cs="Times New Roman"/>
          <w:sz w:val="24"/>
          <w:szCs w:val="24"/>
        </w:rPr>
        <w:t xml:space="preserve"> и ако </w:t>
      </w:r>
      <w:r w:rsidR="006532D8">
        <w:rPr>
          <w:rFonts w:ascii="Times New Roman" w:hAnsi="Times New Roman" w:cs="Times New Roman"/>
          <w:sz w:val="24"/>
          <w:szCs w:val="24"/>
        </w:rPr>
        <w:t>сѐ уште</w:t>
      </w:r>
      <w:r w:rsidRPr="00215667">
        <w:rPr>
          <w:rFonts w:ascii="Times New Roman" w:hAnsi="Times New Roman" w:cs="Times New Roman"/>
          <w:sz w:val="24"/>
          <w:szCs w:val="24"/>
        </w:rPr>
        <w:t xml:space="preserve"> постои лесно крвавење, натопуваме газа со ТХА -</w:t>
      </w:r>
      <w:r w:rsidR="00B8532E">
        <w:rPr>
          <w:rFonts w:ascii="Times New Roman" w:hAnsi="Times New Roman" w:cs="Times New Roman"/>
          <w:sz w:val="24"/>
          <w:szCs w:val="24"/>
        </w:rPr>
        <w:t xml:space="preserve"> </w:t>
      </w:r>
      <w:r w:rsidRPr="00215667">
        <w:rPr>
          <w:rFonts w:ascii="Times New Roman" w:hAnsi="Times New Roman" w:cs="Times New Roman"/>
          <w:sz w:val="24"/>
          <w:szCs w:val="24"/>
        </w:rPr>
        <w:t>5</w:t>
      </w:r>
      <w:r w:rsidR="00B8532E">
        <w:rPr>
          <w:rFonts w:ascii="Times New Roman" w:hAnsi="Times New Roman" w:cs="Times New Roman"/>
          <w:sz w:val="24"/>
          <w:szCs w:val="24"/>
        </w:rPr>
        <w:t xml:space="preserve"> </w:t>
      </w:r>
      <w:r w:rsidRPr="00215667">
        <w:rPr>
          <w:rFonts w:ascii="Times New Roman" w:hAnsi="Times New Roman" w:cs="Times New Roman"/>
          <w:sz w:val="24"/>
          <w:szCs w:val="24"/>
        </w:rPr>
        <w:t>% на газа и повторно пациентот загризува во тра</w:t>
      </w:r>
      <w:r w:rsidR="00B8532E">
        <w:rPr>
          <w:rFonts w:ascii="Times New Roman" w:hAnsi="Times New Roman" w:cs="Times New Roman"/>
          <w:sz w:val="24"/>
          <w:szCs w:val="24"/>
        </w:rPr>
        <w:t>е</w:t>
      </w:r>
      <w:r w:rsidRPr="00215667">
        <w:rPr>
          <w:rFonts w:ascii="Times New Roman" w:hAnsi="Times New Roman" w:cs="Times New Roman"/>
          <w:sz w:val="24"/>
          <w:szCs w:val="24"/>
        </w:rPr>
        <w:t>ње од 20 мин. Доколку крвавењето не запре, потоа ја шиеме раната со ресорптивни конци. Кај умерени крвавења правиме длабока тампонада на алвеолата</w:t>
      </w:r>
      <w:r w:rsidR="00B8532E">
        <w:rPr>
          <w:rFonts w:ascii="Times New Roman" w:hAnsi="Times New Roman" w:cs="Times New Roman"/>
          <w:sz w:val="24"/>
          <w:szCs w:val="24"/>
        </w:rPr>
        <w:t xml:space="preserve"> </w:t>
      </w:r>
      <w:r w:rsidRPr="00215667">
        <w:rPr>
          <w:rFonts w:ascii="Times New Roman" w:hAnsi="Times New Roman" w:cs="Times New Roman"/>
          <w:sz w:val="24"/>
          <w:szCs w:val="24"/>
        </w:rPr>
        <w:t>и сутура</w:t>
      </w:r>
      <w:r w:rsidR="00B8532E">
        <w:rPr>
          <w:rFonts w:ascii="Times New Roman" w:hAnsi="Times New Roman" w:cs="Times New Roman"/>
          <w:sz w:val="24"/>
          <w:szCs w:val="24"/>
        </w:rPr>
        <w:t>та</w:t>
      </w:r>
      <w:r w:rsidRPr="00215667">
        <w:rPr>
          <w:rFonts w:ascii="Times New Roman" w:hAnsi="Times New Roman" w:cs="Times New Roman"/>
          <w:sz w:val="24"/>
          <w:szCs w:val="24"/>
        </w:rPr>
        <w:t xml:space="preserve">. Сите горенаведени процедури се индивидуални, според искуството на стоматологот. Согласно </w:t>
      </w:r>
      <w:r w:rsidR="00FA1ADB">
        <w:rPr>
          <w:rFonts w:ascii="Times New Roman" w:hAnsi="Times New Roman" w:cs="Times New Roman"/>
          <w:sz w:val="24"/>
          <w:szCs w:val="24"/>
        </w:rPr>
        <w:t xml:space="preserve">со </w:t>
      </w:r>
      <w:r w:rsidRPr="00215667">
        <w:rPr>
          <w:rFonts w:ascii="Times New Roman" w:hAnsi="Times New Roman" w:cs="Times New Roman"/>
          <w:sz w:val="24"/>
          <w:szCs w:val="24"/>
        </w:rPr>
        <w:t xml:space="preserve">протоколот, доколку е ледиран крвен сад, правиме електрокаутеризација на местото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потоа раната внимателно ја шиеме со ресорптивен конец и ја притискаме со помош на газа натопена со </w:t>
      </w:r>
      <w:r w:rsidR="00F00F01">
        <w:rPr>
          <w:rFonts w:ascii="Times New Roman" w:hAnsi="Times New Roman" w:cs="Times New Roman"/>
          <w:sz w:val="24"/>
          <w:szCs w:val="24"/>
        </w:rPr>
        <w:t>транексамична</w:t>
      </w:r>
      <w:r w:rsidRPr="00215667">
        <w:rPr>
          <w:rFonts w:ascii="Times New Roman" w:hAnsi="Times New Roman" w:cs="Times New Roman"/>
          <w:sz w:val="24"/>
          <w:szCs w:val="24"/>
        </w:rPr>
        <w:t xml:space="preserve"> киселина која пациентот ја гризнува во траење од 15</w:t>
      </w:r>
      <w:r w:rsidR="00FA1ADB">
        <w:rPr>
          <w:rFonts w:ascii="Times New Roman" w:hAnsi="Times New Roman" w:cs="Times New Roman"/>
          <w:sz w:val="24"/>
          <w:szCs w:val="24"/>
        </w:rPr>
        <w:t xml:space="preserve"> до </w:t>
      </w:r>
      <w:r w:rsidRPr="00215667">
        <w:rPr>
          <w:rFonts w:ascii="Times New Roman" w:hAnsi="Times New Roman" w:cs="Times New Roman"/>
          <w:sz w:val="24"/>
          <w:szCs w:val="24"/>
        </w:rPr>
        <w:t>30 минути. Кај пациентите ко</w:t>
      </w:r>
      <w:r w:rsidR="00FA1ADB">
        <w:rPr>
          <w:rFonts w:ascii="Times New Roman" w:hAnsi="Times New Roman" w:cs="Times New Roman"/>
          <w:sz w:val="24"/>
          <w:szCs w:val="24"/>
        </w:rPr>
        <w:t>и</w:t>
      </w:r>
      <w:r w:rsidRPr="00215667">
        <w:rPr>
          <w:rFonts w:ascii="Times New Roman" w:hAnsi="Times New Roman" w:cs="Times New Roman"/>
          <w:sz w:val="24"/>
          <w:szCs w:val="24"/>
        </w:rPr>
        <w:t xml:space="preserve"> се јавија по</w:t>
      </w:r>
      <w:r w:rsidR="00FA1ADB">
        <w:rPr>
          <w:rFonts w:ascii="Times New Roman" w:hAnsi="Times New Roman" w:cs="Times New Roman"/>
          <w:sz w:val="24"/>
          <w:szCs w:val="24"/>
        </w:rPr>
        <w:t xml:space="preserve">доцна </w:t>
      </w:r>
      <w:r w:rsidRPr="00215667">
        <w:rPr>
          <w:rFonts w:ascii="Times New Roman" w:hAnsi="Times New Roman" w:cs="Times New Roman"/>
          <w:sz w:val="24"/>
          <w:szCs w:val="24"/>
        </w:rPr>
        <w:t xml:space="preserve">од 3 часа по интервенција, прво го отстранивме коагулумот, па потоа пристапивме кон спроведување на хемостатските методи објаснети погоре. </w:t>
      </w:r>
    </w:p>
    <w:p w14:paraId="4B073CD8" w14:textId="066CDEB4"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lastRenderedPageBreak/>
        <w:t xml:space="preserve">Постоперативната контрола на болката се спроведува со парацетамол и </w:t>
      </w:r>
      <w:r w:rsidR="00F3732A">
        <w:rPr>
          <w:rFonts w:ascii="Times New Roman" w:hAnsi="Times New Roman" w:cs="Times New Roman"/>
          <w:sz w:val="24"/>
          <w:szCs w:val="24"/>
        </w:rPr>
        <w:t>в</w:t>
      </w:r>
      <w:r w:rsidRPr="00215667">
        <w:rPr>
          <w:rFonts w:ascii="Times New Roman" w:hAnsi="Times New Roman" w:cs="Times New Roman"/>
          <w:sz w:val="24"/>
          <w:szCs w:val="24"/>
        </w:rPr>
        <w:t>ентор</w:t>
      </w:r>
      <w:r w:rsidR="00F3732A">
        <w:rPr>
          <w:rFonts w:ascii="Times New Roman" w:hAnsi="Times New Roman" w:cs="Times New Roman"/>
          <w:sz w:val="24"/>
          <w:szCs w:val="24"/>
        </w:rPr>
        <w:t xml:space="preserve">. </w:t>
      </w:r>
      <w:r w:rsidRPr="00215667">
        <w:rPr>
          <w:rFonts w:ascii="Times New Roman" w:hAnsi="Times New Roman" w:cs="Times New Roman"/>
          <w:sz w:val="24"/>
          <w:szCs w:val="24"/>
        </w:rPr>
        <w:t>Не препишуваме нестероидни антиинфламаторни лекови (NSAIDs)-аспирин, бруфен и други инхибитори на COX-2, како аналгетици.</w:t>
      </w:r>
    </w:p>
    <w:p w14:paraId="6FB6111E" w14:textId="3F2FB011"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Направивме корелација на PEB со пооделни сигнификантни предиктори за хипоагрегабилноста на тромбоцитите: ADP, </w:t>
      </w:r>
      <w:r w:rsidR="00F3732A">
        <w:rPr>
          <w:rFonts w:ascii="Times New Roman" w:hAnsi="Times New Roman" w:cs="Times New Roman"/>
          <w:sz w:val="24"/>
          <w:szCs w:val="24"/>
        </w:rPr>
        <w:t>колаген</w:t>
      </w:r>
      <w:r w:rsidRPr="00215667">
        <w:rPr>
          <w:rFonts w:ascii="Times New Roman" w:hAnsi="Times New Roman" w:cs="Times New Roman"/>
          <w:sz w:val="24"/>
          <w:szCs w:val="24"/>
        </w:rPr>
        <w:t xml:space="preserve"> и </w:t>
      </w:r>
      <w:r w:rsidR="00F3732A">
        <w:rPr>
          <w:rFonts w:ascii="Times New Roman" w:hAnsi="Times New Roman" w:cs="Times New Roman"/>
          <w:sz w:val="24"/>
          <w:szCs w:val="24"/>
        </w:rPr>
        <w:t>ристоцетин</w:t>
      </w:r>
      <w:r w:rsidRPr="00215667">
        <w:rPr>
          <w:rFonts w:ascii="Times New Roman" w:hAnsi="Times New Roman" w:cs="Times New Roman"/>
          <w:sz w:val="24"/>
          <w:szCs w:val="24"/>
        </w:rPr>
        <w:t xml:space="preserve">. Потоа ја утврдивме инциденцата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кај овие пациентите со цел да ја потврдиме ефикасноста и безбедноста на </w:t>
      </w:r>
      <w:r w:rsidR="00F00F01">
        <w:rPr>
          <w:rFonts w:ascii="Times New Roman" w:hAnsi="Times New Roman" w:cs="Times New Roman"/>
          <w:sz w:val="24"/>
          <w:szCs w:val="24"/>
        </w:rPr>
        <w:t>транексамична</w:t>
      </w:r>
      <w:r w:rsidRPr="00215667">
        <w:rPr>
          <w:rFonts w:ascii="Times New Roman" w:hAnsi="Times New Roman" w:cs="Times New Roman"/>
          <w:sz w:val="24"/>
          <w:szCs w:val="24"/>
        </w:rPr>
        <w:t>та киселина и нејзината профилактична улога. За пациентите со ОАТ/</w:t>
      </w:r>
      <w:r w:rsidR="00F3732A">
        <w:rPr>
          <w:rFonts w:ascii="Times New Roman" w:hAnsi="Times New Roman" w:cs="Times New Roman"/>
          <w:sz w:val="24"/>
          <w:szCs w:val="24"/>
        </w:rPr>
        <w:t xml:space="preserve"> </w:t>
      </w:r>
      <w:r w:rsidRPr="00215667">
        <w:rPr>
          <w:rFonts w:ascii="Times New Roman" w:hAnsi="Times New Roman" w:cs="Times New Roman"/>
          <w:sz w:val="24"/>
          <w:szCs w:val="24"/>
        </w:rPr>
        <w:t>антитром</w:t>
      </w:r>
      <w:r w:rsidR="00F3732A">
        <w:rPr>
          <w:rFonts w:ascii="Times New Roman" w:hAnsi="Times New Roman" w:cs="Times New Roman"/>
          <w:sz w:val="24"/>
          <w:szCs w:val="24"/>
        </w:rPr>
        <w:t>о</w:t>
      </w:r>
      <w:r w:rsidRPr="00215667">
        <w:rPr>
          <w:rFonts w:ascii="Times New Roman" w:hAnsi="Times New Roman" w:cs="Times New Roman"/>
          <w:sz w:val="24"/>
          <w:szCs w:val="24"/>
        </w:rPr>
        <w:t xml:space="preserve">ботична терапија, направивме корелација помеѓу инциденцата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кај пациентите од првата и втората група.</w:t>
      </w:r>
    </w:p>
    <w:p w14:paraId="36BBA642" w14:textId="4E3AF5FE" w:rsidR="00412474" w:rsidRPr="00215667" w:rsidRDefault="00412474" w:rsidP="00E152A1">
      <w:pPr>
        <w:pStyle w:val="Heading2"/>
        <w:spacing w:line="360" w:lineRule="auto"/>
        <w:rPr>
          <w:rFonts w:ascii="Times New Roman" w:hAnsi="Times New Roman" w:cs="Times New Roman"/>
          <w:b/>
          <w:bCs/>
          <w:color w:val="000000" w:themeColor="text1"/>
          <w:sz w:val="24"/>
          <w:szCs w:val="24"/>
        </w:rPr>
      </w:pPr>
      <w:bookmarkStart w:id="26" w:name="_Toc209005155"/>
      <w:r w:rsidRPr="00215667">
        <w:rPr>
          <w:rFonts w:ascii="Times New Roman" w:hAnsi="Times New Roman" w:cs="Times New Roman"/>
          <w:b/>
          <w:bCs/>
          <w:color w:val="000000" w:themeColor="text1"/>
          <w:sz w:val="24"/>
          <w:szCs w:val="24"/>
        </w:rPr>
        <w:t>Параметри кои ќе се анализ</w:t>
      </w:r>
      <w:r w:rsidR="00F3732A">
        <w:rPr>
          <w:rFonts w:ascii="Times New Roman" w:hAnsi="Times New Roman" w:cs="Times New Roman"/>
          <w:b/>
          <w:bCs/>
          <w:color w:val="000000" w:themeColor="text1"/>
          <w:sz w:val="24"/>
          <w:szCs w:val="24"/>
        </w:rPr>
        <w:t>и</w:t>
      </w:r>
      <w:r w:rsidRPr="00215667">
        <w:rPr>
          <w:rFonts w:ascii="Times New Roman" w:hAnsi="Times New Roman" w:cs="Times New Roman"/>
          <w:b/>
          <w:bCs/>
          <w:color w:val="000000" w:themeColor="text1"/>
          <w:sz w:val="24"/>
          <w:szCs w:val="24"/>
        </w:rPr>
        <w:t>раат во студијата</w:t>
      </w:r>
      <w:bookmarkEnd w:id="26"/>
      <w:r w:rsidRPr="00215667">
        <w:rPr>
          <w:rFonts w:ascii="Times New Roman" w:hAnsi="Times New Roman" w:cs="Times New Roman"/>
          <w:b/>
          <w:bCs/>
          <w:color w:val="000000" w:themeColor="text1"/>
          <w:sz w:val="24"/>
          <w:szCs w:val="24"/>
        </w:rPr>
        <w:t xml:space="preserve"> </w:t>
      </w:r>
    </w:p>
    <w:p w14:paraId="57E5FD47" w14:textId="6C696E0C"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По определување на нивото на варијабилните параметри кај првата група на пациенти: ADP, </w:t>
      </w:r>
      <w:r w:rsidR="00F3732A">
        <w:rPr>
          <w:rFonts w:ascii="Times New Roman" w:hAnsi="Times New Roman" w:cs="Times New Roman"/>
          <w:sz w:val="24"/>
          <w:szCs w:val="24"/>
        </w:rPr>
        <w:t>колаген</w:t>
      </w:r>
      <w:r w:rsidR="00F3732A" w:rsidRPr="00215667">
        <w:rPr>
          <w:rFonts w:ascii="Times New Roman" w:hAnsi="Times New Roman" w:cs="Times New Roman"/>
          <w:sz w:val="24"/>
          <w:szCs w:val="24"/>
        </w:rPr>
        <w:t xml:space="preserve"> и </w:t>
      </w:r>
      <w:r w:rsidR="00F3732A">
        <w:rPr>
          <w:rFonts w:ascii="Times New Roman" w:hAnsi="Times New Roman" w:cs="Times New Roman"/>
          <w:sz w:val="24"/>
          <w:szCs w:val="24"/>
        </w:rPr>
        <w:t>ристоцетин</w:t>
      </w:r>
      <w:r w:rsidRPr="00215667">
        <w:rPr>
          <w:rFonts w:ascii="Times New Roman" w:hAnsi="Times New Roman" w:cs="Times New Roman"/>
          <w:sz w:val="24"/>
          <w:szCs w:val="24"/>
        </w:rPr>
        <w:t xml:space="preserve">, како сигнификантни предиктори за секој пациентите со тромбоцитна хипоагрегабилност, ќе ги евалуираме и корелираме со инциденцата, времето на појава и интензитетот на  постоперативното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w:t>
      </w:r>
    </w:p>
    <w:p w14:paraId="2D327BB0" w14:textId="420BA6D7"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Потоа ќе ги утврдиме следните параметри: доза, време на апликација пред интервенција, несаканите ефекти на интравенската апликација на </w:t>
      </w:r>
      <w:r w:rsidR="00F00F01">
        <w:rPr>
          <w:rFonts w:ascii="Times New Roman" w:hAnsi="Times New Roman" w:cs="Times New Roman"/>
          <w:sz w:val="24"/>
          <w:szCs w:val="24"/>
        </w:rPr>
        <w:t>транексамична</w:t>
      </w:r>
      <w:r w:rsidR="00F3732A">
        <w:rPr>
          <w:rFonts w:ascii="Times New Roman" w:hAnsi="Times New Roman" w:cs="Times New Roman"/>
          <w:sz w:val="24"/>
          <w:szCs w:val="24"/>
        </w:rPr>
        <w:t>та</w:t>
      </w:r>
      <w:r w:rsidRPr="00215667">
        <w:rPr>
          <w:rFonts w:ascii="Times New Roman" w:hAnsi="Times New Roman" w:cs="Times New Roman"/>
          <w:sz w:val="24"/>
          <w:szCs w:val="24"/>
        </w:rPr>
        <w:t xml:space="preserve"> киселина, во корелација со постоперативното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со цел да ја потврдиме ефикасноста и безбедноста на </w:t>
      </w:r>
      <w:r w:rsidR="00F00F01">
        <w:rPr>
          <w:rFonts w:ascii="Times New Roman" w:hAnsi="Times New Roman" w:cs="Times New Roman"/>
          <w:sz w:val="24"/>
          <w:szCs w:val="24"/>
        </w:rPr>
        <w:t>транексамична</w:t>
      </w:r>
      <w:r w:rsidRPr="00215667">
        <w:rPr>
          <w:rFonts w:ascii="Times New Roman" w:hAnsi="Times New Roman" w:cs="Times New Roman"/>
          <w:sz w:val="24"/>
          <w:szCs w:val="24"/>
        </w:rPr>
        <w:t xml:space="preserve">та киселина и нејзината профилактична улога, во спречување на појава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По евалуација на оперативните процедури: едноставна екстракција на еден, два заба или оперативна екстракција на трет молар и локализација на интервенција во максила/ мандибула, ќе ги корелираме со инциденцата на постоперативното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кај пациентите со тромбоцитна хипоагрегабилност. </w:t>
      </w:r>
    </w:p>
    <w:p w14:paraId="04BFE230" w14:textId="6F249C45" w:rsidR="00412474" w:rsidRPr="00215667"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За пациентите со ОАТ/</w:t>
      </w:r>
      <w:r w:rsidR="00F3732A">
        <w:rPr>
          <w:rFonts w:ascii="Times New Roman" w:hAnsi="Times New Roman" w:cs="Times New Roman"/>
          <w:sz w:val="24"/>
          <w:szCs w:val="24"/>
        </w:rPr>
        <w:t xml:space="preserve"> </w:t>
      </w:r>
      <w:r w:rsidRPr="00215667">
        <w:rPr>
          <w:rFonts w:ascii="Times New Roman" w:hAnsi="Times New Roman" w:cs="Times New Roman"/>
          <w:sz w:val="24"/>
          <w:szCs w:val="24"/>
        </w:rPr>
        <w:t xml:space="preserve">антиагрегациона терапија, варијабилните параметри се: видот на лекот: DOACs, VKAs или NSAIDs, суспендирање на употребата на лекот пред интервенција или континуирано примање на лекот и определување на нивото на </w:t>
      </w:r>
      <w:bookmarkStart w:id="27" w:name="_Hlk154436325"/>
      <w:r w:rsidRPr="00215667">
        <w:rPr>
          <w:rFonts w:ascii="Times New Roman" w:hAnsi="Times New Roman" w:cs="Times New Roman"/>
          <w:sz w:val="24"/>
          <w:szCs w:val="24"/>
        </w:rPr>
        <w:t>INR</w:t>
      </w:r>
      <w:bookmarkEnd w:id="27"/>
      <w:r w:rsidRPr="00215667">
        <w:rPr>
          <w:rFonts w:ascii="Times New Roman" w:hAnsi="Times New Roman" w:cs="Times New Roman"/>
          <w:sz w:val="24"/>
          <w:szCs w:val="24"/>
        </w:rPr>
        <w:t>, како сигнификантен предиктор за појавата на PEB. Пациентите ги поделивме во 4 групи според нивото на PT-INR (1: PT-INR ≤ 0,96; 2: PT-INR ≤ 1,2; 3: INR ≤  1,6; и  4: PT- INR &gt; 1</w:t>
      </w:r>
      <w:r w:rsidR="00C70FF0">
        <w:rPr>
          <w:rFonts w:ascii="Times New Roman" w:hAnsi="Times New Roman" w:cs="Times New Roman"/>
          <w:sz w:val="24"/>
          <w:szCs w:val="24"/>
        </w:rPr>
        <w:t>,</w:t>
      </w:r>
      <w:r w:rsidRPr="00215667">
        <w:rPr>
          <w:rFonts w:ascii="Times New Roman" w:hAnsi="Times New Roman" w:cs="Times New Roman"/>
          <w:sz w:val="24"/>
          <w:szCs w:val="24"/>
        </w:rPr>
        <w:t xml:space="preserve">6). Сите овие параметри вкрстено ќе ги корелираме со инциденцата на постоперативно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за секоја </w:t>
      </w:r>
      <w:r w:rsidRPr="00215667">
        <w:rPr>
          <w:rFonts w:ascii="Times New Roman" w:hAnsi="Times New Roman" w:cs="Times New Roman"/>
          <w:sz w:val="24"/>
          <w:szCs w:val="24"/>
        </w:rPr>
        <w:lastRenderedPageBreak/>
        <w:t xml:space="preserve">варијабла соодветно, асоцирано со појавата на постекстракционо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кај здравата, контролна група.</w:t>
      </w:r>
    </w:p>
    <w:p w14:paraId="5054F758" w14:textId="168E60CF" w:rsidR="00412474" w:rsidRDefault="00412474" w:rsidP="00E152A1">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За утврдување на ризикот од појава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кај ОАТ пациентите, ќе го користиме</w:t>
      </w:r>
      <w:r w:rsidR="00F3732A">
        <w:rPr>
          <w:rFonts w:ascii="Times New Roman" w:hAnsi="Times New Roman" w:cs="Times New Roman"/>
          <w:sz w:val="24"/>
          <w:szCs w:val="24"/>
        </w:rPr>
        <w:t xml:space="preserve"> </w:t>
      </w:r>
      <w:r w:rsidRPr="00215667">
        <w:rPr>
          <w:rFonts w:ascii="Times New Roman" w:hAnsi="Times New Roman" w:cs="Times New Roman"/>
          <w:sz w:val="24"/>
          <w:szCs w:val="24"/>
        </w:rPr>
        <w:t xml:space="preserve">„HAS-BLED степенот на процена на ризик од </w:t>
      </w:r>
      <w:r w:rsidR="00EC49EB" w:rsidRPr="00215667">
        <w:rPr>
          <w:rFonts w:ascii="Times New Roman" w:hAnsi="Times New Roman" w:cs="Times New Roman"/>
          <w:sz w:val="24"/>
          <w:szCs w:val="24"/>
        </w:rPr>
        <w:t>крвавење</w:t>
      </w:r>
      <w:r w:rsidR="00F3732A">
        <w:rPr>
          <w:rFonts w:ascii="Times New Roman" w:hAnsi="Times New Roman" w:cs="Times New Roman"/>
          <w:sz w:val="24"/>
          <w:szCs w:val="24"/>
        </w:rPr>
        <w:t>“</w:t>
      </w:r>
      <w:r w:rsidRPr="00215667">
        <w:rPr>
          <w:rFonts w:ascii="Times New Roman" w:hAnsi="Times New Roman" w:cs="Times New Roman"/>
          <w:sz w:val="24"/>
          <w:szCs w:val="24"/>
        </w:rPr>
        <w:t xml:space="preserve">, со цел предоперативно да се идентификуваат ОАТ пациентите со висок ризик за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Варијаблите за процена на ризикот за секој пациент, се добиени од анамнезата и </w:t>
      </w:r>
      <w:r w:rsidR="00D80713">
        <w:rPr>
          <w:rFonts w:ascii="Times New Roman" w:hAnsi="Times New Roman" w:cs="Times New Roman"/>
          <w:sz w:val="24"/>
          <w:szCs w:val="24"/>
        </w:rPr>
        <w:t>лабораториски</w:t>
      </w:r>
      <w:r w:rsidRPr="00215667">
        <w:rPr>
          <w:rFonts w:ascii="Times New Roman" w:hAnsi="Times New Roman" w:cs="Times New Roman"/>
          <w:sz w:val="24"/>
          <w:szCs w:val="24"/>
        </w:rPr>
        <w:t xml:space="preserve">те иследувања на пациентите. Резултатот од HAS-BLED се состои од неколку компоненти; на секоја компонента и е даден по еден поен, а ризикот од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е директно пропорционален со резултатот HAS-BLED. Ризикот од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е поделен во три категории врз основа на резултатот HAS-BLED; низок ризик е со резултат =</w:t>
      </w:r>
      <w:r w:rsidR="00F3732A">
        <w:rPr>
          <w:rFonts w:ascii="Times New Roman" w:hAnsi="Times New Roman" w:cs="Times New Roman"/>
          <w:sz w:val="24"/>
          <w:szCs w:val="24"/>
        </w:rPr>
        <w:t xml:space="preserve"> </w:t>
      </w:r>
      <w:r w:rsidRPr="00215667">
        <w:rPr>
          <w:rFonts w:ascii="Times New Roman" w:hAnsi="Times New Roman" w:cs="Times New Roman"/>
          <w:sz w:val="24"/>
          <w:szCs w:val="24"/>
        </w:rPr>
        <w:t>0;  умерен ризик е со резултат од 1</w:t>
      </w:r>
      <w:r w:rsidR="00F3732A">
        <w:rPr>
          <w:rFonts w:ascii="Times New Roman" w:hAnsi="Times New Roman" w:cs="Times New Roman"/>
          <w:sz w:val="24"/>
          <w:szCs w:val="24"/>
        </w:rPr>
        <w:t xml:space="preserve"> до </w:t>
      </w:r>
      <w:r w:rsidRPr="00215667">
        <w:rPr>
          <w:rFonts w:ascii="Times New Roman" w:hAnsi="Times New Roman" w:cs="Times New Roman"/>
          <w:sz w:val="24"/>
          <w:szCs w:val="24"/>
        </w:rPr>
        <w:t>2, а висок ризик е резултат HAS-BLED ≥</w:t>
      </w:r>
      <w:r w:rsidR="00F3732A">
        <w:rPr>
          <w:rFonts w:ascii="Times New Roman" w:hAnsi="Times New Roman" w:cs="Times New Roman"/>
          <w:sz w:val="24"/>
          <w:szCs w:val="24"/>
        </w:rPr>
        <w:t xml:space="preserve"> </w:t>
      </w:r>
      <w:r w:rsidRPr="00215667">
        <w:rPr>
          <w:rFonts w:ascii="Times New Roman" w:hAnsi="Times New Roman" w:cs="Times New Roman"/>
          <w:sz w:val="24"/>
          <w:szCs w:val="24"/>
        </w:rPr>
        <w:t>3 (</w:t>
      </w:r>
      <w:r w:rsidR="00F3732A">
        <w:rPr>
          <w:rFonts w:ascii="Times New Roman" w:hAnsi="Times New Roman" w:cs="Times New Roman"/>
          <w:sz w:val="24"/>
          <w:szCs w:val="24"/>
        </w:rPr>
        <w:t>с</w:t>
      </w:r>
      <w:r w:rsidRPr="00215667">
        <w:rPr>
          <w:rFonts w:ascii="Times New Roman" w:hAnsi="Times New Roman" w:cs="Times New Roman"/>
          <w:sz w:val="24"/>
          <w:szCs w:val="24"/>
        </w:rPr>
        <w:t>лика бр.</w:t>
      </w:r>
      <w:r w:rsidR="00F3732A">
        <w:rPr>
          <w:rFonts w:ascii="Times New Roman" w:hAnsi="Times New Roman" w:cs="Times New Roman"/>
          <w:sz w:val="24"/>
          <w:szCs w:val="24"/>
        </w:rPr>
        <w:t xml:space="preserve"> </w:t>
      </w:r>
      <w:r w:rsidRPr="00215667">
        <w:rPr>
          <w:rFonts w:ascii="Times New Roman" w:hAnsi="Times New Roman" w:cs="Times New Roman"/>
          <w:sz w:val="24"/>
          <w:szCs w:val="24"/>
        </w:rPr>
        <w:t xml:space="preserve">5).  </w:t>
      </w:r>
    </w:p>
    <w:p w14:paraId="0BB5E5E1" w14:textId="77777777" w:rsidR="00F3732A" w:rsidRPr="00215667" w:rsidRDefault="00F3732A" w:rsidP="00F3732A">
      <w:pPr>
        <w:spacing w:after="0" w:line="240" w:lineRule="auto"/>
        <w:ind w:firstLine="720"/>
        <w:jc w:val="both"/>
        <w:rPr>
          <w:rFonts w:ascii="Times New Roman" w:hAnsi="Times New Roman" w:cs="Times New Roman"/>
          <w:sz w:val="24"/>
          <w:szCs w:val="24"/>
        </w:rPr>
      </w:pPr>
    </w:p>
    <w:p w14:paraId="66A1D5BD" w14:textId="2E30DD13" w:rsidR="00412474" w:rsidRPr="00215667" w:rsidRDefault="00412474" w:rsidP="00F3732A">
      <w:pPr>
        <w:jc w:val="center"/>
        <w:rPr>
          <w:rFonts w:ascii="Times New Roman" w:hAnsi="Times New Roman" w:cs="Times New Roman"/>
          <w:sz w:val="24"/>
          <w:szCs w:val="24"/>
        </w:rPr>
      </w:pPr>
      <w:r w:rsidRPr="00215667">
        <w:rPr>
          <w:rFonts w:ascii="Times New Roman" w:hAnsi="Times New Roman" w:cs="Times New Roman"/>
          <w:sz w:val="24"/>
          <w:szCs w:val="24"/>
        </w:rPr>
        <w:t>Слика бр.</w:t>
      </w:r>
      <w:r w:rsidR="00F3732A">
        <w:rPr>
          <w:rFonts w:ascii="Times New Roman" w:hAnsi="Times New Roman" w:cs="Times New Roman"/>
          <w:sz w:val="24"/>
          <w:szCs w:val="24"/>
        </w:rPr>
        <w:t xml:space="preserve"> </w:t>
      </w:r>
      <w:r w:rsidRPr="00215667">
        <w:rPr>
          <w:rFonts w:ascii="Times New Roman" w:hAnsi="Times New Roman" w:cs="Times New Roman"/>
          <w:sz w:val="24"/>
          <w:szCs w:val="24"/>
        </w:rPr>
        <w:t>5</w:t>
      </w:r>
      <w:r w:rsidR="00F3732A">
        <w:rPr>
          <w:rFonts w:ascii="Times New Roman" w:hAnsi="Times New Roman" w:cs="Times New Roman"/>
          <w:sz w:val="24"/>
          <w:szCs w:val="24"/>
        </w:rPr>
        <w:t>-</w:t>
      </w:r>
      <w:r w:rsidRPr="00215667">
        <w:rPr>
          <w:rFonts w:ascii="Times New Roman" w:hAnsi="Times New Roman" w:cs="Times New Roman"/>
          <w:sz w:val="24"/>
          <w:szCs w:val="24"/>
        </w:rPr>
        <w:t xml:space="preserve"> </w:t>
      </w:r>
      <w:r w:rsidR="00F3732A">
        <w:rPr>
          <w:rFonts w:ascii="Times New Roman" w:hAnsi="Times New Roman" w:cs="Times New Roman"/>
          <w:sz w:val="24"/>
          <w:szCs w:val="24"/>
        </w:rPr>
        <w:t>„</w:t>
      </w:r>
      <w:r w:rsidRPr="00215667">
        <w:rPr>
          <w:rFonts w:ascii="Times New Roman" w:hAnsi="Times New Roman" w:cs="Times New Roman"/>
          <w:sz w:val="24"/>
          <w:szCs w:val="24"/>
        </w:rPr>
        <w:t xml:space="preserve">HAS-BLED степен на процена на ризик од </w:t>
      </w:r>
      <w:r w:rsidR="00EC49EB" w:rsidRPr="00215667">
        <w:rPr>
          <w:rFonts w:ascii="Times New Roman" w:hAnsi="Times New Roman" w:cs="Times New Roman"/>
          <w:sz w:val="24"/>
          <w:szCs w:val="24"/>
        </w:rPr>
        <w:t>крвавење</w:t>
      </w:r>
      <w:r w:rsidR="00F3732A">
        <w:rPr>
          <w:rFonts w:ascii="Times New Roman" w:hAnsi="Times New Roman" w:cs="Times New Roman"/>
          <w:sz w:val="24"/>
          <w:szCs w:val="24"/>
        </w:rPr>
        <w:t>“</w:t>
      </w:r>
    </w:p>
    <w:tbl>
      <w:tblPr>
        <w:tblStyle w:val="TableGrid"/>
        <w:tblW w:w="0" w:type="auto"/>
        <w:tblLook w:val="04A0" w:firstRow="1" w:lastRow="0" w:firstColumn="1" w:lastColumn="0" w:noHBand="0" w:noVBand="1"/>
      </w:tblPr>
      <w:tblGrid>
        <w:gridCol w:w="811"/>
        <w:gridCol w:w="6934"/>
        <w:gridCol w:w="975"/>
      </w:tblGrid>
      <w:tr w:rsidR="00412474" w:rsidRPr="00215667" w14:paraId="43F36616" w14:textId="77777777" w:rsidTr="00435E3A">
        <w:tc>
          <w:tcPr>
            <w:tcW w:w="795" w:type="dxa"/>
          </w:tcPr>
          <w:p w14:paraId="6991ADA4" w14:textId="7E9BBC05" w:rsidR="00412474" w:rsidRPr="00215667" w:rsidRDefault="00F3732A" w:rsidP="00435E3A">
            <w:pPr>
              <w:jc w:val="center"/>
              <w:rPr>
                <w:rFonts w:ascii="Times New Roman" w:hAnsi="Times New Roman" w:cs="Times New Roman"/>
                <w:sz w:val="24"/>
                <w:szCs w:val="24"/>
              </w:rPr>
            </w:pPr>
            <w:r>
              <w:rPr>
                <w:rFonts w:ascii="Times New Roman" w:hAnsi="Times New Roman" w:cs="Times New Roman"/>
                <w:sz w:val="24"/>
                <w:szCs w:val="24"/>
              </w:rPr>
              <w:t>Б</w:t>
            </w:r>
            <w:r w:rsidR="00412474" w:rsidRPr="00215667">
              <w:rPr>
                <w:rFonts w:ascii="Times New Roman" w:hAnsi="Times New Roman" w:cs="Times New Roman"/>
                <w:sz w:val="24"/>
                <w:szCs w:val="24"/>
              </w:rPr>
              <w:t>уква</w:t>
            </w:r>
          </w:p>
        </w:tc>
        <w:tc>
          <w:tcPr>
            <w:tcW w:w="7122" w:type="dxa"/>
          </w:tcPr>
          <w:p w14:paraId="14BF61B2"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Клинички карактеристики</w:t>
            </w:r>
          </w:p>
        </w:tc>
        <w:tc>
          <w:tcPr>
            <w:tcW w:w="979" w:type="dxa"/>
          </w:tcPr>
          <w:p w14:paraId="0D139979" w14:textId="1F2BF2BD" w:rsidR="00412474" w:rsidRPr="00215667" w:rsidRDefault="00F3732A" w:rsidP="00435E3A">
            <w:pPr>
              <w:jc w:val="center"/>
              <w:rPr>
                <w:rFonts w:ascii="Times New Roman" w:hAnsi="Times New Roman" w:cs="Times New Roman"/>
                <w:sz w:val="24"/>
                <w:szCs w:val="24"/>
              </w:rPr>
            </w:pPr>
            <w:r>
              <w:rPr>
                <w:rFonts w:ascii="Times New Roman" w:hAnsi="Times New Roman" w:cs="Times New Roman"/>
                <w:sz w:val="24"/>
                <w:szCs w:val="24"/>
              </w:rPr>
              <w:t>П</w:t>
            </w:r>
            <w:r w:rsidR="00412474" w:rsidRPr="00215667">
              <w:rPr>
                <w:rFonts w:ascii="Times New Roman" w:hAnsi="Times New Roman" w:cs="Times New Roman"/>
                <w:sz w:val="24"/>
                <w:szCs w:val="24"/>
              </w:rPr>
              <w:t>оени</w:t>
            </w:r>
          </w:p>
        </w:tc>
      </w:tr>
      <w:tr w:rsidR="00412474" w:rsidRPr="00215667" w14:paraId="76D2F0DC" w14:textId="77777777" w:rsidTr="00435E3A">
        <w:tc>
          <w:tcPr>
            <w:tcW w:w="795" w:type="dxa"/>
          </w:tcPr>
          <w:p w14:paraId="6BA03D7F"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H</w:t>
            </w:r>
          </w:p>
        </w:tc>
        <w:tc>
          <w:tcPr>
            <w:tcW w:w="7122" w:type="dxa"/>
          </w:tcPr>
          <w:p w14:paraId="7D64135D"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Неконтролирана хипертензија</w:t>
            </w:r>
          </w:p>
        </w:tc>
        <w:tc>
          <w:tcPr>
            <w:tcW w:w="979" w:type="dxa"/>
          </w:tcPr>
          <w:p w14:paraId="0347DC16"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1</w:t>
            </w:r>
          </w:p>
        </w:tc>
      </w:tr>
      <w:tr w:rsidR="00412474" w:rsidRPr="00215667" w14:paraId="17AAF8C8" w14:textId="77777777" w:rsidTr="00435E3A">
        <w:tc>
          <w:tcPr>
            <w:tcW w:w="795" w:type="dxa"/>
          </w:tcPr>
          <w:p w14:paraId="156F22F6"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A</w:t>
            </w:r>
          </w:p>
        </w:tc>
        <w:tc>
          <w:tcPr>
            <w:tcW w:w="7122" w:type="dxa"/>
          </w:tcPr>
          <w:p w14:paraId="639CE526"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Бубрежно и хепатално нарушување (по1 поен за секое)</w:t>
            </w:r>
          </w:p>
        </w:tc>
        <w:tc>
          <w:tcPr>
            <w:tcW w:w="979" w:type="dxa"/>
          </w:tcPr>
          <w:p w14:paraId="150FBBF9" w14:textId="740C020A"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1 или</w:t>
            </w:r>
            <w:r w:rsidR="00F3732A">
              <w:rPr>
                <w:rFonts w:ascii="Times New Roman" w:hAnsi="Times New Roman" w:cs="Times New Roman"/>
                <w:sz w:val="24"/>
                <w:szCs w:val="24"/>
              </w:rPr>
              <w:t xml:space="preserve"> </w:t>
            </w:r>
            <w:r w:rsidRPr="00215667">
              <w:rPr>
                <w:rFonts w:ascii="Times New Roman" w:hAnsi="Times New Roman" w:cs="Times New Roman"/>
                <w:sz w:val="24"/>
                <w:szCs w:val="24"/>
              </w:rPr>
              <w:t>2</w:t>
            </w:r>
          </w:p>
        </w:tc>
      </w:tr>
      <w:tr w:rsidR="00412474" w:rsidRPr="00215667" w14:paraId="7D046B99" w14:textId="77777777" w:rsidTr="00435E3A">
        <w:tc>
          <w:tcPr>
            <w:tcW w:w="795" w:type="dxa"/>
          </w:tcPr>
          <w:p w14:paraId="1516C269"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S</w:t>
            </w:r>
          </w:p>
        </w:tc>
        <w:tc>
          <w:tcPr>
            <w:tcW w:w="7122" w:type="dxa"/>
          </w:tcPr>
          <w:p w14:paraId="252D0100"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Мозочен или срцев удар</w:t>
            </w:r>
          </w:p>
        </w:tc>
        <w:tc>
          <w:tcPr>
            <w:tcW w:w="979" w:type="dxa"/>
          </w:tcPr>
          <w:p w14:paraId="4A8C2215"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1</w:t>
            </w:r>
          </w:p>
        </w:tc>
      </w:tr>
      <w:tr w:rsidR="00412474" w:rsidRPr="00215667" w14:paraId="5FEC38F6" w14:textId="77777777" w:rsidTr="00435E3A">
        <w:tc>
          <w:tcPr>
            <w:tcW w:w="795" w:type="dxa"/>
          </w:tcPr>
          <w:p w14:paraId="2DA0C2F8"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B</w:t>
            </w:r>
          </w:p>
        </w:tc>
        <w:tc>
          <w:tcPr>
            <w:tcW w:w="7122" w:type="dxa"/>
          </w:tcPr>
          <w:p w14:paraId="0B647DA3" w14:textId="5A8A5F48" w:rsidR="00412474" w:rsidRPr="00215667" w:rsidRDefault="00EC49EB" w:rsidP="00435E3A">
            <w:pPr>
              <w:jc w:val="center"/>
              <w:rPr>
                <w:rFonts w:ascii="Times New Roman" w:hAnsi="Times New Roman" w:cs="Times New Roman"/>
                <w:sz w:val="24"/>
                <w:szCs w:val="24"/>
              </w:rPr>
            </w:pPr>
            <w:r w:rsidRPr="00215667">
              <w:rPr>
                <w:rFonts w:ascii="Times New Roman" w:hAnsi="Times New Roman" w:cs="Times New Roman"/>
                <w:sz w:val="24"/>
                <w:szCs w:val="24"/>
              </w:rPr>
              <w:t>Крвавење</w:t>
            </w:r>
          </w:p>
        </w:tc>
        <w:tc>
          <w:tcPr>
            <w:tcW w:w="979" w:type="dxa"/>
          </w:tcPr>
          <w:p w14:paraId="29348C04"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1</w:t>
            </w:r>
          </w:p>
        </w:tc>
      </w:tr>
      <w:tr w:rsidR="00412474" w:rsidRPr="00215667" w14:paraId="63CD83F7" w14:textId="77777777" w:rsidTr="00435E3A">
        <w:tc>
          <w:tcPr>
            <w:tcW w:w="795" w:type="dxa"/>
          </w:tcPr>
          <w:p w14:paraId="04522876"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L</w:t>
            </w:r>
          </w:p>
        </w:tc>
        <w:tc>
          <w:tcPr>
            <w:tcW w:w="7122" w:type="dxa"/>
          </w:tcPr>
          <w:p w14:paraId="5EE6EA57"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Лабилен INR</w:t>
            </w:r>
          </w:p>
        </w:tc>
        <w:tc>
          <w:tcPr>
            <w:tcW w:w="979" w:type="dxa"/>
          </w:tcPr>
          <w:p w14:paraId="5BB903A4"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1</w:t>
            </w:r>
          </w:p>
        </w:tc>
      </w:tr>
      <w:tr w:rsidR="00412474" w:rsidRPr="00215667" w14:paraId="6E7F6AD6" w14:textId="77777777" w:rsidTr="00435E3A">
        <w:tc>
          <w:tcPr>
            <w:tcW w:w="795" w:type="dxa"/>
          </w:tcPr>
          <w:p w14:paraId="5E4C8F51"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E</w:t>
            </w:r>
          </w:p>
        </w:tc>
        <w:tc>
          <w:tcPr>
            <w:tcW w:w="7122" w:type="dxa"/>
          </w:tcPr>
          <w:p w14:paraId="3A23088B" w14:textId="131F049E"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Старост</w:t>
            </w:r>
            <w:r w:rsidR="00F3732A">
              <w:rPr>
                <w:rFonts w:ascii="Times New Roman" w:hAnsi="Times New Roman" w:cs="Times New Roman"/>
                <w:sz w:val="24"/>
                <w:szCs w:val="24"/>
              </w:rPr>
              <w:t xml:space="preserve"> </w:t>
            </w:r>
            <w:r w:rsidRPr="00215667">
              <w:rPr>
                <w:rFonts w:ascii="Times New Roman" w:hAnsi="Times New Roman" w:cs="Times New Roman"/>
                <w:sz w:val="24"/>
                <w:szCs w:val="24"/>
              </w:rPr>
              <w:t>(возраст ≥</w:t>
            </w:r>
            <w:r w:rsidR="00F3732A">
              <w:rPr>
                <w:rFonts w:ascii="Times New Roman" w:hAnsi="Times New Roman" w:cs="Times New Roman"/>
                <w:sz w:val="24"/>
                <w:szCs w:val="24"/>
              </w:rPr>
              <w:t xml:space="preserve"> </w:t>
            </w:r>
            <w:r w:rsidRPr="00215667">
              <w:rPr>
                <w:rFonts w:ascii="Times New Roman" w:hAnsi="Times New Roman" w:cs="Times New Roman"/>
                <w:sz w:val="24"/>
                <w:szCs w:val="24"/>
              </w:rPr>
              <w:t>65)</w:t>
            </w:r>
          </w:p>
        </w:tc>
        <w:tc>
          <w:tcPr>
            <w:tcW w:w="979" w:type="dxa"/>
          </w:tcPr>
          <w:p w14:paraId="6D0B8879"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1</w:t>
            </w:r>
          </w:p>
        </w:tc>
      </w:tr>
      <w:tr w:rsidR="00412474" w:rsidRPr="00215667" w14:paraId="779DAB05" w14:textId="77777777" w:rsidTr="00435E3A">
        <w:tc>
          <w:tcPr>
            <w:tcW w:w="795" w:type="dxa"/>
          </w:tcPr>
          <w:p w14:paraId="29328EB4"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D</w:t>
            </w:r>
          </w:p>
        </w:tc>
        <w:tc>
          <w:tcPr>
            <w:tcW w:w="7122" w:type="dxa"/>
          </w:tcPr>
          <w:p w14:paraId="139945B7"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Лекови или алкохолна зависност  (1 поен за секое)</w:t>
            </w:r>
          </w:p>
        </w:tc>
        <w:tc>
          <w:tcPr>
            <w:tcW w:w="979" w:type="dxa"/>
          </w:tcPr>
          <w:p w14:paraId="7A144B67"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sz w:val="24"/>
                <w:szCs w:val="24"/>
              </w:rPr>
              <w:t>1 или 2</w:t>
            </w:r>
          </w:p>
        </w:tc>
      </w:tr>
    </w:tbl>
    <w:p w14:paraId="76B6E1B7" w14:textId="494927F3" w:rsidR="00412474" w:rsidRPr="00215667" w:rsidRDefault="00F3732A" w:rsidP="00412474">
      <w:pPr>
        <w:ind w:left="5760" w:firstLine="720"/>
        <w:rPr>
          <w:rFonts w:ascii="Times New Roman" w:hAnsi="Times New Roman" w:cs="Times New Roman"/>
          <w:sz w:val="24"/>
          <w:szCs w:val="24"/>
        </w:rPr>
      </w:pPr>
      <w:r>
        <w:rPr>
          <w:rFonts w:ascii="Times New Roman" w:hAnsi="Times New Roman" w:cs="Times New Roman"/>
          <w:sz w:val="24"/>
          <w:szCs w:val="24"/>
        </w:rPr>
        <w:t xml:space="preserve"> </w:t>
      </w:r>
      <w:r w:rsidR="00412474" w:rsidRPr="00215667">
        <w:rPr>
          <w:rFonts w:ascii="Times New Roman" w:hAnsi="Times New Roman" w:cs="Times New Roman"/>
          <w:sz w:val="24"/>
          <w:szCs w:val="24"/>
        </w:rPr>
        <w:t xml:space="preserve">Максимум 9 поена </w:t>
      </w:r>
    </w:p>
    <w:p w14:paraId="60FE0FE8" w14:textId="0F3F06F9" w:rsidR="00412474" w:rsidRPr="00215667" w:rsidRDefault="00412474" w:rsidP="00D35942">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Клинички параметри кои го сочинуваат резултатот за процена на ризикот од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HAS-BLED се: буквата H хипертензија - дефинирана како систолен BP &gt;</w:t>
      </w:r>
      <w:r w:rsidR="00DC2435">
        <w:rPr>
          <w:rFonts w:ascii="Times New Roman" w:hAnsi="Times New Roman" w:cs="Times New Roman"/>
          <w:sz w:val="24"/>
          <w:szCs w:val="24"/>
        </w:rPr>
        <w:t xml:space="preserve"> </w:t>
      </w:r>
      <w:r w:rsidRPr="00215667">
        <w:rPr>
          <w:rFonts w:ascii="Times New Roman" w:hAnsi="Times New Roman" w:cs="Times New Roman"/>
          <w:sz w:val="24"/>
          <w:szCs w:val="24"/>
        </w:rPr>
        <w:t>160 mmHg; буквата A покажува абнормална бубрежна и хепатална функција (по 1 поен) - „Абнормална бубрежна функција“ се дефинира како хронична дијализа или бубрежна трансплантација или серумски креатинин ≥ 200 micromol/L. „Абнормалната функција на црниот дроб“ е дефинирана како хронична хепатална болест (на пр. цироза) или биохемиски доказ за значајно хепатално нарушување (на пр. билирубин &gt; 2x поголема вредност од нормалата, асоциран со AST/ALT/ALP &gt; 3x поголема вредност од нормалата); буквата S за мозочен уда</w:t>
      </w:r>
      <w:r w:rsidR="00DC2435">
        <w:rPr>
          <w:rFonts w:ascii="Times New Roman" w:hAnsi="Times New Roman" w:cs="Times New Roman"/>
          <w:sz w:val="24"/>
          <w:szCs w:val="24"/>
        </w:rPr>
        <w:t>р</w:t>
      </w:r>
      <w:r w:rsidRPr="00215667">
        <w:rPr>
          <w:rFonts w:ascii="Times New Roman" w:hAnsi="Times New Roman" w:cs="Times New Roman"/>
          <w:sz w:val="24"/>
          <w:szCs w:val="24"/>
        </w:rPr>
        <w:t xml:space="preserve">; буквата B за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 т.е. претходна историја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или предиспозиција за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на пр. </w:t>
      </w:r>
      <w:r w:rsidR="00DC2435">
        <w:rPr>
          <w:rFonts w:ascii="Times New Roman" w:hAnsi="Times New Roman" w:cs="Times New Roman"/>
          <w:sz w:val="24"/>
          <w:szCs w:val="24"/>
        </w:rPr>
        <w:t>а</w:t>
      </w:r>
      <w:r w:rsidRPr="00215667">
        <w:rPr>
          <w:rFonts w:ascii="Times New Roman" w:hAnsi="Times New Roman" w:cs="Times New Roman"/>
          <w:sz w:val="24"/>
          <w:szCs w:val="24"/>
        </w:rPr>
        <w:t xml:space="preserve">немија; L </w:t>
      </w:r>
      <w:r w:rsidR="00DC2435">
        <w:rPr>
          <w:rFonts w:ascii="Times New Roman" w:hAnsi="Times New Roman" w:cs="Times New Roman"/>
          <w:sz w:val="24"/>
          <w:szCs w:val="24"/>
        </w:rPr>
        <w:t>л</w:t>
      </w:r>
      <w:r w:rsidRPr="00215667">
        <w:rPr>
          <w:rFonts w:ascii="Times New Roman" w:hAnsi="Times New Roman" w:cs="Times New Roman"/>
          <w:sz w:val="24"/>
          <w:szCs w:val="24"/>
        </w:rPr>
        <w:t xml:space="preserve">абилен INR - се однесува на </w:t>
      </w:r>
      <w:r w:rsidRPr="00215667">
        <w:rPr>
          <w:rFonts w:ascii="Times New Roman" w:hAnsi="Times New Roman" w:cs="Times New Roman"/>
          <w:sz w:val="24"/>
          <w:szCs w:val="24"/>
        </w:rPr>
        <w:lastRenderedPageBreak/>
        <w:t xml:space="preserve">нестабилен/висок </w:t>
      </w:r>
      <w:bookmarkStart w:id="28" w:name="_Hlk154439881"/>
      <w:r w:rsidRPr="00215667">
        <w:rPr>
          <w:rFonts w:ascii="Times New Roman" w:hAnsi="Times New Roman" w:cs="Times New Roman"/>
          <w:sz w:val="24"/>
          <w:szCs w:val="24"/>
        </w:rPr>
        <w:t>INR</w:t>
      </w:r>
      <w:bookmarkEnd w:id="28"/>
      <w:r w:rsidRPr="00215667">
        <w:rPr>
          <w:rFonts w:ascii="Times New Roman" w:hAnsi="Times New Roman" w:cs="Times New Roman"/>
          <w:sz w:val="24"/>
          <w:szCs w:val="24"/>
        </w:rPr>
        <w:t xml:space="preserve"> над 2; Е за старосна група, поголем ризик </w:t>
      </w:r>
      <w:r w:rsidR="00DC2435">
        <w:rPr>
          <w:rFonts w:ascii="Times New Roman" w:hAnsi="Times New Roman" w:cs="Times New Roman"/>
          <w:sz w:val="24"/>
          <w:szCs w:val="24"/>
        </w:rPr>
        <w:t xml:space="preserve">имаат лица </w:t>
      </w:r>
      <w:r w:rsidRPr="00215667">
        <w:rPr>
          <w:rFonts w:ascii="Times New Roman" w:hAnsi="Times New Roman" w:cs="Times New Roman"/>
          <w:sz w:val="24"/>
          <w:szCs w:val="24"/>
        </w:rPr>
        <w:t>над 65 год.; и D за лекови- ОАТ и/или NSAIDs, или алкохолни зависници ≥</w:t>
      </w:r>
      <w:r w:rsidR="00DC2435">
        <w:rPr>
          <w:rFonts w:ascii="Times New Roman" w:hAnsi="Times New Roman" w:cs="Times New Roman"/>
          <w:sz w:val="24"/>
          <w:szCs w:val="24"/>
        </w:rPr>
        <w:t xml:space="preserve"> </w:t>
      </w:r>
      <w:r w:rsidRPr="00215667">
        <w:rPr>
          <w:rFonts w:ascii="Times New Roman" w:hAnsi="Times New Roman" w:cs="Times New Roman"/>
          <w:sz w:val="24"/>
          <w:szCs w:val="24"/>
        </w:rPr>
        <w:t>8 чаши/неделно (по 1 поен). Максимумот на резултатот е 9 поени</w:t>
      </w:r>
      <w:r w:rsidR="00DC2435">
        <w:rPr>
          <w:rFonts w:ascii="Times New Roman" w:hAnsi="Times New Roman" w:cs="Times New Roman"/>
          <w:sz w:val="24"/>
          <w:szCs w:val="24"/>
        </w:rPr>
        <w:t>.</w:t>
      </w:r>
    </w:p>
    <w:p w14:paraId="0DB51CD0" w14:textId="77777777" w:rsidR="00412474" w:rsidRPr="00215667" w:rsidRDefault="00412474" w:rsidP="00D35942">
      <w:pPr>
        <w:spacing w:line="360" w:lineRule="auto"/>
        <w:rPr>
          <w:rFonts w:ascii="Times New Roman" w:hAnsi="Times New Roman" w:cs="Times New Roman"/>
          <w:sz w:val="24"/>
          <w:szCs w:val="24"/>
        </w:rPr>
      </w:pPr>
    </w:p>
    <w:p w14:paraId="781F0FC1" w14:textId="77777777" w:rsidR="00412474" w:rsidRDefault="00412474" w:rsidP="00D35942">
      <w:pPr>
        <w:pStyle w:val="Heading2"/>
        <w:spacing w:line="360" w:lineRule="auto"/>
        <w:rPr>
          <w:rFonts w:ascii="Times New Roman" w:hAnsi="Times New Roman" w:cs="Times New Roman"/>
          <w:b/>
          <w:bCs/>
          <w:color w:val="000000" w:themeColor="text1"/>
          <w:sz w:val="24"/>
          <w:szCs w:val="24"/>
        </w:rPr>
      </w:pPr>
      <w:bookmarkStart w:id="29" w:name="_Toc209005156"/>
      <w:r w:rsidRPr="00215667">
        <w:rPr>
          <w:rFonts w:ascii="Times New Roman" w:hAnsi="Times New Roman" w:cs="Times New Roman"/>
          <w:b/>
          <w:bCs/>
          <w:color w:val="000000" w:themeColor="text1"/>
          <w:sz w:val="24"/>
          <w:szCs w:val="24"/>
        </w:rPr>
        <w:t>Статистичка анализа</w:t>
      </w:r>
      <w:bookmarkEnd w:id="29"/>
    </w:p>
    <w:p w14:paraId="5AAC6828" w14:textId="11B33919" w:rsidR="00412474" w:rsidRPr="00215667" w:rsidRDefault="00412474" w:rsidP="00D35942">
      <w:pPr>
        <w:spacing w:after="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По утврдување на вредностите на варијабилните параметри, ќе направиме статистичка обработка на добиените податоци од интер</w:t>
      </w:r>
      <w:r w:rsidR="00DC2435">
        <w:rPr>
          <w:rFonts w:ascii="Times New Roman" w:hAnsi="Times New Roman" w:cs="Times New Roman"/>
          <w:sz w:val="24"/>
          <w:szCs w:val="24"/>
        </w:rPr>
        <w:t>е</w:t>
      </w:r>
      <w:r w:rsidRPr="00215667">
        <w:rPr>
          <w:rFonts w:ascii="Times New Roman" w:hAnsi="Times New Roman" w:cs="Times New Roman"/>
          <w:sz w:val="24"/>
          <w:szCs w:val="24"/>
        </w:rPr>
        <w:t>с за изработката на студијата, со помош на следниве статистички методи:</w:t>
      </w:r>
    </w:p>
    <w:p w14:paraId="2324A8EA" w14:textId="64B0920C" w:rsidR="00412474" w:rsidRPr="00215667" w:rsidRDefault="00412474" w:rsidP="00D35942">
      <w:pPr>
        <w:pStyle w:val="NoSpacing"/>
        <w:numPr>
          <w:ilvl w:val="0"/>
          <w:numId w:val="43"/>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статистичките серии, според сите дефинирани варијабли од интерес ќе бидат табеларно и графички прикажани;</w:t>
      </w:r>
    </w:p>
    <w:p w14:paraId="5070DF71" w14:textId="5CE4C014" w:rsidR="00412474" w:rsidRPr="00215667" w:rsidRDefault="00412474" w:rsidP="00D35942">
      <w:pPr>
        <w:pStyle w:val="NoSpacing"/>
        <w:numPr>
          <w:ilvl w:val="0"/>
          <w:numId w:val="43"/>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нумеричките (квантитативни) серии ќе ги анализираме со помош на мерките на централна тенденција (просек и медијана) и мерките на дисперзија (стандардна девијација);</w:t>
      </w:r>
    </w:p>
    <w:p w14:paraId="1538C201" w14:textId="024E0886" w:rsidR="00412474" w:rsidRPr="00215667" w:rsidRDefault="00DC2435" w:rsidP="00D35942">
      <w:pPr>
        <w:pStyle w:val="NoSpacing"/>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а</w:t>
      </w:r>
      <w:r w:rsidR="00412474" w:rsidRPr="00215667">
        <w:rPr>
          <w:rFonts w:ascii="Times New Roman" w:hAnsi="Times New Roman" w:cs="Times New Roman"/>
          <w:sz w:val="24"/>
          <w:szCs w:val="24"/>
        </w:rPr>
        <w:t>трибутивните статистички серии ќе</w:t>
      </w:r>
      <w:r>
        <w:rPr>
          <w:rFonts w:ascii="Times New Roman" w:hAnsi="Times New Roman" w:cs="Times New Roman"/>
          <w:sz w:val="24"/>
          <w:szCs w:val="24"/>
        </w:rPr>
        <w:t xml:space="preserve"> </w:t>
      </w:r>
      <w:r w:rsidR="00412474" w:rsidRPr="00215667">
        <w:rPr>
          <w:rFonts w:ascii="Times New Roman" w:hAnsi="Times New Roman" w:cs="Times New Roman"/>
          <w:sz w:val="24"/>
          <w:szCs w:val="24"/>
        </w:rPr>
        <w:t xml:space="preserve">се анализираат со одредување на коефициент на односи, пропорции, стапки и со утврдување на статистичката значајност меѓу откриените разлики; Асоцијација помеѓу секој параметар и варијаблите за постоперативното </w:t>
      </w:r>
      <w:r w:rsidR="00EC49EB" w:rsidRPr="00215667">
        <w:rPr>
          <w:rFonts w:ascii="Times New Roman" w:hAnsi="Times New Roman" w:cs="Times New Roman"/>
          <w:sz w:val="24"/>
          <w:szCs w:val="24"/>
        </w:rPr>
        <w:t>крвавење</w:t>
      </w:r>
      <w:r w:rsidR="00412474" w:rsidRPr="00215667">
        <w:rPr>
          <w:rFonts w:ascii="Times New Roman" w:hAnsi="Times New Roman" w:cs="Times New Roman"/>
          <w:sz w:val="24"/>
          <w:szCs w:val="24"/>
        </w:rPr>
        <w:t>, ќе бидат анализирани со многовари</w:t>
      </w:r>
      <w:r>
        <w:rPr>
          <w:rFonts w:ascii="Times New Roman" w:hAnsi="Times New Roman" w:cs="Times New Roman"/>
          <w:sz w:val="24"/>
          <w:szCs w:val="24"/>
        </w:rPr>
        <w:t>ј</w:t>
      </w:r>
      <w:r w:rsidR="00412474" w:rsidRPr="00215667">
        <w:rPr>
          <w:rFonts w:ascii="Times New Roman" w:hAnsi="Times New Roman" w:cs="Times New Roman"/>
          <w:sz w:val="24"/>
          <w:szCs w:val="24"/>
        </w:rPr>
        <w:t>антната анализа со користење на логистички модели на регресија</w:t>
      </w:r>
      <w:r>
        <w:rPr>
          <w:rFonts w:ascii="Times New Roman" w:hAnsi="Times New Roman" w:cs="Times New Roman"/>
          <w:sz w:val="24"/>
          <w:szCs w:val="24"/>
        </w:rPr>
        <w:t>;</w:t>
      </w:r>
    </w:p>
    <w:p w14:paraId="3D774C92" w14:textId="71C60950" w:rsidR="00412474" w:rsidRPr="00215667" w:rsidRDefault="00412474" w:rsidP="00D35942">
      <w:pPr>
        <w:pStyle w:val="NoSpacing"/>
        <w:numPr>
          <w:ilvl w:val="0"/>
          <w:numId w:val="43"/>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 xml:space="preserve">анализа на односите помеѓу атрибутивните статистички серии ќе биде  направена со </w:t>
      </w:r>
      <w:r w:rsidRPr="00DC2435">
        <w:rPr>
          <w:rFonts w:ascii="Times New Roman" w:hAnsi="Times New Roman" w:cs="Times New Roman"/>
          <w:i/>
          <w:iCs/>
          <w:sz w:val="24"/>
          <w:szCs w:val="24"/>
        </w:rPr>
        <w:t>Pearson</w:t>
      </w:r>
      <w:r w:rsidRPr="00215667">
        <w:rPr>
          <w:rFonts w:ascii="Times New Roman" w:hAnsi="Times New Roman" w:cs="Times New Roman"/>
          <w:sz w:val="24"/>
          <w:szCs w:val="24"/>
        </w:rPr>
        <w:t xml:space="preserve">-овиот c2 тест и </w:t>
      </w:r>
      <w:r w:rsidRPr="00DC2435">
        <w:rPr>
          <w:rFonts w:ascii="Times New Roman" w:hAnsi="Times New Roman" w:cs="Times New Roman"/>
          <w:i/>
          <w:iCs/>
          <w:sz w:val="24"/>
          <w:szCs w:val="24"/>
        </w:rPr>
        <w:t>Fisher exact test</w:t>
      </w:r>
      <w:r w:rsidRPr="00215667">
        <w:rPr>
          <w:rFonts w:ascii="Times New Roman" w:hAnsi="Times New Roman" w:cs="Times New Roman"/>
          <w:sz w:val="24"/>
          <w:szCs w:val="24"/>
        </w:rPr>
        <w:t xml:space="preserve">; Присуството на вредностите на INR, како сигнификантен предиктор, кај VKAs, DOACs и NSAIDs, ќе бидат прикажани со користење на добиените вредности на исклучување, а разликата помеѓу пациентите кои континуирано примаат или ги прекинуваат VKAs, DOACs и NSAIDs и здравите пациенти, беа анализирани со помош на </w:t>
      </w:r>
      <w:r w:rsidRPr="00DC2435">
        <w:rPr>
          <w:rFonts w:ascii="Times New Roman" w:hAnsi="Times New Roman" w:cs="Times New Roman"/>
          <w:i/>
          <w:iCs/>
          <w:sz w:val="24"/>
          <w:szCs w:val="24"/>
        </w:rPr>
        <w:t>Fisher exact test</w:t>
      </w:r>
      <w:r w:rsidRPr="00215667">
        <w:rPr>
          <w:rFonts w:ascii="Times New Roman" w:hAnsi="Times New Roman" w:cs="Times New Roman"/>
          <w:sz w:val="24"/>
          <w:szCs w:val="24"/>
        </w:rPr>
        <w:t>;</w:t>
      </w:r>
    </w:p>
    <w:p w14:paraId="24C15D53" w14:textId="3B177AD6" w:rsidR="00412474" w:rsidRPr="00215667" w:rsidRDefault="00412474" w:rsidP="00D35942">
      <w:pPr>
        <w:pStyle w:val="NoSpacing"/>
        <w:numPr>
          <w:ilvl w:val="0"/>
          <w:numId w:val="43"/>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 xml:space="preserve">анализа на односите помеѓу нумеричките статистички серии ќе биде  направена со </w:t>
      </w:r>
      <w:r w:rsidRPr="00DC2435">
        <w:rPr>
          <w:rFonts w:ascii="Times New Roman" w:hAnsi="Times New Roman" w:cs="Times New Roman"/>
          <w:i/>
          <w:iCs/>
          <w:sz w:val="24"/>
          <w:szCs w:val="24"/>
        </w:rPr>
        <w:t>Spearman</w:t>
      </w:r>
      <w:r w:rsidR="00DC2435">
        <w:rPr>
          <w:rFonts w:ascii="Times New Roman" w:hAnsi="Times New Roman" w:cs="Times New Roman"/>
          <w:sz w:val="24"/>
          <w:szCs w:val="24"/>
        </w:rPr>
        <w:t>-</w:t>
      </w:r>
      <w:r w:rsidRPr="00215667">
        <w:rPr>
          <w:rFonts w:ascii="Times New Roman" w:hAnsi="Times New Roman" w:cs="Times New Roman"/>
          <w:sz w:val="24"/>
          <w:szCs w:val="24"/>
        </w:rPr>
        <w:t xml:space="preserve">ов коефициент на корелација, бидејќи податоците се со неправилна дистрибуција т.е. за поврзаноста на варијаблите изработен е </w:t>
      </w:r>
      <w:r w:rsidRPr="00DC2435">
        <w:rPr>
          <w:rFonts w:ascii="Times New Roman" w:hAnsi="Times New Roman" w:cs="Times New Roman"/>
          <w:i/>
          <w:iCs/>
          <w:sz w:val="24"/>
          <w:szCs w:val="24"/>
        </w:rPr>
        <w:t>Spearman</w:t>
      </w:r>
      <w:r w:rsidRPr="00215667">
        <w:rPr>
          <w:rFonts w:ascii="Times New Roman" w:hAnsi="Times New Roman" w:cs="Times New Roman"/>
          <w:sz w:val="24"/>
          <w:szCs w:val="24"/>
        </w:rPr>
        <w:t>-овиот ранг коефициент на корелација</w:t>
      </w:r>
      <w:r w:rsidR="00DC2435">
        <w:rPr>
          <w:rFonts w:ascii="Times New Roman" w:hAnsi="Times New Roman" w:cs="Times New Roman"/>
          <w:sz w:val="24"/>
          <w:szCs w:val="24"/>
        </w:rPr>
        <w:t>;</w:t>
      </w:r>
    </w:p>
    <w:p w14:paraId="2925FC4A" w14:textId="0ED02B9A" w:rsidR="00412474" w:rsidRPr="00215667" w:rsidRDefault="00412474" w:rsidP="00D35942">
      <w:pPr>
        <w:pStyle w:val="NoSpacing"/>
        <w:numPr>
          <w:ilvl w:val="0"/>
          <w:numId w:val="43"/>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lastRenderedPageBreak/>
        <w:t xml:space="preserve">тестирањето на значајност на разлики помеѓу три и повеќе пропорции кај зависните примероци (во групите) ќе биде прикажано со </w:t>
      </w:r>
      <w:r w:rsidRPr="00DC2435">
        <w:rPr>
          <w:rFonts w:ascii="Times New Roman" w:hAnsi="Times New Roman" w:cs="Times New Roman"/>
          <w:i/>
          <w:iCs/>
          <w:sz w:val="24"/>
          <w:szCs w:val="24"/>
        </w:rPr>
        <w:t>Friedman Anova</w:t>
      </w:r>
      <w:r w:rsidRPr="00215667">
        <w:rPr>
          <w:rFonts w:ascii="Times New Roman" w:hAnsi="Times New Roman" w:cs="Times New Roman"/>
          <w:sz w:val="24"/>
          <w:szCs w:val="24"/>
        </w:rPr>
        <w:t xml:space="preserve"> (анализа на варијанса);</w:t>
      </w:r>
    </w:p>
    <w:p w14:paraId="314C7322" w14:textId="769EA6D8" w:rsidR="00412474" w:rsidRPr="00215667" w:rsidRDefault="00412474" w:rsidP="00D35942">
      <w:pPr>
        <w:pStyle w:val="NoSpacing"/>
        <w:numPr>
          <w:ilvl w:val="0"/>
          <w:numId w:val="43"/>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тестирање на значајност</w:t>
      </w:r>
      <w:r w:rsidR="00DC2435">
        <w:rPr>
          <w:rFonts w:ascii="Times New Roman" w:hAnsi="Times New Roman" w:cs="Times New Roman"/>
          <w:sz w:val="24"/>
          <w:szCs w:val="24"/>
        </w:rPr>
        <w:t>а</w:t>
      </w:r>
      <w:r w:rsidRPr="00215667">
        <w:rPr>
          <w:rFonts w:ascii="Times New Roman" w:hAnsi="Times New Roman" w:cs="Times New Roman"/>
          <w:sz w:val="24"/>
          <w:szCs w:val="24"/>
        </w:rPr>
        <w:t xml:space="preserve"> на разлики</w:t>
      </w:r>
      <w:r w:rsidR="00DC2435">
        <w:rPr>
          <w:rFonts w:ascii="Times New Roman" w:hAnsi="Times New Roman" w:cs="Times New Roman"/>
          <w:sz w:val="24"/>
          <w:szCs w:val="24"/>
        </w:rPr>
        <w:t>те</w:t>
      </w:r>
      <w:r w:rsidRPr="00215667">
        <w:rPr>
          <w:rFonts w:ascii="Times New Roman" w:hAnsi="Times New Roman" w:cs="Times New Roman"/>
          <w:sz w:val="24"/>
          <w:szCs w:val="24"/>
        </w:rPr>
        <w:t xml:space="preserve"> помеѓу две пропорции кај зависните примероци (во групите) ќе биде направено со </w:t>
      </w:r>
      <w:r w:rsidRPr="00DC2435">
        <w:rPr>
          <w:rFonts w:ascii="Times New Roman" w:hAnsi="Times New Roman" w:cs="Times New Roman"/>
          <w:i/>
          <w:iCs/>
          <w:sz w:val="24"/>
          <w:szCs w:val="24"/>
        </w:rPr>
        <w:t>Wilkohon Matched Pairs Test</w:t>
      </w:r>
      <w:r w:rsidRPr="00215667">
        <w:rPr>
          <w:rFonts w:ascii="Times New Roman" w:hAnsi="Times New Roman" w:cs="Times New Roman"/>
          <w:sz w:val="24"/>
          <w:szCs w:val="24"/>
        </w:rPr>
        <w:t>;</w:t>
      </w:r>
    </w:p>
    <w:p w14:paraId="5CE9A76E" w14:textId="2729D699" w:rsidR="00412474" w:rsidRPr="00215667" w:rsidRDefault="00412474" w:rsidP="00D35942">
      <w:pPr>
        <w:pStyle w:val="NoSpacing"/>
        <w:numPr>
          <w:ilvl w:val="0"/>
          <w:numId w:val="43"/>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тестирање на значајност</w:t>
      </w:r>
      <w:r w:rsidR="00DC2435">
        <w:rPr>
          <w:rFonts w:ascii="Times New Roman" w:hAnsi="Times New Roman" w:cs="Times New Roman"/>
          <w:sz w:val="24"/>
          <w:szCs w:val="24"/>
        </w:rPr>
        <w:t>а</w:t>
      </w:r>
      <w:r w:rsidRPr="00215667">
        <w:rPr>
          <w:rFonts w:ascii="Times New Roman" w:hAnsi="Times New Roman" w:cs="Times New Roman"/>
          <w:sz w:val="24"/>
          <w:szCs w:val="24"/>
        </w:rPr>
        <w:t xml:space="preserve"> на разлики</w:t>
      </w:r>
      <w:r w:rsidR="00DC2435">
        <w:rPr>
          <w:rFonts w:ascii="Times New Roman" w:hAnsi="Times New Roman" w:cs="Times New Roman"/>
          <w:sz w:val="24"/>
          <w:szCs w:val="24"/>
        </w:rPr>
        <w:t>те</w:t>
      </w:r>
      <w:r w:rsidRPr="00215667">
        <w:rPr>
          <w:rFonts w:ascii="Times New Roman" w:hAnsi="Times New Roman" w:cs="Times New Roman"/>
          <w:sz w:val="24"/>
          <w:szCs w:val="24"/>
        </w:rPr>
        <w:t xml:space="preserve"> помеѓу три и повеќе аритметички средини при неправилна дистрибуција на податоците, како и помеѓу три и повеќе пропорции кај независните примероци (помеѓу групите) ќе биде прикажано со </w:t>
      </w:r>
      <w:r w:rsidRPr="00DC2435">
        <w:rPr>
          <w:rFonts w:ascii="Times New Roman" w:hAnsi="Times New Roman" w:cs="Times New Roman"/>
          <w:i/>
          <w:iCs/>
          <w:sz w:val="24"/>
          <w:szCs w:val="24"/>
        </w:rPr>
        <w:t>Kruskal Wallis ANOVA</w:t>
      </w:r>
      <w:r w:rsidRPr="00215667">
        <w:rPr>
          <w:rFonts w:ascii="Times New Roman" w:hAnsi="Times New Roman" w:cs="Times New Roman"/>
          <w:sz w:val="24"/>
          <w:szCs w:val="24"/>
        </w:rPr>
        <w:t xml:space="preserve">; </w:t>
      </w:r>
    </w:p>
    <w:p w14:paraId="0AC91D20" w14:textId="6D683162" w:rsidR="00412474" w:rsidRPr="00215667" w:rsidRDefault="00412474" w:rsidP="00D35942">
      <w:pPr>
        <w:pStyle w:val="NoSpacing"/>
        <w:numPr>
          <w:ilvl w:val="0"/>
          <w:numId w:val="43"/>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тестирање на значајност</w:t>
      </w:r>
      <w:r w:rsidR="00DC2435">
        <w:rPr>
          <w:rFonts w:ascii="Times New Roman" w:hAnsi="Times New Roman" w:cs="Times New Roman"/>
          <w:sz w:val="24"/>
          <w:szCs w:val="24"/>
        </w:rPr>
        <w:t>а</w:t>
      </w:r>
      <w:r w:rsidRPr="00215667">
        <w:rPr>
          <w:rFonts w:ascii="Times New Roman" w:hAnsi="Times New Roman" w:cs="Times New Roman"/>
          <w:sz w:val="24"/>
          <w:szCs w:val="24"/>
        </w:rPr>
        <w:t xml:space="preserve"> на разлики</w:t>
      </w:r>
      <w:r w:rsidR="00DC2435">
        <w:rPr>
          <w:rFonts w:ascii="Times New Roman" w:hAnsi="Times New Roman" w:cs="Times New Roman"/>
          <w:sz w:val="24"/>
          <w:szCs w:val="24"/>
        </w:rPr>
        <w:t>те</w:t>
      </w:r>
      <w:r w:rsidRPr="00215667">
        <w:rPr>
          <w:rFonts w:ascii="Times New Roman" w:hAnsi="Times New Roman" w:cs="Times New Roman"/>
          <w:sz w:val="24"/>
          <w:szCs w:val="24"/>
        </w:rPr>
        <w:t xml:space="preserve"> помеѓу две пропорции кај независните примероци (помеѓу групите) ќе биде направено со </w:t>
      </w:r>
      <w:r w:rsidRPr="00DC2435">
        <w:rPr>
          <w:rFonts w:ascii="Times New Roman" w:hAnsi="Times New Roman" w:cs="Times New Roman"/>
          <w:i/>
          <w:iCs/>
          <w:sz w:val="24"/>
          <w:szCs w:val="24"/>
        </w:rPr>
        <w:t>Mann Whitney U Test</w:t>
      </w:r>
      <w:r w:rsidR="00DC2435">
        <w:rPr>
          <w:rFonts w:ascii="Times New Roman" w:hAnsi="Times New Roman" w:cs="Times New Roman"/>
          <w:sz w:val="24"/>
          <w:szCs w:val="24"/>
        </w:rPr>
        <w:t>;</w:t>
      </w:r>
    </w:p>
    <w:p w14:paraId="606F1942" w14:textId="5B5839CA" w:rsidR="00412474" w:rsidRPr="00215667" w:rsidRDefault="00412474" w:rsidP="00D35942">
      <w:pPr>
        <w:pStyle w:val="NoSpacing"/>
        <w:numPr>
          <w:ilvl w:val="0"/>
          <w:numId w:val="43"/>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 xml:space="preserve">тестирање на значајност на разлики помеѓу две аритметички средини кај независните примероци (помеѓу групите) ќе биде прикажано со </w:t>
      </w:r>
      <w:r w:rsidRPr="00D35942">
        <w:rPr>
          <w:rFonts w:ascii="Times New Roman" w:hAnsi="Times New Roman" w:cs="Times New Roman"/>
          <w:i/>
          <w:iCs/>
          <w:sz w:val="24"/>
          <w:szCs w:val="24"/>
        </w:rPr>
        <w:t>Student – t Test</w:t>
      </w:r>
      <w:r w:rsidRPr="00215667">
        <w:rPr>
          <w:rFonts w:ascii="Times New Roman" w:hAnsi="Times New Roman" w:cs="Times New Roman"/>
          <w:sz w:val="24"/>
          <w:szCs w:val="24"/>
        </w:rPr>
        <w:t xml:space="preserve"> при правилна дистрибуција и со </w:t>
      </w:r>
      <w:r w:rsidRPr="00D35942">
        <w:rPr>
          <w:rFonts w:ascii="Times New Roman" w:hAnsi="Times New Roman" w:cs="Times New Roman"/>
          <w:i/>
          <w:iCs/>
          <w:sz w:val="24"/>
          <w:szCs w:val="24"/>
        </w:rPr>
        <w:t>Mann Whitney U Test</w:t>
      </w:r>
      <w:r w:rsidRPr="00215667">
        <w:rPr>
          <w:rFonts w:ascii="Times New Roman" w:hAnsi="Times New Roman" w:cs="Times New Roman"/>
          <w:sz w:val="24"/>
          <w:szCs w:val="24"/>
        </w:rPr>
        <w:t xml:space="preserve"> при неправилна дистрибуција на квантитативните податоци;</w:t>
      </w:r>
    </w:p>
    <w:p w14:paraId="2128E181" w14:textId="62ADE335" w:rsidR="00412474" w:rsidRPr="00215667" w:rsidRDefault="00412474" w:rsidP="00D35942">
      <w:pPr>
        <w:pStyle w:val="NoSpacing"/>
        <w:numPr>
          <w:ilvl w:val="0"/>
          <w:numId w:val="43"/>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дијагностичката вредност/подобност на испитуваните варијабли ќе се одредува со сензитивност и специфичност;</w:t>
      </w:r>
    </w:p>
    <w:p w14:paraId="385FD440" w14:textId="6AB99C80" w:rsidR="00412474" w:rsidRPr="00215667" w:rsidRDefault="00412474" w:rsidP="00D35942">
      <w:pPr>
        <w:pStyle w:val="NoSpacing"/>
        <w:numPr>
          <w:ilvl w:val="0"/>
          <w:numId w:val="43"/>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ризик</w:t>
      </w:r>
      <w:r w:rsidR="00D35942">
        <w:rPr>
          <w:rFonts w:ascii="Times New Roman" w:hAnsi="Times New Roman" w:cs="Times New Roman"/>
          <w:sz w:val="24"/>
          <w:szCs w:val="24"/>
        </w:rPr>
        <w:t>-</w:t>
      </w:r>
      <w:r w:rsidRPr="00215667">
        <w:rPr>
          <w:rFonts w:ascii="Times New Roman" w:hAnsi="Times New Roman" w:cs="Times New Roman"/>
          <w:sz w:val="24"/>
          <w:szCs w:val="24"/>
        </w:rPr>
        <w:t xml:space="preserve">факторите ќе бидат детерминирани со одредување на </w:t>
      </w:r>
      <w:r w:rsidRPr="00D35942">
        <w:rPr>
          <w:rFonts w:ascii="Times New Roman" w:hAnsi="Times New Roman" w:cs="Times New Roman"/>
          <w:i/>
          <w:iCs/>
          <w:sz w:val="24"/>
          <w:szCs w:val="24"/>
        </w:rPr>
        <w:t>Odds Ratio</w:t>
      </w:r>
      <w:r w:rsidRPr="00215667">
        <w:rPr>
          <w:rFonts w:ascii="Times New Roman" w:hAnsi="Times New Roman" w:cs="Times New Roman"/>
          <w:sz w:val="24"/>
          <w:szCs w:val="24"/>
        </w:rPr>
        <w:t>;</w:t>
      </w:r>
    </w:p>
    <w:p w14:paraId="217150AB" w14:textId="77777777" w:rsidR="00D35942" w:rsidRDefault="00412474" w:rsidP="00D35942">
      <w:pPr>
        <w:pStyle w:val="NoSpacing"/>
        <w:numPr>
          <w:ilvl w:val="0"/>
          <w:numId w:val="43"/>
        </w:numPr>
        <w:spacing w:line="360" w:lineRule="auto"/>
        <w:jc w:val="both"/>
        <w:rPr>
          <w:rFonts w:ascii="Times New Roman" w:hAnsi="Times New Roman" w:cs="Times New Roman"/>
          <w:sz w:val="24"/>
          <w:szCs w:val="24"/>
        </w:rPr>
      </w:pPr>
      <w:r w:rsidRPr="00215667">
        <w:rPr>
          <w:rFonts w:ascii="Times New Roman" w:hAnsi="Times New Roman" w:cs="Times New Roman"/>
          <w:sz w:val="24"/>
          <w:szCs w:val="24"/>
        </w:rPr>
        <w:t xml:space="preserve">за проценување на времето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ќе се користи </w:t>
      </w:r>
      <w:r w:rsidRPr="00D35942">
        <w:rPr>
          <w:rFonts w:ascii="Times New Roman" w:hAnsi="Times New Roman" w:cs="Times New Roman"/>
          <w:i/>
          <w:iCs/>
          <w:sz w:val="24"/>
          <w:szCs w:val="24"/>
        </w:rPr>
        <w:t>Kaplan-Meier</w:t>
      </w:r>
      <w:r w:rsidR="00D35942">
        <w:rPr>
          <w:rFonts w:ascii="Times New Roman" w:hAnsi="Times New Roman" w:cs="Times New Roman"/>
          <w:sz w:val="24"/>
          <w:szCs w:val="24"/>
        </w:rPr>
        <w:t>-</w:t>
      </w:r>
      <w:r w:rsidRPr="00215667">
        <w:rPr>
          <w:rFonts w:ascii="Times New Roman" w:hAnsi="Times New Roman" w:cs="Times New Roman"/>
          <w:sz w:val="24"/>
          <w:szCs w:val="24"/>
        </w:rPr>
        <w:t xml:space="preserve">овата крива, </w:t>
      </w:r>
      <w:r w:rsidRPr="00D35942">
        <w:rPr>
          <w:rFonts w:ascii="Times New Roman" w:hAnsi="Times New Roman" w:cs="Times New Roman"/>
          <w:i/>
          <w:iCs/>
          <w:sz w:val="24"/>
          <w:szCs w:val="24"/>
        </w:rPr>
        <w:t>Log-Rank Test</w:t>
      </w:r>
      <w:r w:rsidRPr="00215667">
        <w:rPr>
          <w:rFonts w:ascii="Times New Roman" w:hAnsi="Times New Roman" w:cs="Times New Roman"/>
          <w:sz w:val="24"/>
          <w:szCs w:val="24"/>
        </w:rPr>
        <w:t xml:space="preserve"> и </w:t>
      </w:r>
      <w:r w:rsidRPr="00D35942">
        <w:rPr>
          <w:rFonts w:ascii="Times New Roman" w:hAnsi="Times New Roman" w:cs="Times New Roman"/>
          <w:i/>
          <w:iCs/>
          <w:sz w:val="24"/>
          <w:szCs w:val="24"/>
        </w:rPr>
        <w:t>Cox</w:t>
      </w:r>
      <w:r w:rsidRPr="00215667">
        <w:rPr>
          <w:rFonts w:ascii="Times New Roman" w:hAnsi="Times New Roman" w:cs="Times New Roman"/>
          <w:sz w:val="24"/>
          <w:szCs w:val="24"/>
        </w:rPr>
        <w:t>-овата регресија</w:t>
      </w:r>
      <w:r w:rsidR="00D35942">
        <w:rPr>
          <w:rFonts w:ascii="Times New Roman" w:hAnsi="Times New Roman" w:cs="Times New Roman"/>
          <w:sz w:val="24"/>
          <w:szCs w:val="24"/>
        </w:rPr>
        <w:t>;</w:t>
      </w:r>
    </w:p>
    <w:p w14:paraId="4F5E728A" w14:textId="45B1107E" w:rsidR="00412474" w:rsidRPr="00215667" w:rsidRDefault="00D35942" w:rsidP="00D35942">
      <w:pPr>
        <w:pStyle w:val="NoSpacing"/>
        <w:numPr>
          <w:ilvl w:val="0"/>
          <w:numId w:val="43"/>
        </w:numPr>
        <w:spacing w:line="360" w:lineRule="auto"/>
        <w:jc w:val="both"/>
        <w:rPr>
          <w:rFonts w:ascii="Times New Roman" w:hAnsi="Times New Roman" w:cs="Times New Roman"/>
          <w:sz w:val="24"/>
          <w:szCs w:val="24"/>
        </w:rPr>
      </w:pPr>
      <w:r>
        <w:rPr>
          <w:rFonts w:ascii="Times New Roman" w:hAnsi="Times New Roman" w:cs="Times New Roman"/>
          <w:sz w:val="24"/>
          <w:szCs w:val="24"/>
        </w:rPr>
        <w:t>з</w:t>
      </w:r>
      <w:r w:rsidR="00412474" w:rsidRPr="00215667">
        <w:rPr>
          <w:rFonts w:ascii="Times New Roman" w:hAnsi="Times New Roman" w:cs="Times New Roman"/>
          <w:sz w:val="24"/>
          <w:szCs w:val="24"/>
        </w:rPr>
        <w:t>а сигнификантни се сметани оние резултати каде p &lt; 0,05.</w:t>
      </w:r>
    </w:p>
    <w:p w14:paraId="755D096C" w14:textId="77777777" w:rsidR="00412474" w:rsidRPr="00215667" w:rsidRDefault="00412474" w:rsidP="00412474">
      <w:pPr>
        <w:rPr>
          <w:rFonts w:ascii="Times New Roman" w:hAnsi="Times New Roman" w:cs="Times New Roman"/>
          <w:sz w:val="24"/>
          <w:szCs w:val="24"/>
        </w:rPr>
      </w:pPr>
    </w:p>
    <w:p w14:paraId="0D3F66A7" w14:textId="77777777" w:rsidR="00412474" w:rsidRPr="00215667" w:rsidRDefault="00412474" w:rsidP="00412474">
      <w:pPr>
        <w:shd w:val="clear" w:color="auto" w:fill="FFFFFF"/>
        <w:spacing w:after="120" w:line="360" w:lineRule="auto"/>
        <w:jc w:val="both"/>
        <w:rPr>
          <w:rFonts w:ascii="Times New Roman" w:eastAsia="Calibri" w:hAnsi="Times New Roman" w:cs="Times New Roman"/>
          <w:sz w:val="24"/>
          <w:szCs w:val="24"/>
        </w:rPr>
      </w:pPr>
    </w:p>
    <w:p w14:paraId="437AD155" w14:textId="77777777" w:rsidR="00215667" w:rsidRDefault="00215667" w:rsidP="00412474">
      <w:pPr>
        <w:shd w:val="clear" w:color="auto" w:fill="FFFFFF"/>
        <w:spacing w:after="120" w:line="360" w:lineRule="auto"/>
        <w:jc w:val="both"/>
        <w:rPr>
          <w:rFonts w:ascii="Times New Roman" w:eastAsia="Calibri" w:hAnsi="Times New Roman" w:cs="Times New Roman"/>
          <w:b/>
          <w:bCs/>
          <w:sz w:val="24"/>
          <w:szCs w:val="24"/>
        </w:rPr>
      </w:pPr>
    </w:p>
    <w:p w14:paraId="0A1530CD" w14:textId="77777777" w:rsidR="00D35942" w:rsidRDefault="00D35942" w:rsidP="00412474">
      <w:pPr>
        <w:shd w:val="clear" w:color="auto" w:fill="FFFFFF"/>
        <w:spacing w:after="120" w:line="360" w:lineRule="auto"/>
        <w:jc w:val="both"/>
        <w:rPr>
          <w:rFonts w:ascii="Times New Roman" w:eastAsia="Calibri" w:hAnsi="Times New Roman" w:cs="Times New Roman"/>
          <w:b/>
          <w:bCs/>
          <w:sz w:val="24"/>
          <w:szCs w:val="24"/>
        </w:rPr>
      </w:pPr>
    </w:p>
    <w:p w14:paraId="49EED654" w14:textId="77777777" w:rsidR="00D35942" w:rsidRDefault="00D35942" w:rsidP="00412474">
      <w:pPr>
        <w:shd w:val="clear" w:color="auto" w:fill="FFFFFF"/>
        <w:spacing w:after="120" w:line="360" w:lineRule="auto"/>
        <w:jc w:val="both"/>
        <w:rPr>
          <w:rFonts w:ascii="Times New Roman" w:eastAsia="Calibri" w:hAnsi="Times New Roman" w:cs="Times New Roman"/>
          <w:b/>
          <w:bCs/>
          <w:sz w:val="24"/>
          <w:szCs w:val="24"/>
        </w:rPr>
      </w:pPr>
    </w:p>
    <w:p w14:paraId="4705CD81" w14:textId="77777777" w:rsidR="00D35942" w:rsidRDefault="00D35942" w:rsidP="00412474">
      <w:pPr>
        <w:shd w:val="clear" w:color="auto" w:fill="FFFFFF"/>
        <w:spacing w:after="120" w:line="360" w:lineRule="auto"/>
        <w:jc w:val="both"/>
        <w:rPr>
          <w:rFonts w:ascii="Times New Roman" w:eastAsia="Calibri" w:hAnsi="Times New Roman" w:cs="Times New Roman"/>
          <w:b/>
          <w:bCs/>
          <w:sz w:val="24"/>
          <w:szCs w:val="24"/>
        </w:rPr>
      </w:pPr>
    </w:p>
    <w:p w14:paraId="39EA0934" w14:textId="77777777" w:rsidR="00D35942" w:rsidRDefault="00D35942" w:rsidP="00412474">
      <w:pPr>
        <w:shd w:val="clear" w:color="auto" w:fill="FFFFFF"/>
        <w:spacing w:after="120" w:line="360" w:lineRule="auto"/>
        <w:jc w:val="both"/>
        <w:rPr>
          <w:rFonts w:ascii="Times New Roman" w:eastAsia="Calibri" w:hAnsi="Times New Roman" w:cs="Times New Roman"/>
          <w:b/>
          <w:bCs/>
          <w:sz w:val="24"/>
          <w:szCs w:val="24"/>
        </w:rPr>
      </w:pPr>
    </w:p>
    <w:p w14:paraId="79BFC41A" w14:textId="77777777" w:rsidR="00D35942" w:rsidRDefault="00D35942" w:rsidP="00412474">
      <w:pPr>
        <w:shd w:val="clear" w:color="auto" w:fill="FFFFFF"/>
        <w:spacing w:after="120" w:line="360" w:lineRule="auto"/>
        <w:jc w:val="both"/>
        <w:rPr>
          <w:rFonts w:ascii="Times New Roman" w:eastAsia="Calibri" w:hAnsi="Times New Roman" w:cs="Times New Roman"/>
          <w:b/>
          <w:bCs/>
          <w:sz w:val="24"/>
          <w:szCs w:val="24"/>
        </w:rPr>
      </w:pPr>
    </w:p>
    <w:p w14:paraId="5451D63B" w14:textId="59BD8A4F" w:rsidR="00412474" w:rsidRPr="00215667" w:rsidRDefault="00412474" w:rsidP="00215667">
      <w:pPr>
        <w:pStyle w:val="Heading1"/>
        <w:rPr>
          <w:rFonts w:ascii="Times New Roman" w:eastAsia="Calibri" w:hAnsi="Times New Roman" w:cs="Times New Roman"/>
          <w:b/>
          <w:bCs/>
          <w:color w:val="000000" w:themeColor="text1"/>
          <w:sz w:val="28"/>
          <w:szCs w:val="28"/>
        </w:rPr>
      </w:pPr>
      <w:bookmarkStart w:id="30" w:name="_Toc209005157"/>
      <w:r w:rsidRPr="00215667">
        <w:rPr>
          <w:rFonts w:ascii="Times New Roman" w:eastAsia="Calibri" w:hAnsi="Times New Roman" w:cs="Times New Roman"/>
          <w:b/>
          <w:bCs/>
          <w:color w:val="000000" w:themeColor="text1"/>
          <w:sz w:val="28"/>
          <w:szCs w:val="28"/>
        </w:rPr>
        <w:lastRenderedPageBreak/>
        <w:t>РЕЗУЛТАТИ</w:t>
      </w:r>
      <w:bookmarkEnd w:id="30"/>
      <w:r w:rsidRPr="00215667">
        <w:rPr>
          <w:rFonts w:ascii="Times New Roman" w:eastAsia="Calibri" w:hAnsi="Times New Roman" w:cs="Times New Roman"/>
          <w:b/>
          <w:bCs/>
          <w:color w:val="000000" w:themeColor="text1"/>
          <w:sz w:val="28"/>
          <w:szCs w:val="28"/>
        </w:rPr>
        <w:t xml:space="preserve"> </w:t>
      </w:r>
    </w:p>
    <w:p w14:paraId="663A0303" w14:textId="77777777" w:rsidR="004002C9" w:rsidRDefault="004002C9" w:rsidP="00D35942">
      <w:pPr>
        <w:spacing w:after="0" w:line="360" w:lineRule="auto"/>
        <w:ind w:firstLine="720"/>
        <w:jc w:val="both"/>
        <w:rPr>
          <w:rFonts w:ascii="Times New Roman" w:eastAsia="Calibri" w:hAnsi="Times New Roman" w:cs="Times New Roman"/>
          <w:bCs/>
          <w:sz w:val="24"/>
          <w:szCs w:val="24"/>
        </w:rPr>
      </w:pPr>
    </w:p>
    <w:p w14:paraId="62946CCC" w14:textId="48CB366D" w:rsidR="00412474" w:rsidRPr="00215667" w:rsidRDefault="00412474" w:rsidP="00D35942">
      <w:pPr>
        <w:spacing w:after="0" w:line="360" w:lineRule="auto"/>
        <w:ind w:firstLine="720"/>
        <w:jc w:val="both"/>
        <w:rPr>
          <w:rFonts w:ascii="Times New Roman" w:eastAsia="Calibri" w:hAnsi="Times New Roman" w:cs="Times New Roman"/>
          <w:bCs/>
          <w:sz w:val="24"/>
          <w:szCs w:val="24"/>
        </w:rPr>
      </w:pPr>
      <w:r w:rsidRPr="00215667">
        <w:rPr>
          <w:rFonts w:ascii="Times New Roman" w:eastAsia="Calibri" w:hAnsi="Times New Roman" w:cs="Times New Roman"/>
          <w:bCs/>
          <w:sz w:val="24"/>
          <w:szCs w:val="24"/>
        </w:rPr>
        <w:t>Во периодот од 2019</w:t>
      </w:r>
      <w:r w:rsidR="004002C9">
        <w:rPr>
          <w:rFonts w:ascii="Times New Roman" w:eastAsia="Calibri" w:hAnsi="Times New Roman" w:cs="Times New Roman"/>
          <w:bCs/>
          <w:sz w:val="24"/>
          <w:szCs w:val="24"/>
        </w:rPr>
        <w:t xml:space="preserve"> до</w:t>
      </w:r>
      <w:r w:rsidRPr="00215667">
        <w:rPr>
          <w:rFonts w:ascii="Times New Roman" w:eastAsia="Calibri" w:hAnsi="Times New Roman" w:cs="Times New Roman"/>
          <w:bCs/>
          <w:sz w:val="24"/>
          <w:szCs w:val="24"/>
        </w:rPr>
        <w:t xml:space="preserve"> 2024 година, на Клиниката за максилофацијална хирургија –</w:t>
      </w:r>
      <w:r w:rsidR="009456A9">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 xml:space="preserve">Скопје беа анализирани 294 пациенти, од кои 64 пациенти со тромбоцитна хипоагрегабилност, 102 пациенти кои примаат ОАТ (VKA или DOAC), 83 пациенти кои примаат NSAID (Aspirin) и 64 здрави пациенти.  </w:t>
      </w:r>
    </w:p>
    <w:p w14:paraId="731EC65E" w14:textId="0A958065" w:rsidR="00412474" w:rsidRPr="00215667" w:rsidRDefault="00412474" w:rsidP="00412474">
      <w:pPr>
        <w:shd w:val="clear" w:color="auto" w:fill="FFFFFF"/>
        <w:spacing w:after="120" w:line="360" w:lineRule="auto"/>
        <w:ind w:firstLine="720"/>
        <w:jc w:val="both"/>
        <w:rPr>
          <w:rFonts w:ascii="Times New Roman" w:eastAsia="Calibri" w:hAnsi="Times New Roman" w:cs="Times New Roman"/>
          <w:bCs/>
          <w:sz w:val="24"/>
          <w:szCs w:val="24"/>
        </w:rPr>
      </w:pPr>
      <w:r w:rsidRPr="00215667">
        <w:rPr>
          <w:rFonts w:ascii="Times New Roman" w:eastAsia="Calibri" w:hAnsi="Times New Roman" w:cs="Times New Roman"/>
          <w:bCs/>
          <w:sz w:val="24"/>
          <w:szCs w:val="24"/>
        </w:rPr>
        <w:t>Според анализата на</w:t>
      </w:r>
      <w:r w:rsidR="009456A9">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комплетна анамнеза (пол, возраст), основни заболувања,</w:t>
      </w:r>
      <w:r w:rsidR="00C70FF0">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 xml:space="preserve">претходни операции, конзумирање на хронична терапија и историја на </w:t>
      </w:r>
      <w:r w:rsidR="00EC49EB" w:rsidRPr="00215667">
        <w:rPr>
          <w:rFonts w:ascii="Times New Roman" w:eastAsia="Calibri" w:hAnsi="Times New Roman" w:cs="Times New Roman"/>
          <w:bCs/>
          <w:sz w:val="24"/>
          <w:szCs w:val="24"/>
        </w:rPr>
        <w:t>крвавење</w:t>
      </w:r>
      <w:r w:rsidRPr="00215667">
        <w:rPr>
          <w:rFonts w:ascii="Times New Roman" w:eastAsia="Calibri" w:hAnsi="Times New Roman" w:cs="Times New Roman"/>
          <w:bCs/>
          <w:sz w:val="24"/>
          <w:szCs w:val="24"/>
        </w:rPr>
        <w:t xml:space="preserve"> на пациентите, проследено со физички преглед и скрининг </w:t>
      </w:r>
      <w:r w:rsidR="00D80713">
        <w:rPr>
          <w:rFonts w:ascii="Times New Roman" w:eastAsia="Calibri" w:hAnsi="Times New Roman" w:cs="Times New Roman"/>
          <w:bCs/>
          <w:sz w:val="24"/>
          <w:szCs w:val="24"/>
        </w:rPr>
        <w:t>лабораториски</w:t>
      </w:r>
      <w:r w:rsidRPr="00215667">
        <w:rPr>
          <w:rFonts w:ascii="Times New Roman" w:eastAsia="Calibri" w:hAnsi="Times New Roman" w:cs="Times New Roman"/>
          <w:bCs/>
          <w:sz w:val="24"/>
          <w:szCs w:val="24"/>
        </w:rPr>
        <w:t xml:space="preserve"> методи за откривање на хематолошки нарушувања на хипоагрегабилноста на тромбоцитите или коагулациони нарушувања, предизвикани од хронична антикоагулантна или антитроботична терапија,  пациентите беа селектирани во четири групи и според протоколите за секоја група беа подложени на едноставна екстракција на заб или мали дентоалвеоларни операции.</w:t>
      </w:r>
    </w:p>
    <w:p w14:paraId="7EACF270" w14:textId="77777777" w:rsidR="00412474" w:rsidRPr="00215667" w:rsidRDefault="00412474" w:rsidP="00412474">
      <w:pPr>
        <w:shd w:val="clear" w:color="auto" w:fill="FFFFFF"/>
        <w:spacing w:after="120" w:line="360" w:lineRule="auto"/>
        <w:jc w:val="both"/>
        <w:rPr>
          <w:rFonts w:ascii="Times New Roman" w:eastAsia="Calibri" w:hAnsi="Times New Roman" w:cs="Times New Roman"/>
          <w:bCs/>
          <w:sz w:val="24"/>
          <w:szCs w:val="24"/>
        </w:rPr>
      </w:pPr>
    </w:p>
    <w:p w14:paraId="4BDDC147" w14:textId="3439DAD5" w:rsidR="00412474" w:rsidRPr="00215667" w:rsidRDefault="009456A9" w:rsidP="00215667">
      <w:pPr>
        <w:pStyle w:val="Heading2"/>
        <w:rPr>
          <w:rFonts w:ascii="Times New Roman" w:eastAsia="Calibri" w:hAnsi="Times New Roman" w:cs="Times New Roman"/>
          <w:b/>
          <w:bCs/>
          <w:color w:val="000000" w:themeColor="text1"/>
          <w:sz w:val="24"/>
          <w:szCs w:val="24"/>
        </w:rPr>
      </w:pPr>
      <w:bookmarkStart w:id="31" w:name="_Toc209005158"/>
      <w:r w:rsidRPr="00215667">
        <w:rPr>
          <w:rFonts w:ascii="Times New Roman" w:eastAsia="Calibri" w:hAnsi="Times New Roman" w:cs="Times New Roman"/>
          <w:b/>
          <w:bCs/>
          <w:color w:val="000000" w:themeColor="text1"/>
          <w:sz w:val="24"/>
          <w:szCs w:val="24"/>
        </w:rPr>
        <w:t>Хипоагрегабилност на тромбоцити</w:t>
      </w:r>
      <w:bookmarkEnd w:id="31"/>
    </w:p>
    <w:p w14:paraId="34E6A0C5" w14:textId="2A8CF340" w:rsidR="00412474" w:rsidRPr="00215667" w:rsidRDefault="00412474" w:rsidP="00412474">
      <w:pPr>
        <w:shd w:val="clear" w:color="auto" w:fill="FFFFFF"/>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Резултатите од анализата на вкупно 128 пациенти кои ги исполнуваат критериумите на студијата, партиципиенти на I и IV група (I група- 64 пациенти дијагностицирани со тромбоцитна хипоагрегабилност и IV група-</w:t>
      </w:r>
      <w:r w:rsidR="009456A9">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64 здрави пациенти, како контролна група), покажа дека: </w:t>
      </w:r>
    </w:p>
    <w:p w14:paraId="0EB26AE1" w14:textId="2312A654" w:rsidR="00412474" w:rsidRPr="00215667" w:rsidRDefault="00412474" w:rsidP="00412474">
      <w:pPr>
        <w:shd w:val="clear" w:color="auto" w:fill="FFFFFF"/>
        <w:spacing w:after="120" w:line="360" w:lineRule="auto"/>
        <w:ind w:firstLine="720"/>
        <w:jc w:val="both"/>
        <w:rPr>
          <w:rFonts w:ascii="Times New Roman" w:eastAsia="Calibri" w:hAnsi="Times New Roman" w:cs="Times New Roman"/>
          <w:bCs/>
          <w:sz w:val="24"/>
          <w:szCs w:val="24"/>
        </w:rPr>
      </w:pPr>
      <w:r w:rsidRPr="00215667">
        <w:rPr>
          <w:rFonts w:ascii="Times New Roman" w:eastAsia="Calibri" w:hAnsi="Times New Roman" w:cs="Times New Roman"/>
          <w:bCs/>
          <w:sz w:val="24"/>
          <w:szCs w:val="24"/>
        </w:rPr>
        <w:t>Според демографските карактеристики, 68.75</w:t>
      </w:r>
      <w:r w:rsidR="009456A9">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 од пациентите се припаднички на женскиот пол и 31.25</w:t>
      </w:r>
      <w:r w:rsidR="009456A9">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 се од машкиот пол. Процентуалната разлика која се регистрира е сигнификантна за p</w:t>
      </w:r>
      <w:r w:rsidR="009456A9">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&lt;</w:t>
      </w:r>
      <w:r w:rsidR="009456A9">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.05 (Difference test, p</w:t>
      </w:r>
      <w:r w:rsidR="009456A9">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w:t>
      </w:r>
      <w:r w:rsidR="009456A9">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 xml:space="preserve">.0000), помеѓу женскиот </w:t>
      </w:r>
      <w:r w:rsidR="001F2E2D">
        <w:rPr>
          <w:rFonts w:ascii="Times New Roman" w:eastAsia="Calibri" w:hAnsi="Times New Roman" w:cs="Times New Roman"/>
          <w:bCs/>
          <w:sz w:val="24"/>
          <w:szCs w:val="24"/>
        </w:rPr>
        <w:t>версус</w:t>
      </w:r>
      <w:r w:rsidRPr="00215667">
        <w:rPr>
          <w:rFonts w:ascii="Times New Roman" w:eastAsia="Calibri" w:hAnsi="Times New Roman" w:cs="Times New Roman"/>
          <w:bCs/>
          <w:sz w:val="24"/>
          <w:szCs w:val="24"/>
        </w:rPr>
        <w:t xml:space="preserve"> машкиот пол (табела </w:t>
      </w:r>
      <w:proofErr w:type="spellStart"/>
      <w:r w:rsidR="009456A9">
        <w:rPr>
          <w:rFonts w:ascii="Times New Roman" w:eastAsia="Calibri" w:hAnsi="Times New Roman" w:cs="Times New Roman"/>
          <w:bCs/>
          <w:sz w:val="24"/>
          <w:szCs w:val="24"/>
          <w:lang w:val="en-US"/>
        </w:rPr>
        <w:t>бр</w:t>
      </w:r>
      <w:proofErr w:type="spellEnd"/>
      <w:r w:rsidR="009456A9">
        <w:rPr>
          <w:rFonts w:ascii="Times New Roman" w:eastAsia="Calibri" w:hAnsi="Times New Roman" w:cs="Times New Roman"/>
          <w:bCs/>
          <w:sz w:val="24"/>
          <w:szCs w:val="24"/>
          <w:lang w:val="en-US"/>
        </w:rPr>
        <w:t xml:space="preserve">. 1 </w:t>
      </w:r>
      <w:r w:rsidRPr="00215667">
        <w:rPr>
          <w:rFonts w:ascii="Times New Roman" w:eastAsia="Calibri" w:hAnsi="Times New Roman" w:cs="Times New Roman"/>
          <w:bCs/>
          <w:sz w:val="24"/>
          <w:szCs w:val="24"/>
        </w:rPr>
        <w:t>и графикон</w:t>
      </w:r>
      <w:r w:rsidR="009456A9">
        <w:rPr>
          <w:rFonts w:ascii="Times New Roman" w:eastAsia="Calibri" w:hAnsi="Times New Roman" w:cs="Times New Roman"/>
          <w:bCs/>
          <w:sz w:val="24"/>
          <w:szCs w:val="24"/>
          <w:lang w:val="en-US"/>
        </w:rPr>
        <w:t xml:space="preserve"> </w:t>
      </w:r>
      <w:proofErr w:type="spellStart"/>
      <w:r w:rsidR="009456A9">
        <w:rPr>
          <w:rFonts w:ascii="Times New Roman" w:eastAsia="Calibri" w:hAnsi="Times New Roman" w:cs="Times New Roman"/>
          <w:bCs/>
          <w:sz w:val="24"/>
          <w:szCs w:val="24"/>
          <w:lang w:val="en-US"/>
        </w:rPr>
        <w:t>бр</w:t>
      </w:r>
      <w:proofErr w:type="spellEnd"/>
      <w:r w:rsidR="009456A9">
        <w:rPr>
          <w:rFonts w:ascii="Times New Roman" w:eastAsia="Calibri" w:hAnsi="Times New Roman" w:cs="Times New Roman"/>
          <w:bCs/>
          <w:sz w:val="24"/>
          <w:szCs w:val="24"/>
          <w:lang w:val="en-US"/>
        </w:rPr>
        <w:t>.</w:t>
      </w:r>
      <w:r w:rsidRPr="00215667">
        <w:rPr>
          <w:rFonts w:ascii="Times New Roman" w:eastAsia="Calibri" w:hAnsi="Times New Roman" w:cs="Times New Roman"/>
          <w:bCs/>
          <w:sz w:val="24"/>
          <w:szCs w:val="24"/>
        </w:rPr>
        <w:t xml:space="preserve"> 1).</w:t>
      </w:r>
    </w:p>
    <w:p w14:paraId="6DBAEDE3" w14:textId="77777777" w:rsidR="00412474" w:rsidRPr="00215667" w:rsidRDefault="00412474" w:rsidP="00412474">
      <w:pPr>
        <w:shd w:val="clear" w:color="auto" w:fill="FFFFFF"/>
        <w:spacing w:after="0" w:line="240" w:lineRule="auto"/>
        <w:jc w:val="both"/>
        <w:rPr>
          <w:rFonts w:ascii="Times New Roman" w:eastAsia="Calibri" w:hAnsi="Times New Roman" w:cs="Times New Roman"/>
          <w:sz w:val="24"/>
          <w:szCs w:val="24"/>
        </w:rPr>
      </w:pPr>
    </w:p>
    <w:p w14:paraId="3745077D" w14:textId="5EBFCAF0" w:rsidR="00412474" w:rsidRPr="00215667" w:rsidRDefault="00412474" w:rsidP="009456A9">
      <w:pPr>
        <w:shd w:val="clear" w:color="auto" w:fill="FFFFFF"/>
        <w:spacing w:after="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w:t>
      </w:r>
      <w:r w:rsidR="009456A9" w:rsidRPr="009456A9">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w:t>
      </w:r>
      <w:bookmarkStart w:id="32" w:name="_Hlk186402155"/>
      <w:r w:rsidR="009456A9" w:rsidRPr="009456A9">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Дистрибуција на пациентите со тромбоцитна хипоагрегабилност според полот</w:t>
      </w:r>
    </w:p>
    <w:tbl>
      <w:tblPr>
        <w:tblStyle w:val="TableGrid1"/>
        <w:tblW w:w="8926" w:type="dxa"/>
        <w:tblLayout w:type="fixed"/>
        <w:tblLook w:val="04A0" w:firstRow="1" w:lastRow="0" w:firstColumn="1" w:lastColumn="0" w:noHBand="0" w:noVBand="1"/>
      </w:tblPr>
      <w:tblGrid>
        <w:gridCol w:w="1838"/>
        <w:gridCol w:w="3827"/>
        <w:gridCol w:w="3261"/>
      </w:tblGrid>
      <w:tr w:rsidR="00412474" w:rsidRPr="00215667" w14:paraId="2FBF7B61" w14:textId="77777777" w:rsidTr="00435E3A">
        <w:tc>
          <w:tcPr>
            <w:tcW w:w="183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bookmarkEnd w:id="32"/>
          <w:p w14:paraId="3A2D875F" w14:textId="77777777" w:rsidR="00412474" w:rsidRPr="00215667" w:rsidRDefault="00412474" w:rsidP="00435E3A">
            <w:pPr>
              <w:rPr>
                <w:rFonts w:ascii="Times New Roman" w:eastAsia="Times New Roman" w:hAnsi="Times New Roman" w:cs="Times New Roman"/>
                <w:b/>
                <w:sz w:val="24"/>
                <w:szCs w:val="24"/>
              </w:rPr>
            </w:pPr>
            <w:proofErr w:type="spellStart"/>
            <w:r w:rsidRPr="00215667">
              <w:rPr>
                <w:rFonts w:ascii="Times New Roman" w:eastAsia="Times New Roman" w:hAnsi="Times New Roman" w:cs="Times New Roman"/>
                <w:b/>
                <w:sz w:val="24"/>
                <w:szCs w:val="24"/>
              </w:rPr>
              <w:t>Пол</w:t>
            </w:r>
            <w:proofErr w:type="spellEnd"/>
          </w:p>
        </w:tc>
        <w:tc>
          <w:tcPr>
            <w:tcW w:w="3827"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FAF15CF" w14:textId="0DCAECF0" w:rsidR="00412474" w:rsidRPr="00215667" w:rsidRDefault="009456A9" w:rsidP="00435E3A">
            <w:pPr>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color w:val="000000"/>
                <w:sz w:val="24"/>
                <w:szCs w:val="24"/>
              </w:rPr>
              <w:t>Б</w:t>
            </w:r>
            <w:r w:rsidR="00412474" w:rsidRPr="00215667">
              <w:rPr>
                <w:rFonts w:ascii="Times New Roman" w:eastAsia="Times New Roman" w:hAnsi="Times New Roman" w:cs="Times New Roman"/>
                <w:b/>
                <w:bCs/>
                <w:color w:val="000000"/>
                <w:sz w:val="24"/>
                <w:szCs w:val="24"/>
              </w:rPr>
              <w:t>рој</w:t>
            </w:r>
            <w:proofErr w:type="spellEnd"/>
          </w:p>
        </w:tc>
        <w:tc>
          <w:tcPr>
            <w:tcW w:w="3261"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AE49F48"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w:t>
            </w:r>
          </w:p>
        </w:tc>
      </w:tr>
      <w:tr w:rsidR="00412474" w:rsidRPr="00215667" w14:paraId="73992273" w14:textId="77777777" w:rsidTr="00435E3A">
        <w:tc>
          <w:tcPr>
            <w:tcW w:w="183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FECF335" w14:textId="77777777" w:rsidR="00412474" w:rsidRPr="00215667" w:rsidRDefault="00412474" w:rsidP="00435E3A">
            <w:pPr>
              <w:rPr>
                <w:rFonts w:ascii="Times New Roman" w:eastAsia="Times New Roman" w:hAnsi="Times New Roman" w:cs="Times New Roman"/>
                <w:bCs/>
                <w:sz w:val="24"/>
                <w:szCs w:val="24"/>
              </w:rPr>
            </w:pPr>
            <w:proofErr w:type="spellStart"/>
            <w:r w:rsidRPr="00215667">
              <w:rPr>
                <w:rFonts w:ascii="Times New Roman" w:eastAsia="Times New Roman" w:hAnsi="Times New Roman" w:cs="Times New Roman"/>
                <w:bCs/>
                <w:color w:val="000000"/>
                <w:sz w:val="24"/>
                <w:szCs w:val="24"/>
              </w:rPr>
              <w:t>машки</w:t>
            </w:r>
            <w:proofErr w:type="spellEnd"/>
          </w:p>
        </w:tc>
        <w:tc>
          <w:tcPr>
            <w:tcW w:w="3827" w:type="dxa"/>
            <w:tcBorders>
              <w:top w:val="single" w:sz="4" w:space="0" w:color="auto"/>
              <w:left w:val="single" w:sz="4" w:space="0" w:color="auto"/>
              <w:bottom w:val="single" w:sz="4" w:space="0" w:color="auto"/>
              <w:right w:val="single" w:sz="4" w:space="0" w:color="auto"/>
            </w:tcBorders>
            <w:noWrap/>
            <w:hideMark/>
          </w:tcPr>
          <w:p w14:paraId="203B1039"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20</w:t>
            </w:r>
          </w:p>
        </w:tc>
        <w:tc>
          <w:tcPr>
            <w:tcW w:w="3261" w:type="dxa"/>
            <w:tcBorders>
              <w:top w:val="single" w:sz="4" w:space="0" w:color="auto"/>
              <w:left w:val="single" w:sz="4" w:space="0" w:color="auto"/>
              <w:bottom w:val="single" w:sz="4" w:space="0" w:color="auto"/>
              <w:right w:val="single" w:sz="4" w:space="0" w:color="auto"/>
            </w:tcBorders>
            <w:noWrap/>
            <w:hideMark/>
          </w:tcPr>
          <w:p w14:paraId="14EA17A0"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31.25</w:t>
            </w:r>
          </w:p>
        </w:tc>
      </w:tr>
      <w:tr w:rsidR="00412474" w:rsidRPr="00215667" w14:paraId="4002F29E" w14:textId="77777777" w:rsidTr="00435E3A">
        <w:tc>
          <w:tcPr>
            <w:tcW w:w="183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4CB8100" w14:textId="77777777" w:rsidR="00412474" w:rsidRPr="00215667" w:rsidRDefault="00412474" w:rsidP="00435E3A">
            <w:pPr>
              <w:rPr>
                <w:rFonts w:ascii="Times New Roman" w:eastAsia="Times New Roman" w:hAnsi="Times New Roman" w:cs="Times New Roman"/>
                <w:bCs/>
                <w:sz w:val="24"/>
                <w:szCs w:val="24"/>
              </w:rPr>
            </w:pPr>
            <w:proofErr w:type="spellStart"/>
            <w:r w:rsidRPr="00215667">
              <w:rPr>
                <w:rFonts w:ascii="Times New Roman" w:eastAsia="Times New Roman" w:hAnsi="Times New Roman" w:cs="Times New Roman"/>
                <w:bCs/>
                <w:color w:val="000000"/>
                <w:sz w:val="24"/>
                <w:szCs w:val="24"/>
              </w:rPr>
              <w:t>женски</w:t>
            </w:r>
            <w:proofErr w:type="spellEnd"/>
          </w:p>
        </w:tc>
        <w:tc>
          <w:tcPr>
            <w:tcW w:w="3827" w:type="dxa"/>
            <w:tcBorders>
              <w:top w:val="single" w:sz="4" w:space="0" w:color="auto"/>
              <w:left w:val="single" w:sz="4" w:space="0" w:color="auto"/>
              <w:bottom w:val="single" w:sz="4" w:space="0" w:color="auto"/>
              <w:right w:val="single" w:sz="4" w:space="0" w:color="auto"/>
            </w:tcBorders>
            <w:noWrap/>
            <w:hideMark/>
          </w:tcPr>
          <w:p w14:paraId="1E20B425"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44</w:t>
            </w:r>
          </w:p>
        </w:tc>
        <w:tc>
          <w:tcPr>
            <w:tcW w:w="3261" w:type="dxa"/>
            <w:tcBorders>
              <w:top w:val="single" w:sz="4" w:space="0" w:color="auto"/>
              <w:left w:val="single" w:sz="4" w:space="0" w:color="auto"/>
              <w:bottom w:val="single" w:sz="4" w:space="0" w:color="auto"/>
              <w:right w:val="single" w:sz="4" w:space="0" w:color="auto"/>
            </w:tcBorders>
            <w:noWrap/>
            <w:hideMark/>
          </w:tcPr>
          <w:p w14:paraId="67ABAC6E"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68.75</w:t>
            </w:r>
          </w:p>
        </w:tc>
      </w:tr>
    </w:tbl>
    <w:p w14:paraId="4C227E80" w14:textId="77777777" w:rsidR="00412474" w:rsidRPr="00215667" w:rsidRDefault="00412474" w:rsidP="00412474">
      <w:pPr>
        <w:spacing w:line="256" w:lineRule="auto"/>
        <w:rPr>
          <w:rFonts w:ascii="Times New Roman" w:eastAsia="Calibri" w:hAnsi="Times New Roman" w:cs="Times New Roman"/>
          <w:sz w:val="24"/>
          <w:szCs w:val="24"/>
        </w:rPr>
      </w:pPr>
    </w:p>
    <w:p w14:paraId="625BCBF1" w14:textId="77777777" w:rsidR="00412474" w:rsidRPr="00215667" w:rsidRDefault="00412474" w:rsidP="009456A9">
      <w:pPr>
        <w:shd w:val="clear" w:color="auto" w:fill="FFFFFF"/>
        <w:spacing w:after="0" w:line="360" w:lineRule="auto"/>
        <w:ind w:right="-94"/>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lastRenderedPageBreak/>
        <w:t>Графикон бр.1. Дистрибуција на пациентите со тромбоцитна хипоагрегабилност според полот</w:t>
      </w:r>
    </w:p>
    <w:p w14:paraId="375734E3" w14:textId="77777777" w:rsidR="00412474" w:rsidRPr="00215667" w:rsidRDefault="00412474" w:rsidP="00412474">
      <w:pPr>
        <w:spacing w:line="256" w:lineRule="auto"/>
        <w:rPr>
          <w:rFonts w:ascii="Times New Roman" w:eastAsia="Calibri" w:hAnsi="Times New Roman" w:cs="Times New Roman"/>
          <w:sz w:val="24"/>
          <w:szCs w:val="24"/>
        </w:rPr>
      </w:pPr>
      <w:r w:rsidRPr="00215667">
        <w:rPr>
          <w:rFonts w:ascii="Times New Roman" w:eastAsia="Calibri" w:hAnsi="Times New Roman" w:cs="Times New Roman"/>
          <w:noProof/>
          <w:sz w:val="24"/>
          <w:szCs w:val="24"/>
          <w:lang w:val="en-US"/>
        </w:rPr>
        <w:drawing>
          <wp:inline distT="0" distB="0" distL="0" distR="0" wp14:anchorId="0E81EE27" wp14:editId="2999FAFA">
            <wp:extent cx="5486400" cy="2457450"/>
            <wp:effectExtent l="0" t="0" r="0" b="0"/>
            <wp:docPr id="195027452" name="Chart 1950274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794B8CA" w14:textId="3D869C40" w:rsidR="00412474" w:rsidRPr="00215667" w:rsidRDefault="00412474" w:rsidP="009456A9">
      <w:pPr>
        <w:shd w:val="clear" w:color="auto" w:fill="FFFFFF"/>
        <w:spacing w:after="12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Просечната возраст на пациентите во студијата изнесува 42.9</w:t>
      </w:r>
      <w:r w:rsidR="009456A9">
        <w:rPr>
          <w:rFonts w:ascii="Times New Roman" w:hAnsi="Times New Roman" w:cs="Times New Roman"/>
          <w:sz w:val="24"/>
          <w:szCs w:val="24"/>
          <w:lang w:val="en-US"/>
        </w:rPr>
        <w:t xml:space="preserve"> </w:t>
      </w:r>
      <w:r w:rsidRPr="00215667">
        <w:rPr>
          <w:rFonts w:ascii="Times New Roman" w:hAnsi="Times New Roman" w:cs="Times New Roman"/>
          <w:sz w:val="24"/>
          <w:szCs w:val="24"/>
        </w:rPr>
        <w:t>±</w:t>
      </w:r>
      <w:r w:rsidR="009456A9">
        <w:rPr>
          <w:rFonts w:ascii="Times New Roman" w:hAnsi="Times New Roman" w:cs="Times New Roman"/>
          <w:sz w:val="24"/>
          <w:szCs w:val="24"/>
          <w:lang w:val="en-US"/>
        </w:rPr>
        <w:t xml:space="preserve"> </w:t>
      </w:r>
      <w:r w:rsidRPr="00215667">
        <w:rPr>
          <w:rFonts w:ascii="Times New Roman" w:hAnsi="Times New Roman" w:cs="Times New Roman"/>
          <w:sz w:val="24"/>
          <w:szCs w:val="24"/>
        </w:rPr>
        <w:t>18.4г., кај женскиот пол изнесува 42.89</w:t>
      </w:r>
      <w:r w:rsidR="009456A9">
        <w:rPr>
          <w:rFonts w:ascii="Times New Roman" w:hAnsi="Times New Roman" w:cs="Times New Roman"/>
          <w:sz w:val="24"/>
          <w:szCs w:val="24"/>
          <w:lang w:val="en-US"/>
        </w:rPr>
        <w:t xml:space="preserve"> </w:t>
      </w:r>
      <w:r w:rsidRPr="00215667">
        <w:rPr>
          <w:rFonts w:ascii="Times New Roman" w:hAnsi="Times New Roman" w:cs="Times New Roman"/>
          <w:sz w:val="24"/>
          <w:szCs w:val="24"/>
        </w:rPr>
        <w:t>±</w:t>
      </w:r>
      <w:r w:rsidR="009456A9">
        <w:rPr>
          <w:rFonts w:ascii="Times New Roman" w:hAnsi="Times New Roman" w:cs="Times New Roman"/>
          <w:sz w:val="24"/>
          <w:szCs w:val="24"/>
          <w:lang w:val="en-US"/>
        </w:rPr>
        <w:t xml:space="preserve"> </w:t>
      </w:r>
      <w:r w:rsidRPr="00215667">
        <w:rPr>
          <w:rFonts w:ascii="Times New Roman" w:hAnsi="Times New Roman" w:cs="Times New Roman"/>
          <w:sz w:val="24"/>
          <w:szCs w:val="24"/>
        </w:rPr>
        <w:t>18.4г., во ранг од 12</w:t>
      </w:r>
      <w:r w:rsidR="009456A9">
        <w:rPr>
          <w:rFonts w:ascii="Times New Roman" w:hAnsi="Times New Roman" w:cs="Times New Roman"/>
          <w:sz w:val="24"/>
          <w:szCs w:val="24"/>
          <w:lang w:val="en-US"/>
        </w:rPr>
        <w:t xml:space="preserve"> </w:t>
      </w:r>
      <w:proofErr w:type="spellStart"/>
      <w:r w:rsidR="009456A9">
        <w:rPr>
          <w:rFonts w:ascii="Times New Roman" w:hAnsi="Times New Roman" w:cs="Times New Roman"/>
          <w:sz w:val="24"/>
          <w:szCs w:val="24"/>
          <w:lang w:val="en-US"/>
        </w:rPr>
        <w:t>до</w:t>
      </w:r>
      <w:proofErr w:type="spellEnd"/>
      <w:r w:rsidRPr="00215667">
        <w:rPr>
          <w:rFonts w:ascii="Times New Roman" w:hAnsi="Times New Roman" w:cs="Times New Roman"/>
          <w:sz w:val="24"/>
          <w:szCs w:val="24"/>
        </w:rPr>
        <w:t xml:space="preserve"> 82 г., а кај машкиот пол изнесува 42.95</w:t>
      </w:r>
      <w:r w:rsidR="009456A9">
        <w:rPr>
          <w:rFonts w:ascii="Times New Roman" w:hAnsi="Times New Roman" w:cs="Times New Roman"/>
          <w:sz w:val="24"/>
          <w:szCs w:val="24"/>
          <w:lang w:val="en-US"/>
        </w:rPr>
        <w:t xml:space="preserve"> </w:t>
      </w:r>
      <w:r w:rsidRPr="00215667">
        <w:rPr>
          <w:rFonts w:ascii="Times New Roman" w:hAnsi="Times New Roman" w:cs="Times New Roman"/>
          <w:sz w:val="24"/>
          <w:szCs w:val="24"/>
        </w:rPr>
        <w:t>±</w:t>
      </w:r>
      <w:r w:rsidR="009456A9">
        <w:rPr>
          <w:rFonts w:ascii="Times New Roman" w:hAnsi="Times New Roman" w:cs="Times New Roman"/>
          <w:sz w:val="24"/>
          <w:szCs w:val="24"/>
          <w:lang w:val="en-US"/>
        </w:rPr>
        <w:t xml:space="preserve"> </w:t>
      </w:r>
      <w:r w:rsidRPr="00215667">
        <w:rPr>
          <w:rFonts w:ascii="Times New Roman" w:hAnsi="Times New Roman" w:cs="Times New Roman"/>
          <w:sz w:val="24"/>
          <w:szCs w:val="24"/>
        </w:rPr>
        <w:t>18.9г., во ранг од 10</w:t>
      </w:r>
      <w:r w:rsidR="009456A9">
        <w:rPr>
          <w:rFonts w:ascii="Times New Roman" w:hAnsi="Times New Roman" w:cs="Times New Roman"/>
          <w:sz w:val="24"/>
          <w:szCs w:val="24"/>
          <w:lang w:val="en-US"/>
        </w:rPr>
        <w:t xml:space="preserve"> </w:t>
      </w:r>
      <w:proofErr w:type="spellStart"/>
      <w:r w:rsidR="009456A9">
        <w:rPr>
          <w:rFonts w:ascii="Times New Roman" w:hAnsi="Times New Roman" w:cs="Times New Roman"/>
          <w:sz w:val="24"/>
          <w:szCs w:val="24"/>
          <w:lang w:val="en-US"/>
        </w:rPr>
        <w:t>до</w:t>
      </w:r>
      <w:proofErr w:type="spellEnd"/>
      <w:r w:rsidRPr="00215667">
        <w:rPr>
          <w:rFonts w:ascii="Times New Roman" w:hAnsi="Times New Roman" w:cs="Times New Roman"/>
          <w:sz w:val="24"/>
          <w:szCs w:val="24"/>
        </w:rPr>
        <w:t xml:space="preserve"> 82 години. Дистрибуцијата на пациентите според просечната возраст, не покажа сигнификантна разлика, станува збор за хомогена група на пациенти во однос на возраста (табела бр.</w:t>
      </w:r>
      <w:r w:rsidR="009456A9">
        <w:rPr>
          <w:rFonts w:ascii="Times New Roman" w:hAnsi="Times New Roman" w:cs="Times New Roman"/>
          <w:sz w:val="24"/>
          <w:szCs w:val="24"/>
          <w:lang w:val="en-US"/>
        </w:rPr>
        <w:t xml:space="preserve"> </w:t>
      </w:r>
      <w:r w:rsidRPr="00215667">
        <w:rPr>
          <w:rFonts w:ascii="Times New Roman" w:hAnsi="Times New Roman" w:cs="Times New Roman"/>
          <w:sz w:val="24"/>
          <w:szCs w:val="24"/>
        </w:rPr>
        <w:t>2 и графикон бр.</w:t>
      </w:r>
      <w:r w:rsidR="009456A9">
        <w:rPr>
          <w:rFonts w:ascii="Times New Roman" w:hAnsi="Times New Roman" w:cs="Times New Roman"/>
          <w:sz w:val="24"/>
          <w:szCs w:val="24"/>
          <w:lang w:val="en-US"/>
        </w:rPr>
        <w:t xml:space="preserve"> </w:t>
      </w:r>
      <w:r w:rsidRPr="00215667">
        <w:rPr>
          <w:rFonts w:ascii="Times New Roman" w:hAnsi="Times New Roman" w:cs="Times New Roman"/>
          <w:sz w:val="24"/>
          <w:szCs w:val="24"/>
        </w:rPr>
        <w:t>2).</w:t>
      </w:r>
    </w:p>
    <w:p w14:paraId="06582A01" w14:textId="6EDB6E65" w:rsidR="00412474" w:rsidRPr="00215667" w:rsidRDefault="00412474" w:rsidP="009456A9">
      <w:pPr>
        <w:shd w:val="clear" w:color="auto" w:fill="FFFFFF"/>
        <w:spacing w:after="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 2</w:t>
      </w:r>
      <w:r w:rsidR="009456A9">
        <w:rPr>
          <w:rFonts w:ascii="Times New Roman" w:eastAsia="Calibri" w:hAnsi="Times New Roman" w:cs="Times New Roman"/>
          <w:sz w:val="24"/>
          <w:szCs w:val="24"/>
          <w:lang w:val="en-US"/>
        </w:rPr>
        <w:t>-</w:t>
      </w:r>
      <w:r w:rsidRPr="00215667">
        <w:rPr>
          <w:rFonts w:ascii="Times New Roman" w:eastAsia="Calibri" w:hAnsi="Times New Roman" w:cs="Times New Roman"/>
          <w:sz w:val="24"/>
          <w:szCs w:val="24"/>
        </w:rPr>
        <w:t xml:space="preserve"> </w:t>
      </w:r>
      <w:bookmarkStart w:id="33" w:name="_Hlk186402370"/>
      <w:r w:rsidRPr="00215667">
        <w:rPr>
          <w:rFonts w:ascii="Times New Roman" w:eastAsia="Calibri" w:hAnsi="Times New Roman" w:cs="Times New Roman"/>
          <w:sz w:val="24"/>
          <w:szCs w:val="24"/>
        </w:rPr>
        <w:t xml:space="preserve">Дистрибуција на просечната возраст </w:t>
      </w:r>
      <w:proofErr w:type="spellStart"/>
      <w:r w:rsidR="009456A9">
        <w:rPr>
          <w:rFonts w:ascii="Times New Roman" w:eastAsia="Calibri" w:hAnsi="Times New Roman" w:cs="Times New Roman"/>
          <w:sz w:val="24"/>
          <w:szCs w:val="24"/>
          <w:lang w:val="en-US"/>
        </w:rPr>
        <w:t>на</w:t>
      </w:r>
      <w:proofErr w:type="spellEnd"/>
      <w:r w:rsidR="009456A9">
        <w:rPr>
          <w:rFonts w:ascii="Times New Roman" w:eastAsia="Calibri" w:hAnsi="Times New Roman" w:cs="Times New Roman"/>
          <w:sz w:val="24"/>
          <w:szCs w:val="24"/>
          <w:lang w:val="en-US"/>
        </w:rPr>
        <w:t xml:space="preserve"> </w:t>
      </w:r>
      <w:r w:rsidRPr="00215667">
        <w:rPr>
          <w:rFonts w:ascii="Times New Roman" w:eastAsia="Calibri" w:hAnsi="Times New Roman" w:cs="Times New Roman"/>
          <w:sz w:val="24"/>
          <w:szCs w:val="24"/>
        </w:rPr>
        <w:t>пациентите според полот</w:t>
      </w:r>
      <w:bookmarkEnd w:id="33"/>
    </w:p>
    <w:p w14:paraId="7F502D5E" w14:textId="77777777" w:rsidR="00412474" w:rsidRPr="00215667" w:rsidRDefault="00412474" w:rsidP="00412474">
      <w:pPr>
        <w:shd w:val="clear" w:color="auto" w:fill="FFFFFF"/>
        <w:spacing w:after="0" w:line="240" w:lineRule="auto"/>
        <w:jc w:val="both"/>
        <w:rPr>
          <w:rFonts w:ascii="Times New Roman" w:eastAsia="Calibri" w:hAnsi="Times New Roman" w:cs="Times New Roman"/>
          <w:sz w:val="24"/>
          <w:szCs w:val="24"/>
        </w:rPr>
      </w:pPr>
    </w:p>
    <w:tbl>
      <w:tblPr>
        <w:tblStyle w:val="TableGrid1"/>
        <w:tblW w:w="0" w:type="auto"/>
        <w:tblLook w:val="04A0" w:firstRow="1" w:lastRow="0" w:firstColumn="1" w:lastColumn="0" w:noHBand="0" w:noVBand="1"/>
      </w:tblPr>
      <w:tblGrid>
        <w:gridCol w:w="969"/>
        <w:gridCol w:w="1008"/>
        <w:gridCol w:w="1228"/>
        <w:gridCol w:w="1560"/>
        <w:gridCol w:w="1842"/>
        <w:gridCol w:w="1985"/>
      </w:tblGrid>
      <w:tr w:rsidR="00412474" w:rsidRPr="00215667" w14:paraId="693448F0"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1E97A84" w14:textId="3D57A1EC" w:rsidR="00412474" w:rsidRPr="00215667" w:rsidRDefault="009456A9" w:rsidP="00435E3A">
            <w:pP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color w:val="000000"/>
                <w:sz w:val="24"/>
                <w:szCs w:val="24"/>
              </w:rPr>
              <w:t>П</w:t>
            </w:r>
            <w:r w:rsidR="00412474" w:rsidRPr="00215667">
              <w:rPr>
                <w:rFonts w:ascii="Times New Roman" w:eastAsia="Times New Roman" w:hAnsi="Times New Roman" w:cs="Times New Roman"/>
                <w:b/>
                <w:bCs/>
                <w:color w:val="000000"/>
                <w:sz w:val="24"/>
                <w:szCs w:val="24"/>
              </w:rPr>
              <w:t>ол</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50DEE19" w14:textId="1E52FEE3" w:rsidR="00412474" w:rsidRPr="00215667" w:rsidRDefault="009456A9" w:rsidP="00435E3A">
            <w:pPr>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color w:val="000000"/>
                <w:sz w:val="24"/>
                <w:szCs w:val="24"/>
              </w:rPr>
              <w:t>П</w:t>
            </w:r>
            <w:r w:rsidR="00412474" w:rsidRPr="00215667">
              <w:rPr>
                <w:rFonts w:ascii="Times New Roman" w:eastAsia="Times New Roman" w:hAnsi="Times New Roman" w:cs="Times New Roman"/>
                <w:b/>
                <w:bCs/>
                <w:color w:val="000000"/>
                <w:sz w:val="24"/>
                <w:szCs w:val="24"/>
              </w:rPr>
              <w:t>росек</w:t>
            </w:r>
            <w:proofErr w:type="spellEnd"/>
          </w:p>
        </w:tc>
        <w:tc>
          <w:tcPr>
            <w:tcW w:w="122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2740E3E" w14:textId="03D737A3" w:rsidR="00412474" w:rsidRPr="00215667" w:rsidRDefault="009456A9" w:rsidP="00435E3A">
            <w:pPr>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color w:val="000000"/>
                <w:sz w:val="24"/>
                <w:szCs w:val="24"/>
              </w:rPr>
              <w:t>Б</w:t>
            </w:r>
            <w:r w:rsidR="00412474" w:rsidRPr="00215667">
              <w:rPr>
                <w:rFonts w:ascii="Times New Roman" w:eastAsia="Times New Roman" w:hAnsi="Times New Roman" w:cs="Times New Roman"/>
                <w:b/>
                <w:bCs/>
                <w:color w:val="000000"/>
                <w:sz w:val="24"/>
                <w:szCs w:val="24"/>
              </w:rPr>
              <w:t>рој</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9536691" w14:textId="60418C88" w:rsidR="00412474" w:rsidRPr="00215667" w:rsidRDefault="00412474" w:rsidP="00435E3A">
            <w:pPr>
              <w:jc w:val="cente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
                <w:bCs/>
                <w:color w:val="000000"/>
                <w:sz w:val="24"/>
                <w:szCs w:val="24"/>
              </w:rPr>
              <w:t>Стд</w:t>
            </w:r>
            <w:proofErr w:type="spellEnd"/>
            <w:r w:rsidRPr="00215667">
              <w:rPr>
                <w:rFonts w:ascii="Times New Roman" w:eastAsia="Times New Roman" w:hAnsi="Times New Roman" w:cs="Times New Roman"/>
                <w:b/>
                <w:bCs/>
                <w:color w:val="000000"/>
                <w:sz w:val="24"/>
                <w:szCs w:val="24"/>
              </w:rPr>
              <w:t>.</w:t>
            </w:r>
            <w:r w:rsidR="009456A9">
              <w:rPr>
                <w:rFonts w:ascii="Times New Roman" w:eastAsia="Times New Roman" w:hAnsi="Times New Roman" w:cs="Times New Roman"/>
                <w:b/>
                <w:bCs/>
                <w:color w:val="000000"/>
                <w:sz w:val="24"/>
                <w:szCs w:val="24"/>
              </w:rPr>
              <w:t xml:space="preserve"> </w:t>
            </w:r>
            <w:r w:rsidR="004832D1">
              <w:rPr>
                <w:rFonts w:ascii="Times New Roman" w:eastAsia="Times New Roman" w:hAnsi="Times New Roman" w:cs="Times New Roman"/>
                <w:b/>
                <w:bCs/>
                <w:color w:val="000000"/>
                <w:sz w:val="24"/>
                <w:szCs w:val="24"/>
                <w:lang w:val="mk-MK"/>
              </w:rPr>
              <w:t>д</w:t>
            </w:r>
            <w:proofErr w:type="spellStart"/>
            <w:r w:rsidRPr="00215667">
              <w:rPr>
                <w:rFonts w:ascii="Times New Roman" w:eastAsia="Times New Roman" w:hAnsi="Times New Roman" w:cs="Times New Roman"/>
                <w:b/>
                <w:bCs/>
                <w:color w:val="000000"/>
                <w:sz w:val="24"/>
                <w:szCs w:val="24"/>
              </w:rPr>
              <w:t>ев</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F92C73B" w14:textId="38586C5F" w:rsidR="00412474" w:rsidRPr="00215667" w:rsidRDefault="009456A9" w:rsidP="00435E3A">
            <w:pPr>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color w:val="000000"/>
                <w:sz w:val="24"/>
                <w:szCs w:val="24"/>
              </w:rPr>
              <w:t>М</w:t>
            </w:r>
            <w:r w:rsidR="00412474" w:rsidRPr="00215667">
              <w:rPr>
                <w:rFonts w:ascii="Times New Roman" w:eastAsia="Times New Roman" w:hAnsi="Times New Roman" w:cs="Times New Roman"/>
                <w:b/>
                <w:bCs/>
                <w:color w:val="000000"/>
                <w:sz w:val="24"/>
                <w:szCs w:val="24"/>
              </w:rPr>
              <w:t>инимум</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CF1F440" w14:textId="10784E3A" w:rsidR="00412474" w:rsidRPr="00215667" w:rsidRDefault="009456A9" w:rsidP="00435E3A">
            <w:pPr>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color w:val="000000"/>
                <w:sz w:val="24"/>
                <w:szCs w:val="24"/>
              </w:rPr>
              <w:t>М</w:t>
            </w:r>
            <w:r w:rsidR="00412474" w:rsidRPr="00215667">
              <w:rPr>
                <w:rFonts w:ascii="Times New Roman" w:eastAsia="Times New Roman" w:hAnsi="Times New Roman" w:cs="Times New Roman"/>
                <w:b/>
                <w:bCs/>
                <w:color w:val="000000"/>
                <w:sz w:val="24"/>
                <w:szCs w:val="24"/>
              </w:rPr>
              <w:t>аксимум</w:t>
            </w:r>
            <w:proofErr w:type="spellEnd"/>
          </w:p>
        </w:tc>
      </w:tr>
      <w:tr w:rsidR="00412474" w:rsidRPr="00215667" w14:paraId="29AC303C"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5DF0B9D" w14:textId="77777777" w:rsidR="00412474" w:rsidRPr="00215667" w:rsidRDefault="00412474" w:rsidP="00435E3A">
            <w:pPr>
              <w:rPr>
                <w:rFonts w:ascii="Times New Roman" w:eastAsia="Times New Roman" w:hAnsi="Times New Roman" w:cs="Times New Roman"/>
                <w:sz w:val="24"/>
                <w:szCs w:val="24"/>
              </w:rPr>
            </w:pPr>
            <w:proofErr w:type="spellStart"/>
            <w:r w:rsidRPr="00215667">
              <w:rPr>
                <w:rFonts w:ascii="Times New Roman" w:eastAsia="Times New Roman" w:hAnsi="Times New Roman" w:cs="Times New Roman"/>
                <w:color w:val="000000"/>
                <w:sz w:val="24"/>
                <w:szCs w:val="24"/>
              </w:rPr>
              <w:t>машки</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28CD3325"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42.95</w:t>
            </w:r>
          </w:p>
        </w:tc>
        <w:tc>
          <w:tcPr>
            <w:tcW w:w="1228" w:type="dxa"/>
            <w:tcBorders>
              <w:top w:val="single" w:sz="4" w:space="0" w:color="auto"/>
              <w:left w:val="single" w:sz="4" w:space="0" w:color="auto"/>
              <w:bottom w:val="single" w:sz="4" w:space="0" w:color="auto"/>
              <w:right w:val="single" w:sz="4" w:space="0" w:color="auto"/>
            </w:tcBorders>
            <w:noWrap/>
            <w:hideMark/>
          </w:tcPr>
          <w:p w14:paraId="632FD341"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20</w:t>
            </w:r>
          </w:p>
        </w:tc>
        <w:tc>
          <w:tcPr>
            <w:tcW w:w="1560" w:type="dxa"/>
            <w:tcBorders>
              <w:top w:val="single" w:sz="4" w:space="0" w:color="auto"/>
              <w:left w:val="single" w:sz="4" w:space="0" w:color="auto"/>
              <w:bottom w:val="single" w:sz="4" w:space="0" w:color="auto"/>
              <w:right w:val="single" w:sz="4" w:space="0" w:color="auto"/>
            </w:tcBorders>
            <w:noWrap/>
            <w:hideMark/>
          </w:tcPr>
          <w:p w14:paraId="3CC84306"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18.90830</w:t>
            </w:r>
          </w:p>
        </w:tc>
        <w:tc>
          <w:tcPr>
            <w:tcW w:w="1842" w:type="dxa"/>
            <w:tcBorders>
              <w:top w:val="single" w:sz="4" w:space="0" w:color="auto"/>
              <w:left w:val="single" w:sz="4" w:space="0" w:color="auto"/>
              <w:bottom w:val="single" w:sz="4" w:space="0" w:color="auto"/>
              <w:right w:val="single" w:sz="4" w:space="0" w:color="auto"/>
            </w:tcBorders>
            <w:noWrap/>
            <w:hideMark/>
          </w:tcPr>
          <w:p w14:paraId="69C011EC"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10.0</w:t>
            </w:r>
          </w:p>
        </w:tc>
        <w:tc>
          <w:tcPr>
            <w:tcW w:w="1985" w:type="dxa"/>
            <w:tcBorders>
              <w:top w:val="single" w:sz="4" w:space="0" w:color="auto"/>
              <w:left w:val="single" w:sz="4" w:space="0" w:color="auto"/>
              <w:bottom w:val="single" w:sz="4" w:space="0" w:color="auto"/>
              <w:right w:val="single" w:sz="4" w:space="0" w:color="auto"/>
            </w:tcBorders>
            <w:noWrap/>
            <w:hideMark/>
          </w:tcPr>
          <w:p w14:paraId="087C7549"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82.0</w:t>
            </w:r>
          </w:p>
        </w:tc>
      </w:tr>
      <w:tr w:rsidR="00412474" w:rsidRPr="00215667" w14:paraId="362939CA"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DC348E9" w14:textId="77777777" w:rsidR="00412474" w:rsidRPr="00215667" w:rsidRDefault="00412474" w:rsidP="00435E3A">
            <w:pPr>
              <w:rPr>
                <w:rFonts w:ascii="Times New Roman" w:eastAsia="Times New Roman" w:hAnsi="Times New Roman" w:cs="Times New Roman"/>
                <w:sz w:val="24"/>
                <w:szCs w:val="24"/>
              </w:rPr>
            </w:pPr>
            <w:proofErr w:type="spellStart"/>
            <w:r w:rsidRPr="00215667">
              <w:rPr>
                <w:rFonts w:ascii="Times New Roman" w:eastAsia="Times New Roman" w:hAnsi="Times New Roman" w:cs="Times New Roman"/>
                <w:color w:val="000000"/>
                <w:sz w:val="24"/>
                <w:szCs w:val="24"/>
              </w:rPr>
              <w:t>женски</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57D0E7B0"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42.89</w:t>
            </w:r>
          </w:p>
        </w:tc>
        <w:tc>
          <w:tcPr>
            <w:tcW w:w="1228" w:type="dxa"/>
            <w:tcBorders>
              <w:top w:val="single" w:sz="4" w:space="0" w:color="auto"/>
              <w:left w:val="single" w:sz="4" w:space="0" w:color="auto"/>
              <w:bottom w:val="single" w:sz="4" w:space="0" w:color="auto"/>
              <w:right w:val="single" w:sz="4" w:space="0" w:color="auto"/>
            </w:tcBorders>
            <w:noWrap/>
            <w:hideMark/>
          </w:tcPr>
          <w:p w14:paraId="04552B00"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44</w:t>
            </w:r>
          </w:p>
        </w:tc>
        <w:tc>
          <w:tcPr>
            <w:tcW w:w="1560" w:type="dxa"/>
            <w:tcBorders>
              <w:top w:val="single" w:sz="4" w:space="0" w:color="auto"/>
              <w:left w:val="single" w:sz="4" w:space="0" w:color="auto"/>
              <w:bottom w:val="single" w:sz="4" w:space="0" w:color="auto"/>
              <w:right w:val="single" w:sz="4" w:space="0" w:color="auto"/>
            </w:tcBorders>
            <w:noWrap/>
            <w:hideMark/>
          </w:tcPr>
          <w:p w14:paraId="525F4D3B"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18.35467</w:t>
            </w:r>
          </w:p>
        </w:tc>
        <w:tc>
          <w:tcPr>
            <w:tcW w:w="1842" w:type="dxa"/>
            <w:tcBorders>
              <w:top w:val="single" w:sz="4" w:space="0" w:color="auto"/>
              <w:left w:val="single" w:sz="4" w:space="0" w:color="auto"/>
              <w:bottom w:val="single" w:sz="4" w:space="0" w:color="auto"/>
              <w:right w:val="single" w:sz="4" w:space="0" w:color="auto"/>
            </w:tcBorders>
            <w:noWrap/>
            <w:hideMark/>
          </w:tcPr>
          <w:p w14:paraId="2D22AD0C"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12.0</w:t>
            </w:r>
          </w:p>
        </w:tc>
        <w:tc>
          <w:tcPr>
            <w:tcW w:w="1985" w:type="dxa"/>
            <w:tcBorders>
              <w:top w:val="single" w:sz="4" w:space="0" w:color="auto"/>
              <w:left w:val="single" w:sz="4" w:space="0" w:color="auto"/>
              <w:bottom w:val="single" w:sz="4" w:space="0" w:color="auto"/>
              <w:right w:val="single" w:sz="4" w:space="0" w:color="auto"/>
            </w:tcBorders>
            <w:noWrap/>
            <w:hideMark/>
          </w:tcPr>
          <w:p w14:paraId="26556C52"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82.0</w:t>
            </w:r>
          </w:p>
        </w:tc>
      </w:tr>
      <w:tr w:rsidR="00412474" w:rsidRPr="00215667" w14:paraId="176B9673"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69AD678" w14:textId="77777777" w:rsidR="00412474" w:rsidRPr="00215667" w:rsidRDefault="00412474" w:rsidP="00435E3A">
            <w:pPr>
              <w:rPr>
                <w:rFonts w:ascii="Times New Roman" w:eastAsia="Times New Roman" w:hAnsi="Times New Roman" w:cs="Times New Roman"/>
                <w:sz w:val="24"/>
                <w:szCs w:val="24"/>
              </w:rPr>
            </w:pPr>
            <w:proofErr w:type="spellStart"/>
            <w:r w:rsidRPr="00215667">
              <w:rPr>
                <w:rFonts w:ascii="Times New Roman" w:eastAsia="Times New Roman" w:hAnsi="Times New Roman" w:cs="Times New Roman"/>
                <w:color w:val="000000"/>
                <w:sz w:val="24"/>
                <w:szCs w:val="24"/>
              </w:rPr>
              <w:t>вкупно</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5D229C7F"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42.9</w:t>
            </w:r>
          </w:p>
        </w:tc>
        <w:tc>
          <w:tcPr>
            <w:tcW w:w="1228" w:type="dxa"/>
            <w:tcBorders>
              <w:top w:val="single" w:sz="4" w:space="0" w:color="auto"/>
              <w:left w:val="single" w:sz="4" w:space="0" w:color="auto"/>
              <w:bottom w:val="single" w:sz="4" w:space="0" w:color="auto"/>
              <w:right w:val="single" w:sz="4" w:space="0" w:color="auto"/>
            </w:tcBorders>
            <w:noWrap/>
            <w:hideMark/>
          </w:tcPr>
          <w:p w14:paraId="13DAAB5A"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64</w:t>
            </w:r>
          </w:p>
        </w:tc>
        <w:tc>
          <w:tcPr>
            <w:tcW w:w="1560" w:type="dxa"/>
            <w:tcBorders>
              <w:top w:val="single" w:sz="4" w:space="0" w:color="auto"/>
              <w:left w:val="single" w:sz="4" w:space="0" w:color="auto"/>
              <w:bottom w:val="single" w:sz="4" w:space="0" w:color="auto"/>
              <w:right w:val="single" w:sz="4" w:space="0" w:color="auto"/>
            </w:tcBorders>
            <w:noWrap/>
            <w:hideMark/>
          </w:tcPr>
          <w:p w14:paraId="46EC4ECC"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18.37849</w:t>
            </w:r>
          </w:p>
        </w:tc>
        <w:tc>
          <w:tcPr>
            <w:tcW w:w="1842" w:type="dxa"/>
            <w:tcBorders>
              <w:top w:val="single" w:sz="4" w:space="0" w:color="auto"/>
              <w:left w:val="single" w:sz="4" w:space="0" w:color="auto"/>
              <w:bottom w:val="single" w:sz="4" w:space="0" w:color="auto"/>
              <w:right w:val="single" w:sz="4" w:space="0" w:color="auto"/>
            </w:tcBorders>
            <w:noWrap/>
            <w:hideMark/>
          </w:tcPr>
          <w:p w14:paraId="7297BD4D"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10.0</w:t>
            </w:r>
          </w:p>
        </w:tc>
        <w:tc>
          <w:tcPr>
            <w:tcW w:w="1985" w:type="dxa"/>
            <w:tcBorders>
              <w:top w:val="single" w:sz="4" w:space="0" w:color="auto"/>
              <w:left w:val="single" w:sz="4" w:space="0" w:color="auto"/>
              <w:bottom w:val="single" w:sz="4" w:space="0" w:color="auto"/>
              <w:right w:val="single" w:sz="4" w:space="0" w:color="auto"/>
            </w:tcBorders>
            <w:noWrap/>
            <w:hideMark/>
          </w:tcPr>
          <w:p w14:paraId="424620F8"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82.0</w:t>
            </w:r>
          </w:p>
        </w:tc>
      </w:tr>
    </w:tbl>
    <w:p w14:paraId="157770C7" w14:textId="77777777" w:rsidR="00412474" w:rsidRPr="00215667" w:rsidRDefault="00412474" w:rsidP="00412474">
      <w:pPr>
        <w:shd w:val="clear" w:color="auto" w:fill="FFFFFF"/>
        <w:spacing w:after="0" w:line="240" w:lineRule="auto"/>
        <w:jc w:val="both"/>
        <w:rPr>
          <w:rFonts w:ascii="Times New Roman" w:eastAsia="Calibri" w:hAnsi="Times New Roman" w:cs="Times New Roman"/>
          <w:sz w:val="24"/>
          <w:szCs w:val="24"/>
        </w:rPr>
      </w:pPr>
    </w:p>
    <w:p w14:paraId="222E4235" w14:textId="77777777" w:rsidR="00412474" w:rsidRDefault="00412474" w:rsidP="009456A9">
      <w:pPr>
        <w:shd w:val="clear" w:color="auto" w:fill="FFFFFF"/>
        <w:spacing w:after="0" w:line="360" w:lineRule="auto"/>
        <w:jc w:val="center"/>
        <w:rPr>
          <w:rFonts w:ascii="Times New Roman" w:eastAsia="Calibri" w:hAnsi="Times New Roman" w:cs="Times New Roman"/>
          <w:sz w:val="24"/>
          <w:szCs w:val="24"/>
          <w:lang w:val="en-US"/>
        </w:rPr>
      </w:pPr>
      <w:r w:rsidRPr="00215667">
        <w:rPr>
          <w:rFonts w:ascii="Times New Roman" w:eastAsia="Calibri" w:hAnsi="Times New Roman" w:cs="Times New Roman"/>
          <w:sz w:val="24"/>
          <w:szCs w:val="24"/>
        </w:rPr>
        <w:t>Графикон бр. 2. Дистрибуција на просечната возраст  пациентите според полот</w:t>
      </w:r>
    </w:p>
    <w:p w14:paraId="698382E0" w14:textId="77777777" w:rsidR="004832D1" w:rsidRPr="004832D1" w:rsidRDefault="004832D1" w:rsidP="009456A9">
      <w:pPr>
        <w:shd w:val="clear" w:color="auto" w:fill="FFFFFF"/>
        <w:spacing w:after="0" w:line="360" w:lineRule="auto"/>
        <w:jc w:val="center"/>
        <w:rPr>
          <w:rFonts w:ascii="Times New Roman" w:eastAsia="Calibri" w:hAnsi="Times New Roman" w:cs="Times New Roman"/>
          <w:sz w:val="24"/>
          <w:szCs w:val="24"/>
          <w:lang w:val="en-US"/>
        </w:rPr>
      </w:pPr>
    </w:p>
    <w:p w14:paraId="2CEDB46C" w14:textId="6F6F1ECC" w:rsidR="004832D1" w:rsidRPr="004832D1" w:rsidRDefault="004832D1" w:rsidP="009456A9">
      <w:pPr>
        <w:shd w:val="clear" w:color="auto" w:fill="FFFFFF"/>
        <w:spacing w:after="0" w:line="360" w:lineRule="auto"/>
        <w:jc w:val="center"/>
        <w:rPr>
          <w:rFonts w:ascii="Times New Roman" w:eastAsia="Calibri" w:hAnsi="Times New Roman" w:cs="Times New Roman"/>
          <w:sz w:val="24"/>
          <w:szCs w:val="24"/>
          <w:lang w:val="en-US"/>
        </w:rPr>
      </w:pPr>
      <w:r>
        <w:rPr>
          <w:noProof/>
          <w14:ligatures w14:val="standardContextual"/>
        </w:rPr>
        <w:drawing>
          <wp:inline distT="0" distB="0" distL="0" distR="0" wp14:anchorId="14FD7073" wp14:editId="22A406B3">
            <wp:extent cx="4804012" cy="1907708"/>
            <wp:effectExtent l="0" t="0" r="0" b="0"/>
            <wp:docPr id="9067891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789193" name=""/>
                    <pic:cNvPicPr/>
                  </pic:nvPicPr>
                  <pic:blipFill>
                    <a:blip r:embed="rId17"/>
                    <a:stretch>
                      <a:fillRect/>
                    </a:stretch>
                  </pic:blipFill>
                  <pic:spPr>
                    <a:xfrm>
                      <a:off x="0" y="0"/>
                      <a:ext cx="4804936" cy="1908075"/>
                    </a:xfrm>
                    <a:prstGeom prst="rect">
                      <a:avLst/>
                    </a:prstGeom>
                  </pic:spPr>
                </pic:pic>
              </a:graphicData>
            </a:graphic>
          </wp:inline>
        </w:drawing>
      </w:r>
    </w:p>
    <w:p w14:paraId="4272DF66" w14:textId="578D7FF0" w:rsidR="00412474" w:rsidRPr="00215667" w:rsidRDefault="00412474" w:rsidP="004832D1">
      <w:pPr>
        <w:shd w:val="clear" w:color="auto" w:fill="FFFFFF"/>
        <w:spacing w:after="120" w:line="360" w:lineRule="auto"/>
        <w:ind w:firstLine="720"/>
        <w:jc w:val="both"/>
        <w:rPr>
          <w:rFonts w:ascii="Times New Roman" w:eastAsia="Calibri" w:hAnsi="Times New Roman" w:cs="Times New Roman"/>
          <w:bCs/>
          <w:sz w:val="24"/>
          <w:szCs w:val="24"/>
        </w:rPr>
      </w:pPr>
      <w:r w:rsidRPr="00215667">
        <w:rPr>
          <w:rFonts w:ascii="Times New Roman" w:hAnsi="Times New Roman" w:cs="Times New Roman"/>
          <w:sz w:val="24"/>
          <w:szCs w:val="24"/>
        </w:rPr>
        <w:lastRenderedPageBreak/>
        <w:t>Според анамнестичките податоци и прашалници за одредување на инциденцата на самопријавени симптоми на крвавење, кај 64 пациенти се регистрирани следните клинички симптоми: пролонгирани постекстракциони крвавења кај 65.6</w:t>
      </w:r>
      <w:r w:rsidR="004832D1">
        <w:rPr>
          <w:rFonts w:ascii="Times New Roman" w:hAnsi="Times New Roman" w:cs="Times New Roman"/>
          <w:sz w:val="24"/>
          <w:szCs w:val="24"/>
        </w:rPr>
        <w:t xml:space="preserve"> </w:t>
      </w:r>
      <w:r w:rsidRPr="00215667">
        <w:rPr>
          <w:rFonts w:ascii="Times New Roman" w:hAnsi="Times New Roman" w:cs="Times New Roman"/>
          <w:sz w:val="24"/>
          <w:szCs w:val="24"/>
        </w:rPr>
        <w:t>%; крвавење од гингива кај 64.1</w:t>
      </w:r>
      <w:r w:rsidR="004832D1">
        <w:rPr>
          <w:rFonts w:ascii="Times New Roman" w:hAnsi="Times New Roman" w:cs="Times New Roman"/>
          <w:sz w:val="24"/>
          <w:szCs w:val="24"/>
        </w:rPr>
        <w:t xml:space="preserve"> </w:t>
      </w:r>
      <w:r w:rsidRPr="00215667">
        <w:rPr>
          <w:rFonts w:ascii="Times New Roman" w:hAnsi="Times New Roman" w:cs="Times New Roman"/>
          <w:sz w:val="24"/>
          <w:szCs w:val="24"/>
        </w:rPr>
        <w:t>%; при инцидентни посекотини и рани (VLC) кај 45.3</w:t>
      </w:r>
      <w:r w:rsidR="004832D1">
        <w:rPr>
          <w:rFonts w:ascii="Times New Roman" w:hAnsi="Times New Roman" w:cs="Times New Roman"/>
          <w:sz w:val="24"/>
          <w:szCs w:val="24"/>
        </w:rPr>
        <w:t xml:space="preserve"> </w:t>
      </w:r>
      <w:r w:rsidRPr="00215667">
        <w:rPr>
          <w:rFonts w:ascii="Times New Roman" w:hAnsi="Times New Roman" w:cs="Times New Roman"/>
          <w:sz w:val="24"/>
          <w:szCs w:val="24"/>
        </w:rPr>
        <w:t>% и пролонгирани менструални крвавења кај 32.8</w:t>
      </w:r>
      <w:r w:rsidR="004832D1">
        <w:rPr>
          <w:rFonts w:ascii="Times New Roman" w:hAnsi="Times New Roman" w:cs="Times New Roman"/>
          <w:sz w:val="24"/>
          <w:szCs w:val="24"/>
        </w:rPr>
        <w:t xml:space="preserve"> </w:t>
      </w:r>
      <w:r w:rsidRPr="00215667">
        <w:rPr>
          <w:rFonts w:ascii="Times New Roman" w:hAnsi="Times New Roman" w:cs="Times New Roman"/>
          <w:sz w:val="24"/>
          <w:szCs w:val="24"/>
        </w:rPr>
        <w:t>%.</w:t>
      </w:r>
      <w:r w:rsidRPr="00215667">
        <w:rPr>
          <w:rFonts w:ascii="Times New Roman" w:eastAsia="Calibri" w:hAnsi="Times New Roman" w:cs="Times New Roman"/>
          <w:bCs/>
          <w:sz w:val="24"/>
          <w:szCs w:val="24"/>
        </w:rPr>
        <w:t xml:space="preserve"> </w:t>
      </w:r>
    </w:p>
    <w:p w14:paraId="4BF1321B" w14:textId="2C0A8D50" w:rsidR="00412474" w:rsidRPr="00215667" w:rsidRDefault="00412474" w:rsidP="004832D1">
      <w:pPr>
        <w:shd w:val="clear" w:color="auto" w:fill="FFFFFF"/>
        <w:spacing w:after="120" w:line="360" w:lineRule="auto"/>
        <w:ind w:firstLine="720"/>
        <w:jc w:val="both"/>
        <w:rPr>
          <w:rFonts w:ascii="Times New Roman" w:eastAsia="Calibri" w:hAnsi="Times New Roman" w:cs="Times New Roman"/>
          <w:bCs/>
          <w:sz w:val="24"/>
          <w:szCs w:val="24"/>
        </w:rPr>
      </w:pPr>
      <w:r w:rsidRPr="00215667">
        <w:rPr>
          <w:rFonts w:ascii="Times New Roman" w:eastAsia="Calibri" w:hAnsi="Times New Roman" w:cs="Times New Roman"/>
          <w:bCs/>
          <w:sz w:val="24"/>
          <w:szCs w:val="24"/>
        </w:rPr>
        <w:t xml:space="preserve">Процентуалната разлика помеѓу крвавење по екстракција на заби </w:t>
      </w:r>
      <w:r w:rsidR="001F2E2D">
        <w:rPr>
          <w:rFonts w:ascii="Times New Roman" w:eastAsia="Calibri" w:hAnsi="Times New Roman" w:cs="Times New Roman"/>
          <w:bCs/>
          <w:sz w:val="24"/>
          <w:szCs w:val="24"/>
        </w:rPr>
        <w:t>версус</w:t>
      </w:r>
      <w:r w:rsidRPr="00215667">
        <w:rPr>
          <w:rFonts w:ascii="Times New Roman" w:eastAsia="Calibri" w:hAnsi="Times New Roman" w:cs="Times New Roman"/>
          <w:bCs/>
          <w:sz w:val="24"/>
          <w:szCs w:val="24"/>
        </w:rPr>
        <w:t xml:space="preserve"> VLC и менструални крвавења е сигнификантна за p</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&lt;</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.05 (Difference test, p</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.0209, p</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 xml:space="preserve">.0002). Процентуалната разлика помеѓу крвавење при екстракција на заби </w:t>
      </w:r>
      <w:r w:rsidR="001F2E2D">
        <w:rPr>
          <w:rFonts w:ascii="Times New Roman" w:eastAsia="Calibri" w:hAnsi="Times New Roman" w:cs="Times New Roman"/>
          <w:bCs/>
          <w:sz w:val="24"/>
          <w:szCs w:val="24"/>
        </w:rPr>
        <w:t>версус</w:t>
      </w:r>
      <w:r w:rsidRPr="00215667">
        <w:rPr>
          <w:rFonts w:ascii="Times New Roman" w:eastAsia="Calibri" w:hAnsi="Times New Roman" w:cs="Times New Roman"/>
          <w:bCs/>
          <w:sz w:val="24"/>
          <w:szCs w:val="24"/>
        </w:rPr>
        <w:t xml:space="preserve"> крвавењата од гингива е несигнификантна за p</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&gt;</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.05 (Difference test, p</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 xml:space="preserve">.8589). Процентуалната разлика помеѓу пролонгирани крвавења од гингива </w:t>
      </w:r>
      <w:r w:rsidR="001F2E2D">
        <w:rPr>
          <w:rFonts w:ascii="Times New Roman" w:eastAsia="Calibri" w:hAnsi="Times New Roman" w:cs="Times New Roman"/>
          <w:bCs/>
          <w:sz w:val="24"/>
          <w:szCs w:val="24"/>
        </w:rPr>
        <w:t>версус</w:t>
      </w:r>
      <w:r w:rsidRPr="00215667">
        <w:rPr>
          <w:rFonts w:ascii="Times New Roman" w:eastAsia="Calibri" w:hAnsi="Times New Roman" w:cs="Times New Roman"/>
          <w:bCs/>
          <w:sz w:val="24"/>
          <w:szCs w:val="24"/>
        </w:rPr>
        <w:t xml:space="preserve"> VLC и менструални крвавења е сигнификантна за p</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&lt;</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.05 (Difference test, p</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.0326, p</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.0004) (табела</w:t>
      </w:r>
      <w:r w:rsidR="00146C3D">
        <w:rPr>
          <w:rFonts w:ascii="Times New Roman" w:eastAsia="Calibri" w:hAnsi="Times New Roman" w:cs="Times New Roman"/>
          <w:bCs/>
          <w:sz w:val="24"/>
          <w:szCs w:val="24"/>
        </w:rPr>
        <w:t xml:space="preserve"> бр. 3</w:t>
      </w:r>
      <w:r w:rsidRPr="00215667">
        <w:rPr>
          <w:rFonts w:ascii="Times New Roman" w:eastAsia="Calibri" w:hAnsi="Times New Roman" w:cs="Times New Roman"/>
          <w:bCs/>
          <w:sz w:val="24"/>
          <w:szCs w:val="24"/>
        </w:rPr>
        <w:t xml:space="preserve"> и графикон број 3). </w:t>
      </w:r>
    </w:p>
    <w:p w14:paraId="7F1C1EC8" w14:textId="77777777" w:rsidR="00412474" w:rsidRPr="004832D1" w:rsidRDefault="00412474" w:rsidP="004832D1">
      <w:pPr>
        <w:shd w:val="clear" w:color="auto" w:fill="FFFFFF"/>
        <w:spacing w:after="0" w:line="360" w:lineRule="auto"/>
        <w:jc w:val="center"/>
        <w:rPr>
          <w:rFonts w:ascii="Times New Roman" w:eastAsia="Calibri" w:hAnsi="Times New Roman" w:cs="Times New Roman"/>
          <w:sz w:val="24"/>
          <w:szCs w:val="24"/>
        </w:rPr>
      </w:pPr>
    </w:p>
    <w:p w14:paraId="74D5CADA" w14:textId="4D8A4722" w:rsidR="00412474" w:rsidRPr="00215667" w:rsidRDefault="00412474" w:rsidP="004832D1">
      <w:pPr>
        <w:shd w:val="clear" w:color="auto" w:fill="FFFFFF"/>
        <w:spacing w:after="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w:t>
      </w:r>
      <w:r w:rsidR="00146C3D">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3</w:t>
      </w:r>
      <w:r w:rsidR="00146C3D">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Дистрибуција на </w:t>
      </w:r>
      <w:bookmarkStart w:id="34" w:name="_Hlk186449274"/>
      <w:r w:rsidRPr="00215667">
        <w:rPr>
          <w:rFonts w:ascii="Times New Roman" w:eastAsia="Calibri" w:hAnsi="Times New Roman" w:cs="Times New Roman"/>
          <w:sz w:val="24"/>
          <w:szCs w:val="24"/>
        </w:rPr>
        <w:t>самопријавени симптоми на пролонгирани крварења пред поставување на дијагноза</w:t>
      </w:r>
      <w:bookmarkEnd w:id="34"/>
    </w:p>
    <w:tbl>
      <w:tblPr>
        <w:tblStyle w:val="TableGrid1"/>
        <w:tblW w:w="0" w:type="auto"/>
        <w:tblLayout w:type="fixed"/>
        <w:tblLook w:val="04A0" w:firstRow="1" w:lastRow="0" w:firstColumn="1" w:lastColumn="0" w:noHBand="0" w:noVBand="1"/>
      </w:tblPr>
      <w:tblGrid>
        <w:gridCol w:w="5949"/>
        <w:gridCol w:w="1276"/>
        <w:gridCol w:w="1004"/>
      </w:tblGrid>
      <w:tr w:rsidR="00412474" w:rsidRPr="00215667" w14:paraId="7D9F8EAC" w14:textId="77777777" w:rsidTr="00435E3A">
        <w:tc>
          <w:tcPr>
            <w:tcW w:w="5949"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8D3F220" w14:textId="77777777" w:rsidR="00412474" w:rsidRPr="00215667" w:rsidRDefault="00412474" w:rsidP="00435E3A">
            <w:pPr>
              <w:ind w:right="-25"/>
              <w:rPr>
                <w:rFonts w:ascii="Times New Roman" w:eastAsia="Times New Roman" w:hAnsi="Times New Roman" w:cs="Times New Roman"/>
                <w:b/>
                <w:sz w:val="24"/>
                <w:szCs w:val="24"/>
              </w:rPr>
            </w:pPr>
            <w:r w:rsidRPr="00215667">
              <w:rPr>
                <w:rFonts w:ascii="Times New Roman" w:eastAsia="Times New Roman" w:hAnsi="Times New Roman" w:cs="Times New Roman"/>
                <w:b/>
                <w:sz w:val="24"/>
                <w:szCs w:val="24"/>
              </w:rPr>
              <w:t xml:space="preserve">  </w:t>
            </w:r>
            <w:proofErr w:type="spellStart"/>
            <w:r w:rsidRPr="00215667">
              <w:rPr>
                <w:rFonts w:ascii="Times New Roman" w:eastAsia="Times New Roman" w:hAnsi="Times New Roman" w:cs="Times New Roman"/>
                <w:b/>
                <w:sz w:val="24"/>
                <w:szCs w:val="24"/>
              </w:rPr>
              <w:t>Самопријавени</w:t>
            </w:r>
            <w:proofErr w:type="spellEnd"/>
            <w:r w:rsidRPr="00215667">
              <w:rPr>
                <w:rFonts w:ascii="Times New Roman" w:eastAsia="Times New Roman" w:hAnsi="Times New Roman" w:cs="Times New Roman"/>
                <w:b/>
                <w:sz w:val="24"/>
                <w:szCs w:val="24"/>
              </w:rPr>
              <w:t xml:space="preserve"> </w:t>
            </w:r>
            <w:proofErr w:type="spellStart"/>
            <w:r w:rsidRPr="00215667">
              <w:rPr>
                <w:rFonts w:ascii="Times New Roman" w:eastAsia="Times New Roman" w:hAnsi="Times New Roman" w:cs="Times New Roman"/>
                <w:b/>
                <w:sz w:val="24"/>
                <w:szCs w:val="24"/>
              </w:rPr>
              <w:t>клинички</w:t>
            </w:r>
            <w:proofErr w:type="spellEnd"/>
            <w:r w:rsidRPr="00215667">
              <w:rPr>
                <w:rFonts w:ascii="Times New Roman" w:eastAsia="Times New Roman" w:hAnsi="Times New Roman" w:cs="Times New Roman"/>
                <w:b/>
                <w:sz w:val="24"/>
                <w:szCs w:val="24"/>
              </w:rPr>
              <w:t xml:space="preserve"> </w:t>
            </w:r>
            <w:proofErr w:type="spellStart"/>
            <w:r w:rsidRPr="00215667">
              <w:rPr>
                <w:rFonts w:ascii="Times New Roman" w:eastAsia="Times New Roman" w:hAnsi="Times New Roman" w:cs="Times New Roman"/>
                <w:b/>
                <w:sz w:val="24"/>
                <w:szCs w:val="24"/>
              </w:rPr>
              <w:t>симптоми</w:t>
            </w:r>
            <w:proofErr w:type="spellEnd"/>
            <w:r w:rsidRPr="00215667">
              <w:rPr>
                <w:rFonts w:ascii="Times New Roman" w:eastAsia="Times New Roman" w:hAnsi="Times New Roman" w:cs="Times New Roman"/>
                <w:b/>
                <w:sz w:val="24"/>
                <w:szCs w:val="24"/>
              </w:rPr>
              <w:t xml:space="preserve"> </w:t>
            </w:r>
            <w:proofErr w:type="spellStart"/>
            <w:r w:rsidRPr="00215667">
              <w:rPr>
                <w:rFonts w:ascii="Times New Roman" w:eastAsia="Times New Roman" w:hAnsi="Times New Roman" w:cs="Times New Roman"/>
                <w:b/>
                <w:sz w:val="24"/>
                <w:szCs w:val="24"/>
              </w:rPr>
              <w:t>на</w:t>
            </w:r>
            <w:proofErr w:type="spellEnd"/>
            <w:r w:rsidRPr="00215667">
              <w:rPr>
                <w:rFonts w:ascii="Times New Roman" w:eastAsia="Times New Roman" w:hAnsi="Times New Roman" w:cs="Times New Roman"/>
                <w:b/>
                <w:sz w:val="24"/>
                <w:szCs w:val="24"/>
              </w:rPr>
              <w:t xml:space="preserve"> </w:t>
            </w:r>
            <w:proofErr w:type="spellStart"/>
            <w:r w:rsidRPr="00215667">
              <w:rPr>
                <w:rFonts w:ascii="Times New Roman" w:eastAsia="Times New Roman" w:hAnsi="Times New Roman" w:cs="Times New Roman"/>
                <w:b/>
                <w:sz w:val="24"/>
                <w:szCs w:val="24"/>
              </w:rPr>
              <w:t>крвавење</w:t>
            </w:r>
            <w:proofErr w:type="spellEnd"/>
            <w:r w:rsidRPr="00215667">
              <w:rPr>
                <w:rFonts w:ascii="Times New Roman" w:eastAsia="Times New Roman" w:hAnsi="Times New Roman" w:cs="Times New Roman"/>
                <w:b/>
                <w:sz w:val="24"/>
                <w:szCs w:val="24"/>
              </w:rPr>
              <w:t xml:space="preserve"> </w:t>
            </w:r>
          </w:p>
        </w:tc>
        <w:tc>
          <w:tcPr>
            <w:tcW w:w="1276"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05FC82E1" w14:textId="0ED4AC32" w:rsidR="00412474" w:rsidRPr="00215667" w:rsidRDefault="00146C3D" w:rsidP="00435E3A">
            <w:pPr>
              <w:ind w:right="-25"/>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Б</w:t>
            </w:r>
            <w:proofErr w:type="spellStart"/>
            <w:r w:rsidR="00412474" w:rsidRPr="00215667">
              <w:rPr>
                <w:rFonts w:ascii="Times New Roman" w:eastAsia="Times New Roman" w:hAnsi="Times New Roman" w:cs="Times New Roman"/>
                <w:b/>
                <w:bCs/>
                <w:color w:val="000000"/>
                <w:sz w:val="24"/>
                <w:szCs w:val="24"/>
              </w:rPr>
              <w:t>рој</w:t>
            </w:r>
            <w:proofErr w:type="spellEnd"/>
          </w:p>
        </w:tc>
        <w:tc>
          <w:tcPr>
            <w:tcW w:w="1004"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335AFA1" w14:textId="77777777" w:rsidR="00412474" w:rsidRPr="00215667" w:rsidRDefault="00412474" w:rsidP="00435E3A">
            <w:pPr>
              <w:ind w:right="-25"/>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w:t>
            </w:r>
          </w:p>
        </w:tc>
      </w:tr>
      <w:tr w:rsidR="00412474" w:rsidRPr="00215667" w14:paraId="0D4580CB" w14:textId="77777777" w:rsidTr="00435E3A">
        <w:tc>
          <w:tcPr>
            <w:tcW w:w="5949"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D315EDB" w14:textId="77777777" w:rsidR="00412474" w:rsidRPr="00215667" w:rsidRDefault="00412474" w:rsidP="00435E3A">
            <w:pPr>
              <w:ind w:right="-25"/>
              <w:rPr>
                <w:rFonts w:ascii="Times New Roman" w:eastAsia="Times New Roman" w:hAnsi="Times New Roman" w:cs="Times New Roman"/>
                <w:bCs/>
                <w:sz w:val="24"/>
                <w:szCs w:val="24"/>
              </w:rPr>
            </w:pPr>
            <w:proofErr w:type="spellStart"/>
            <w:r w:rsidRPr="00215667">
              <w:rPr>
                <w:rFonts w:ascii="Times New Roman" w:eastAsia="Times New Roman" w:hAnsi="Times New Roman" w:cs="Times New Roman"/>
                <w:bCs/>
                <w:color w:val="000000"/>
                <w:sz w:val="24"/>
                <w:szCs w:val="24"/>
              </w:rPr>
              <w:t>При</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екстракција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заб</w:t>
            </w:r>
            <w:proofErr w:type="spellEnd"/>
          </w:p>
        </w:tc>
        <w:tc>
          <w:tcPr>
            <w:tcW w:w="1276" w:type="dxa"/>
            <w:tcBorders>
              <w:top w:val="single" w:sz="4" w:space="0" w:color="auto"/>
              <w:left w:val="single" w:sz="4" w:space="0" w:color="auto"/>
              <w:bottom w:val="single" w:sz="4" w:space="0" w:color="auto"/>
              <w:right w:val="single" w:sz="4" w:space="0" w:color="auto"/>
            </w:tcBorders>
            <w:noWrap/>
            <w:hideMark/>
          </w:tcPr>
          <w:p w14:paraId="1A10F9DD" w14:textId="77777777" w:rsidR="00412474" w:rsidRPr="00215667" w:rsidRDefault="00412474" w:rsidP="00435E3A">
            <w:pPr>
              <w:ind w:right="-25"/>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42</w:t>
            </w:r>
          </w:p>
        </w:tc>
        <w:tc>
          <w:tcPr>
            <w:tcW w:w="1004" w:type="dxa"/>
            <w:tcBorders>
              <w:top w:val="single" w:sz="4" w:space="0" w:color="auto"/>
              <w:left w:val="single" w:sz="4" w:space="0" w:color="auto"/>
              <w:bottom w:val="single" w:sz="4" w:space="0" w:color="auto"/>
              <w:right w:val="single" w:sz="4" w:space="0" w:color="auto"/>
            </w:tcBorders>
            <w:noWrap/>
            <w:hideMark/>
          </w:tcPr>
          <w:p w14:paraId="184E41F8" w14:textId="77777777" w:rsidR="00412474" w:rsidRPr="00215667" w:rsidRDefault="00412474" w:rsidP="00435E3A">
            <w:pPr>
              <w:ind w:right="-25"/>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65.6</w:t>
            </w:r>
          </w:p>
        </w:tc>
      </w:tr>
      <w:tr w:rsidR="00412474" w:rsidRPr="00215667" w14:paraId="5BC3F185" w14:textId="77777777" w:rsidTr="00435E3A">
        <w:tc>
          <w:tcPr>
            <w:tcW w:w="5949"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E6A99FA" w14:textId="77777777" w:rsidR="00412474" w:rsidRPr="00215667" w:rsidRDefault="00412474" w:rsidP="00435E3A">
            <w:pPr>
              <w:ind w:right="-25"/>
              <w:rPr>
                <w:rFonts w:ascii="Times New Roman" w:eastAsia="Times New Roman" w:hAnsi="Times New Roman" w:cs="Times New Roman"/>
                <w:bCs/>
                <w:sz w:val="24"/>
                <w:szCs w:val="24"/>
              </w:rPr>
            </w:pPr>
            <w:proofErr w:type="spellStart"/>
            <w:r w:rsidRPr="00215667">
              <w:rPr>
                <w:rFonts w:ascii="Times New Roman" w:eastAsia="Times New Roman" w:hAnsi="Times New Roman" w:cs="Times New Roman"/>
                <w:bCs/>
                <w:color w:val="000000"/>
                <w:sz w:val="24"/>
                <w:szCs w:val="24"/>
              </w:rPr>
              <w:t>Крвавење</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од</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гингива</w:t>
            </w:r>
            <w:proofErr w:type="spellEnd"/>
          </w:p>
        </w:tc>
        <w:tc>
          <w:tcPr>
            <w:tcW w:w="1276" w:type="dxa"/>
            <w:tcBorders>
              <w:top w:val="single" w:sz="4" w:space="0" w:color="auto"/>
              <w:left w:val="single" w:sz="4" w:space="0" w:color="auto"/>
              <w:bottom w:val="single" w:sz="4" w:space="0" w:color="auto"/>
              <w:right w:val="single" w:sz="4" w:space="0" w:color="auto"/>
            </w:tcBorders>
            <w:noWrap/>
            <w:hideMark/>
          </w:tcPr>
          <w:p w14:paraId="1AA1E86F" w14:textId="77777777" w:rsidR="00412474" w:rsidRPr="00215667" w:rsidRDefault="00412474" w:rsidP="00435E3A">
            <w:pPr>
              <w:ind w:right="-25"/>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41</w:t>
            </w:r>
          </w:p>
        </w:tc>
        <w:tc>
          <w:tcPr>
            <w:tcW w:w="1004" w:type="dxa"/>
            <w:tcBorders>
              <w:top w:val="single" w:sz="4" w:space="0" w:color="auto"/>
              <w:left w:val="single" w:sz="4" w:space="0" w:color="auto"/>
              <w:bottom w:val="single" w:sz="4" w:space="0" w:color="auto"/>
              <w:right w:val="single" w:sz="4" w:space="0" w:color="auto"/>
            </w:tcBorders>
            <w:noWrap/>
            <w:hideMark/>
          </w:tcPr>
          <w:p w14:paraId="505EB148" w14:textId="77777777" w:rsidR="00412474" w:rsidRPr="00215667" w:rsidRDefault="00412474" w:rsidP="00435E3A">
            <w:pPr>
              <w:ind w:right="-25"/>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64.1</w:t>
            </w:r>
          </w:p>
        </w:tc>
      </w:tr>
      <w:tr w:rsidR="00412474" w:rsidRPr="00215667" w14:paraId="17088B78" w14:textId="77777777" w:rsidTr="00435E3A">
        <w:tc>
          <w:tcPr>
            <w:tcW w:w="5949"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07155768" w14:textId="77777777" w:rsidR="00412474" w:rsidRPr="00215667" w:rsidRDefault="00412474" w:rsidP="00435E3A">
            <w:pPr>
              <w:ind w:right="-25"/>
              <w:rPr>
                <w:rFonts w:ascii="Times New Roman" w:eastAsia="Times New Roman" w:hAnsi="Times New Roman" w:cs="Times New Roman"/>
                <w:bCs/>
                <w:sz w:val="24"/>
                <w:szCs w:val="24"/>
              </w:rPr>
            </w:pPr>
            <w:proofErr w:type="spellStart"/>
            <w:r w:rsidRPr="00215667">
              <w:rPr>
                <w:rFonts w:ascii="Times New Roman" w:eastAsia="Times New Roman" w:hAnsi="Times New Roman" w:cs="Times New Roman"/>
                <w:bCs/>
                <w:color w:val="000000"/>
                <w:sz w:val="24"/>
                <w:szCs w:val="24"/>
              </w:rPr>
              <w:t>Менструално</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крвавење</w:t>
            </w:r>
            <w:proofErr w:type="spellEnd"/>
          </w:p>
        </w:tc>
        <w:tc>
          <w:tcPr>
            <w:tcW w:w="1276" w:type="dxa"/>
            <w:tcBorders>
              <w:top w:val="single" w:sz="4" w:space="0" w:color="auto"/>
              <w:left w:val="single" w:sz="4" w:space="0" w:color="auto"/>
              <w:bottom w:val="single" w:sz="4" w:space="0" w:color="auto"/>
              <w:right w:val="single" w:sz="4" w:space="0" w:color="auto"/>
            </w:tcBorders>
            <w:noWrap/>
            <w:hideMark/>
          </w:tcPr>
          <w:p w14:paraId="58C6ED52" w14:textId="77777777" w:rsidR="00412474" w:rsidRPr="00215667" w:rsidRDefault="00412474" w:rsidP="00435E3A">
            <w:pPr>
              <w:ind w:right="-25"/>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21</w:t>
            </w:r>
          </w:p>
        </w:tc>
        <w:tc>
          <w:tcPr>
            <w:tcW w:w="1004" w:type="dxa"/>
            <w:tcBorders>
              <w:top w:val="single" w:sz="4" w:space="0" w:color="auto"/>
              <w:left w:val="single" w:sz="4" w:space="0" w:color="auto"/>
              <w:bottom w:val="single" w:sz="4" w:space="0" w:color="auto"/>
              <w:right w:val="single" w:sz="4" w:space="0" w:color="auto"/>
            </w:tcBorders>
            <w:noWrap/>
            <w:hideMark/>
          </w:tcPr>
          <w:p w14:paraId="628B5A00" w14:textId="77777777" w:rsidR="00412474" w:rsidRPr="00215667" w:rsidRDefault="00412474" w:rsidP="00435E3A">
            <w:pPr>
              <w:ind w:right="-25"/>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32.8</w:t>
            </w:r>
          </w:p>
        </w:tc>
      </w:tr>
      <w:tr w:rsidR="00412474" w:rsidRPr="00215667" w14:paraId="4BCDC561" w14:textId="77777777" w:rsidTr="00435E3A">
        <w:tc>
          <w:tcPr>
            <w:tcW w:w="5949"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DDB296D"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Пролонгирани</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крвавења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од</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рани</w:t>
            </w:r>
            <w:proofErr w:type="spellEnd"/>
            <w:r w:rsidRPr="00215667">
              <w:rPr>
                <w:rFonts w:ascii="Times New Roman" w:eastAsia="Times New Roman" w:hAnsi="Times New Roman" w:cs="Times New Roman"/>
                <w:bCs/>
                <w:color w:val="000000"/>
                <w:sz w:val="24"/>
                <w:szCs w:val="24"/>
              </w:rPr>
              <w:t xml:space="preserve"> и </w:t>
            </w:r>
            <w:proofErr w:type="spellStart"/>
            <w:r w:rsidRPr="00215667">
              <w:rPr>
                <w:rFonts w:ascii="Times New Roman" w:eastAsia="Times New Roman" w:hAnsi="Times New Roman" w:cs="Times New Roman"/>
                <w:bCs/>
                <w:color w:val="000000"/>
                <w:sz w:val="24"/>
                <w:szCs w:val="24"/>
              </w:rPr>
              <w:t>посекотини</w:t>
            </w:r>
            <w:proofErr w:type="spellEnd"/>
            <w:r w:rsidRPr="00215667">
              <w:rPr>
                <w:rFonts w:ascii="Times New Roman" w:eastAsia="Times New Roman" w:hAnsi="Times New Roman" w:cs="Times New Roman"/>
                <w:bCs/>
                <w:color w:val="000000"/>
                <w:sz w:val="24"/>
                <w:szCs w:val="24"/>
              </w:rPr>
              <w:t xml:space="preserve"> (VLC) </w:t>
            </w:r>
          </w:p>
        </w:tc>
        <w:tc>
          <w:tcPr>
            <w:tcW w:w="1276" w:type="dxa"/>
            <w:tcBorders>
              <w:top w:val="single" w:sz="4" w:space="0" w:color="auto"/>
              <w:left w:val="single" w:sz="4" w:space="0" w:color="auto"/>
              <w:bottom w:val="single" w:sz="4" w:space="0" w:color="auto"/>
              <w:right w:val="single" w:sz="4" w:space="0" w:color="auto"/>
            </w:tcBorders>
            <w:noWrap/>
            <w:hideMark/>
          </w:tcPr>
          <w:p w14:paraId="1BD1023B" w14:textId="77777777" w:rsidR="00412474" w:rsidRPr="00215667" w:rsidRDefault="00412474" w:rsidP="00435E3A">
            <w:pPr>
              <w:jc w:val="center"/>
              <w:rPr>
                <w:rFonts w:ascii="Times New Roman" w:eastAsia="Times New Roman" w:hAnsi="Times New Roman" w:cs="Times New Roman"/>
                <w:color w:val="000000"/>
                <w:sz w:val="24"/>
                <w:szCs w:val="24"/>
              </w:rPr>
            </w:pPr>
            <w:r w:rsidRPr="00215667">
              <w:rPr>
                <w:rFonts w:ascii="Times New Roman" w:eastAsia="Times New Roman" w:hAnsi="Times New Roman" w:cs="Times New Roman"/>
                <w:color w:val="000000"/>
                <w:sz w:val="24"/>
                <w:szCs w:val="24"/>
              </w:rPr>
              <w:t>29</w:t>
            </w:r>
          </w:p>
        </w:tc>
        <w:tc>
          <w:tcPr>
            <w:tcW w:w="1004" w:type="dxa"/>
            <w:tcBorders>
              <w:top w:val="single" w:sz="4" w:space="0" w:color="auto"/>
              <w:left w:val="single" w:sz="4" w:space="0" w:color="auto"/>
              <w:bottom w:val="single" w:sz="4" w:space="0" w:color="auto"/>
              <w:right w:val="single" w:sz="4" w:space="0" w:color="auto"/>
            </w:tcBorders>
            <w:noWrap/>
            <w:hideMark/>
          </w:tcPr>
          <w:p w14:paraId="3C4F5DC9" w14:textId="77777777" w:rsidR="00412474" w:rsidRPr="00215667" w:rsidRDefault="00412474" w:rsidP="00435E3A">
            <w:pPr>
              <w:jc w:val="center"/>
              <w:rPr>
                <w:rFonts w:ascii="Times New Roman" w:eastAsia="Times New Roman" w:hAnsi="Times New Roman" w:cs="Times New Roman"/>
                <w:color w:val="000000"/>
                <w:sz w:val="24"/>
                <w:szCs w:val="24"/>
              </w:rPr>
            </w:pPr>
            <w:r w:rsidRPr="00215667">
              <w:rPr>
                <w:rFonts w:ascii="Times New Roman" w:eastAsia="Times New Roman" w:hAnsi="Times New Roman" w:cs="Times New Roman"/>
                <w:color w:val="000000"/>
                <w:sz w:val="24"/>
                <w:szCs w:val="24"/>
              </w:rPr>
              <w:t>45.3</w:t>
            </w:r>
          </w:p>
        </w:tc>
      </w:tr>
    </w:tbl>
    <w:p w14:paraId="301A0084" w14:textId="77777777" w:rsidR="00412474" w:rsidRPr="00215667" w:rsidRDefault="00412474" w:rsidP="00412474">
      <w:pPr>
        <w:spacing w:line="256" w:lineRule="auto"/>
        <w:rPr>
          <w:rFonts w:ascii="Times New Roman" w:eastAsia="Calibri" w:hAnsi="Times New Roman" w:cs="Times New Roman"/>
          <w:sz w:val="24"/>
          <w:szCs w:val="24"/>
        </w:rPr>
      </w:pPr>
    </w:p>
    <w:p w14:paraId="70929F77" w14:textId="773388A2" w:rsidR="00412474" w:rsidRPr="00215667" w:rsidRDefault="00412474" w:rsidP="00146C3D">
      <w:pPr>
        <w:shd w:val="clear" w:color="auto" w:fill="FFFFFF"/>
        <w:spacing w:after="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Графикон бр.</w:t>
      </w:r>
      <w:r w:rsidR="00146C3D">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3</w:t>
      </w:r>
      <w:r w:rsidR="00146C3D">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Приказ на самопријавени симптоми на пролонгирани крва</w:t>
      </w:r>
      <w:r w:rsidR="00146C3D">
        <w:rPr>
          <w:rFonts w:ascii="Times New Roman" w:eastAsia="Calibri" w:hAnsi="Times New Roman" w:cs="Times New Roman"/>
          <w:sz w:val="24"/>
          <w:szCs w:val="24"/>
        </w:rPr>
        <w:t>в</w:t>
      </w:r>
      <w:r w:rsidRPr="00215667">
        <w:rPr>
          <w:rFonts w:ascii="Times New Roman" w:eastAsia="Calibri" w:hAnsi="Times New Roman" w:cs="Times New Roman"/>
          <w:sz w:val="24"/>
          <w:szCs w:val="24"/>
        </w:rPr>
        <w:t>ења пред поставување на дијагноза</w:t>
      </w:r>
    </w:p>
    <w:p w14:paraId="43FC9E6D" w14:textId="77777777" w:rsidR="00412474" w:rsidRPr="00215667" w:rsidRDefault="00412474" w:rsidP="00412474">
      <w:pPr>
        <w:spacing w:line="256" w:lineRule="auto"/>
        <w:rPr>
          <w:rFonts w:ascii="Times New Roman" w:eastAsia="Calibri" w:hAnsi="Times New Roman" w:cs="Times New Roman"/>
          <w:sz w:val="24"/>
          <w:szCs w:val="24"/>
        </w:rPr>
      </w:pPr>
      <w:r w:rsidRPr="00215667">
        <w:rPr>
          <w:rFonts w:ascii="Times New Roman" w:eastAsia="Calibri" w:hAnsi="Times New Roman" w:cs="Times New Roman"/>
          <w:noProof/>
          <w:sz w:val="24"/>
          <w:szCs w:val="24"/>
          <w:lang w:val="en-US"/>
        </w:rPr>
        <w:drawing>
          <wp:inline distT="0" distB="0" distL="0" distR="0" wp14:anchorId="68EF49C6" wp14:editId="3EEE2991">
            <wp:extent cx="5495925" cy="2171700"/>
            <wp:effectExtent l="0" t="0" r="9525" b="0"/>
            <wp:docPr id="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D56A1B9" w14:textId="77777777" w:rsidR="00412474" w:rsidRPr="00215667" w:rsidRDefault="00412474" w:rsidP="00412474">
      <w:pPr>
        <w:spacing w:after="120" w:line="360" w:lineRule="auto"/>
        <w:ind w:firstLine="720"/>
        <w:jc w:val="both"/>
        <w:rPr>
          <w:rFonts w:ascii="Times New Roman" w:eastAsia="Calibri" w:hAnsi="Times New Roman" w:cs="Times New Roman"/>
          <w:sz w:val="24"/>
          <w:szCs w:val="24"/>
        </w:rPr>
      </w:pPr>
    </w:p>
    <w:p w14:paraId="0F872627" w14:textId="32301B8D" w:rsidR="00412474" w:rsidRPr="00215667" w:rsidRDefault="00412474" w:rsidP="00412474">
      <w:pPr>
        <w:spacing w:after="120" w:line="360" w:lineRule="auto"/>
        <w:ind w:firstLine="720"/>
        <w:jc w:val="both"/>
        <w:rPr>
          <w:rFonts w:ascii="Times New Roman" w:eastAsia="Calibri" w:hAnsi="Times New Roman" w:cs="Times New Roman"/>
          <w:bCs/>
          <w:sz w:val="24"/>
          <w:szCs w:val="24"/>
        </w:rPr>
      </w:pPr>
      <w:r w:rsidRPr="00215667">
        <w:rPr>
          <w:rFonts w:ascii="Times New Roman" w:eastAsia="Calibri" w:hAnsi="Times New Roman" w:cs="Times New Roman"/>
          <w:sz w:val="24"/>
          <w:szCs w:val="24"/>
        </w:rPr>
        <w:lastRenderedPageBreak/>
        <w:t>Кај повеќе од половина (56.25</w:t>
      </w:r>
      <w:r w:rsidR="00146C3D">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од пациентите пред поставување на дијагнозата присутни се истовремено два клинички симптома, кај 21.9</w:t>
      </w:r>
      <w:r w:rsidR="00146C3D">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три, кај 18.75 еден и кај два пациенти прис</w:t>
      </w:r>
      <w:r w:rsidR="00146C3D">
        <w:rPr>
          <w:rFonts w:ascii="Times New Roman" w:eastAsia="Calibri" w:hAnsi="Times New Roman" w:cs="Times New Roman"/>
          <w:sz w:val="24"/>
          <w:szCs w:val="24"/>
        </w:rPr>
        <w:t>у</w:t>
      </w:r>
      <w:r w:rsidRPr="00215667">
        <w:rPr>
          <w:rFonts w:ascii="Times New Roman" w:eastAsia="Calibri" w:hAnsi="Times New Roman" w:cs="Times New Roman"/>
          <w:sz w:val="24"/>
          <w:szCs w:val="24"/>
        </w:rPr>
        <w:t>тни се 4 клинички симптома (табела</w:t>
      </w:r>
      <w:r w:rsidR="00146C3D">
        <w:rPr>
          <w:rFonts w:ascii="Times New Roman" w:eastAsia="Calibri" w:hAnsi="Times New Roman" w:cs="Times New Roman"/>
          <w:sz w:val="24"/>
          <w:szCs w:val="24"/>
        </w:rPr>
        <w:t xml:space="preserve"> бр. 4</w:t>
      </w:r>
      <w:r w:rsidRPr="00215667">
        <w:rPr>
          <w:rFonts w:ascii="Times New Roman" w:eastAsia="Calibri" w:hAnsi="Times New Roman" w:cs="Times New Roman"/>
          <w:sz w:val="24"/>
          <w:szCs w:val="24"/>
        </w:rPr>
        <w:t xml:space="preserve"> и графикон бр</w:t>
      </w:r>
      <w:r w:rsidR="00146C3D">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4). </w:t>
      </w:r>
      <w:r w:rsidRPr="00215667">
        <w:rPr>
          <w:rFonts w:ascii="Times New Roman" w:eastAsia="Calibri" w:hAnsi="Times New Roman" w:cs="Times New Roman"/>
          <w:bCs/>
          <w:sz w:val="24"/>
          <w:szCs w:val="24"/>
        </w:rPr>
        <w:t xml:space="preserve">Процентуалната разлика помеѓу </w:t>
      </w:r>
      <w:r w:rsidR="00146C3D">
        <w:rPr>
          <w:rFonts w:ascii="Times New Roman" w:eastAsia="Calibri" w:hAnsi="Times New Roman" w:cs="Times New Roman"/>
          <w:sz w:val="24"/>
          <w:szCs w:val="24"/>
        </w:rPr>
        <w:t>присутни</w:t>
      </w:r>
      <w:r w:rsidRPr="00215667">
        <w:rPr>
          <w:rFonts w:ascii="Times New Roman" w:eastAsia="Calibri" w:hAnsi="Times New Roman" w:cs="Times New Roman"/>
          <w:sz w:val="24"/>
          <w:szCs w:val="24"/>
        </w:rPr>
        <w:t xml:space="preserve"> два клинички симптома кај пациентите пред поставување на дијагнозата</w:t>
      </w:r>
      <w:r w:rsidRPr="00215667">
        <w:rPr>
          <w:rFonts w:ascii="Times New Roman" w:eastAsia="Calibri" w:hAnsi="Times New Roman" w:cs="Times New Roman"/>
          <w:bCs/>
          <w:sz w:val="24"/>
          <w:szCs w:val="24"/>
        </w:rPr>
        <w:t xml:space="preserve"> </w:t>
      </w:r>
      <w:r w:rsidR="001F2E2D">
        <w:rPr>
          <w:rFonts w:ascii="Times New Roman" w:eastAsia="Calibri" w:hAnsi="Times New Roman" w:cs="Times New Roman"/>
          <w:bCs/>
          <w:sz w:val="24"/>
          <w:szCs w:val="24"/>
        </w:rPr>
        <w:t>версус</w:t>
      </w:r>
      <w:r w:rsidRPr="00215667">
        <w:rPr>
          <w:rFonts w:ascii="Times New Roman" w:eastAsia="Calibri" w:hAnsi="Times New Roman" w:cs="Times New Roman"/>
          <w:bCs/>
          <w:sz w:val="24"/>
          <w:szCs w:val="24"/>
        </w:rPr>
        <w:t xml:space="preserve"> три, еден и четири </w:t>
      </w:r>
      <w:r w:rsidRPr="00215667">
        <w:rPr>
          <w:rFonts w:ascii="Times New Roman" w:eastAsia="Calibri" w:hAnsi="Times New Roman" w:cs="Times New Roman"/>
          <w:sz w:val="24"/>
          <w:szCs w:val="24"/>
        </w:rPr>
        <w:t>клинички симптома кај пациентите пред поставување на дијагнозата</w:t>
      </w:r>
      <w:r w:rsidRPr="00215667">
        <w:rPr>
          <w:rFonts w:ascii="Times New Roman" w:eastAsia="Calibri" w:hAnsi="Times New Roman" w:cs="Times New Roman"/>
          <w:bCs/>
          <w:sz w:val="24"/>
          <w:szCs w:val="24"/>
        </w:rPr>
        <w:t xml:space="preserve"> е сигнификантна за p</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&lt;</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.05 (Difference test, p</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.000).</w:t>
      </w:r>
    </w:p>
    <w:p w14:paraId="4ECF67E1" w14:textId="6A7C650D" w:rsidR="00412474" w:rsidRPr="00215667" w:rsidRDefault="00412474" w:rsidP="00146C3D">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бр.4</w:t>
      </w:r>
      <w:bookmarkStart w:id="35" w:name="_Hlk186449673"/>
      <w:r w:rsidR="00146C3D">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Приказ на самопријавени симптоми на крвавење и истовремено регистрирање на повеќе клинички симптоми, пред поставување на дијагнозата хипоагрегабилност</w:t>
      </w:r>
    </w:p>
    <w:tbl>
      <w:tblPr>
        <w:tblStyle w:val="TableGrid1"/>
        <w:tblW w:w="0" w:type="auto"/>
        <w:tblLook w:val="04A0" w:firstRow="1" w:lastRow="0" w:firstColumn="1" w:lastColumn="0" w:noHBand="0" w:noVBand="1"/>
      </w:tblPr>
      <w:tblGrid>
        <w:gridCol w:w="4496"/>
        <w:gridCol w:w="1642"/>
        <w:gridCol w:w="1800"/>
      </w:tblGrid>
      <w:tr w:rsidR="00412474" w:rsidRPr="00215667" w14:paraId="4F2DB983"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bookmarkEnd w:id="35"/>
          <w:p w14:paraId="05D1080C" w14:textId="77777777" w:rsidR="00412474" w:rsidRPr="00215667" w:rsidRDefault="00412474" w:rsidP="00435E3A">
            <w:pPr>
              <w:rPr>
                <w:rFonts w:ascii="Times New Roman" w:eastAsia="Times New Roman" w:hAnsi="Times New Roman" w:cs="Times New Roman"/>
                <w:b/>
                <w:sz w:val="24"/>
                <w:szCs w:val="24"/>
              </w:rPr>
            </w:pPr>
            <w:proofErr w:type="spellStart"/>
            <w:r w:rsidRPr="00215667">
              <w:rPr>
                <w:rFonts w:ascii="Times New Roman" w:eastAsia="Times New Roman" w:hAnsi="Times New Roman" w:cs="Times New Roman"/>
                <w:b/>
                <w:sz w:val="24"/>
                <w:szCs w:val="24"/>
              </w:rPr>
              <w:t>Самопријавени</w:t>
            </w:r>
            <w:proofErr w:type="spellEnd"/>
            <w:r w:rsidRPr="00215667">
              <w:rPr>
                <w:rFonts w:ascii="Times New Roman" w:eastAsia="Times New Roman" w:hAnsi="Times New Roman" w:cs="Times New Roman"/>
                <w:b/>
                <w:sz w:val="24"/>
                <w:szCs w:val="24"/>
              </w:rPr>
              <w:t xml:space="preserve"> </w:t>
            </w:r>
            <w:proofErr w:type="spellStart"/>
            <w:r w:rsidRPr="00215667">
              <w:rPr>
                <w:rFonts w:ascii="Times New Roman" w:eastAsia="Times New Roman" w:hAnsi="Times New Roman" w:cs="Times New Roman"/>
                <w:b/>
                <w:sz w:val="24"/>
                <w:szCs w:val="24"/>
              </w:rPr>
              <w:t>симптоми</w:t>
            </w:r>
            <w:proofErr w:type="spellEnd"/>
            <w:r w:rsidRPr="00215667">
              <w:rPr>
                <w:rFonts w:ascii="Times New Roman" w:eastAsia="Times New Roman" w:hAnsi="Times New Roman" w:cs="Times New Roman"/>
                <w:b/>
                <w:sz w:val="24"/>
                <w:szCs w:val="24"/>
              </w:rPr>
              <w:t xml:space="preserve"> </w:t>
            </w:r>
            <w:proofErr w:type="spellStart"/>
            <w:r w:rsidRPr="00215667">
              <w:rPr>
                <w:rFonts w:ascii="Times New Roman" w:eastAsia="Times New Roman" w:hAnsi="Times New Roman" w:cs="Times New Roman"/>
                <w:b/>
                <w:sz w:val="24"/>
                <w:szCs w:val="24"/>
              </w:rPr>
              <w:t>на</w:t>
            </w:r>
            <w:proofErr w:type="spellEnd"/>
            <w:r w:rsidRPr="00215667">
              <w:rPr>
                <w:rFonts w:ascii="Times New Roman" w:eastAsia="Times New Roman" w:hAnsi="Times New Roman" w:cs="Times New Roman"/>
                <w:b/>
                <w:sz w:val="24"/>
                <w:szCs w:val="24"/>
              </w:rPr>
              <w:t xml:space="preserve"> </w:t>
            </w:r>
            <w:proofErr w:type="spellStart"/>
            <w:r w:rsidRPr="00215667">
              <w:rPr>
                <w:rFonts w:ascii="Times New Roman" w:eastAsia="Times New Roman" w:hAnsi="Times New Roman" w:cs="Times New Roman"/>
                <w:b/>
                <w:sz w:val="24"/>
                <w:szCs w:val="24"/>
              </w:rPr>
              <w:t>крвавење</w:t>
            </w:r>
            <w:proofErr w:type="spellEnd"/>
          </w:p>
        </w:tc>
        <w:tc>
          <w:tcPr>
            <w:tcW w:w="1642"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F2E57A7" w14:textId="73284361" w:rsidR="00412474" w:rsidRPr="00215667" w:rsidRDefault="00146C3D"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Б</w:t>
            </w:r>
            <w:proofErr w:type="spellStart"/>
            <w:r w:rsidR="00412474" w:rsidRPr="00215667">
              <w:rPr>
                <w:rFonts w:ascii="Times New Roman" w:eastAsia="Times New Roman" w:hAnsi="Times New Roman" w:cs="Times New Roman"/>
                <w:b/>
                <w:bCs/>
                <w:color w:val="000000"/>
                <w:sz w:val="24"/>
                <w:szCs w:val="24"/>
              </w:rPr>
              <w:t>рој</w:t>
            </w:r>
            <w:proofErr w:type="spellEnd"/>
          </w:p>
        </w:tc>
        <w:tc>
          <w:tcPr>
            <w:tcW w:w="1800"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FE56A59"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w:t>
            </w:r>
          </w:p>
        </w:tc>
      </w:tr>
      <w:tr w:rsidR="00412474" w:rsidRPr="00215667" w14:paraId="2FB13AFC"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832C70F" w14:textId="28188860" w:rsidR="00412474" w:rsidRPr="00215667" w:rsidRDefault="00146C3D" w:rsidP="00435E3A">
            <w:pPr>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lang w:val="mk-MK"/>
              </w:rPr>
              <w:t>е</w:t>
            </w:r>
            <w:proofErr w:type="spellStart"/>
            <w:r w:rsidR="00412474" w:rsidRPr="00215667">
              <w:rPr>
                <w:rFonts w:ascii="Times New Roman" w:eastAsia="Times New Roman" w:hAnsi="Times New Roman" w:cs="Times New Roman"/>
                <w:bCs/>
                <w:color w:val="000000"/>
                <w:sz w:val="24"/>
                <w:szCs w:val="24"/>
              </w:rPr>
              <w:t>ден</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симптом</w:t>
            </w:r>
            <w:proofErr w:type="spellEnd"/>
            <w:r w:rsidR="00412474" w:rsidRPr="00215667">
              <w:rPr>
                <w:rFonts w:ascii="Times New Roman" w:eastAsia="Times New Roman" w:hAnsi="Times New Roman" w:cs="Times New Roman"/>
                <w:bCs/>
                <w:color w:val="000000"/>
                <w:sz w:val="24"/>
                <w:szCs w:val="24"/>
              </w:rPr>
              <w:t xml:space="preserve"> </w:t>
            </w:r>
          </w:p>
        </w:tc>
        <w:tc>
          <w:tcPr>
            <w:tcW w:w="1642" w:type="dxa"/>
            <w:tcBorders>
              <w:top w:val="single" w:sz="4" w:space="0" w:color="auto"/>
              <w:left w:val="single" w:sz="4" w:space="0" w:color="auto"/>
              <w:bottom w:val="single" w:sz="4" w:space="0" w:color="auto"/>
              <w:right w:val="single" w:sz="4" w:space="0" w:color="auto"/>
            </w:tcBorders>
            <w:noWrap/>
            <w:hideMark/>
          </w:tcPr>
          <w:p w14:paraId="3F0B5694"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12</w:t>
            </w:r>
          </w:p>
        </w:tc>
        <w:tc>
          <w:tcPr>
            <w:tcW w:w="1800" w:type="dxa"/>
            <w:tcBorders>
              <w:top w:val="single" w:sz="4" w:space="0" w:color="auto"/>
              <w:left w:val="single" w:sz="4" w:space="0" w:color="auto"/>
              <w:bottom w:val="single" w:sz="4" w:space="0" w:color="auto"/>
              <w:right w:val="single" w:sz="4" w:space="0" w:color="auto"/>
            </w:tcBorders>
            <w:noWrap/>
            <w:hideMark/>
          </w:tcPr>
          <w:p w14:paraId="31053439"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18.75</w:t>
            </w:r>
          </w:p>
        </w:tc>
      </w:tr>
      <w:tr w:rsidR="00412474" w:rsidRPr="00215667" w14:paraId="2C089735"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D30ABF1" w14:textId="091C71A8" w:rsidR="00412474" w:rsidRPr="00215667" w:rsidRDefault="00146C3D" w:rsidP="00435E3A">
            <w:pPr>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lang w:val="mk-MK"/>
              </w:rPr>
              <w:t>д</w:t>
            </w:r>
            <w:proofErr w:type="spellStart"/>
            <w:r w:rsidR="00412474" w:rsidRPr="00215667">
              <w:rPr>
                <w:rFonts w:ascii="Times New Roman" w:eastAsia="Times New Roman" w:hAnsi="Times New Roman" w:cs="Times New Roman"/>
                <w:bCs/>
                <w:color w:val="000000"/>
                <w:sz w:val="24"/>
                <w:szCs w:val="24"/>
              </w:rPr>
              <w:t>ва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симптома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во</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исто</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време</w:t>
            </w:r>
            <w:proofErr w:type="spellEnd"/>
          </w:p>
        </w:tc>
        <w:tc>
          <w:tcPr>
            <w:tcW w:w="1642" w:type="dxa"/>
            <w:tcBorders>
              <w:top w:val="single" w:sz="4" w:space="0" w:color="auto"/>
              <w:left w:val="single" w:sz="4" w:space="0" w:color="auto"/>
              <w:bottom w:val="single" w:sz="4" w:space="0" w:color="auto"/>
              <w:right w:val="single" w:sz="4" w:space="0" w:color="auto"/>
            </w:tcBorders>
            <w:noWrap/>
            <w:hideMark/>
          </w:tcPr>
          <w:p w14:paraId="0F410097"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36</w:t>
            </w:r>
          </w:p>
        </w:tc>
        <w:tc>
          <w:tcPr>
            <w:tcW w:w="1800" w:type="dxa"/>
            <w:tcBorders>
              <w:top w:val="single" w:sz="4" w:space="0" w:color="auto"/>
              <w:left w:val="single" w:sz="4" w:space="0" w:color="auto"/>
              <w:bottom w:val="single" w:sz="4" w:space="0" w:color="auto"/>
              <w:right w:val="single" w:sz="4" w:space="0" w:color="auto"/>
            </w:tcBorders>
            <w:noWrap/>
            <w:hideMark/>
          </w:tcPr>
          <w:p w14:paraId="4BC051A2"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56.25</w:t>
            </w:r>
          </w:p>
        </w:tc>
      </w:tr>
      <w:tr w:rsidR="00412474" w:rsidRPr="00215667" w14:paraId="74BD0B10"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09DA08C" w14:textId="0B5A979F" w:rsidR="00412474" w:rsidRPr="00215667" w:rsidRDefault="00146C3D" w:rsidP="00435E3A">
            <w:pPr>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lang w:val="mk-MK"/>
              </w:rPr>
              <w:t>т</w:t>
            </w:r>
            <w:proofErr w:type="spellStart"/>
            <w:r w:rsidR="00412474" w:rsidRPr="00215667">
              <w:rPr>
                <w:rFonts w:ascii="Times New Roman" w:eastAsia="Times New Roman" w:hAnsi="Times New Roman" w:cs="Times New Roman"/>
                <w:bCs/>
                <w:color w:val="000000"/>
                <w:sz w:val="24"/>
                <w:szCs w:val="24"/>
              </w:rPr>
              <w:t>ри</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симптоми</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во</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исто</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време</w:t>
            </w:r>
            <w:proofErr w:type="spellEnd"/>
          </w:p>
        </w:tc>
        <w:tc>
          <w:tcPr>
            <w:tcW w:w="1642" w:type="dxa"/>
            <w:tcBorders>
              <w:top w:val="single" w:sz="4" w:space="0" w:color="auto"/>
              <w:left w:val="single" w:sz="4" w:space="0" w:color="auto"/>
              <w:bottom w:val="single" w:sz="4" w:space="0" w:color="auto"/>
              <w:right w:val="single" w:sz="4" w:space="0" w:color="auto"/>
            </w:tcBorders>
            <w:noWrap/>
            <w:hideMark/>
          </w:tcPr>
          <w:p w14:paraId="1A2501F7"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14</w:t>
            </w:r>
          </w:p>
        </w:tc>
        <w:tc>
          <w:tcPr>
            <w:tcW w:w="1800" w:type="dxa"/>
            <w:tcBorders>
              <w:top w:val="single" w:sz="4" w:space="0" w:color="auto"/>
              <w:left w:val="single" w:sz="4" w:space="0" w:color="auto"/>
              <w:bottom w:val="single" w:sz="4" w:space="0" w:color="auto"/>
              <w:right w:val="single" w:sz="4" w:space="0" w:color="auto"/>
            </w:tcBorders>
            <w:noWrap/>
            <w:hideMark/>
          </w:tcPr>
          <w:p w14:paraId="18C911D0"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21.9</w:t>
            </w:r>
          </w:p>
        </w:tc>
      </w:tr>
      <w:tr w:rsidR="00412474" w:rsidRPr="00215667" w14:paraId="0CDEA2F6"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35E4EFD"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четири</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симптоми</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во</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исто</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време</w:t>
            </w:r>
            <w:proofErr w:type="spellEnd"/>
          </w:p>
        </w:tc>
        <w:tc>
          <w:tcPr>
            <w:tcW w:w="1642" w:type="dxa"/>
            <w:tcBorders>
              <w:top w:val="single" w:sz="4" w:space="0" w:color="auto"/>
              <w:left w:val="single" w:sz="4" w:space="0" w:color="auto"/>
              <w:bottom w:val="single" w:sz="4" w:space="0" w:color="auto"/>
              <w:right w:val="single" w:sz="4" w:space="0" w:color="auto"/>
            </w:tcBorders>
            <w:noWrap/>
            <w:hideMark/>
          </w:tcPr>
          <w:p w14:paraId="24090239" w14:textId="77777777" w:rsidR="00412474" w:rsidRPr="00215667" w:rsidRDefault="00412474" w:rsidP="00435E3A">
            <w:pPr>
              <w:jc w:val="center"/>
              <w:rPr>
                <w:rFonts w:ascii="Times New Roman" w:eastAsia="Times New Roman" w:hAnsi="Times New Roman" w:cs="Times New Roman"/>
                <w:color w:val="000000"/>
                <w:sz w:val="24"/>
                <w:szCs w:val="24"/>
              </w:rPr>
            </w:pPr>
            <w:r w:rsidRPr="00215667">
              <w:rPr>
                <w:rFonts w:ascii="Times New Roman" w:eastAsia="Times New Roman" w:hAnsi="Times New Roman" w:cs="Times New Roman"/>
                <w:color w:val="000000"/>
                <w:sz w:val="24"/>
                <w:szCs w:val="24"/>
              </w:rPr>
              <w:t>2</w:t>
            </w:r>
          </w:p>
        </w:tc>
        <w:tc>
          <w:tcPr>
            <w:tcW w:w="1800" w:type="dxa"/>
            <w:tcBorders>
              <w:top w:val="single" w:sz="4" w:space="0" w:color="auto"/>
              <w:left w:val="single" w:sz="4" w:space="0" w:color="auto"/>
              <w:bottom w:val="single" w:sz="4" w:space="0" w:color="auto"/>
              <w:right w:val="single" w:sz="4" w:space="0" w:color="auto"/>
            </w:tcBorders>
            <w:noWrap/>
            <w:hideMark/>
          </w:tcPr>
          <w:p w14:paraId="08A71509" w14:textId="77777777" w:rsidR="00412474" w:rsidRPr="00215667" w:rsidRDefault="00412474" w:rsidP="00435E3A">
            <w:pPr>
              <w:jc w:val="center"/>
              <w:rPr>
                <w:rFonts w:ascii="Times New Roman" w:eastAsia="Times New Roman" w:hAnsi="Times New Roman" w:cs="Times New Roman"/>
                <w:color w:val="000000"/>
                <w:sz w:val="24"/>
                <w:szCs w:val="24"/>
              </w:rPr>
            </w:pPr>
            <w:r w:rsidRPr="00215667">
              <w:rPr>
                <w:rFonts w:ascii="Times New Roman" w:eastAsia="Times New Roman" w:hAnsi="Times New Roman" w:cs="Times New Roman"/>
                <w:color w:val="000000"/>
                <w:sz w:val="24"/>
                <w:szCs w:val="24"/>
              </w:rPr>
              <w:t>3.1</w:t>
            </w:r>
          </w:p>
        </w:tc>
      </w:tr>
    </w:tbl>
    <w:p w14:paraId="541E5CAE" w14:textId="77777777" w:rsidR="00412474" w:rsidRPr="00215667" w:rsidRDefault="00412474" w:rsidP="00412474">
      <w:pPr>
        <w:spacing w:after="120" w:line="360" w:lineRule="auto"/>
        <w:rPr>
          <w:rFonts w:ascii="Times New Roman" w:eastAsia="Calibri" w:hAnsi="Times New Roman" w:cs="Times New Roman"/>
          <w:sz w:val="24"/>
          <w:szCs w:val="24"/>
        </w:rPr>
      </w:pPr>
    </w:p>
    <w:p w14:paraId="2BD66A96" w14:textId="2D6F0174" w:rsidR="00412474" w:rsidRPr="00215667" w:rsidRDefault="00412474" w:rsidP="00146C3D">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Графикон бр.</w:t>
      </w:r>
      <w:r w:rsidR="00146C3D">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4</w:t>
      </w:r>
      <w:r w:rsidR="00146C3D">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Приказ на самопријавени симптоми на крвавење и истовремено регистрирање на повеќе клинички симптоми, пред поставување на дијагнозата хипоагрегабилност </w:t>
      </w:r>
      <w:r w:rsidRPr="00215667">
        <w:rPr>
          <w:rFonts w:ascii="Times New Roman" w:eastAsia="Calibri" w:hAnsi="Times New Roman" w:cs="Times New Roman"/>
          <w:noProof/>
          <w:sz w:val="24"/>
          <w:szCs w:val="24"/>
          <w:lang w:val="en-US"/>
        </w:rPr>
        <w:drawing>
          <wp:inline distT="0" distB="0" distL="0" distR="0" wp14:anchorId="51BD6416" wp14:editId="69B5739C">
            <wp:extent cx="5495925" cy="2752725"/>
            <wp:effectExtent l="0" t="0" r="9525" b="9525"/>
            <wp:docPr id="4"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BC3BB22" w14:textId="10C28BFB" w:rsidR="00412474" w:rsidRPr="00215667" w:rsidRDefault="00412474" w:rsidP="00412474">
      <w:pPr>
        <w:spacing w:after="120" w:line="360" w:lineRule="auto"/>
        <w:ind w:firstLine="720"/>
        <w:jc w:val="both"/>
        <w:rPr>
          <w:rFonts w:ascii="Times New Roman" w:eastAsia="Calibri" w:hAnsi="Times New Roman" w:cs="Times New Roman"/>
          <w:bCs/>
          <w:sz w:val="24"/>
          <w:szCs w:val="24"/>
        </w:rPr>
      </w:pPr>
      <w:r w:rsidRPr="00215667">
        <w:rPr>
          <w:rFonts w:ascii="Times New Roman" w:eastAsia="Calibri" w:hAnsi="Times New Roman" w:cs="Times New Roman"/>
          <w:sz w:val="24"/>
          <w:szCs w:val="24"/>
        </w:rPr>
        <w:t xml:space="preserve"> Според интензитетот </w:t>
      </w:r>
      <w:r w:rsidRPr="00215667">
        <w:rPr>
          <w:rFonts w:ascii="Times New Roman" w:eastAsia="Times New Roman" w:hAnsi="Times New Roman" w:cs="Times New Roman"/>
          <w:bCs/>
          <w:color w:val="000000"/>
          <w:sz w:val="24"/>
          <w:szCs w:val="24"/>
        </w:rPr>
        <w:t xml:space="preserve">на инцидентна појава на </w:t>
      </w:r>
      <w:r w:rsidRPr="00215667">
        <w:rPr>
          <w:rFonts w:ascii="Times New Roman" w:eastAsia="Calibri" w:hAnsi="Times New Roman" w:cs="Times New Roman"/>
          <w:bCs/>
          <w:sz w:val="24"/>
          <w:szCs w:val="24"/>
        </w:rPr>
        <w:t xml:space="preserve">пролонгирани крвавења </w:t>
      </w:r>
      <w:r w:rsidRPr="00215667">
        <w:rPr>
          <w:rFonts w:ascii="Times New Roman" w:eastAsia="Calibri" w:hAnsi="Times New Roman" w:cs="Times New Roman"/>
          <w:sz w:val="24"/>
          <w:szCs w:val="24"/>
        </w:rPr>
        <w:t>пред поставување на дијагнозата хипоагрегабилна состојба на тромбоцитите,</w:t>
      </w:r>
      <w:r w:rsidRPr="00215667">
        <w:rPr>
          <w:rFonts w:ascii="Times New Roman" w:eastAsia="Calibri" w:hAnsi="Times New Roman" w:cs="Times New Roman"/>
          <w:bCs/>
          <w:sz w:val="24"/>
          <w:szCs w:val="24"/>
        </w:rPr>
        <w:t xml:space="preserve"> се регистрираат: умерени крвавења кај 53.1</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 xml:space="preserve">%, тешки крвавења се регистрирани кај </w:t>
      </w:r>
      <w:r w:rsidRPr="00215667">
        <w:rPr>
          <w:rFonts w:ascii="Times New Roman" w:eastAsia="Calibri" w:hAnsi="Times New Roman" w:cs="Times New Roman"/>
          <w:bCs/>
          <w:sz w:val="24"/>
          <w:szCs w:val="24"/>
        </w:rPr>
        <w:lastRenderedPageBreak/>
        <w:t>45.3</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 и само кај еден пациент е регистрирано лесно крвавење. Процентуалн</w:t>
      </w:r>
      <w:r w:rsidR="00146C3D">
        <w:rPr>
          <w:rFonts w:ascii="Times New Roman" w:eastAsia="Calibri" w:hAnsi="Times New Roman" w:cs="Times New Roman"/>
          <w:bCs/>
          <w:sz w:val="24"/>
          <w:szCs w:val="24"/>
        </w:rPr>
        <w:t>а</w:t>
      </w:r>
      <w:r w:rsidRPr="00215667">
        <w:rPr>
          <w:rFonts w:ascii="Times New Roman" w:eastAsia="Calibri" w:hAnsi="Times New Roman" w:cs="Times New Roman"/>
          <w:bCs/>
          <w:sz w:val="24"/>
          <w:szCs w:val="24"/>
        </w:rPr>
        <w:t xml:space="preserve">та разлика помеѓу умерени </w:t>
      </w:r>
      <w:r w:rsidR="001F2E2D">
        <w:rPr>
          <w:rFonts w:ascii="Times New Roman" w:eastAsia="Calibri" w:hAnsi="Times New Roman" w:cs="Times New Roman"/>
          <w:bCs/>
          <w:sz w:val="24"/>
          <w:szCs w:val="24"/>
        </w:rPr>
        <w:t>версус</w:t>
      </w:r>
      <w:r w:rsidRPr="00215667">
        <w:rPr>
          <w:rFonts w:ascii="Times New Roman" w:eastAsia="Calibri" w:hAnsi="Times New Roman" w:cs="Times New Roman"/>
          <w:bCs/>
          <w:sz w:val="24"/>
          <w:szCs w:val="24"/>
        </w:rPr>
        <w:t xml:space="preserve"> тешки крвавења не е сигнификантна за p</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&gt;</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.05 (Difference test, p</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 xml:space="preserve">.3775). </w:t>
      </w:r>
    </w:p>
    <w:p w14:paraId="7EEEDB7E" w14:textId="3AE0B679" w:rsidR="00412474" w:rsidRPr="00215667" w:rsidRDefault="00412474" w:rsidP="00412474">
      <w:pPr>
        <w:spacing w:after="120" w:line="360" w:lineRule="auto"/>
        <w:ind w:firstLine="720"/>
        <w:jc w:val="both"/>
        <w:rPr>
          <w:rFonts w:ascii="Times New Roman" w:eastAsia="Calibri" w:hAnsi="Times New Roman" w:cs="Times New Roman"/>
          <w:bCs/>
          <w:sz w:val="24"/>
          <w:szCs w:val="24"/>
        </w:rPr>
      </w:pPr>
      <w:r w:rsidRPr="00215667">
        <w:rPr>
          <w:rFonts w:ascii="Times New Roman" w:eastAsia="Calibri" w:hAnsi="Times New Roman" w:cs="Times New Roman"/>
          <w:bCs/>
          <w:sz w:val="24"/>
          <w:szCs w:val="24"/>
        </w:rPr>
        <w:t xml:space="preserve">Процентуалната разлика е сигнификантна помеѓу тешко </w:t>
      </w:r>
      <w:r w:rsidR="00EC49EB" w:rsidRPr="00215667">
        <w:rPr>
          <w:rFonts w:ascii="Times New Roman" w:eastAsia="Calibri" w:hAnsi="Times New Roman" w:cs="Times New Roman"/>
          <w:bCs/>
          <w:sz w:val="24"/>
          <w:szCs w:val="24"/>
        </w:rPr>
        <w:t>крвавење</w:t>
      </w:r>
      <w:r w:rsidRPr="00215667">
        <w:rPr>
          <w:rFonts w:ascii="Times New Roman" w:eastAsia="Calibri" w:hAnsi="Times New Roman" w:cs="Times New Roman"/>
          <w:bCs/>
          <w:sz w:val="24"/>
          <w:szCs w:val="24"/>
        </w:rPr>
        <w:t xml:space="preserve"> </w:t>
      </w:r>
      <w:r w:rsidR="001F2E2D">
        <w:rPr>
          <w:rFonts w:ascii="Times New Roman" w:eastAsia="Calibri" w:hAnsi="Times New Roman" w:cs="Times New Roman"/>
          <w:bCs/>
          <w:sz w:val="24"/>
          <w:szCs w:val="24"/>
        </w:rPr>
        <w:t>версус</w:t>
      </w:r>
      <w:r w:rsidRPr="00215667">
        <w:rPr>
          <w:rFonts w:ascii="Times New Roman" w:eastAsia="Calibri" w:hAnsi="Times New Roman" w:cs="Times New Roman"/>
          <w:bCs/>
          <w:sz w:val="24"/>
          <w:szCs w:val="24"/>
        </w:rPr>
        <w:t xml:space="preserve"> лесно и умерено </w:t>
      </w:r>
      <w:r w:rsidR="001F2E2D">
        <w:rPr>
          <w:rFonts w:ascii="Times New Roman" w:eastAsia="Calibri" w:hAnsi="Times New Roman" w:cs="Times New Roman"/>
          <w:bCs/>
          <w:sz w:val="24"/>
          <w:szCs w:val="24"/>
        </w:rPr>
        <w:t>версус</w:t>
      </w:r>
      <w:r w:rsidRPr="00215667">
        <w:rPr>
          <w:rFonts w:ascii="Times New Roman" w:eastAsia="Calibri" w:hAnsi="Times New Roman" w:cs="Times New Roman"/>
          <w:bCs/>
          <w:sz w:val="24"/>
          <w:szCs w:val="24"/>
        </w:rPr>
        <w:t xml:space="preserve"> лесн</w:t>
      </w:r>
      <w:r w:rsidR="00146C3D">
        <w:rPr>
          <w:rFonts w:ascii="Times New Roman" w:eastAsia="Calibri" w:hAnsi="Times New Roman" w:cs="Times New Roman"/>
          <w:bCs/>
          <w:sz w:val="24"/>
          <w:szCs w:val="24"/>
        </w:rPr>
        <w:t>о</w:t>
      </w:r>
      <w:r w:rsidRPr="00215667">
        <w:rPr>
          <w:rFonts w:ascii="Times New Roman" w:eastAsia="Calibri" w:hAnsi="Times New Roman" w:cs="Times New Roman"/>
          <w:bCs/>
          <w:sz w:val="24"/>
          <w:szCs w:val="24"/>
        </w:rPr>
        <w:t xml:space="preserve"> </w:t>
      </w:r>
      <w:r w:rsidR="00EC49EB" w:rsidRPr="00215667">
        <w:rPr>
          <w:rFonts w:ascii="Times New Roman" w:eastAsia="Calibri" w:hAnsi="Times New Roman" w:cs="Times New Roman"/>
          <w:bCs/>
          <w:sz w:val="24"/>
          <w:szCs w:val="24"/>
        </w:rPr>
        <w:t>крвавење</w:t>
      </w:r>
      <w:r w:rsidRPr="00215667">
        <w:rPr>
          <w:rFonts w:ascii="Times New Roman" w:eastAsia="Calibri" w:hAnsi="Times New Roman" w:cs="Times New Roman"/>
          <w:bCs/>
          <w:sz w:val="24"/>
          <w:szCs w:val="24"/>
        </w:rPr>
        <w:t xml:space="preserve"> за p</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&lt;</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.05 (Difference test, p</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color w:val="FF0000"/>
          <w:sz w:val="24"/>
          <w:szCs w:val="24"/>
        </w:rPr>
        <w:t>=</w:t>
      </w:r>
      <w:r w:rsidR="00146C3D">
        <w:rPr>
          <w:rFonts w:ascii="Times New Roman" w:eastAsia="Calibri" w:hAnsi="Times New Roman" w:cs="Times New Roman"/>
          <w:bCs/>
          <w:color w:val="FF0000"/>
          <w:sz w:val="24"/>
          <w:szCs w:val="24"/>
        </w:rPr>
        <w:t xml:space="preserve"> </w:t>
      </w:r>
      <w:r w:rsidRPr="00215667">
        <w:rPr>
          <w:rFonts w:ascii="Times New Roman" w:eastAsia="Calibri" w:hAnsi="Times New Roman" w:cs="Times New Roman"/>
          <w:bCs/>
          <w:color w:val="FF0000"/>
          <w:sz w:val="24"/>
          <w:szCs w:val="24"/>
        </w:rPr>
        <w:t>.0000</w:t>
      </w:r>
      <w:r w:rsidRPr="00215667">
        <w:rPr>
          <w:rFonts w:ascii="Times New Roman" w:eastAsia="Calibri" w:hAnsi="Times New Roman" w:cs="Times New Roman"/>
          <w:bCs/>
          <w:sz w:val="24"/>
          <w:szCs w:val="24"/>
        </w:rPr>
        <w:t>)</w:t>
      </w:r>
      <w:r w:rsidR="00146C3D">
        <w:rPr>
          <w:rFonts w:ascii="Times New Roman" w:eastAsia="Calibri" w:hAnsi="Times New Roman" w:cs="Times New Roman"/>
          <w:bCs/>
          <w:sz w:val="24"/>
          <w:szCs w:val="24"/>
        </w:rPr>
        <w:t xml:space="preserve"> </w:t>
      </w:r>
      <w:r w:rsidRPr="00215667">
        <w:rPr>
          <w:rFonts w:ascii="Times New Roman" w:eastAsia="Calibri" w:hAnsi="Times New Roman" w:cs="Times New Roman"/>
          <w:bCs/>
          <w:sz w:val="24"/>
          <w:szCs w:val="24"/>
        </w:rPr>
        <w:t xml:space="preserve">(табела </w:t>
      </w:r>
      <w:r w:rsidR="00146C3D">
        <w:rPr>
          <w:rFonts w:ascii="Times New Roman" w:eastAsia="Calibri" w:hAnsi="Times New Roman" w:cs="Times New Roman"/>
          <w:bCs/>
          <w:sz w:val="24"/>
          <w:szCs w:val="24"/>
        </w:rPr>
        <w:t>бр. 5</w:t>
      </w:r>
      <w:r w:rsidRPr="00215667">
        <w:rPr>
          <w:rFonts w:ascii="Times New Roman" w:eastAsia="Calibri" w:hAnsi="Times New Roman" w:cs="Times New Roman"/>
          <w:bCs/>
          <w:sz w:val="24"/>
          <w:szCs w:val="24"/>
        </w:rPr>
        <w:t xml:space="preserve"> и графикон бр</w:t>
      </w:r>
      <w:r w:rsidR="00146C3D">
        <w:rPr>
          <w:rFonts w:ascii="Times New Roman" w:eastAsia="Calibri" w:hAnsi="Times New Roman" w:cs="Times New Roman"/>
          <w:bCs/>
          <w:sz w:val="24"/>
          <w:szCs w:val="24"/>
        </w:rPr>
        <w:t>.</w:t>
      </w:r>
      <w:r w:rsidRPr="00215667">
        <w:rPr>
          <w:rFonts w:ascii="Times New Roman" w:eastAsia="Calibri" w:hAnsi="Times New Roman" w:cs="Times New Roman"/>
          <w:bCs/>
          <w:sz w:val="24"/>
          <w:szCs w:val="24"/>
        </w:rPr>
        <w:t xml:space="preserve"> 5)</w:t>
      </w:r>
      <w:r w:rsidR="00146C3D">
        <w:rPr>
          <w:rFonts w:ascii="Times New Roman" w:eastAsia="Calibri" w:hAnsi="Times New Roman" w:cs="Times New Roman"/>
          <w:bCs/>
          <w:sz w:val="24"/>
          <w:szCs w:val="24"/>
        </w:rPr>
        <w:t>.</w:t>
      </w:r>
    </w:p>
    <w:p w14:paraId="2C67704E" w14:textId="0F9CB050" w:rsidR="00412474" w:rsidRPr="00215667" w:rsidRDefault="00412474" w:rsidP="00146C3D">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w:t>
      </w:r>
      <w:r w:rsidR="00146C3D">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5</w:t>
      </w:r>
      <w:r w:rsidR="00146C3D">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интензитетот на инцидентна појава на самопријавени пролонгирани крвавења пред поставување на дијагнозата хипоагрегабилна состојба на тромбоцитите</w:t>
      </w:r>
    </w:p>
    <w:tbl>
      <w:tblPr>
        <w:tblStyle w:val="TableGrid1"/>
        <w:tblW w:w="0" w:type="auto"/>
        <w:tblLook w:val="04A0" w:firstRow="1" w:lastRow="0" w:firstColumn="1" w:lastColumn="0" w:noHBand="0" w:noVBand="1"/>
      </w:tblPr>
      <w:tblGrid>
        <w:gridCol w:w="4673"/>
        <w:gridCol w:w="2126"/>
        <w:gridCol w:w="1844"/>
      </w:tblGrid>
      <w:tr w:rsidR="00412474" w:rsidRPr="00215667" w14:paraId="5D811A25" w14:textId="77777777" w:rsidTr="00435E3A">
        <w:tc>
          <w:tcPr>
            <w:tcW w:w="8643" w:type="dxa"/>
            <w:gridSpan w:val="3"/>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74C19A9" w14:textId="77777777" w:rsidR="00412474" w:rsidRPr="00215667" w:rsidRDefault="00412474" w:rsidP="00435E3A">
            <w:pPr>
              <w:rPr>
                <w:rFonts w:ascii="Times New Roman" w:eastAsia="Times New Roman" w:hAnsi="Times New Roman" w:cs="Times New Roman"/>
                <w:b/>
                <w:color w:val="000000"/>
                <w:sz w:val="24"/>
                <w:szCs w:val="24"/>
              </w:rPr>
            </w:pPr>
            <w:proofErr w:type="spellStart"/>
            <w:r w:rsidRPr="00215667">
              <w:rPr>
                <w:rFonts w:ascii="Times New Roman" w:eastAsia="Times New Roman" w:hAnsi="Times New Roman" w:cs="Times New Roman"/>
                <w:b/>
                <w:color w:val="000000"/>
                <w:sz w:val="24"/>
                <w:szCs w:val="24"/>
              </w:rPr>
              <w:t>Интензитет</w:t>
            </w:r>
            <w:proofErr w:type="spellEnd"/>
            <w:r w:rsidRPr="00215667">
              <w:rPr>
                <w:rFonts w:ascii="Times New Roman" w:eastAsia="Times New Roman" w:hAnsi="Times New Roman" w:cs="Times New Roman"/>
                <w:b/>
                <w:color w:val="000000"/>
                <w:sz w:val="24"/>
                <w:szCs w:val="24"/>
              </w:rPr>
              <w:t xml:space="preserve"> </w:t>
            </w:r>
            <w:proofErr w:type="spellStart"/>
            <w:r w:rsidRPr="00215667">
              <w:rPr>
                <w:rFonts w:ascii="Times New Roman" w:eastAsia="Times New Roman" w:hAnsi="Times New Roman" w:cs="Times New Roman"/>
                <w:b/>
                <w:color w:val="000000"/>
                <w:sz w:val="24"/>
                <w:szCs w:val="24"/>
              </w:rPr>
              <w:t>на</w:t>
            </w:r>
            <w:proofErr w:type="spellEnd"/>
            <w:r w:rsidRPr="00215667">
              <w:rPr>
                <w:rFonts w:ascii="Times New Roman" w:eastAsia="Times New Roman" w:hAnsi="Times New Roman" w:cs="Times New Roman"/>
                <w:b/>
                <w:color w:val="000000"/>
                <w:sz w:val="24"/>
                <w:szCs w:val="24"/>
              </w:rPr>
              <w:t xml:space="preserve"> </w:t>
            </w:r>
            <w:proofErr w:type="spellStart"/>
            <w:r w:rsidRPr="00215667">
              <w:rPr>
                <w:rFonts w:ascii="Times New Roman" w:eastAsia="Times New Roman" w:hAnsi="Times New Roman" w:cs="Times New Roman"/>
                <w:b/>
                <w:color w:val="000000"/>
                <w:sz w:val="24"/>
                <w:szCs w:val="24"/>
              </w:rPr>
              <w:t>крвавење</w:t>
            </w:r>
            <w:proofErr w:type="spellEnd"/>
            <w:r w:rsidRPr="00215667">
              <w:rPr>
                <w:rFonts w:ascii="Times New Roman" w:eastAsia="Times New Roman" w:hAnsi="Times New Roman" w:cs="Times New Roman"/>
                <w:b/>
                <w:color w:val="000000"/>
                <w:sz w:val="24"/>
                <w:szCs w:val="24"/>
              </w:rPr>
              <w:t xml:space="preserve"> </w:t>
            </w:r>
            <w:proofErr w:type="spellStart"/>
            <w:r w:rsidRPr="00215667">
              <w:rPr>
                <w:rFonts w:ascii="Times New Roman" w:eastAsia="Times New Roman" w:hAnsi="Times New Roman" w:cs="Times New Roman"/>
                <w:b/>
                <w:color w:val="000000"/>
                <w:sz w:val="24"/>
                <w:szCs w:val="24"/>
              </w:rPr>
              <w:t>според</w:t>
            </w:r>
            <w:proofErr w:type="spellEnd"/>
            <w:r w:rsidRPr="00215667">
              <w:rPr>
                <w:rFonts w:ascii="Times New Roman" w:eastAsia="Times New Roman" w:hAnsi="Times New Roman" w:cs="Times New Roman"/>
                <w:b/>
                <w:color w:val="000000"/>
                <w:sz w:val="24"/>
                <w:szCs w:val="24"/>
              </w:rPr>
              <w:t xml:space="preserve"> </w:t>
            </w:r>
            <w:proofErr w:type="spellStart"/>
            <w:r w:rsidRPr="00215667">
              <w:rPr>
                <w:rFonts w:ascii="Times New Roman" w:eastAsia="Times New Roman" w:hAnsi="Times New Roman" w:cs="Times New Roman"/>
                <w:b/>
                <w:color w:val="000000"/>
                <w:sz w:val="24"/>
                <w:szCs w:val="24"/>
              </w:rPr>
              <w:t>самопријавени</w:t>
            </w:r>
            <w:proofErr w:type="spellEnd"/>
            <w:r w:rsidRPr="00215667">
              <w:rPr>
                <w:rFonts w:ascii="Times New Roman" w:eastAsia="Times New Roman" w:hAnsi="Times New Roman" w:cs="Times New Roman"/>
                <w:b/>
                <w:color w:val="000000"/>
                <w:sz w:val="24"/>
                <w:szCs w:val="24"/>
              </w:rPr>
              <w:t xml:space="preserve"> </w:t>
            </w:r>
            <w:proofErr w:type="spellStart"/>
            <w:r w:rsidRPr="00215667">
              <w:rPr>
                <w:rFonts w:ascii="Times New Roman" w:eastAsia="Times New Roman" w:hAnsi="Times New Roman" w:cs="Times New Roman"/>
                <w:b/>
                <w:color w:val="000000"/>
                <w:sz w:val="24"/>
                <w:szCs w:val="24"/>
              </w:rPr>
              <w:t>клинички</w:t>
            </w:r>
            <w:proofErr w:type="spellEnd"/>
            <w:r w:rsidRPr="00215667">
              <w:rPr>
                <w:rFonts w:ascii="Times New Roman" w:eastAsia="Times New Roman" w:hAnsi="Times New Roman" w:cs="Times New Roman"/>
                <w:b/>
                <w:color w:val="000000"/>
                <w:sz w:val="24"/>
                <w:szCs w:val="24"/>
              </w:rPr>
              <w:t xml:space="preserve"> </w:t>
            </w:r>
            <w:proofErr w:type="spellStart"/>
            <w:r w:rsidRPr="00215667">
              <w:rPr>
                <w:rFonts w:ascii="Times New Roman" w:eastAsia="Times New Roman" w:hAnsi="Times New Roman" w:cs="Times New Roman"/>
                <w:b/>
                <w:color w:val="000000"/>
                <w:sz w:val="24"/>
                <w:szCs w:val="24"/>
              </w:rPr>
              <w:t>симптоми</w:t>
            </w:r>
            <w:proofErr w:type="spellEnd"/>
          </w:p>
        </w:tc>
      </w:tr>
      <w:tr w:rsidR="00412474" w:rsidRPr="00215667" w14:paraId="23DF6F46" w14:textId="77777777" w:rsidTr="00435E3A">
        <w:tc>
          <w:tcPr>
            <w:tcW w:w="4673" w:type="dxa"/>
            <w:tcBorders>
              <w:top w:val="single" w:sz="4" w:space="0" w:color="auto"/>
              <w:left w:val="single" w:sz="4" w:space="0" w:color="auto"/>
              <w:bottom w:val="single" w:sz="4" w:space="0" w:color="auto"/>
              <w:right w:val="single" w:sz="4" w:space="0" w:color="auto"/>
            </w:tcBorders>
            <w:shd w:val="clear" w:color="auto" w:fill="E8E8E8" w:themeFill="background2"/>
            <w:noWrap/>
          </w:tcPr>
          <w:p w14:paraId="3CD4EEA9" w14:textId="77777777" w:rsidR="00412474" w:rsidRPr="00215667" w:rsidRDefault="00412474" w:rsidP="00435E3A">
            <w:pPr>
              <w:rPr>
                <w:rFonts w:ascii="Times New Roman" w:eastAsia="Times New Roman" w:hAnsi="Times New Roman" w:cs="Times New Roman"/>
                <w:bCs/>
                <w:color w:val="000000"/>
                <w:sz w:val="24"/>
                <w:szCs w:val="24"/>
              </w:rPr>
            </w:pPr>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4FD48E7A" w14:textId="5F7165CF" w:rsidR="00412474" w:rsidRPr="00215667" w:rsidRDefault="00F9360F" w:rsidP="00435E3A">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mk-MK"/>
              </w:rPr>
              <w:t>Б</w:t>
            </w:r>
            <w:proofErr w:type="spellStart"/>
            <w:r w:rsidR="00412474" w:rsidRPr="00215667">
              <w:rPr>
                <w:rFonts w:ascii="Times New Roman" w:hAnsi="Times New Roman" w:cs="Times New Roman"/>
                <w:color w:val="000000"/>
                <w:sz w:val="24"/>
                <w:szCs w:val="24"/>
              </w:rPr>
              <w:t>рој</w:t>
            </w:r>
            <w:proofErr w:type="spellEnd"/>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286ACA4B" w14:textId="77777777" w:rsidR="00412474" w:rsidRPr="00215667" w:rsidRDefault="00412474" w:rsidP="00435E3A">
            <w:pPr>
              <w:jc w:val="center"/>
              <w:rPr>
                <w:rFonts w:ascii="Times New Roman" w:hAnsi="Times New Roman" w:cs="Times New Roman"/>
                <w:color w:val="000000"/>
                <w:sz w:val="24"/>
                <w:szCs w:val="24"/>
              </w:rPr>
            </w:pPr>
            <w:r w:rsidRPr="00215667">
              <w:rPr>
                <w:rFonts w:ascii="Times New Roman" w:hAnsi="Times New Roman" w:cs="Times New Roman"/>
                <w:color w:val="000000"/>
                <w:sz w:val="24"/>
                <w:szCs w:val="24"/>
              </w:rPr>
              <w:t>%</w:t>
            </w:r>
          </w:p>
        </w:tc>
      </w:tr>
      <w:tr w:rsidR="00412474" w:rsidRPr="00215667" w14:paraId="2CEFCE52" w14:textId="77777777" w:rsidTr="00435E3A">
        <w:tc>
          <w:tcPr>
            <w:tcW w:w="4673" w:type="dxa"/>
            <w:tcBorders>
              <w:top w:val="single" w:sz="4" w:space="0" w:color="auto"/>
              <w:left w:val="single" w:sz="4" w:space="0" w:color="auto"/>
              <w:bottom w:val="single" w:sz="4" w:space="0" w:color="auto"/>
              <w:right w:val="single" w:sz="4" w:space="0" w:color="auto"/>
            </w:tcBorders>
            <w:shd w:val="clear" w:color="auto" w:fill="E8E8E8" w:themeFill="background2"/>
            <w:noWrap/>
          </w:tcPr>
          <w:p w14:paraId="4DBC839B" w14:textId="01F9270E" w:rsidR="00412474" w:rsidRPr="00215667" w:rsidRDefault="00F9360F" w:rsidP="00435E3A">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mk-MK"/>
              </w:rPr>
              <w:t>с</w:t>
            </w:r>
            <w:proofErr w:type="spellStart"/>
            <w:r w:rsidR="00412474" w:rsidRPr="00215667">
              <w:rPr>
                <w:rFonts w:ascii="Times New Roman" w:eastAsia="Times New Roman" w:hAnsi="Times New Roman" w:cs="Times New Roman"/>
                <w:bCs/>
                <w:color w:val="000000"/>
                <w:sz w:val="24"/>
                <w:szCs w:val="24"/>
              </w:rPr>
              <w:t>укрвица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во</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пл</w:t>
            </w:r>
            <w:r w:rsidR="00215667" w:rsidRPr="00215667">
              <w:rPr>
                <w:rFonts w:ascii="Times New Roman" w:eastAsia="Times New Roman" w:hAnsi="Times New Roman" w:cs="Times New Roman"/>
                <w:bCs/>
                <w:color w:val="000000"/>
                <w:sz w:val="24"/>
                <w:szCs w:val="24"/>
              </w:rPr>
              <w:t>у</w:t>
            </w:r>
            <w:r w:rsidR="00412474" w:rsidRPr="00215667">
              <w:rPr>
                <w:rFonts w:ascii="Times New Roman" w:eastAsia="Times New Roman" w:hAnsi="Times New Roman" w:cs="Times New Roman"/>
                <w:bCs/>
                <w:color w:val="000000"/>
                <w:sz w:val="24"/>
                <w:szCs w:val="24"/>
              </w:rPr>
              <w:t>нка</w:t>
            </w:r>
            <w:proofErr w:type="spellEnd"/>
            <w:r w:rsidR="00412474" w:rsidRPr="00215667">
              <w:rPr>
                <w:rFonts w:ascii="Times New Roman" w:eastAsia="Times New Roman" w:hAnsi="Times New Roman" w:cs="Times New Roman"/>
                <w:bCs/>
                <w:color w:val="000000"/>
                <w:sz w:val="24"/>
                <w:szCs w:val="24"/>
              </w:rPr>
              <w:t xml:space="preserve"> (</w:t>
            </w:r>
            <w:r w:rsidR="00412474" w:rsidRPr="00F9360F">
              <w:rPr>
                <w:rFonts w:ascii="Times New Roman" w:eastAsia="Times New Roman" w:hAnsi="Times New Roman" w:cs="Times New Roman"/>
                <w:bCs/>
                <w:i/>
                <w:iCs/>
                <w:color w:val="000000"/>
                <w:sz w:val="24"/>
                <w:szCs w:val="24"/>
              </w:rPr>
              <w:t>oozing</w:t>
            </w:r>
            <w:r w:rsidR="00412474" w:rsidRPr="00215667">
              <w:rPr>
                <w:rFonts w:ascii="Times New Roman" w:eastAsia="Times New Roman" w:hAnsi="Times New Roman" w:cs="Times New Roman"/>
                <w:bCs/>
                <w:color w:val="000000"/>
                <w:sz w:val="24"/>
                <w:szCs w:val="24"/>
              </w:rPr>
              <w:t>)</w:t>
            </w:r>
          </w:p>
        </w:tc>
        <w:tc>
          <w:tcPr>
            <w:tcW w:w="2126" w:type="dxa"/>
            <w:tcBorders>
              <w:top w:val="single" w:sz="4" w:space="0" w:color="auto"/>
              <w:left w:val="single" w:sz="4" w:space="0" w:color="auto"/>
              <w:bottom w:val="single" w:sz="4" w:space="0" w:color="auto"/>
              <w:right w:val="single" w:sz="4" w:space="0" w:color="auto"/>
            </w:tcBorders>
            <w:noWrap/>
            <w:vAlign w:val="center"/>
          </w:tcPr>
          <w:p w14:paraId="5411AD78" w14:textId="77777777" w:rsidR="00412474" w:rsidRPr="00215667" w:rsidRDefault="00412474" w:rsidP="00435E3A">
            <w:pPr>
              <w:jc w:val="center"/>
              <w:rPr>
                <w:rFonts w:ascii="Times New Roman" w:hAnsi="Times New Roman" w:cs="Times New Roman"/>
                <w:color w:val="000000"/>
                <w:sz w:val="24"/>
                <w:szCs w:val="24"/>
              </w:rPr>
            </w:pPr>
            <w:r w:rsidRPr="00215667">
              <w:rPr>
                <w:rFonts w:ascii="Times New Roman" w:hAnsi="Times New Roman" w:cs="Times New Roman"/>
                <w:color w:val="000000"/>
                <w:sz w:val="24"/>
                <w:szCs w:val="24"/>
              </w:rPr>
              <w:t>0</w:t>
            </w:r>
          </w:p>
        </w:tc>
        <w:tc>
          <w:tcPr>
            <w:tcW w:w="1844" w:type="dxa"/>
            <w:tcBorders>
              <w:top w:val="single" w:sz="4" w:space="0" w:color="auto"/>
              <w:left w:val="single" w:sz="4" w:space="0" w:color="auto"/>
              <w:bottom w:val="single" w:sz="4" w:space="0" w:color="auto"/>
              <w:right w:val="single" w:sz="4" w:space="0" w:color="auto"/>
            </w:tcBorders>
            <w:noWrap/>
            <w:vAlign w:val="center"/>
          </w:tcPr>
          <w:p w14:paraId="4538BE78" w14:textId="77777777" w:rsidR="00412474" w:rsidRPr="00215667" w:rsidRDefault="00412474" w:rsidP="00435E3A">
            <w:pPr>
              <w:jc w:val="center"/>
              <w:rPr>
                <w:rFonts w:ascii="Times New Roman" w:hAnsi="Times New Roman" w:cs="Times New Roman"/>
                <w:color w:val="000000"/>
                <w:sz w:val="24"/>
                <w:szCs w:val="24"/>
              </w:rPr>
            </w:pPr>
            <w:r w:rsidRPr="00215667">
              <w:rPr>
                <w:rFonts w:ascii="Times New Roman" w:hAnsi="Times New Roman" w:cs="Times New Roman"/>
                <w:color w:val="000000"/>
                <w:sz w:val="24"/>
                <w:szCs w:val="24"/>
              </w:rPr>
              <w:t>0</w:t>
            </w:r>
          </w:p>
        </w:tc>
      </w:tr>
      <w:tr w:rsidR="00412474" w:rsidRPr="00215667" w14:paraId="56DCE3BE" w14:textId="77777777" w:rsidTr="00435E3A">
        <w:tc>
          <w:tcPr>
            <w:tcW w:w="4673"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06CAF9A2" w14:textId="3A4074F6" w:rsidR="00412474" w:rsidRPr="00215667" w:rsidRDefault="00F9360F" w:rsidP="00435E3A">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mk-MK"/>
              </w:rPr>
              <w:t>л</w:t>
            </w:r>
            <w:proofErr w:type="spellStart"/>
            <w:r w:rsidR="00412474" w:rsidRPr="00215667">
              <w:rPr>
                <w:rFonts w:ascii="Times New Roman" w:eastAsia="Times New Roman" w:hAnsi="Times New Roman" w:cs="Times New Roman"/>
                <w:bCs/>
                <w:color w:val="000000"/>
                <w:sz w:val="24"/>
                <w:szCs w:val="24"/>
              </w:rPr>
              <w:t>есни</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крвавења</w:t>
            </w:r>
            <w:proofErr w:type="spellEnd"/>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33D76729"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1</w:t>
            </w: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699D6948"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1.6</w:t>
            </w:r>
          </w:p>
        </w:tc>
      </w:tr>
      <w:tr w:rsidR="00412474" w:rsidRPr="00215667" w14:paraId="251F569D" w14:textId="77777777" w:rsidTr="00435E3A">
        <w:tc>
          <w:tcPr>
            <w:tcW w:w="4673"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319E223" w14:textId="393D2C91" w:rsidR="00412474" w:rsidRPr="00215667" w:rsidRDefault="00F9360F" w:rsidP="00435E3A">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mk-MK"/>
              </w:rPr>
              <w:t>у</w:t>
            </w:r>
            <w:proofErr w:type="spellStart"/>
            <w:r w:rsidR="00412474" w:rsidRPr="00215667">
              <w:rPr>
                <w:rFonts w:ascii="Times New Roman" w:eastAsia="Times New Roman" w:hAnsi="Times New Roman" w:cs="Times New Roman"/>
                <w:bCs/>
                <w:color w:val="000000"/>
                <w:sz w:val="24"/>
                <w:szCs w:val="24"/>
              </w:rPr>
              <w:t>мерени</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крвавења</w:t>
            </w:r>
            <w:proofErr w:type="spellEnd"/>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43054B0E"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34</w:t>
            </w: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3D1D38F8"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53.1</w:t>
            </w:r>
          </w:p>
        </w:tc>
      </w:tr>
      <w:tr w:rsidR="00412474" w:rsidRPr="00215667" w14:paraId="13AFCAA0" w14:textId="77777777" w:rsidTr="00435E3A">
        <w:tc>
          <w:tcPr>
            <w:tcW w:w="4673"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E4A9AAE" w14:textId="183ABA17" w:rsidR="00412474" w:rsidRPr="00215667" w:rsidRDefault="00F9360F" w:rsidP="00435E3A">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mk-MK"/>
              </w:rPr>
              <w:t>т</w:t>
            </w:r>
            <w:r w:rsidR="00412474" w:rsidRPr="00215667">
              <w:rPr>
                <w:rFonts w:ascii="Times New Roman" w:eastAsia="Times New Roman" w:hAnsi="Times New Roman" w:cs="Times New Roman"/>
                <w:bCs/>
                <w:color w:val="000000"/>
                <w:sz w:val="24"/>
                <w:szCs w:val="24"/>
              </w:rPr>
              <w:t>е</w:t>
            </w:r>
            <w:r>
              <w:rPr>
                <w:rFonts w:ascii="Times New Roman" w:eastAsia="Times New Roman" w:hAnsi="Times New Roman" w:cs="Times New Roman"/>
                <w:bCs/>
                <w:color w:val="000000"/>
                <w:sz w:val="24"/>
                <w:szCs w:val="24"/>
                <w:lang w:val="mk-MK"/>
              </w:rPr>
              <w:t>ш</w:t>
            </w:r>
            <w:proofErr w:type="spellStart"/>
            <w:r w:rsidR="00412474" w:rsidRPr="00215667">
              <w:rPr>
                <w:rFonts w:ascii="Times New Roman" w:eastAsia="Times New Roman" w:hAnsi="Times New Roman" w:cs="Times New Roman"/>
                <w:bCs/>
                <w:color w:val="000000"/>
                <w:sz w:val="24"/>
                <w:szCs w:val="24"/>
              </w:rPr>
              <w:t>ки</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крвавења</w:t>
            </w:r>
            <w:proofErr w:type="spellEnd"/>
          </w:p>
        </w:tc>
        <w:tc>
          <w:tcPr>
            <w:tcW w:w="2126" w:type="dxa"/>
            <w:tcBorders>
              <w:top w:val="single" w:sz="4" w:space="0" w:color="auto"/>
              <w:left w:val="single" w:sz="4" w:space="0" w:color="auto"/>
              <w:bottom w:val="single" w:sz="4" w:space="0" w:color="auto"/>
              <w:right w:val="single" w:sz="4" w:space="0" w:color="auto"/>
            </w:tcBorders>
            <w:noWrap/>
            <w:vAlign w:val="center"/>
            <w:hideMark/>
          </w:tcPr>
          <w:p w14:paraId="4F1CD04A"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29</w:t>
            </w:r>
          </w:p>
        </w:tc>
        <w:tc>
          <w:tcPr>
            <w:tcW w:w="1844" w:type="dxa"/>
            <w:tcBorders>
              <w:top w:val="single" w:sz="4" w:space="0" w:color="auto"/>
              <w:left w:val="single" w:sz="4" w:space="0" w:color="auto"/>
              <w:bottom w:val="single" w:sz="4" w:space="0" w:color="auto"/>
              <w:right w:val="single" w:sz="4" w:space="0" w:color="auto"/>
            </w:tcBorders>
            <w:noWrap/>
            <w:vAlign w:val="center"/>
            <w:hideMark/>
          </w:tcPr>
          <w:p w14:paraId="1F6F80E0"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45.3</w:t>
            </w:r>
          </w:p>
        </w:tc>
      </w:tr>
    </w:tbl>
    <w:p w14:paraId="59FD06E8"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5AFEE79E" w14:textId="27E5BBF6" w:rsidR="00412474" w:rsidRPr="00215667" w:rsidRDefault="00412474" w:rsidP="00F9360F">
      <w:pPr>
        <w:tabs>
          <w:tab w:val="left" w:pos="1170"/>
          <w:tab w:val="left" w:pos="1800"/>
        </w:tabs>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Графикон бр.</w:t>
      </w:r>
      <w:r w:rsidR="00F9360F">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5</w:t>
      </w:r>
      <w:r w:rsidR="00F9360F">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интензитетот на појава на самопријавени пролонгирани крвавења пред поставување на дијагнозата тромбоцитна хипоагрегабилност </w:t>
      </w:r>
      <w:r w:rsidRPr="00215667">
        <w:rPr>
          <w:rFonts w:ascii="Times New Roman" w:eastAsia="Calibri" w:hAnsi="Times New Roman" w:cs="Times New Roman"/>
          <w:noProof/>
          <w:sz w:val="24"/>
          <w:szCs w:val="24"/>
          <w:lang w:val="en-US"/>
        </w:rPr>
        <w:drawing>
          <wp:inline distT="0" distB="0" distL="0" distR="0" wp14:anchorId="71211CC8" wp14:editId="1E5A2130">
            <wp:extent cx="5495925" cy="1990725"/>
            <wp:effectExtent l="0" t="0" r="9525" b="9525"/>
            <wp:docPr id="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008837A" w14:textId="6CC9F50F" w:rsidR="00412474" w:rsidRPr="00215667" w:rsidRDefault="00412474" w:rsidP="00412474">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Просечното време на самопријавени симптоми на крвавење пред поставување на дијагноза кај пациентите изнесува 6 ± 4 дена, во ранг од еден до 14 дена. Кај 50</w:t>
      </w:r>
      <w:r w:rsidR="00F9360F">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од пациентите крвавењето е над 4 дена (Me=4 IQR(2.5-9.5)</w:t>
      </w:r>
      <w:r w:rsidR="00F9360F">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(табела </w:t>
      </w:r>
      <w:r w:rsidR="00F9360F">
        <w:rPr>
          <w:rFonts w:ascii="Times New Roman" w:eastAsia="Calibri" w:hAnsi="Times New Roman" w:cs="Times New Roman"/>
          <w:sz w:val="24"/>
          <w:szCs w:val="24"/>
        </w:rPr>
        <w:t xml:space="preserve">бр. 6 </w:t>
      </w:r>
      <w:r w:rsidRPr="00215667">
        <w:rPr>
          <w:rFonts w:ascii="Times New Roman" w:eastAsia="Calibri" w:hAnsi="Times New Roman" w:cs="Times New Roman"/>
          <w:sz w:val="24"/>
          <w:szCs w:val="24"/>
        </w:rPr>
        <w:t>и график бр</w:t>
      </w:r>
      <w:r w:rsidR="00F9360F">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6)</w:t>
      </w:r>
      <w:r w:rsidR="00F9360F">
        <w:rPr>
          <w:rFonts w:ascii="Times New Roman" w:eastAsia="Calibri" w:hAnsi="Times New Roman" w:cs="Times New Roman"/>
          <w:sz w:val="24"/>
          <w:szCs w:val="24"/>
        </w:rPr>
        <w:t>.</w:t>
      </w:r>
    </w:p>
    <w:p w14:paraId="61A88216" w14:textId="5E6E474D" w:rsidR="00412474" w:rsidRPr="00215667" w:rsidRDefault="00412474" w:rsidP="00F9360F">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lastRenderedPageBreak/>
        <w:t>Табела бр.</w:t>
      </w:r>
      <w:r w:rsidR="00F9360F">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6</w:t>
      </w:r>
      <w:r w:rsidR="00F9360F">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просечното време на самопријавени крвавења пред поставување на дијагнозата хипоагрегабилност во денови</w:t>
      </w:r>
    </w:p>
    <w:tbl>
      <w:tblPr>
        <w:tblStyle w:val="TableGrid1"/>
        <w:tblW w:w="0" w:type="auto"/>
        <w:jc w:val="center"/>
        <w:tblLook w:val="04A0" w:firstRow="1" w:lastRow="0" w:firstColumn="1" w:lastColumn="0" w:noHBand="0" w:noVBand="1"/>
      </w:tblPr>
      <w:tblGrid>
        <w:gridCol w:w="709"/>
        <w:gridCol w:w="1008"/>
        <w:gridCol w:w="550"/>
        <w:gridCol w:w="703"/>
        <w:gridCol w:w="743"/>
        <w:gridCol w:w="1116"/>
        <w:gridCol w:w="2026"/>
        <w:gridCol w:w="1837"/>
      </w:tblGrid>
      <w:tr w:rsidR="00412474" w:rsidRPr="00215667" w14:paraId="690BD424" w14:textId="77777777" w:rsidTr="00F9360F">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8936AA0" w14:textId="196A36DC" w:rsidR="00412474" w:rsidRPr="00215667" w:rsidRDefault="00F9360F"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Б</w:t>
            </w:r>
            <w:proofErr w:type="spellStart"/>
            <w:r w:rsidR="00412474" w:rsidRPr="00215667">
              <w:rPr>
                <w:rFonts w:ascii="Times New Roman" w:eastAsia="Times New Roman" w:hAnsi="Times New Roman" w:cs="Times New Roman"/>
                <w:b/>
                <w:bCs/>
                <w:color w:val="000000"/>
                <w:sz w:val="24"/>
                <w:szCs w:val="24"/>
              </w:rPr>
              <w:t>рој</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A6E3B10" w14:textId="6A51DFFC" w:rsidR="00412474" w:rsidRPr="00215667" w:rsidRDefault="00F9360F"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П</w:t>
            </w:r>
            <w:proofErr w:type="spellStart"/>
            <w:r w:rsidR="00412474" w:rsidRPr="00215667">
              <w:rPr>
                <w:rFonts w:ascii="Times New Roman" w:eastAsia="Times New Roman" w:hAnsi="Times New Roman" w:cs="Times New Roman"/>
                <w:b/>
                <w:bCs/>
                <w:color w:val="000000"/>
                <w:sz w:val="24"/>
                <w:szCs w:val="24"/>
              </w:rPr>
              <w:t>росек</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1DCC4D5" w14:textId="77777777" w:rsidR="00412474" w:rsidRPr="00215667" w:rsidRDefault="00412474" w:rsidP="00435E3A">
            <w:pPr>
              <w:jc w:val="cente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
                <w:bCs/>
                <w:color w:val="000000"/>
                <w:sz w:val="24"/>
                <w:szCs w:val="24"/>
              </w:rPr>
              <w:t>Ме</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D77E810"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Min.</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C0E68A1"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Max.</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FD0D8E1" w14:textId="77777777" w:rsidR="00412474" w:rsidRPr="00215667" w:rsidRDefault="00412474" w:rsidP="00435E3A">
            <w:pPr>
              <w:jc w:val="cente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
                <w:bCs/>
                <w:color w:val="000000"/>
                <w:sz w:val="24"/>
                <w:szCs w:val="24"/>
              </w:rPr>
              <w:t>Std.Dev</w:t>
            </w:r>
            <w:proofErr w:type="spellEnd"/>
            <w:r w:rsidRPr="00215667">
              <w:rPr>
                <w:rFonts w:ascii="Times New Roman" w:eastAsia="Times New Roman" w:hAnsi="Times New Roman" w:cs="Times New Roman"/>
                <w:b/>
                <w:bCs/>
                <w:color w:val="000000"/>
                <w:sz w:val="24"/>
                <w:szCs w:val="24"/>
              </w:rPr>
              <w:t>.</w:t>
            </w:r>
          </w:p>
        </w:tc>
        <w:tc>
          <w:tcPr>
            <w:tcW w:w="2026"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0A1D1B44" w14:textId="3A494A9F" w:rsidR="00412474" w:rsidRPr="00215667" w:rsidRDefault="00412474" w:rsidP="00435E3A">
            <w:pPr>
              <w:rPr>
                <w:rFonts w:ascii="Times New Roman" w:hAnsi="Times New Roman" w:cs="Times New Roman"/>
                <w:b/>
                <w:sz w:val="24"/>
                <w:szCs w:val="24"/>
              </w:rPr>
            </w:pPr>
            <w:r w:rsidRPr="00215667">
              <w:rPr>
                <w:rFonts w:ascii="Times New Roman" w:hAnsi="Times New Roman" w:cs="Times New Roman"/>
                <w:b/>
                <w:color w:val="000000"/>
                <w:sz w:val="24"/>
                <w:szCs w:val="24"/>
              </w:rPr>
              <w:t>IQR</w:t>
            </w:r>
            <w:r w:rsidR="00F9360F" w:rsidRPr="00215667">
              <w:rPr>
                <w:rFonts w:ascii="Times New Roman" w:hAnsi="Times New Roman" w:cs="Times New Roman"/>
                <w:b/>
                <w:color w:val="000000"/>
                <w:sz w:val="24"/>
                <w:szCs w:val="24"/>
              </w:rPr>
              <w:t>/</w:t>
            </w:r>
            <w:proofErr w:type="spellStart"/>
            <w:r w:rsidRPr="00215667">
              <w:rPr>
                <w:rFonts w:ascii="Times New Roman" w:hAnsi="Times New Roman" w:cs="Times New Roman"/>
                <w:b/>
                <w:color w:val="000000"/>
                <w:sz w:val="24"/>
                <w:szCs w:val="24"/>
              </w:rPr>
              <w:t>Долен</w:t>
            </w:r>
            <w:proofErr w:type="spellEnd"/>
            <w:r w:rsidRPr="00215667">
              <w:rPr>
                <w:rFonts w:ascii="Times New Roman" w:hAnsi="Times New Roman" w:cs="Times New Roman"/>
                <w:b/>
                <w:color w:val="000000"/>
                <w:sz w:val="24"/>
                <w:szCs w:val="24"/>
              </w:rPr>
              <w:t xml:space="preserve"> </w:t>
            </w:r>
            <w:proofErr w:type="spellStart"/>
            <w:r w:rsidRPr="00215667">
              <w:rPr>
                <w:rFonts w:ascii="Times New Roman" w:hAnsi="Times New Roman" w:cs="Times New Roman"/>
                <w:b/>
                <w:color w:val="000000"/>
                <w:sz w:val="24"/>
                <w:szCs w:val="24"/>
              </w:rPr>
              <w:t>квартил</w:t>
            </w:r>
            <w:proofErr w:type="spellEnd"/>
          </w:p>
        </w:tc>
        <w:tc>
          <w:tcPr>
            <w:tcW w:w="1837" w:type="dxa"/>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19ABA5FF" w14:textId="77777777" w:rsidR="00412474" w:rsidRPr="00215667" w:rsidRDefault="00412474" w:rsidP="00435E3A">
            <w:pPr>
              <w:rPr>
                <w:rFonts w:ascii="Times New Roman" w:hAnsi="Times New Roman" w:cs="Times New Roman"/>
                <w:b/>
                <w:sz w:val="24"/>
                <w:szCs w:val="24"/>
              </w:rPr>
            </w:pPr>
            <w:r w:rsidRPr="00215667">
              <w:rPr>
                <w:rFonts w:ascii="Times New Roman" w:hAnsi="Times New Roman" w:cs="Times New Roman"/>
                <w:b/>
                <w:color w:val="000000"/>
                <w:sz w:val="24"/>
                <w:szCs w:val="24"/>
              </w:rPr>
              <w:t>IQR/</w:t>
            </w:r>
            <w:proofErr w:type="spellStart"/>
            <w:r w:rsidRPr="00215667">
              <w:rPr>
                <w:rFonts w:ascii="Times New Roman" w:hAnsi="Times New Roman" w:cs="Times New Roman"/>
                <w:b/>
                <w:color w:val="000000"/>
                <w:sz w:val="24"/>
                <w:szCs w:val="24"/>
              </w:rPr>
              <w:t>Горен</w:t>
            </w:r>
            <w:proofErr w:type="spellEnd"/>
            <w:r w:rsidRPr="00215667">
              <w:rPr>
                <w:rFonts w:ascii="Times New Roman" w:hAnsi="Times New Roman" w:cs="Times New Roman"/>
                <w:b/>
                <w:color w:val="000000"/>
                <w:sz w:val="24"/>
                <w:szCs w:val="24"/>
              </w:rPr>
              <w:t xml:space="preserve"> </w:t>
            </w:r>
            <w:proofErr w:type="spellStart"/>
            <w:r w:rsidRPr="00215667">
              <w:rPr>
                <w:rFonts w:ascii="Times New Roman" w:hAnsi="Times New Roman" w:cs="Times New Roman"/>
                <w:b/>
                <w:color w:val="000000"/>
                <w:sz w:val="24"/>
                <w:szCs w:val="24"/>
              </w:rPr>
              <w:t>квартил</w:t>
            </w:r>
            <w:proofErr w:type="spellEnd"/>
          </w:p>
        </w:tc>
      </w:tr>
      <w:tr w:rsidR="00412474" w:rsidRPr="00215667" w14:paraId="312741A0" w14:textId="77777777" w:rsidTr="00F9360F">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05D6653D"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64</w:t>
            </w:r>
          </w:p>
        </w:tc>
        <w:tc>
          <w:tcPr>
            <w:tcW w:w="0" w:type="auto"/>
            <w:tcBorders>
              <w:top w:val="single" w:sz="4" w:space="0" w:color="auto"/>
              <w:left w:val="single" w:sz="4" w:space="0" w:color="auto"/>
              <w:bottom w:val="single" w:sz="4" w:space="0" w:color="auto"/>
              <w:right w:val="single" w:sz="4" w:space="0" w:color="auto"/>
            </w:tcBorders>
            <w:noWrap/>
            <w:hideMark/>
          </w:tcPr>
          <w:p w14:paraId="0CF687D1"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5.9</w:t>
            </w:r>
          </w:p>
        </w:tc>
        <w:tc>
          <w:tcPr>
            <w:tcW w:w="0" w:type="auto"/>
            <w:tcBorders>
              <w:top w:val="single" w:sz="4" w:space="0" w:color="auto"/>
              <w:left w:val="single" w:sz="4" w:space="0" w:color="auto"/>
              <w:bottom w:val="single" w:sz="4" w:space="0" w:color="auto"/>
              <w:right w:val="single" w:sz="4" w:space="0" w:color="auto"/>
            </w:tcBorders>
            <w:noWrap/>
            <w:hideMark/>
          </w:tcPr>
          <w:p w14:paraId="68C5084F"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4.0</w:t>
            </w:r>
          </w:p>
        </w:tc>
        <w:tc>
          <w:tcPr>
            <w:tcW w:w="0" w:type="auto"/>
            <w:tcBorders>
              <w:top w:val="single" w:sz="4" w:space="0" w:color="auto"/>
              <w:left w:val="single" w:sz="4" w:space="0" w:color="auto"/>
              <w:bottom w:val="single" w:sz="4" w:space="0" w:color="auto"/>
              <w:right w:val="single" w:sz="4" w:space="0" w:color="auto"/>
            </w:tcBorders>
            <w:noWrap/>
            <w:hideMark/>
          </w:tcPr>
          <w:p w14:paraId="69DC9F0E"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noWrap/>
            <w:hideMark/>
          </w:tcPr>
          <w:p w14:paraId="4FCECC8D"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14.0</w:t>
            </w:r>
          </w:p>
        </w:tc>
        <w:tc>
          <w:tcPr>
            <w:tcW w:w="0" w:type="auto"/>
            <w:tcBorders>
              <w:top w:val="single" w:sz="4" w:space="0" w:color="auto"/>
              <w:left w:val="single" w:sz="4" w:space="0" w:color="auto"/>
              <w:bottom w:val="single" w:sz="4" w:space="0" w:color="auto"/>
              <w:right w:val="single" w:sz="4" w:space="0" w:color="auto"/>
            </w:tcBorders>
            <w:noWrap/>
            <w:hideMark/>
          </w:tcPr>
          <w:p w14:paraId="4B8A2FB6"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3.995502</w:t>
            </w:r>
          </w:p>
        </w:tc>
        <w:tc>
          <w:tcPr>
            <w:tcW w:w="2026" w:type="dxa"/>
            <w:tcBorders>
              <w:top w:val="single" w:sz="4" w:space="0" w:color="auto"/>
              <w:left w:val="single" w:sz="4" w:space="0" w:color="auto"/>
              <w:bottom w:val="single" w:sz="4" w:space="0" w:color="auto"/>
              <w:right w:val="single" w:sz="4" w:space="0" w:color="auto"/>
            </w:tcBorders>
            <w:hideMark/>
          </w:tcPr>
          <w:p w14:paraId="0F5547F0" w14:textId="77777777" w:rsidR="00412474" w:rsidRPr="00215667" w:rsidRDefault="00412474" w:rsidP="00435E3A">
            <w:pPr>
              <w:jc w:val="center"/>
              <w:rPr>
                <w:rFonts w:ascii="Times New Roman" w:eastAsia="Times New Roman" w:hAnsi="Times New Roman" w:cs="Times New Roman"/>
                <w:color w:val="000000"/>
                <w:sz w:val="24"/>
                <w:szCs w:val="24"/>
              </w:rPr>
            </w:pPr>
            <w:r w:rsidRPr="00215667">
              <w:rPr>
                <w:rFonts w:ascii="Times New Roman" w:eastAsia="Times New Roman" w:hAnsi="Times New Roman" w:cs="Times New Roman"/>
                <w:color w:val="000000"/>
                <w:sz w:val="24"/>
                <w:szCs w:val="24"/>
              </w:rPr>
              <w:t>2.5</w:t>
            </w:r>
          </w:p>
        </w:tc>
        <w:tc>
          <w:tcPr>
            <w:tcW w:w="1837" w:type="dxa"/>
            <w:tcBorders>
              <w:top w:val="single" w:sz="4" w:space="0" w:color="auto"/>
              <w:left w:val="single" w:sz="4" w:space="0" w:color="auto"/>
              <w:bottom w:val="single" w:sz="4" w:space="0" w:color="auto"/>
              <w:right w:val="single" w:sz="4" w:space="0" w:color="auto"/>
            </w:tcBorders>
            <w:hideMark/>
          </w:tcPr>
          <w:p w14:paraId="55B58E77" w14:textId="77777777" w:rsidR="00412474" w:rsidRPr="00215667" w:rsidRDefault="00412474" w:rsidP="00435E3A">
            <w:pPr>
              <w:jc w:val="center"/>
              <w:rPr>
                <w:rFonts w:ascii="Times New Roman" w:eastAsia="Times New Roman" w:hAnsi="Times New Roman" w:cs="Times New Roman"/>
                <w:color w:val="000000"/>
                <w:sz w:val="24"/>
                <w:szCs w:val="24"/>
              </w:rPr>
            </w:pPr>
            <w:r w:rsidRPr="00215667">
              <w:rPr>
                <w:rFonts w:ascii="Times New Roman" w:eastAsia="Times New Roman" w:hAnsi="Times New Roman" w:cs="Times New Roman"/>
                <w:color w:val="000000"/>
                <w:sz w:val="24"/>
                <w:szCs w:val="24"/>
              </w:rPr>
              <w:t>9.5</w:t>
            </w:r>
          </w:p>
        </w:tc>
      </w:tr>
    </w:tbl>
    <w:p w14:paraId="4A0D5B29"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7D6F0B08" w14:textId="59EB303C" w:rsidR="00412474" w:rsidRPr="00215667" w:rsidRDefault="00412474" w:rsidP="00F9360F">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График бр.</w:t>
      </w:r>
      <w:r w:rsidR="00F9360F">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6</w:t>
      </w:r>
      <w:r w:rsidR="00F9360F">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просечното време на самопријавени крвавења пред поставување на дијагнозата хипоагрегабилност во денови</w:t>
      </w:r>
    </w:p>
    <w:p w14:paraId="38873D6C" w14:textId="223A74E1" w:rsidR="00412474" w:rsidRPr="00215667" w:rsidRDefault="009D29AC" w:rsidP="00F9360F">
      <w:pPr>
        <w:spacing w:after="120" w:line="360" w:lineRule="auto"/>
        <w:ind w:firstLine="720"/>
        <w:jc w:val="both"/>
        <w:rPr>
          <w:rFonts w:ascii="Times New Roman" w:eastAsia="Times New Roman" w:hAnsi="Times New Roman" w:cs="Times New Roman"/>
          <w:bCs/>
          <w:color w:val="000000"/>
          <w:sz w:val="24"/>
          <w:szCs w:val="24"/>
        </w:rPr>
      </w:pPr>
      <w:r w:rsidRPr="009D29AC">
        <w:rPr>
          <w:rFonts w:ascii="Times New Roman" w:eastAsia="Calibri" w:hAnsi="Times New Roman" w:cs="Times New Roman"/>
          <w:noProof/>
          <w:sz w:val="24"/>
          <w:szCs w:val="24"/>
          <w14:ligatures w14:val="standardContextual"/>
        </w:rPr>
        <w:object w:dxaOrig="11070" w:dyaOrig="4770" w14:anchorId="02B803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alt="" style="width:554.1pt;height:239.05pt;mso-width-percent:0;mso-height-percent:0;mso-width-percent:0;mso-height-percent:0" o:ole="">
            <v:imagedata r:id="rId21" o:title=""/>
          </v:shape>
          <o:OLEObject Type="Embed" ProgID="STATISTICA.Graph" ShapeID="_x0000_i1061" DrawAspect="Content" ObjectID="_1819618109" r:id="rId22">
            <o:FieldCodes>\s</o:FieldCodes>
          </o:OLEObject>
        </w:object>
      </w:r>
      <w:r w:rsidR="00F9360F">
        <w:rPr>
          <w:rFonts w:ascii="Times New Roman" w:eastAsia="Calibri" w:hAnsi="Times New Roman" w:cs="Times New Roman"/>
          <w:noProof/>
          <w:sz w:val="24"/>
          <w:szCs w:val="24"/>
          <w14:ligatures w14:val="standardContextual"/>
        </w:rPr>
        <w:tab/>
      </w:r>
      <w:r w:rsidR="00412474" w:rsidRPr="00215667">
        <w:rPr>
          <w:rFonts w:ascii="Times New Roman" w:eastAsia="Times New Roman" w:hAnsi="Times New Roman" w:cs="Times New Roman"/>
          <w:bCs/>
          <w:color w:val="000000"/>
          <w:sz w:val="24"/>
          <w:szCs w:val="24"/>
        </w:rPr>
        <w:t xml:space="preserve">Сите 64 пациенти, со самопријавени симптоми на пролонгирани крвавења, беа подложени на </w:t>
      </w:r>
      <w:r w:rsidR="00D80713">
        <w:rPr>
          <w:rFonts w:ascii="Times New Roman" w:eastAsia="Times New Roman" w:hAnsi="Times New Roman" w:cs="Times New Roman"/>
          <w:bCs/>
          <w:color w:val="000000"/>
          <w:sz w:val="24"/>
          <w:szCs w:val="24"/>
        </w:rPr>
        <w:t>лабораториски</w:t>
      </w:r>
      <w:r w:rsidR="00412474" w:rsidRPr="00215667">
        <w:rPr>
          <w:rFonts w:ascii="Times New Roman" w:eastAsia="Times New Roman" w:hAnsi="Times New Roman" w:cs="Times New Roman"/>
          <w:bCs/>
          <w:color w:val="000000"/>
          <w:sz w:val="24"/>
          <w:szCs w:val="24"/>
        </w:rPr>
        <w:t xml:space="preserve"> анали</w:t>
      </w:r>
      <w:r w:rsidR="00F9360F">
        <w:rPr>
          <w:rFonts w:ascii="Times New Roman" w:eastAsia="Times New Roman" w:hAnsi="Times New Roman" w:cs="Times New Roman"/>
          <w:bCs/>
          <w:color w:val="000000"/>
          <w:sz w:val="24"/>
          <w:szCs w:val="24"/>
        </w:rPr>
        <w:t>за</w:t>
      </w:r>
      <w:r w:rsidR="00412474" w:rsidRPr="00215667">
        <w:rPr>
          <w:rFonts w:ascii="Times New Roman" w:eastAsia="Times New Roman" w:hAnsi="Times New Roman" w:cs="Times New Roman"/>
          <w:bCs/>
          <w:color w:val="000000"/>
          <w:sz w:val="24"/>
          <w:szCs w:val="24"/>
        </w:rPr>
        <w:t xml:space="preserve"> за потврда на дијагнозата, со определување на вредностите/</w:t>
      </w:r>
      <w:r w:rsidR="00F9360F">
        <w:rPr>
          <w:rFonts w:ascii="Times New Roman" w:eastAsia="Times New Roman" w:hAnsi="Times New Roman" w:cs="Times New Roman"/>
          <w:bCs/>
          <w:color w:val="000000"/>
          <w:sz w:val="24"/>
          <w:szCs w:val="24"/>
        </w:rPr>
        <w:t xml:space="preserve"> </w:t>
      </w:r>
      <w:r w:rsidR="00412474" w:rsidRPr="00215667">
        <w:rPr>
          <w:rFonts w:ascii="Times New Roman" w:eastAsia="Times New Roman" w:hAnsi="Times New Roman" w:cs="Times New Roman"/>
          <w:bCs/>
          <w:color w:val="000000"/>
          <w:sz w:val="24"/>
          <w:szCs w:val="24"/>
        </w:rPr>
        <w:t xml:space="preserve">нивоата на ADP, </w:t>
      </w:r>
      <w:r w:rsidR="00F9360F">
        <w:rPr>
          <w:rFonts w:ascii="Times New Roman" w:eastAsia="Times New Roman" w:hAnsi="Times New Roman" w:cs="Times New Roman"/>
          <w:bCs/>
          <w:color w:val="000000"/>
          <w:sz w:val="24"/>
          <w:szCs w:val="24"/>
        </w:rPr>
        <w:t>ристоцетин</w:t>
      </w:r>
      <w:r w:rsidR="00412474" w:rsidRPr="00215667">
        <w:rPr>
          <w:rFonts w:ascii="Times New Roman" w:eastAsia="Times New Roman" w:hAnsi="Times New Roman" w:cs="Times New Roman"/>
          <w:bCs/>
          <w:color w:val="000000"/>
          <w:sz w:val="24"/>
          <w:szCs w:val="24"/>
        </w:rPr>
        <w:t xml:space="preserve"> и </w:t>
      </w:r>
      <w:bookmarkStart w:id="36" w:name="_Hlk184888712"/>
      <w:bookmarkStart w:id="37" w:name="_Hlk184888660"/>
      <w:r w:rsidR="00F9360F">
        <w:rPr>
          <w:rFonts w:ascii="Times New Roman" w:eastAsia="Times New Roman" w:hAnsi="Times New Roman" w:cs="Times New Roman"/>
          <w:bCs/>
          <w:color w:val="000000"/>
          <w:sz w:val="24"/>
          <w:szCs w:val="24"/>
        </w:rPr>
        <w:t>колаген</w:t>
      </w:r>
      <w:r w:rsidR="00412474" w:rsidRPr="00215667">
        <w:rPr>
          <w:rFonts w:ascii="Times New Roman" w:eastAsia="Times New Roman" w:hAnsi="Times New Roman" w:cs="Times New Roman"/>
          <w:bCs/>
          <w:color w:val="000000"/>
          <w:sz w:val="24"/>
          <w:szCs w:val="24"/>
        </w:rPr>
        <w:t>. Резултатите од комплетна</w:t>
      </w:r>
      <w:r w:rsidR="00F9360F">
        <w:rPr>
          <w:rFonts w:ascii="Times New Roman" w:eastAsia="Times New Roman" w:hAnsi="Times New Roman" w:cs="Times New Roman"/>
          <w:bCs/>
          <w:color w:val="000000"/>
          <w:sz w:val="24"/>
          <w:szCs w:val="24"/>
        </w:rPr>
        <w:t>та</w:t>
      </w:r>
      <w:r w:rsidR="00412474" w:rsidRPr="00215667">
        <w:rPr>
          <w:rFonts w:ascii="Times New Roman" w:eastAsia="Times New Roman" w:hAnsi="Times New Roman" w:cs="Times New Roman"/>
          <w:bCs/>
          <w:color w:val="000000"/>
          <w:sz w:val="24"/>
          <w:szCs w:val="24"/>
        </w:rPr>
        <w:t xml:space="preserve"> крвна слика (CBC), тест</w:t>
      </w:r>
      <w:r w:rsidR="00F9360F">
        <w:rPr>
          <w:rFonts w:ascii="Times New Roman" w:eastAsia="Times New Roman" w:hAnsi="Times New Roman" w:cs="Times New Roman"/>
          <w:bCs/>
          <w:color w:val="000000"/>
          <w:sz w:val="24"/>
          <w:szCs w:val="24"/>
        </w:rPr>
        <w:t>от</w:t>
      </w:r>
      <w:r w:rsidR="00412474" w:rsidRPr="00215667">
        <w:rPr>
          <w:rFonts w:ascii="Times New Roman" w:eastAsia="Times New Roman" w:hAnsi="Times New Roman" w:cs="Times New Roman"/>
          <w:bCs/>
          <w:color w:val="000000"/>
          <w:sz w:val="24"/>
          <w:szCs w:val="24"/>
        </w:rPr>
        <w:t xml:space="preserve"> за парцијално тромбопластинско време (PTT), активиран PTT (aPTT) како и тестот за протромбинско време (PT),</w:t>
      </w:r>
      <w:r w:rsidR="00F9360F">
        <w:rPr>
          <w:rFonts w:ascii="Times New Roman" w:eastAsia="Times New Roman" w:hAnsi="Times New Roman" w:cs="Times New Roman"/>
          <w:bCs/>
          <w:color w:val="000000"/>
          <w:sz w:val="24"/>
          <w:szCs w:val="24"/>
        </w:rPr>
        <w:t xml:space="preserve"> </w:t>
      </w:r>
      <w:r w:rsidR="00412474" w:rsidRPr="00215667">
        <w:rPr>
          <w:rFonts w:ascii="Times New Roman" w:eastAsia="Times New Roman" w:hAnsi="Times New Roman" w:cs="Times New Roman"/>
          <w:bCs/>
          <w:color w:val="000000"/>
          <w:sz w:val="24"/>
          <w:szCs w:val="24"/>
        </w:rPr>
        <w:t xml:space="preserve">кај сите пациенти беше во границите на референтните вредности. Корелациите помеѓу времето на крвавење (BT) пред поставување на дијагнозата хипоагрегбилност и добиените резултати за вредностите на ADP, </w:t>
      </w:r>
      <w:r w:rsidR="00F9360F">
        <w:rPr>
          <w:rFonts w:ascii="Times New Roman" w:eastAsia="Times New Roman" w:hAnsi="Times New Roman" w:cs="Times New Roman"/>
          <w:bCs/>
          <w:color w:val="000000"/>
          <w:sz w:val="24"/>
          <w:szCs w:val="24"/>
        </w:rPr>
        <w:t>ристоцетин</w:t>
      </w:r>
      <w:r w:rsidR="00412474" w:rsidRPr="00215667">
        <w:rPr>
          <w:rFonts w:ascii="Times New Roman" w:eastAsia="Times New Roman" w:hAnsi="Times New Roman" w:cs="Times New Roman"/>
          <w:bCs/>
          <w:color w:val="000000"/>
          <w:sz w:val="24"/>
          <w:szCs w:val="24"/>
        </w:rPr>
        <w:t xml:space="preserve">, </w:t>
      </w:r>
      <w:r w:rsidR="00F9360F">
        <w:rPr>
          <w:rFonts w:ascii="Times New Roman" w:eastAsia="Times New Roman" w:hAnsi="Times New Roman" w:cs="Times New Roman"/>
          <w:bCs/>
          <w:color w:val="000000"/>
          <w:sz w:val="24"/>
          <w:szCs w:val="24"/>
        </w:rPr>
        <w:t>колаген</w:t>
      </w:r>
      <w:r w:rsidR="00F9360F" w:rsidRPr="00215667">
        <w:rPr>
          <w:rFonts w:ascii="Times New Roman" w:eastAsia="Times New Roman" w:hAnsi="Times New Roman" w:cs="Times New Roman"/>
          <w:bCs/>
          <w:color w:val="000000"/>
          <w:sz w:val="24"/>
          <w:szCs w:val="24"/>
        </w:rPr>
        <w:t xml:space="preserve"> </w:t>
      </w:r>
      <w:r w:rsidR="00412474" w:rsidRPr="00215667">
        <w:rPr>
          <w:rFonts w:ascii="Times New Roman" w:eastAsia="Times New Roman" w:hAnsi="Times New Roman" w:cs="Times New Roman"/>
          <w:bCs/>
          <w:color w:val="000000"/>
          <w:sz w:val="24"/>
          <w:szCs w:val="24"/>
        </w:rPr>
        <w:t xml:space="preserve">и PT </w:t>
      </w:r>
      <w:bookmarkEnd w:id="36"/>
      <w:r w:rsidR="00412474" w:rsidRPr="00215667">
        <w:rPr>
          <w:rFonts w:ascii="Times New Roman" w:eastAsia="Times New Roman" w:hAnsi="Times New Roman" w:cs="Times New Roman"/>
          <w:bCs/>
          <w:color w:val="000000"/>
          <w:sz w:val="24"/>
          <w:szCs w:val="24"/>
        </w:rPr>
        <w:t>покажа дека:</w:t>
      </w:r>
    </w:p>
    <w:bookmarkEnd w:id="37"/>
    <w:p w14:paraId="374C18F9" w14:textId="1BC57B53" w:rsidR="00412474" w:rsidRPr="00215667" w:rsidRDefault="00412474" w:rsidP="00412474">
      <w:pPr>
        <w:spacing w:after="120" w:line="360" w:lineRule="auto"/>
        <w:ind w:firstLine="720"/>
        <w:jc w:val="both"/>
        <w:rPr>
          <w:rFonts w:ascii="Times New Roman" w:eastAsia="Times New Roman" w:hAnsi="Times New Roman" w:cs="Times New Roman"/>
          <w:bCs/>
          <w:color w:val="000000"/>
          <w:sz w:val="24"/>
          <w:szCs w:val="24"/>
        </w:rPr>
      </w:pPr>
      <w:r w:rsidRPr="00215667">
        <w:rPr>
          <w:rFonts w:ascii="Times New Roman" w:eastAsia="Times New Roman" w:hAnsi="Times New Roman" w:cs="Times New Roman"/>
          <w:bCs/>
          <w:color w:val="000000"/>
          <w:sz w:val="24"/>
          <w:szCs w:val="24"/>
        </w:rPr>
        <w:t>Корелацијата помеѓу времето на крвавење и вредностите на ADP, покажа умерена негативна /индиректна сигнификантна корелација (r</w:t>
      </w:r>
      <w:r w:rsidR="00F9360F">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F9360F">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-3463, p</w:t>
      </w:r>
      <w:r w:rsidR="00F9360F">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FF0000"/>
          <w:sz w:val="24"/>
          <w:szCs w:val="24"/>
        </w:rPr>
        <w:t>=</w:t>
      </w:r>
      <w:r w:rsidR="00F9360F">
        <w:rPr>
          <w:rFonts w:ascii="Times New Roman" w:eastAsia="Times New Roman" w:hAnsi="Times New Roman" w:cs="Times New Roman"/>
          <w:bCs/>
          <w:color w:val="FF0000"/>
          <w:sz w:val="24"/>
          <w:szCs w:val="24"/>
        </w:rPr>
        <w:t xml:space="preserve"> </w:t>
      </w:r>
      <w:r w:rsidRPr="00215667">
        <w:rPr>
          <w:rFonts w:ascii="Times New Roman" w:eastAsia="Times New Roman" w:hAnsi="Times New Roman" w:cs="Times New Roman"/>
          <w:bCs/>
          <w:color w:val="FF0000"/>
          <w:sz w:val="24"/>
          <w:szCs w:val="24"/>
        </w:rPr>
        <w:t>.005</w:t>
      </w:r>
      <w:r w:rsidRPr="00215667">
        <w:rPr>
          <w:rFonts w:ascii="Times New Roman" w:eastAsia="Times New Roman" w:hAnsi="Times New Roman" w:cs="Times New Roman"/>
          <w:bCs/>
          <w:color w:val="000000"/>
          <w:sz w:val="24"/>
          <w:szCs w:val="24"/>
        </w:rPr>
        <w:t>)</w:t>
      </w:r>
      <w:r w:rsidR="00F9360F">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(табела </w:t>
      </w:r>
      <w:r w:rsidR="00F9360F">
        <w:rPr>
          <w:rFonts w:ascii="Times New Roman" w:eastAsia="Times New Roman" w:hAnsi="Times New Roman" w:cs="Times New Roman"/>
          <w:bCs/>
          <w:color w:val="000000"/>
          <w:sz w:val="24"/>
          <w:szCs w:val="24"/>
        </w:rPr>
        <w:t xml:space="preserve">бр. 7а </w:t>
      </w:r>
      <w:r w:rsidRPr="00215667">
        <w:rPr>
          <w:rFonts w:ascii="Times New Roman" w:eastAsia="Times New Roman" w:hAnsi="Times New Roman" w:cs="Times New Roman"/>
          <w:bCs/>
          <w:color w:val="000000"/>
          <w:sz w:val="24"/>
          <w:szCs w:val="24"/>
        </w:rPr>
        <w:t>и графикон бр</w:t>
      </w:r>
      <w:r w:rsidR="00F9360F">
        <w:rPr>
          <w:rFonts w:ascii="Times New Roman" w:eastAsia="Times New Roman" w:hAnsi="Times New Roman" w:cs="Times New Roman"/>
          <w:bCs/>
          <w:color w:val="000000"/>
          <w:sz w:val="24"/>
          <w:szCs w:val="24"/>
        </w:rPr>
        <w:t>.</w:t>
      </w:r>
      <w:r w:rsidRPr="00215667">
        <w:rPr>
          <w:rFonts w:ascii="Times New Roman" w:eastAsia="Times New Roman" w:hAnsi="Times New Roman" w:cs="Times New Roman"/>
          <w:bCs/>
          <w:color w:val="000000"/>
          <w:sz w:val="24"/>
          <w:szCs w:val="24"/>
        </w:rPr>
        <w:t xml:space="preserve"> 7а)</w:t>
      </w:r>
      <w:r w:rsidR="00F9360F">
        <w:rPr>
          <w:rFonts w:ascii="Times New Roman" w:eastAsia="Times New Roman" w:hAnsi="Times New Roman" w:cs="Times New Roman"/>
          <w:bCs/>
          <w:color w:val="000000"/>
          <w:sz w:val="24"/>
          <w:szCs w:val="24"/>
        </w:rPr>
        <w:t>.</w:t>
      </w:r>
    </w:p>
    <w:p w14:paraId="7D66DFE5" w14:textId="7FC276E8" w:rsidR="00412474" w:rsidRPr="00F9360F" w:rsidRDefault="00412474" w:rsidP="00F9360F">
      <w:pPr>
        <w:spacing w:after="120" w:line="360" w:lineRule="auto"/>
        <w:jc w:val="center"/>
        <w:rPr>
          <w:rFonts w:ascii="Times New Roman" w:eastAsia="Calibri" w:hAnsi="Times New Roman" w:cs="Times New Roman"/>
          <w:sz w:val="24"/>
          <w:szCs w:val="24"/>
        </w:rPr>
      </w:pPr>
      <w:r w:rsidRPr="00F9360F">
        <w:rPr>
          <w:rFonts w:ascii="Times New Roman" w:eastAsia="Calibri" w:hAnsi="Times New Roman" w:cs="Times New Roman"/>
          <w:sz w:val="24"/>
          <w:szCs w:val="24"/>
        </w:rPr>
        <w:lastRenderedPageBreak/>
        <w:t>Табела бр.</w:t>
      </w:r>
      <w:r w:rsidR="00F9360F">
        <w:rPr>
          <w:rFonts w:ascii="Times New Roman" w:eastAsia="Calibri" w:hAnsi="Times New Roman" w:cs="Times New Roman"/>
          <w:sz w:val="24"/>
          <w:szCs w:val="24"/>
        </w:rPr>
        <w:t xml:space="preserve"> </w:t>
      </w:r>
      <w:r w:rsidRPr="00F9360F">
        <w:rPr>
          <w:rFonts w:ascii="Times New Roman" w:eastAsia="Calibri" w:hAnsi="Times New Roman" w:cs="Times New Roman"/>
          <w:sz w:val="24"/>
          <w:szCs w:val="24"/>
        </w:rPr>
        <w:t>7а</w:t>
      </w:r>
      <w:r w:rsidR="00F9360F">
        <w:rPr>
          <w:rFonts w:ascii="Times New Roman" w:eastAsia="Calibri" w:hAnsi="Times New Roman" w:cs="Times New Roman"/>
          <w:sz w:val="24"/>
          <w:szCs w:val="24"/>
        </w:rPr>
        <w:t>-</w:t>
      </w:r>
      <w:r w:rsidRPr="00F9360F">
        <w:rPr>
          <w:rFonts w:ascii="Times New Roman" w:eastAsia="Calibri" w:hAnsi="Times New Roman" w:cs="Times New Roman"/>
          <w:sz w:val="24"/>
          <w:szCs w:val="24"/>
        </w:rPr>
        <w:t xml:space="preserve"> Корелациите помеѓу времето на крвавење (BT) пред поставување на дијагнозата и вредностите на ADP </w:t>
      </w:r>
    </w:p>
    <w:tbl>
      <w:tblPr>
        <w:tblStyle w:val="TableGrid1"/>
        <w:tblW w:w="8926" w:type="dxa"/>
        <w:tblLook w:val="04A0" w:firstRow="1" w:lastRow="0" w:firstColumn="1" w:lastColumn="0" w:noHBand="0" w:noVBand="1"/>
      </w:tblPr>
      <w:tblGrid>
        <w:gridCol w:w="7366"/>
        <w:gridCol w:w="1560"/>
      </w:tblGrid>
      <w:tr w:rsidR="00412474" w:rsidRPr="00215667" w14:paraId="551500AC" w14:textId="77777777" w:rsidTr="00435E3A">
        <w:tc>
          <w:tcPr>
            <w:tcW w:w="7366" w:type="dxa"/>
            <w:tcBorders>
              <w:top w:val="single" w:sz="4" w:space="0" w:color="auto"/>
              <w:left w:val="single" w:sz="4" w:space="0" w:color="auto"/>
              <w:bottom w:val="single" w:sz="4" w:space="0" w:color="auto"/>
              <w:right w:val="single" w:sz="4" w:space="0" w:color="auto"/>
            </w:tcBorders>
            <w:noWrap/>
          </w:tcPr>
          <w:p w14:paraId="6EA8536B" w14:textId="77777777" w:rsidR="00412474" w:rsidRPr="00215667" w:rsidRDefault="00412474" w:rsidP="00435E3A">
            <w:pPr>
              <w:rPr>
                <w:rFonts w:ascii="Times New Roman" w:eastAsia="Times New Roman" w:hAnsi="Times New Roman" w:cs="Times New Roman"/>
                <w:bCs/>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noWrap/>
            <w:hideMark/>
          </w:tcPr>
          <w:p w14:paraId="4A951A0B" w14:textId="77777777" w:rsidR="00412474" w:rsidRPr="00215667" w:rsidRDefault="00412474" w:rsidP="00435E3A">
            <w:pPr>
              <w:rPr>
                <w:rFonts w:ascii="Times New Roman" w:eastAsia="Times New Roman" w:hAnsi="Times New Roman" w:cs="Times New Roman"/>
                <w:color w:val="FF0000"/>
                <w:sz w:val="24"/>
                <w:szCs w:val="24"/>
              </w:rPr>
            </w:pPr>
            <w:r w:rsidRPr="00215667">
              <w:rPr>
                <w:rFonts w:ascii="Times New Roman" w:eastAsia="Times New Roman" w:hAnsi="Times New Roman" w:cs="Times New Roman"/>
                <w:bCs/>
                <w:color w:val="000000"/>
                <w:sz w:val="24"/>
                <w:szCs w:val="24"/>
              </w:rPr>
              <w:t>ADP</w:t>
            </w:r>
          </w:p>
        </w:tc>
      </w:tr>
      <w:tr w:rsidR="00412474" w:rsidRPr="00215667" w14:paraId="44ED2CED" w14:textId="77777777" w:rsidTr="00435E3A">
        <w:tc>
          <w:tcPr>
            <w:tcW w:w="7366" w:type="dxa"/>
            <w:tcBorders>
              <w:top w:val="single" w:sz="4" w:space="0" w:color="auto"/>
              <w:left w:val="single" w:sz="4" w:space="0" w:color="auto"/>
              <w:bottom w:val="single" w:sz="4" w:space="0" w:color="auto"/>
              <w:right w:val="single" w:sz="4" w:space="0" w:color="auto"/>
            </w:tcBorders>
            <w:noWrap/>
            <w:hideMark/>
          </w:tcPr>
          <w:p w14:paraId="21C796CF" w14:textId="625898D1" w:rsidR="00412474" w:rsidRPr="00215667" w:rsidRDefault="00412474" w:rsidP="00F9360F">
            <w:pPr>
              <w:jc w:val="both"/>
              <w:rPr>
                <w:rFonts w:ascii="Times New Roman" w:eastAsia="Times New Roman" w:hAnsi="Times New Roman" w:cs="Times New Roman"/>
                <w:bCs/>
                <w:sz w:val="24"/>
                <w:szCs w:val="24"/>
              </w:rPr>
            </w:pPr>
            <w:r w:rsidRPr="00215667">
              <w:rPr>
                <w:rFonts w:ascii="Times New Roman" w:eastAsia="Times New Roman" w:hAnsi="Times New Roman" w:cs="Times New Roman"/>
                <w:bCs/>
                <w:sz w:val="24"/>
                <w:szCs w:val="24"/>
              </w:rPr>
              <w:t xml:space="preserve">Време </w:t>
            </w:r>
            <w:proofErr w:type="spellStart"/>
            <w:r w:rsidRPr="00215667">
              <w:rPr>
                <w:rFonts w:ascii="Times New Roman" w:eastAsia="Times New Roman" w:hAnsi="Times New Roman" w:cs="Times New Roman"/>
                <w:bCs/>
                <w:sz w:val="24"/>
                <w:szCs w:val="24"/>
              </w:rPr>
              <w:t>на</w:t>
            </w:r>
            <w:proofErr w:type="spellEnd"/>
            <w:r w:rsidRPr="00215667">
              <w:rPr>
                <w:rFonts w:ascii="Times New Roman" w:eastAsia="Times New Roman" w:hAnsi="Times New Roman" w:cs="Times New Roman"/>
                <w:bCs/>
                <w:sz w:val="24"/>
                <w:szCs w:val="24"/>
              </w:rPr>
              <w:t xml:space="preserve"> </w:t>
            </w:r>
            <w:proofErr w:type="spellStart"/>
            <w:r w:rsidRPr="00215667">
              <w:rPr>
                <w:rFonts w:ascii="Times New Roman" w:eastAsia="Times New Roman" w:hAnsi="Times New Roman" w:cs="Times New Roman"/>
                <w:bCs/>
                <w:sz w:val="24"/>
                <w:szCs w:val="24"/>
              </w:rPr>
              <w:t>крвавење</w:t>
            </w:r>
            <w:proofErr w:type="spellEnd"/>
            <w:r w:rsidRPr="00215667">
              <w:rPr>
                <w:rFonts w:ascii="Times New Roman" w:eastAsia="Times New Roman" w:hAnsi="Times New Roman" w:cs="Times New Roman"/>
                <w:bCs/>
                <w:sz w:val="24"/>
                <w:szCs w:val="24"/>
              </w:rPr>
              <w:t xml:space="preserve"> (BT) </w:t>
            </w:r>
            <w:proofErr w:type="spellStart"/>
            <w:r w:rsidRPr="00215667">
              <w:rPr>
                <w:rFonts w:ascii="Times New Roman" w:eastAsia="Times New Roman" w:hAnsi="Times New Roman" w:cs="Times New Roman"/>
                <w:bCs/>
                <w:sz w:val="24"/>
                <w:szCs w:val="24"/>
              </w:rPr>
              <w:t>според</w:t>
            </w:r>
            <w:proofErr w:type="spellEnd"/>
            <w:r w:rsidRPr="00215667">
              <w:rPr>
                <w:rFonts w:ascii="Times New Roman" w:eastAsia="Times New Roman" w:hAnsi="Times New Roman" w:cs="Times New Roman"/>
                <w:bCs/>
                <w:sz w:val="24"/>
                <w:szCs w:val="24"/>
              </w:rPr>
              <w:t xml:space="preserve"> </w:t>
            </w:r>
            <w:proofErr w:type="spellStart"/>
            <w:r w:rsidRPr="00215667">
              <w:rPr>
                <w:rFonts w:ascii="Times New Roman" w:eastAsia="Times New Roman" w:hAnsi="Times New Roman" w:cs="Times New Roman"/>
                <w:bCs/>
                <w:sz w:val="24"/>
                <w:szCs w:val="24"/>
              </w:rPr>
              <w:t>самопријавени</w:t>
            </w:r>
            <w:proofErr w:type="spellEnd"/>
            <w:r w:rsidRPr="00215667">
              <w:rPr>
                <w:rFonts w:ascii="Times New Roman" w:eastAsia="Times New Roman" w:hAnsi="Times New Roman" w:cs="Times New Roman"/>
                <w:bCs/>
                <w:sz w:val="24"/>
                <w:szCs w:val="24"/>
              </w:rPr>
              <w:t xml:space="preserve"> </w:t>
            </w:r>
            <w:proofErr w:type="spellStart"/>
            <w:r w:rsidRPr="00215667">
              <w:rPr>
                <w:rFonts w:ascii="Times New Roman" w:eastAsia="Times New Roman" w:hAnsi="Times New Roman" w:cs="Times New Roman"/>
                <w:bCs/>
                <w:sz w:val="24"/>
                <w:szCs w:val="24"/>
              </w:rPr>
              <w:t>симптоми</w:t>
            </w:r>
            <w:proofErr w:type="spellEnd"/>
            <w:r w:rsidRPr="00215667">
              <w:rPr>
                <w:rFonts w:ascii="Times New Roman" w:eastAsia="Times New Roman" w:hAnsi="Times New Roman" w:cs="Times New Roman"/>
                <w:bCs/>
                <w:sz w:val="24"/>
                <w:szCs w:val="24"/>
              </w:rPr>
              <w:t xml:space="preserve"> </w:t>
            </w:r>
            <w:proofErr w:type="spellStart"/>
            <w:r w:rsidRPr="00215667">
              <w:rPr>
                <w:rFonts w:ascii="Times New Roman" w:eastAsia="Times New Roman" w:hAnsi="Times New Roman" w:cs="Times New Roman"/>
                <w:bCs/>
                <w:sz w:val="24"/>
                <w:szCs w:val="24"/>
              </w:rPr>
              <w:t>на</w:t>
            </w:r>
            <w:proofErr w:type="spellEnd"/>
            <w:r w:rsidRPr="00215667">
              <w:rPr>
                <w:rFonts w:ascii="Times New Roman" w:eastAsia="Times New Roman" w:hAnsi="Times New Roman" w:cs="Times New Roman"/>
                <w:bCs/>
                <w:sz w:val="24"/>
                <w:szCs w:val="24"/>
              </w:rPr>
              <w:t xml:space="preserve"> </w:t>
            </w:r>
            <w:proofErr w:type="spellStart"/>
            <w:r w:rsidRPr="00215667">
              <w:rPr>
                <w:rFonts w:ascii="Times New Roman" w:eastAsia="Times New Roman" w:hAnsi="Times New Roman" w:cs="Times New Roman"/>
                <w:bCs/>
                <w:sz w:val="24"/>
                <w:szCs w:val="24"/>
              </w:rPr>
              <w:t>крвавење</w:t>
            </w:r>
            <w:proofErr w:type="spellEnd"/>
          </w:p>
        </w:tc>
        <w:tc>
          <w:tcPr>
            <w:tcW w:w="1560" w:type="dxa"/>
            <w:tcBorders>
              <w:top w:val="single" w:sz="4" w:space="0" w:color="auto"/>
              <w:left w:val="single" w:sz="4" w:space="0" w:color="auto"/>
              <w:bottom w:val="single" w:sz="4" w:space="0" w:color="auto"/>
              <w:right w:val="single" w:sz="4" w:space="0" w:color="auto"/>
            </w:tcBorders>
            <w:noWrap/>
            <w:hideMark/>
          </w:tcPr>
          <w:p w14:paraId="00F15241"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FF0000"/>
                <w:sz w:val="24"/>
                <w:szCs w:val="24"/>
              </w:rPr>
              <w:t>-.3463</w:t>
            </w:r>
          </w:p>
        </w:tc>
      </w:tr>
      <w:tr w:rsidR="00412474" w:rsidRPr="00215667" w14:paraId="5F4EF0F0" w14:textId="77777777" w:rsidTr="00435E3A">
        <w:tc>
          <w:tcPr>
            <w:tcW w:w="7366" w:type="dxa"/>
            <w:tcBorders>
              <w:top w:val="single" w:sz="4" w:space="0" w:color="auto"/>
              <w:left w:val="single" w:sz="4" w:space="0" w:color="auto"/>
              <w:bottom w:val="single" w:sz="4" w:space="0" w:color="auto"/>
              <w:right w:val="single" w:sz="4" w:space="0" w:color="auto"/>
            </w:tcBorders>
            <w:noWrap/>
            <w:hideMark/>
          </w:tcPr>
          <w:p w14:paraId="59E16B78" w14:textId="77777777" w:rsidR="00412474" w:rsidRPr="00215667" w:rsidRDefault="00412474" w:rsidP="00435E3A">
            <w:pPr>
              <w:spacing w:line="256" w:lineRule="auto"/>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hideMark/>
          </w:tcPr>
          <w:p w14:paraId="37E4CB10" w14:textId="4C5B8FB2" w:rsidR="00412474" w:rsidRPr="00215667" w:rsidRDefault="00F9360F" w:rsidP="00435E3A">
            <w:pP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p</w:t>
            </w:r>
            <w:r>
              <w:rPr>
                <w:rFonts w:ascii="Times New Roman" w:eastAsia="Times New Roman" w:hAnsi="Times New Roman" w:cs="Times New Roman"/>
                <w:color w:val="FF0000"/>
                <w:sz w:val="24"/>
                <w:szCs w:val="24"/>
                <w:lang w:val="mk-MK"/>
              </w:rPr>
              <w:t xml:space="preserve"> </w:t>
            </w:r>
            <w:r w:rsidR="00412474" w:rsidRPr="00215667">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lang w:val="mk-MK"/>
              </w:rPr>
              <w:t xml:space="preserve"> </w:t>
            </w:r>
            <w:r w:rsidR="00412474" w:rsidRPr="00215667">
              <w:rPr>
                <w:rFonts w:ascii="Times New Roman" w:eastAsia="Times New Roman" w:hAnsi="Times New Roman" w:cs="Times New Roman"/>
                <w:color w:val="FF0000"/>
                <w:sz w:val="24"/>
                <w:szCs w:val="24"/>
              </w:rPr>
              <w:t>.005</w:t>
            </w:r>
          </w:p>
        </w:tc>
      </w:tr>
    </w:tbl>
    <w:p w14:paraId="727E1601" w14:textId="77777777" w:rsidR="00412474" w:rsidRPr="00215667" w:rsidRDefault="00412474" w:rsidP="00412474">
      <w:pPr>
        <w:spacing w:after="120" w:line="360" w:lineRule="auto"/>
        <w:jc w:val="both"/>
        <w:rPr>
          <w:rFonts w:ascii="Times New Roman" w:eastAsia="Times New Roman" w:hAnsi="Times New Roman" w:cs="Times New Roman"/>
          <w:bCs/>
          <w:color w:val="000000"/>
          <w:sz w:val="24"/>
          <w:szCs w:val="24"/>
        </w:rPr>
      </w:pPr>
    </w:p>
    <w:p w14:paraId="6A1F1700" w14:textId="2B656A9E" w:rsidR="00412474" w:rsidRPr="00F9360F" w:rsidRDefault="00412474" w:rsidP="00F9360F">
      <w:pPr>
        <w:spacing w:after="120" w:line="360" w:lineRule="auto"/>
        <w:jc w:val="center"/>
        <w:rPr>
          <w:rFonts w:ascii="Times New Roman" w:eastAsia="Calibri" w:hAnsi="Times New Roman" w:cs="Times New Roman"/>
          <w:sz w:val="24"/>
          <w:szCs w:val="24"/>
        </w:rPr>
      </w:pPr>
      <w:r w:rsidRPr="00F9360F">
        <w:rPr>
          <w:rFonts w:ascii="Times New Roman" w:eastAsia="Calibri" w:hAnsi="Times New Roman" w:cs="Times New Roman"/>
          <w:sz w:val="24"/>
          <w:szCs w:val="24"/>
        </w:rPr>
        <w:t>Графикон бр.</w:t>
      </w:r>
      <w:r w:rsidR="00F9360F">
        <w:rPr>
          <w:rFonts w:ascii="Times New Roman" w:eastAsia="Calibri" w:hAnsi="Times New Roman" w:cs="Times New Roman"/>
          <w:sz w:val="24"/>
          <w:szCs w:val="24"/>
        </w:rPr>
        <w:t xml:space="preserve"> </w:t>
      </w:r>
      <w:r w:rsidRPr="00F9360F">
        <w:rPr>
          <w:rFonts w:ascii="Times New Roman" w:eastAsia="Calibri" w:hAnsi="Times New Roman" w:cs="Times New Roman"/>
          <w:sz w:val="24"/>
          <w:szCs w:val="24"/>
        </w:rPr>
        <w:t>7а</w:t>
      </w:r>
      <w:r w:rsidR="00F9360F">
        <w:rPr>
          <w:rFonts w:ascii="Times New Roman" w:eastAsia="Calibri" w:hAnsi="Times New Roman" w:cs="Times New Roman"/>
          <w:sz w:val="24"/>
          <w:szCs w:val="24"/>
        </w:rPr>
        <w:t>-</w:t>
      </w:r>
      <w:r w:rsidRPr="00F9360F">
        <w:rPr>
          <w:rFonts w:ascii="Times New Roman" w:eastAsia="Calibri" w:hAnsi="Times New Roman" w:cs="Times New Roman"/>
          <w:sz w:val="24"/>
          <w:szCs w:val="24"/>
        </w:rPr>
        <w:t xml:space="preserve"> Приказ на корелациите помеѓу времето на крвавење (BT) пред поставување на дијагнозата и нивоата на ADP </w:t>
      </w:r>
    </w:p>
    <w:p w14:paraId="45C257C1" w14:textId="6128D0D7" w:rsidR="00412474" w:rsidRPr="00215667" w:rsidRDefault="009D29AC" w:rsidP="00412474">
      <w:pPr>
        <w:spacing w:after="120" w:line="360" w:lineRule="auto"/>
        <w:jc w:val="both"/>
        <w:rPr>
          <w:rFonts w:ascii="Times New Roman" w:eastAsia="Times New Roman" w:hAnsi="Times New Roman" w:cs="Times New Roman"/>
          <w:bCs/>
          <w:color w:val="000000"/>
          <w:sz w:val="24"/>
          <w:szCs w:val="24"/>
        </w:rPr>
      </w:pPr>
      <w:r w:rsidRPr="009D29AC">
        <w:rPr>
          <w:rFonts w:ascii="Times New Roman" w:eastAsia="Calibri" w:hAnsi="Times New Roman" w:cs="Times New Roman"/>
          <w:noProof/>
          <w:sz w:val="24"/>
          <w:szCs w:val="24"/>
          <w14:ligatures w14:val="standardContextual"/>
        </w:rPr>
        <w:object w:dxaOrig="11070" w:dyaOrig="4440" w14:anchorId="6A7479F6">
          <v:shape id="_x0000_i1062" type="#_x0000_t75" alt="" style="width:554.1pt;height:221.2pt;mso-width-percent:0;mso-height-percent:0;mso-width-percent:0;mso-height-percent:0" o:ole="">
            <v:imagedata r:id="rId23" o:title=""/>
          </v:shape>
          <o:OLEObject Type="Embed" ProgID="STATISTICA.Graph" ShapeID="_x0000_i1062" DrawAspect="Content" ObjectID="_1819618110" r:id="rId24">
            <o:FieldCodes>\s</o:FieldCodes>
          </o:OLEObject>
        </w:object>
      </w:r>
      <w:r w:rsidR="00F9360F">
        <w:rPr>
          <w:rFonts w:ascii="Times New Roman" w:eastAsia="Calibri" w:hAnsi="Times New Roman" w:cs="Times New Roman"/>
          <w:noProof/>
          <w:sz w:val="24"/>
          <w:szCs w:val="24"/>
          <w14:ligatures w14:val="standardContextual"/>
        </w:rPr>
        <w:tab/>
      </w:r>
      <w:r w:rsidR="00412474" w:rsidRPr="00215667">
        <w:rPr>
          <w:rFonts w:ascii="Times New Roman" w:eastAsia="Times New Roman" w:hAnsi="Times New Roman" w:cs="Times New Roman"/>
          <w:bCs/>
          <w:color w:val="000000"/>
          <w:sz w:val="24"/>
          <w:szCs w:val="24"/>
        </w:rPr>
        <w:t xml:space="preserve">Корелацијата помеѓу времето на крвавење, според самопријавените клинички симптоми и определените вредности на </w:t>
      </w:r>
      <w:r w:rsidR="00F9360F">
        <w:rPr>
          <w:rFonts w:ascii="Times New Roman" w:eastAsia="Times New Roman" w:hAnsi="Times New Roman" w:cs="Times New Roman"/>
          <w:bCs/>
          <w:color w:val="000000"/>
          <w:sz w:val="24"/>
          <w:szCs w:val="24"/>
        </w:rPr>
        <w:t>ристоцетин</w:t>
      </w:r>
      <w:r w:rsidR="00F9360F" w:rsidRPr="00215667">
        <w:rPr>
          <w:rFonts w:ascii="Times New Roman" w:eastAsia="Times New Roman" w:hAnsi="Times New Roman" w:cs="Times New Roman"/>
          <w:bCs/>
          <w:color w:val="000000"/>
          <w:sz w:val="24"/>
          <w:szCs w:val="24"/>
        </w:rPr>
        <w:t xml:space="preserve"> </w:t>
      </w:r>
      <w:r w:rsidR="00412474" w:rsidRPr="00215667">
        <w:rPr>
          <w:rFonts w:ascii="Times New Roman" w:eastAsia="Times New Roman" w:hAnsi="Times New Roman" w:cs="Times New Roman"/>
          <w:bCs/>
          <w:color w:val="000000"/>
          <w:sz w:val="24"/>
          <w:szCs w:val="24"/>
        </w:rPr>
        <w:t>покажа дека се регистрира сигнификантна умерена негативна/индиректна, (r</w:t>
      </w:r>
      <w:r w:rsidR="00F9360F">
        <w:rPr>
          <w:rFonts w:ascii="Times New Roman" w:eastAsia="Times New Roman" w:hAnsi="Times New Roman" w:cs="Times New Roman"/>
          <w:bCs/>
          <w:color w:val="000000"/>
          <w:sz w:val="24"/>
          <w:szCs w:val="24"/>
        </w:rPr>
        <w:t xml:space="preserve"> </w:t>
      </w:r>
      <w:r w:rsidR="00412474" w:rsidRPr="00215667">
        <w:rPr>
          <w:rFonts w:ascii="Times New Roman" w:eastAsia="Times New Roman" w:hAnsi="Times New Roman" w:cs="Times New Roman"/>
          <w:bCs/>
          <w:color w:val="000000"/>
          <w:sz w:val="24"/>
          <w:szCs w:val="24"/>
        </w:rPr>
        <w:t>=</w:t>
      </w:r>
      <w:r w:rsidR="00F9360F">
        <w:rPr>
          <w:rFonts w:ascii="Times New Roman" w:eastAsia="Times New Roman" w:hAnsi="Times New Roman" w:cs="Times New Roman"/>
          <w:bCs/>
          <w:color w:val="000000"/>
          <w:sz w:val="24"/>
          <w:szCs w:val="24"/>
        </w:rPr>
        <w:t xml:space="preserve"> </w:t>
      </w:r>
      <w:r w:rsidR="00412474" w:rsidRPr="00215667">
        <w:rPr>
          <w:rFonts w:ascii="Times New Roman" w:eastAsia="Times New Roman" w:hAnsi="Times New Roman" w:cs="Times New Roman"/>
          <w:bCs/>
          <w:color w:val="000000"/>
          <w:sz w:val="24"/>
          <w:szCs w:val="24"/>
        </w:rPr>
        <w:t>-2752, p</w:t>
      </w:r>
      <w:r w:rsidR="00F9360F">
        <w:rPr>
          <w:rFonts w:ascii="Times New Roman" w:eastAsia="Times New Roman" w:hAnsi="Times New Roman" w:cs="Times New Roman"/>
          <w:bCs/>
          <w:color w:val="000000"/>
          <w:sz w:val="24"/>
          <w:szCs w:val="24"/>
        </w:rPr>
        <w:t xml:space="preserve"> </w:t>
      </w:r>
      <w:r w:rsidR="00412474" w:rsidRPr="00215667">
        <w:rPr>
          <w:rFonts w:ascii="Times New Roman" w:eastAsia="Times New Roman" w:hAnsi="Times New Roman" w:cs="Times New Roman"/>
          <w:bCs/>
          <w:color w:val="FF0000"/>
          <w:sz w:val="24"/>
          <w:szCs w:val="24"/>
        </w:rPr>
        <w:t>=</w:t>
      </w:r>
      <w:r w:rsidR="00F9360F">
        <w:rPr>
          <w:rFonts w:ascii="Times New Roman" w:eastAsia="Times New Roman" w:hAnsi="Times New Roman" w:cs="Times New Roman"/>
          <w:bCs/>
          <w:color w:val="FF0000"/>
          <w:sz w:val="24"/>
          <w:szCs w:val="24"/>
        </w:rPr>
        <w:t xml:space="preserve"> </w:t>
      </w:r>
      <w:r w:rsidR="00412474" w:rsidRPr="00215667">
        <w:rPr>
          <w:rFonts w:ascii="Times New Roman" w:eastAsia="Times New Roman" w:hAnsi="Times New Roman" w:cs="Times New Roman"/>
          <w:bCs/>
          <w:color w:val="FF0000"/>
          <w:sz w:val="24"/>
          <w:szCs w:val="24"/>
        </w:rPr>
        <w:t>.028</w:t>
      </w:r>
      <w:r w:rsidR="00412474" w:rsidRPr="00215667">
        <w:rPr>
          <w:rFonts w:ascii="Times New Roman" w:eastAsia="Times New Roman" w:hAnsi="Times New Roman" w:cs="Times New Roman"/>
          <w:bCs/>
          <w:color w:val="000000"/>
          <w:sz w:val="24"/>
          <w:szCs w:val="24"/>
        </w:rPr>
        <w:t xml:space="preserve">) (табела </w:t>
      </w:r>
      <w:r w:rsidR="00F9360F">
        <w:rPr>
          <w:rFonts w:ascii="Times New Roman" w:eastAsia="Times New Roman" w:hAnsi="Times New Roman" w:cs="Times New Roman"/>
          <w:bCs/>
          <w:color w:val="000000"/>
          <w:sz w:val="24"/>
          <w:szCs w:val="24"/>
        </w:rPr>
        <w:t xml:space="preserve">бр. 7б </w:t>
      </w:r>
      <w:r w:rsidR="00412474" w:rsidRPr="00215667">
        <w:rPr>
          <w:rFonts w:ascii="Times New Roman" w:eastAsia="Times New Roman" w:hAnsi="Times New Roman" w:cs="Times New Roman"/>
          <w:bCs/>
          <w:color w:val="000000"/>
          <w:sz w:val="24"/>
          <w:szCs w:val="24"/>
        </w:rPr>
        <w:t>и графикон бр</w:t>
      </w:r>
      <w:r w:rsidR="00F9360F">
        <w:rPr>
          <w:rFonts w:ascii="Times New Roman" w:eastAsia="Times New Roman" w:hAnsi="Times New Roman" w:cs="Times New Roman"/>
          <w:bCs/>
          <w:color w:val="000000"/>
          <w:sz w:val="24"/>
          <w:szCs w:val="24"/>
        </w:rPr>
        <w:t>.</w:t>
      </w:r>
      <w:r w:rsidR="00412474" w:rsidRPr="00215667">
        <w:rPr>
          <w:rFonts w:ascii="Times New Roman" w:eastAsia="Times New Roman" w:hAnsi="Times New Roman" w:cs="Times New Roman"/>
          <w:bCs/>
          <w:color w:val="000000"/>
          <w:sz w:val="24"/>
          <w:szCs w:val="24"/>
        </w:rPr>
        <w:t xml:space="preserve"> 7б)</w:t>
      </w:r>
      <w:r w:rsidR="00F9360F">
        <w:rPr>
          <w:rFonts w:ascii="Times New Roman" w:eastAsia="Times New Roman" w:hAnsi="Times New Roman" w:cs="Times New Roman"/>
          <w:bCs/>
          <w:color w:val="000000"/>
          <w:sz w:val="24"/>
          <w:szCs w:val="24"/>
        </w:rPr>
        <w:t>.</w:t>
      </w:r>
    </w:p>
    <w:p w14:paraId="4BAD7183"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57E885BB" w14:textId="22BA126F" w:rsidR="00412474" w:rsidRPr="00215667" w:rsidRDefault="00412474" w:rsidP="00F9360F">
      <w:pPr>
        <w:spacing w:after="120" w:line="360" w:lineRule="auto"/>
        <w:jc w:val="center"/>
        <w:rPr>
          <w:rFonts w:ascii="Times New Roman" w:eastAsia="Times New Roman" w:hAnsi="Times New Roman" w:cs="Times New Roman"/>
          <w:bCs/>
          <w:color w:val="000000"/>
          <w:sz w:val="24"/>
          <w:szCs w:val="24"/>
        </w:rPr>
      </w:pPr>
      <w:r w:rsidRPr="00215667">
        <w:rPr>
          <w:rFonts w:ascii="Times New Roman" w:eastAsia="Calibri" w:hAnsi="Times New Roman" w:cs="Times New Roman"/>
          <w:sz w:val="24"/>
          <w:szCs w:val="24"/>
        </w:rPr>
        <w:t>Табела</w:t>
      </w:r>
      <w:r w:rsidR="00F9360F">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бр.</w:t>
      </w:r>
      <w:r w:rsidR="00F9360F">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7б</w:t>
      </w:r>
      <w:r w:rsidR="00F9360F">
        <w:rPr>
          <w:rFonts w:ascii="Times New Roman" w:eastAsia="Calibri" w:hAnsi="Times New Roman" w:cs="Times New Roman"/>
          <w:sz w:val="24"/>
          <w:szCs w:val="24"/>
        </w:rPr>
        <w:t>-</w:t>
      </w:r>
      <w:r w:rsidRPr="00215667">
        <w:rPr>
          <w:rFonts w:ascii="Times New Roman" w:hAnsi="Times New Roman" w:cs="Times New Roman"/>
          <w:sz w:val="24"/>
          <w:szCs w:val="24"/>
        </w:rPr>
        <w:t xml:space="preserve"> </w:t>
      </w:r>
      <w:r w:rsidRPr="00215667">
        <w:rPr>
          <w:rFonts w:ascii="Times New Roman" w:eastAsia="Calibri" w:hAnsi="Times New Roman" w:cs="Times New Roman"/>
          <w:sz w:val="24"/>
          <w:szCs w:val="24"/>
        </w:rPr>
        <w:t xml:space="preserve">Приказ на корелациите помеѓу времето на крвавење пред поставување на дијагноза и регистрираните вредности на </w:t>
      </w:r>
      <w:r w:rsidR="00F9360F">
        <w:rPr>
          <w:rFonts w:ascii="Times New Roman" w:eastAsia="Calibri" w:hAnsi="Times New Roman" w:cs="Times New Roman"/>
          <w:sz w:val="24"/>
          <w:szCs w:val="24"/>
        </w:rPr>
        <w:t>ристоцетин</w:t>
      </w:r>
    </w:p>
    <w:tbl>
      <w:tblPr>
        <w:tblStyle w:val="TableGrid1"/>
        <w:tblW w:w="8784" w:type="dxa"/>
        <w:tblLook w:val="04A0" w:firstRow="1" w:lastRow="0" w:firstColumn="1" w:lastColumn="0" w:noHBand="0" w:noVBand="1"/>
      </w:tblPr>
      <w:tblGrid>
        <w:gridCol w:w="6941"/>
        <w:gridCol w:w="1843"/>
      </w:tblGrid>
      <w:tr w:rsidR="00412474" w:rsidRPr="00215667" w14:paraId="5C3C8E73" w14:textId="77777777" w:rsidTr="00435E3A">
        <w:tc>
          <w:tcPr>
            <w:tcW w:w="6941" w:type="dxa"/>
            <w:tcBorders>
              <w:top w:val="single" w:sz="4" w:space="0" w:color="auto"/>
              <w:left w:val="single" w:sz="4" w:space="0" w:color="auto"/>
              <w:bottom w:val="single" w:sz="4" w:space="0" w:color="auto"/>
              <w:right w:val="single" w:sz="4" w:space="0" w:color="auto"/>
            </w:tcBorders>
            <w:noWrap/>
            <w:hideMark/>
          </w:tcPr>
          <w:p w14:paraId="0E5F3A4B" w14:textId="77777777" w:rsidR="00412474" w:rsidRPr="00215667" w:rsidRDefault="00412474" w:rsidP="00435E3A">
            <w:pPr>
              <w:spacing w:line="256" w:lineRule="auto"/>
              <w:rPr>
                <w:rFonts w:ascii="Times New Roman" w:eastAsia="Times New Roman" w:hAnsi="Times New Roman" w:cs="Times New Roman"/>
                <w:bCs/>
                <w:color w:val="000000"/>
                <w:sz w:val="24"/>
                <w:szCs w:val="24"/>
              </w:rPr>
            </w:pPr>
          </w:p>
        </w:tc>
        <w:tc>
          <w:tcPr>
            <w:tcW w:w="1843" w:type="dxa"/>
            <w:tcBorders>
              <w:top w:val="single" w:sz="4" w:space="0" w:color="auto"/>
              <w:left w:val="single" w:sz="4" w:space="0" w:color="auto"/>
              <w:bottom w:val="single" w:sz="4" w:space="0" w:color="auto"/>
              <w:right w:val="single" w:sz="4" w:space="0" w:color="auto"/>
            </w:tcBorders>
            <w:noWrap/>
            <w:hideMark/>
          </w:tcPr>
          <w:p w14:paraId="764BFD2D" w14:textId="25038B87" w:rsidR="00412474" w:rsidRPr="00215667" w:rsidRDefault="00F9360F" w:rsidP="00435E3A">
            <w:pPr>
              <w:rPr>
                <w:rFonts w:ascii="Times New Roman" w:eastAsia="Times New Roman" w:hAnsi="Times New Roman" w:cs="Times New Roman"/>
                <w:bCs/>
                <w:sz w:val="24"/>
                <w:szCs w:val="24"/>
              </w:rPr>
            </w:pPr>
            <w:proofErr w:type="spellStart"/>
            <w:r>
              <w:rPr>
                <w:rFonts w:ascii="Times New Roman" w:hAnsi="Times New Roman" w:cs="Times New Roman"/>
                <w:sz w:val="24"/>
                <w:szCs w:val="24"/>
              </w:rPr>
              <w:t>ристоцетин</w:t>
            </w:r>
            <w:proofErr w:type="spellEnd"/>
          </w:p>
        </w:tc>
      </w:tr>
      <w:tr w:rsidR="00412474" w:rsidRPr="00215667" w14:paraId="6A9CB56D" w14:textId="77777777" w:rsidTr="00435E3A">
        <w:tc>
          <w:tcPr>
            <w:tcW w:w="6941" w:type="dxa"/>
            <w:tcBorders>
              <w:top w:val="single" w:sz="4" w:space="0" w:color="auto"/>
              <w:left w:val="single" w:sz="4" w:space="0" w:color="auto"/>
              <w:bottom w:val="single" w:sz="4" w:space="0" w:color="auto"/>
              <w:right w:val="single" w:sz="4" w:space="0" w:color="auto"/>
            </w:tcBorders>
            <w:noWrap/>
            <w:hideMark/>
          </w:tcPr>
          <w:p w14:paraId="1A31A939" w14:textId="140C844D" w:rsidR="00412474" w:rsidRPr="00215667" w:rsidRDefault="00412474" w:rsidP="00F9360F">
            <w:pPr>
              <w:jc w:val="both"/>
              <w:rPr>
                <w:rFonts w:ascii="Times New Roman" w:eastAsia="Times New Roman" w:hAnsi="Times New Roman" w:cs="Times New Roman"/>
                <w:b/>
                <w:bCs/>
                <w:sz w:val="24"/>
                <w:szCs w:val="24"/>
              </w:rPr>
            </w:pPr>
            <w:r w:rsidRPr="00215667">
              <w:rPr>
                <w:rFonts w:ascii="Times New Roman" w:eastAsia="Times New Roman" w:hAnsi="Times New Roman" w:cs="Times New Roman"/>
                <w:bCs/>
                <w:color w:val="000000"/>
                <w:sz w:val="24"/>
                <w:szCs w:val="24"/>
              </w:rPr>
              <w:t xml:space="preserve">Време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крвавење</w:t>
            </w:r>
            <w:proofErr w:type="spellEnd"/>
            <w:r w:rsidRPr="00215667">
              <w:rPr>
                <w:rFonts w:ascii="Times New Roman" w:eastAsia="Times New Roman" w:hAnsi="Times New Roman" w:cs="Times New Roman"/>
                <w:bCs/>
                <w:color w:val="000000"/>
                <w:sz w:val="24"/>
                <w:szCs w:val="24"/>
              </w:rPr>
              <w:t xml:space="preserve"> (BT) </w:t>
            </w:r>
            <w:proofErr w:type="spellStart"/>
            <w:r w:rsidRPr="00215667">
              <w:rPr>
                <w:rFonts w:ascii="Times New Roman" w:eastAsia="Times New Roman" w:hAnsi="Times New Roman" w:cs="Times New Roman"/>
                <w:bCs/>
                <w:color w:val="000000"/>
                <w:sz w:val="24"/>
                <w:szCs w:val="24"/>
              </w:rPr>
              <w:t>според</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самопријавени</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симптоми</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крвавење</w:t>
            </w:r>
            <w:proofErr w:type="spellEnd"/>
          </w:p>
        </w:tc>
        <w:tc>
          <w:tcPr>
            <w:tcW w:w="1843" w:type="dxa"/>
            <w:tcBorders>
              <w:top w:val="single" w:sz="4" w:space="0" w:color="auto"/>
              <w:left w:val="single" w:sz="4" w:space="0" w:color="auto"/>
              <w:bottom w:val="single" w:sz="4" w:space="0" w:color="auto"/>
              <w:right w:val="single" w:sz="4" w:space="0" w:color="auto"/>
            </w:tcBorders>
            <w:noWrap/>
            <w:hideMark/>
          </w:tcPr>
          <w:p w14:paraId="7E35A235"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FF0000"/>
                <w:sz w:val="24"/>
                <w:szCs w:val="24"/>
              </w:rPr>
              <w:t>-.2752</w:t>
            </w:r>
          </w:p>
        </w:tc>
      </w:tr>
      <w:tr w:rsidR="00412474" w:rsidRPr="00215667" w14:paraId="3C41EB2A" w14:textId="77777777" w:rsidTr="00435E3A">
        <w:tc>
          <w:tcPr>
            <w:tcW w:w="6941" w:type="dxa"/>
            <w:tcBorders>
              <w:top w:val="single" w:sz="4" w:space="0" w:color="auto"/>
              <w:left w:val="single" w:sz="4" w:space="0" w:color="auto"/>
              <w:bottom w:val="single" w:sz="4" w:space="0" w:color="auto"/>
              <w:right w:val="single" w:sz="4" w:space="0" w:color="auto"/>
            </w:tcBorders>
            <w:noWrap/>
            <w:hideMark/>
          </w:tcPr>
          <w:p w14:paraId="18E8FF46" w14:textId="77777777" w:rsidR="00412474" w:rsidRPr="00215667" w:rsidRDefault="00412474" w:rsidP="00435E3A">
            <w:pPr>
              <w:spacing w:line="256" w:lineRule="auto"/>
              <w:rPr>
                <w:rFonts w:ascii="Times New Roman" w:eastAsia="Times New Roman" w:hAnsi="Times New Roman" w:cs="Times New Roman"/>
                <w:sz w:val="24"/>
                <w:szCs w:val="24"/>
              </w:rPr>
            </w:pPr>
          </w:p>
        </w:tc>
        <w:tc>
          <w:tcPr>
            <w:tcW w:w="1843" w:type="dxa"/>
            <w:tcBorders>
              <w:top w:val="single" w:sz="4" w:space="0" w:color="auto"/>
              <w:left w:val="single" w:sz="4" w:space="0" w:color="auto"/>
              <w:bottom w:val="single" w:sz="4" w:space="0" w:color="auto"/>
              <w:right w:val="single" w:sz="4" w:space="0" w:color="auto"/>
            </w:tcBorders>
            <w:noWrap/>
            <w:hideMark/>
          </w:tcPr>
          <w:p w14:paraId="3D95F0C1" w14:textId="48A9FB75" w:rsidR="00412474" w:rsidRPr="00215667" w:rsidRDefault="00F9360F"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FF0000"/>
                <w:sz w:val="24"/>
                <w:szCs w:val="24"/>
              </w:rPr>
              <w:t>P</w:t>
            </w:r>
            <w:r>
              <w:rPr>
                <w:rFonts w:ascii="Times New Roman" w:eastAsia="Times New Roman" w:hAnsi="Times New Roman" w:cs="Times New Roman"/>
                <w:color w:val="FF0000"/>
                <w:sz w:val="24"/>
                <w:szCs w:val="24"/>
                <w:lang w:val="mk-MK"/>
              </w:rPr>
              <w:t xml:space="preserve"> </w:t>
            </w:r>
            <w:r w:rsidR="00412474" w:rsidRPr="00215667">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lang w:val="mk-MK"/>
              </w:rPr>
              <w:t xml:space="preserve"> </w:t>
            </w:r>
            <w:r w:rsidR="00412474" w:rsidRPr="00215667">
              <w:rPr>
                <w:rFonts w:ascii="Times New Roman" w:eastAsia="Times New Roman" w:hAnsi="Times New Roman" w:cs="Times New Roman"/>
                <w:color w:val="FF0000"/>
                <w:sz w:val="24"/>
                <w:szCs w:val="24"/>
              </w:rPr>
              <w:t>.028</w:t>
            </w:r>
          </w:p>
        </w:tc>
      </w:tr>
    </w:tbl>
    <w:p w14:paraId="47E775EF" w14:textId="77777777" w:rsidR="00412474" w:rsidRPr="00215667" w:rsidRDefault="00412474" w:rsidP="00412474">
      <w:pPr>
        <w:spacing w:after="120" w:line="360" w:lineRule="auto"/>
        <w:jc w:val="both"/>
        <w:rPr>
          <w:rFonts w:ascii="Times New Roman" w:eastAsia="Times New Roman" w:hAnsi="Times New Roman" w:cs="Times New Roman"/>
          <w:bCs/>
          <w:color w:val="000000"/>
          <w:sz w:val="24"/>
          <w:szCs w:val="24"/>
        </w:rPr>
      </w:pPr>
    </w:p>
    <w:p w14:paraId="15A43D33" w14:textId="1B4AB4EC" w:rsidR="00412474" w:rsidRPr="00215667" w:rsidRDefault="002203FA" w:rsidP="00F9360F">
      <w:pPr>
        <w:spacing w:after="12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lastRenderedPageBreak/>
        <w:t>Графикон</w:t>
      </w:r>
      <w:r w:rsidR="00F9360F">
        <w:rPr>
          <w:rFonts w:ascii="Times New Roman" w:eastAsia="Calibri" w:hAnsi="Times New Roman" w:cs="Times New Roman"/>
          <w:sz w:val="24"/>
          <w:szCs w:val="24"/>
        </w:rPr>
        <w:t xml:space="preserve"> </w:t>
      </w:r>
      <w:r w:rsidR="00412474" w:rsidRPr="00215667">
        <w:rPr>
          <w:rFonts w:ascii="Times New Roman" w:eastAsia="Calibri" w:hAnsi="Times New Roman" w:cs="Times New Roman"/>
          <w:sz w:val="24"/>
          <w:szCs w:val="24"/>
        </w:rPr>
        <w:t>бр.</w:t>
      </w:r>
      <w:r w:rsidR="00F9360F">
        <w:rPr>
          <w:rFonts w:ascii="Times New Roman" w:eastAsia="Calibri" w:hAnsi="Times New Roman" w:cs="Times New Roman"/>
          <w:sz w:val="24"/>
          <w:szCs w:val="24"/>
        </w:rPr>
        <w:t xml:space="preserve"> </w:t>
      </w:r>
      <w:r w:rsidR="00412474" w:rsidRPr="00215667">
        <w:rPr>
          <w:rFonts w:ascii="Times New Roman" w:eastAsia="Calibri" w:hAnsi="Times New Roman" w:cs="Times New Roman"/>
          <w:sz w:val="24"/>
          <w:szCs w:val="24"/>
        </w:rPr>
        <w:t>7б</w:t>
      </w:r>
      <w:r w:rsidR="00F9360F">
        <w:rPr>
          <w:rFonts w:ascii="Times New Roman" w:eastAsia="Calibri" w:hAnsi="Times New Roman" w:cs="Times New Roman"/>
          <w:sz w:val="24"/>
          <w:szCs w:val="24"/>
        </w:rPr>
        <w:t>-</w:t>
      </w:r>
      <w:r w:rsidR="00412474" w:rsidRPr="00215667">
        <w:rPr>
          <w:rFonts w:ascii="Times New Roman" w:eastAsia="Calibri" w:hAnsi="Times New Roman" w:cs="Times New Roman"/>
          <w:sz w:val="24"/>
          <w:szCs w:val="24"/>
        </w:rPr>
        <w:t xml:space="preserve"> Приказ на корелациите помеѓу времето на крвавење пред поставување на дијагноза и опре</w:t>
      </w:r>
      <w:r w:rsidR="00F9360F">
        <w:rPr>
          <w:rFonts w:ascii="Times New Roman" w:eastAsia="Calibri" w:hAnsi="Times New Roman" w:cs="Times New Roman"/>
          <w:sz w:val="24"/>
          <w:szCs w:val="24"/>
        </w:rPr>
        <w:t>д</w:t>
      </w:r>
      <w:r w:rsidR="00412474" w:rsidRPr="00215667">
        <w:rPr>
          <w:rFonts w:ascii="Times New Roman" w:eastAsia="Calibri" w:hAnsi="Times New Roman" w:cs="Times New Roman"/>
          <w:sz w:val="24"/>
          <w:szCs w:val="24"/>
        </w:rPr>
        <w:t xml:space="preserve">елените вредности на </w:t>
      </w:r>
      <w:r w:rsidR="00F9360F">
        <w:rPr>
          <w:rFonts w:ascii="Times New Roman" w:eastAsia="Calibri" w:hAnsi="Times New Roman" w:cs="Times New Roman"/>
          <w:sz w:val="24"/>
          <w:szCs w:val="24"/>
        </w:rPr>
        <w:t>ристоцетин</w:t>
      </w:r>
    </w:p>
    <w:p w14:paraId="1F9F7E65" w14:textId="509061D1" w:rsidR="002203FA" w:rsidRDefault="002203FA" w:rsidP="002203FA">
      <w:pPr>
        <w:spacing w:after="120" w:line="360" w:lineRule="auto"/>
        <w:jc w:val="center"/>
        <w:rPr>
          <w:rFonts w:ascii="Times New Roman" w:eastAsia="Times New Roman" w:hAnsi="Times New Roman" w:cs="Times New Roman"/>
          <w:bCs/>
          <w:color w:val="000000"/>
          <w:sz w:val="24"/>
          <w:szCs w:val="24"/>
        </w:rPr>
      </w:pPr>
      <w:r>
        <w:rPr>
          <w:noProof/>
          <w14:ligatures w14:val="standardContextual"/>
        </w:rPr>
        <w:drawing>
          <wp:inline distT="0" distB="0" distL="0" distR="0" wp14:anchorId="7F44F42F" wp14:editId="41756AD6">
            <wp:extent cx="5179326" cy="2099990"/>
            <wp:effectExtent l="0" t="0" r="2540" b="0"/>
            <wp:docPr id="1366861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861247" name=""/>
                    <pic:cNvPicPr/>
                  </pic:nvPicPr>
                  <pic:blipFill>
                    <a:blip r:embed="rId25"/>
                    <a:stretch>
                      <a:fillRect/>
                    </a:stretch>
                  </pic:blipFill>
                  <pic:spPr>
                    <a:xfrm>
                      <a:off x="0" y="0"/>
                      <a:ext cx="5186379" cy="2102850"/>
                    </a:xfrm>
                    <a:prstGeom prst="rect">
                      <a:avLst/>
                    </a:prstGeom>
                  </pic:spPr>
                </pic:pic>
              </a:graphicData>
            </a:graphic>
          </wp:inline>
        </w:drawing>
      </w:r>
    </w:p>
    <w:p w14:paraId="3A2A21C4" w14:textId="28E6217D" w:rsidR="00412474" w:rsidRPr="00215667" w:rsidRDefault="00412474" w:rsidP="002203FA">
      <w:pPr>
        <w:spacing w:after="120" w:line="360" w:lineRule="auto"/>
        <w:ind w:firstLine="720"/>
        <w:jc w:val="both"/>
        <w:rPr>
          <w:rFonts w:ascii="Times New Roman" w:eastAsia="Times New Roman" w:hAnsi="Times New Roman" w:cs="Times New Roman"/>
          <w:bCs/>
          <w:color w:val="000000"/>
          <w:sz w:val="24"/>
          <w:szCs w:val="24"/>
        </w:rPr>
      </w:pPr>
      <w:r w:rsidRPr="00215667">
        <w:rPr>
          <w:rFonts w:ascii="Times New Roman" w:eastAsia="Times New Roman" w:hAnsi="Times New Roman" w:cs="Times New Roman"/>
          <w:bCs/>
          <w:color w:val="000000"/>
          <w:sz w:val="24"/>
          <w:szCs w:val="24"/>
        </w:rPr>
        <w:t xml:space="preserve">Корелацијата помеѓу времето на крвавење, според самопријавените клинички симптоми и определените вредности на </w:t>
      </w:r>
      <w:r w:rsidR="00F9360F">
        <w:rPr>
          <w:rFonts w:ascii="Times New Roman" w:eastAsia="Times New Roman" w:hAnsi="Times New Roman" w:cs="Times New Roman"/>
          <w:bCs/>
          <w:color w:val="000000"/>
          <w:sz w:val="24"/>
          <w:szCs w:val="24"/>
        </w:rPr>
        <w:t>колаген</w:t>
      </w:r>
      <w:r w:rsidRPr="00215667">
        <w:rPr>
          <w:rFonts w:ascii="Times New Roman" w:eastAsia="Times New Roman" w:hAnsi="Times New Roman" w:cs="Times New Roman"/>
          <w:bCs/>
          <w:color w:val="000000"/>
          <w:sz w:val="24"/>
          <w:szCs w:val="24"/>
        </w:rPr>
        <w:t xml:space="preserve"> покажа дека се регистрира слаба негативна (индиректна) несигнификантна корелација помеѓу време на </w:t>
      </w:r>
      <w:r w:rsidR="00EC49EB" w:rsidRPr="00215667">
        <w:rPr>
          <w:rFonts w:ascii="Times New Roman" w:eastAsia="Times New Roman" w:hAnsi="Times New Roman" w:cs="Times New Roman"/>
          <w:bCs/>
          <w:color w:val="000000"/>
          <w:sz w:val="24"/>
          <w:szCs w:val="24"/>
        </w:rPr>
        <w:t>крвавење</w:t>
      </w:r>
      <w:r w:rsidRPr="00215667">
        <w:rPr>
          <w:rFonts w:ascii="Times New Roman" w:eastAsia="Times New Roman" w:hAnsi="Times New Roman" w:cs="Times New Roman"/>
          <w:bCs/>
          <w:color w:val="000000"/>
          <w:sz w:val="24"/>
          <w:szCs w:val="24"/>
        </w:rPr>
        <w:t xml:space="preserve"> и вредностите на </w:t>
      </w:r>
      <w:r w:rsidR="00F9360F">
        <w:rPr>
          <w:rFonts w:ascii="Times New Roman" w:eastAsia="Times New Roman" w:hAnsi="Times New Roman" w:cs="Times New Roman"/>
          <w:bCs/>
          <w:color w:val="000000"/>
          <w:sz w:val="24"/>
          <w:szCs w:val="24"/>
        </w:rPr>
        <w:t>колаген</w:t>
      </w:r>
      <w:r w:rsidRPr="00215667">
        <w:rPr>
          <w:rFonts w:ascii="Times New Roman" w:eastAsia="Times New Roman" w:hAnsi="Times New Roman" w:cs="Times New Roman"/>
          <w:bCs/>
          <w:color w:val="000000"/>
          <w:sz w:val="24"/>
          <w:szCs w:val="24"/>
        </w:rPr>
        <w:t xml:space="preserve"> (r</w:t>
      </w:r>
      <w:r w:rsidR="00F9360F">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F9360F">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-2752, p</w:t>
      </w:r>
      <w:r w:rsidR="00F9360F">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F9360F">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.028) (табела </w:t>
      </w:r>
      <w:r w:rsidR="00F9360F">
        <w:rPr>
          <w:rFonts w:ascii="Times New Roman" w:eastAsia="Times New Roman" w:hAnsi="Times New Roman" w:cs="Times New Roman"/>
          <w:bCs/>
          <w:color w:val="000000"/>
          <w:sz w:val="24"/>
          <w:szCs w:val="24"/>
        </w:rPr>
        <w:t xml:space="preserve">бр. 7в </w:t>
      </w:r>
      <w:r w:rsidRPr="00215667">
        <w:rPr>
          <w:rFonts w:ascii="Times New Roman" w:eastAsia="Times New Roman" w:hAnsi="Times New Roman" w:cs="Times New Roman"/>
          <w:bCs/>
          <w:color w:val="000000"/>
          <w:sz w:val="24"/>
          <w:szCs w:val="24"/>
        </w:rPr>
        <w:t>и график</w:t>
      </w:r>
      <w:r w:rsidR="002203FA">
        <w:rPr>
          <w:rFonts w:ascii="Times New Roman" w:eastAsia="Times New Roman" w:hAnsi="Times New Roman" w:cs="Times New Roman"/>
          <w:bCs/>
          <w:color w:val="000000"/>
          <w:sz w:val="24"/>
          <w:szCs w:val="24"/>
        </w:rPr>
        <w:t>он</w:t>
      </w:r>
      <w:r w:rsidRPr="00215667">
        <w:rPr>
          <w:rFonts w:ascii="Times New Roman" w:eastAsia="Times New Roman" w:hAnsi="Times New Roman" w:cs="Times New Roman"/>
          <w:bCs/>
          <w:color w:val="000000"/>
          <w:sz w:val="24"/>
          <w:szCs w:val="24"/>
        </w:rPr>
        <w:t xml:space="preserve"> </w:t>
      </w:r>
      <w:r w:rsidR="00F9360F">
        <w:rPr>
          <w:rFonts w:ascii="Times New Roman" w:eastAsia="Times New Roman" w:hAnsi="Times New Roman" w:cs="Times New Roman"/>
          <w:bCs/>
          <w:color w:val="000000"/>
          <w:sz w:val="24"/>
          <w:szCs w:val="24"/>
        </w:rPr>
        <w:t>бр.</w:t>
      </w:r>
      <w:r w:rsidRPr="00215667">
        <w:rPr>
          <w:rFonts w:ascii="Times New Roman" w:eastAsia="Times New Roman" w:hAnsi="Times New Roman" w:cs="Times New Roman"/>
          <w:bCs/>
          <w:color w:val="000000"/>
          <w:sz w:val="24"/>
          <w:szCs w:val="24"/>
        </w:rPr>
        <w:t xml:space="preserve"> 7в)</w:t>
      </w:r>
      <w:r w:rsidR="00F9360F">
        <w:rPr>
          <w:rFonts w:ascii="Times New Roman" w:eastAsia="Times New Roman" w:hAnsi="Times New Roman" w:cs="Times New Roman"/>
          <w:bCs/>
          <w:color w:val="000000"/>
          <w:sz w:val="24"/>
          <w:szCs w:val="24"/>
        </w:rPr>
        <w:t>.</w:t>
      </w:r>
    </w:p>
    <w:p w14:paraId="7D5E355D" w14:textId="36798E45" w:rsidR="00412474" w:rsidRPr="002203FA" w:rsidRDefault="00412474" w:rsidP="002203FA">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бр.7в</w:t>
      </w:r>
      <w:r w:rsidR="002203FA">
        <w:rPr>
          <w:rFonts w:ascii="Times New Roman" w:eastAsia="Calibri" w:hAnsi="Times New Roman" w:cs="Times New Roman"/>
          <w:sz w:val="24"/>
          <w:szCs w:val="24"/>
        </w:rPr>
        <w:t>-</w:t>
      </w:r>
      <w:r w:rsidRPr="002203FA">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Приказ на корелациите помеѓу времето на крвавење пред</w:t>
      </w:r>
      <w:r w:rsidR="002203FA">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поставување на дијагноза и определените нивоа на </w:t>
      </w:r>
      <w:r w:rsidR="002203FA">
        <w:rPr>
          <w:rFonts w:ascii="Times New Roman" w:eastAsia="Calibri" w:hAnsi="Times New Roman" w:cs="Times New Roman"/>
          <w:sz w:val="24"/>
          <w:szCs w:val="24"/>
        </w:rPr>
        <w:t>колаген</w:t>
      </w:r>
      <w:r w:rsidRPr="00215667">
        <w:rPr>
          <w:rFonts w:ascii="Times New Roman" w:eastAsia="Calibri" w:hAnsi="Times New Roman" w:cs="Times New Roman"/>
          <w:sz w:val="24"/>
          <w:szCs w:val="24"/>
        </w:rPr>
        <w:t xml:space="preserve"> </w:t>
      </w:r>
    </w:p>
    <w:tbl>
      <w:tblPr>
        <w:tblStyle w:val="TableGrid1"/>
        <w:tblW w:w="8784" w:type="dxa"/>
        <w:tblLook w:val="04A0" w:firstRow="1" w:lastRow="0" w:firstColumn="1" w:lastColumn="0" w:noHBand="0" w:noVBand="1"/>
      </w:tblPr>
      <w:tblGrid>
        <w:gridCol w:w="7083"/>
        <w:gridCol w:w="1701"/>
      </w:tblGrid>
      <w:tr w:rsidR="00412474" w:rsidRPr="00215667" w14:paraId="54A1EFDC" w14:textId="77777777" w:rsidTr="00435E3A">
        <w:tc>
          <w:tcPr>
            <w:tcW w:w="7083" w:type="dxa"/>
            <w:tcBorders>
              <w:top w:val="single" w:sz="4" w:space="0" w:color="auto"/>
              <w:left w:val="single" w:sz="4" w:space="0" w:color="auto"/>
              <w:bottom w:val="single" w:sz="4" w:space="0" w:color="auto"/>
              <w:right w:val="single" w:sz="4" w:space="0" w:color="auto"/>
            </w:tcBorders>
            <w:noWrap/>
            <w:hideMark/>
          </w:tcPr>
          <w:p w14:paraId="223236D6" w14:textId="77777777" w:rsidR="00412474" w:rsidRPr="00215667" w:rsidRDefault="00412474" w:rsidP="00435E3A">
            <w:pPr>
              <w:spacing w:line="256" w:lineRule="auto"/>
              <w:rPr>
                <w:rFonts w:ascii="Times New Roman" w:eastAsia="Times New Roman" w:hAnsi="Times New Roman" w:cs="Times New Roman"/>
                <w:bCs/>
                <w:color w:val="000000"/>
                <w:sz w:val="24"/>
                <w:szCs w:val="24"/>
              </w:rPr>
            </w:pPr>
          </w:p>
        </w:tc>
        <w:tc>
          <w:tcPr>
            <w:tcW w:w="1701" w:type="dxa"/>
            <w:tcBorders>
              <w:top w:val="single" w:sz="4" w:space="0" w:color="auto"/>
              <w:left w:val="single" w:sz="4" w:space="0" w:color="auto"/>
              <w:bottom w:val="single" w:sz="4" w:space="0" w:color="auto"/>
              <w:right w:val="single" w:sz="4" w:space="0" w:color="auto"/>
            </w:tcBorders>
            <w:noWrap/>
            <w:hideMark/>
          </w:tcPr>
          <w:p w14:paraId="7B6E6191" w14:textId="2C8EDCD7" w:rsidR="00412474" w:rsidRPr="00215667" w:rsidRDefault="002203FA" w:rsidP="00435E3A">
            <w:pPr>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lang w:val="mk-MK"/>
              </w:rPr>
              <w:t xml:space="preserve">Колаген </w:t>
            </w:r>
            <w:r w:rsidR="00412474" w:rsidRPr="00215667">
              <w:rPr>
                <w:rFonts w:ascii="Times New Roman" w:eastAsia="Times New Roman" w:hAnsi="Times New Roman" w:cs="Times New Roman"/>
                <w:bCs/>
                <w:color w:val="000000"/>
                <w:sz w:val="24"/>
                <w:szCs w:val="24"/>
              </w:rPr>
              <w:t xml:space="preserve"> </w:t>
            </w:r>
          </w:p>
        </w:tc>
      </w:tr>
      <w:tr w:rsidR="00412474" w:rsidRPr="00215667" w14:paraId="008C554E" w14:textId="77777777" w:rsidTr="00435E3A">
        <w:tc>
          <w:tcPr>
            <w:tcW w:w="7083" w:type="dxa"/>
            <w:tcBorders>
              <w:top w:val="single" w:sz="4" w:space="0" w:color="auto"/>
              <w:left w:val="single" w:sz="4" w:space="0" w:color="auto"/>
              <w:bottom w:val="single" w:sz="4" w:space="0" w:color="auto"/>
              <w:right w:val="single" w:sz="4" w:space="0" w:color="auto"/>
            </w:tcBorders>
            <w:noWrap/>
            <w:hideMark/>
          </w:tcPr>
          <w:p w14:paraId="637BB23F" w14:textId="21B07C6E" w:rsidR="00412474" w:rsidRPr="00215667" w:rsidRDefault="00412474" w:rsidP="002203FA">
            <w:pPr>
              <w:jc w:val="both"/>
              <w:rPr>
                <w:rFonts w:ascii="Times New Roman" w:eastAsia="Times New Roman" w:hAnsi="Times New Roman" w:cs="Times New Roman"/>
                <w:b/>
                <w:bCs/>
                <w:sz w:val="24"/>
                <w:szCs w:val="24"/>
              </w:rPr>
            </w:pPr>
            <w:r w:rsidRPr="00215667">
              <w:rPr>
                <w:rFonts w:ascii="Times New Roman" w:eastAsia="Times New Roman" w:hAnsi="Times New Roman" w:cs="Times New Roman"/>
                <w:bCs/>
                <w:color w:val="000000"/>
                <w:sz w:val="24"/>
                <w:szCs w:val="24"/>
              </w:rPr>
              <w:t xml:space="preserve">Време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крвавење</w:t>
            </w:r>
            <w:proofErr w:type="spellEnd"/>
            <w:r w:rsidR="002203FA">
              <w:rPr>
                <w:rFonts w:ascii="Times New Roman" w:eastAsia="Times New Roman" w:hAnsi="Times New Roman" w:cs="Times New Roman"/>
                <w:bCs/>
                <w:color w:val="000000"/>
                <w:sz w:val="24"/>
                <w:szCs w:val="24"/>
                <w:lang w:val="mk-MK"/>
              </w:rPr>
              <w:t xml:space="preserve"> </w:t>
            </w:r>
            <w:r w:rsidRPr="00215667">
              <w:rPr>
                <w:rFonts w:ascii="Times New Roman" w:eastAsia="Times New Roman" w:hAnsi="Times New Roman" w:cs="Times New Roman"/>
                <w:bCs/>
                <w:color w:val="000000"/>
                <w:sz w:val="24"/>
                <w:szCs w:val="24"/>
              </w:rPr>
              <w:t xml:space="preserve">(BT) </w:t>
            </w:r>
            <w:proofErr w:type="spellStart"/>
            <w:r w:rsidRPr="00215667">
              <w:rPr>
                <w:rFonts w:ascii="Times New Roman" w:eastAsia="Times New Roman" w:hAnsi="Times New Roman" w:cs="Times New Roman"/>
                <w:bCs/>
                <w:color w:val="000000"/>
                <w:sz w:val="24"/>
                <w:szCs w:val="24"/>
              </w:rPr>
              <w:t>според</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самопријавени</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симптоми</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крвавење</w:t>
            </w:r>
            <w:proofErr w:type="spellEnd"/>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1B72073C"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-.1228</w:t>
            </w:r>
          </w:p>
        </w:tc>
      </w:tr>
      <w:tr w:rsidR="00412474" w:rsidRPr="00215667" w14:paraId="2B43C832" w14:textId="77777777" w:rsidTr="00435E3A">
        <w:tc>
          <w:tcPr>
            <w:tcW w:w="7083" w:type="dxa"/>
            <w:tcBorders>
              <w:top w:val="single" w:sz="4" w:space="0" w:color="auto"/>
              <w:left w:val="single" w:sz="4" w:space="0" w:color="auto"/>
              <w:bottom w:val="single" w:sz="4" w:space="0" w:color="auto"/>
              <w:right w:val="single" w:sz="4" w:space="0" w:color="auto"/>
            </w:tcBorders>
            <w:noWrap/>
            <w:hideMark/>
          </w:tcPr>
          <w:p w14:paraId="22B12FE9" w14:textId="77777777" w:rsidR="00412474" w:rsidRPr="00215667" w:rsidRDefault="00412474" w:rsidP="00435E3A">
            <w:pPr>
              <w:spacing w:line="256" w:lineRule="auto"/>
              <w:rPr>
                <w:rFonts w:ascii="Times New Roman" w:eastAsia="Times New Roman" w:hAnsi="Times New Roman" w:cs="Times New Roman"/>
                <w:sz w:val="24"/>
                <w:szCs w:val="24"/>
              </w:rPr>
            </w:pPr>
          </w:p>
        </w:tc>
        <w:tc>
          <w:tcPr>
            <w:tcW w:w="1701" w:type="dxa"/>
            <w:tcBorders>
              <w:top w:val="single" w:sz="4" w:space="0" w:color="auto"/>
              <w:left w:val="single" w:sz="4" w:space="0" w:color="auto"/>
              <w:bottom w:val="single" w:sz="4" w:space="0" w:color="auto"/>
              <w:right w:val="single" w:sz="4" w:space="0" w:color="auto"/>
            </w:tcBorders>
            <w:noWrap/>
            <w:vAlign w:val="center"/>
            <w:hideMark/>
          </w:tcPr>
          <w:p w14:paraId="0287B552" w14:textId="2370653F" w:rsidR="00412474" w:rsidRPr="00215667" w:rsidRDefault="002203FA" w:rsidP="00435E3A">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lang w:val="mk-MK"/>
              </w:rPr>
              <w:t xml:space="preserve"> </w:t>
            </w:r>
            <w:r w:rsidR="00412474" w:rsidRPr="0021566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mk-MK"/>
              </w:rPr>
              <w:t xml:space="preserve"> </w:t>
            </w:r>
            <w:r w:rsidR="00412474" w:rsidRPr="00215667">
              <w:rPr>
                <w:rFonts w:ascii="Times New Roman" w:eastAsia="Times New Roman" w:hAnsi="Times New Roman" w:cs="Times New Roman"/>
                <w:color w:val="000000"/>
                <w:sz w:val="24"/>
                <w:szCs w:val="24"/>
              </w:rPr>
              <w:t>.334</w:t>
            </w:r>
          </w:p>
        </w:tc>
      </w:tr>
    </w:tbl>
    <w:p w14:paraId="6263E73D" w14:textId="77777777" w:rsidR="00412474" w:rsidRPr="00215667" w:rsidRDefault="00412474" w:rsidP="00412474">
      <w:pPr>
        <w:spacing w:after="120" w:line="360" w:lineRule="auto"/>
        <w:jc w:val="both"/>
        <w:rPr>
          <w:rFonts w:ascii="Times New Roman" w:eastAsia="Times New Roman" w:hAnsi="Times New Roman" w:cs="Times New Roman"/>
          <w:bCs/>
          <w:color w:val="000000"/>
          <w:sz w:val="24"/>
          <w:szCs w:val="24"/>
        </w:rPr>
      </w:pPr>
    </w:p>
    <w:p w14:paraId="2DAB09C8" w14:textId="59D70E85" w:rsidR="00412474" w:rsidRDefault="002203FA" w:rsidP="002203FA">
      <w:pPr>
        <w:spacing w:after="120" w:line="36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Графикон </w:t>
      </w:r>
      <w:r w:rsidR="00412474" w:rsidRPr="00215667">
        <w:rPr>
          <w:rFonts w:ascii="Times New Roman" w:eastAsia="Calibri" w:hAnsi="Times New Roman" w:cs="Times New Roman"/>
          <w:sz w:val="24"/>
          <w:szCs w:val="24"/>
        </w:rPr>
        <w:t>бр.7в</w:t>
      </w:r>
      <w:r>
        <w:rPr>
          <w:rFonts w:ascii="Times New Roman" w:eastAsia="Calibri" w:hAnsi="Times New Roman" w:cs="Times New Roman"/>
          <w:sz w:val="24"/>
          <w:szCs w:val="24"/>
        </w:rPr>
        <w:t>-</w:t>
      </w:r>
      <w:r w:rsidR="00412474" w:rsidRPr="00215667">
        <w:rPr>
          <w:rFonts w:ascii="Times New Roman" w:eastAsia="Calibri" w:hAnsi="Times New Roman" w:cs="Times New Roman"/>
          <w:sz w:val="24"/>
          <w:szCs w:val="24"/>
        </w:rPr>
        <w:t xml:space="preserve"> Приказ на корелациите помеѓу времето на крвавење пред поставување на дијагноза и определените нивоа на </w:t>
      </w:r>
      <w:r>
        <w:rPr>
          <w:rFonts w:ascii="Times New Roman" w:eastAsia="Calibri" w:hAnsi="Times New Roman" w:cs="Times New Roman"/>
          <w:sz w:val="24"/>
          <w:szCs w:val="24"/>
        </w:rPr>
        <w:t>колаген</w:t>
      </w:r>
    </w:p>
    <w:p w14:paraId="5377746B" w14:textId="5803A6DF" w:rsidR="002203FA" w:rsidRPr="002203FA" w:rsidRDefault="002203FA" w:rsidP="002203FA">
      <w:pPr>
        <w:spacing w:after="120" w:line="360" w:lineRule="auto"/>
        <w:jc w:val="center"/>
        <w:rPr>
          <w:rFonts w:ascii="Times New Roman" w:eastAsia="Calibri" w:hAnsi="Times New Roman" w:cs="Times New Roman"/>
          <w:sz w:val="24"/>
          <w:szCs w:val="24"/>
        </w:rPr>
      </w:pPr>
      <w:r>
        <w:rPr>
          <w:noProof/>
          <w14:ligatures w14:val="standardContextual"/>
        </w:rPr>
        <w:lastRenderedPageBreak/>
        <w:drawing>
          <wp:inline distT="0" distB="0" distL="0" distR="0" wp14:anchorId="1F259660" wp14:editId="22AC96E6">
            <wp:extent cx="4947314" cy="1971595"/>
            <wp:effectExtent l="0" t="0" r="5715" b="0"/>
            <wp:docPr id="14961470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147092" name=""/>
                    <pic:cNvPicPr/>
                  </pic:nvPicPr>
                  <pic:blipFill>
                    <a:blip r:embed="rId26"/>
                    <a:stretch>
                      <a:fillRect/>
                    </a:stretch>
                  </pic:blipFill>
                  <pic:spPr>
                    <a:xfrm>
                      <a:off x="0" y="0"/>
                      <a:ext cx="4950725" cy="1972954"/>
                    </a:xfrm>
                    <a:prstGeom prst="rect">
                      <a:avLst/>
                    </a:prstGeom>
                  </pic:spPr>
                </pic:pic>
              </a:graphicData>
            </a:graphic>
          </wp:inline>
        </w:drawing>
      </w:r>
    </w:p>
    <w:p w14:paraId="2B61E4FA" w14:textId="3B7432A6" w:rsidR="00412474" w:rsidRPr="00215667" w:rsidRDefault="002203FA" w:rsidP="00412474">
      <w:pPr>
        <w:spacing w:after="120" w:line="360" w:lineRule="auto"/>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b/>
      </w:r>
      <w:r w:rsidR="00412474" w:rsidRPr="00215667">
        <w:rPr>
          <w:rFonts w:ascii="Times New Roman" w:eastAsia="Times New Roman" w:hAnsi="Times New Roman" w:cs="Times New Roman"/>
          <w:bCs/>
          <w:color w:val="000000"/>
          <w:sz w:val="24"/>
          <w:szCs w:val="24"/>
        </w:rPr>
        <w:t>Се регистрира слаба позитивна (директна) несигнификантна корелација помеѓу времето на крвавење и вредностите на протромбинско време PT (r</w:t>
      </w:r>
      <w:r>
        <w:rPr>
          <w:rFonts w:ascii="Times New Roman" w:eastAsia="Times New Roman" w:hAnsi="Times New Roman" w:cs="Times New Roman"/>
          <w:bCs/>
          <w:color w:val="000000"/>
          <w:sz w:val="24"/>
          <w:szCs w:val="24"/>
        </w:rPr>
        <w:t xml:space="preserve"> </w:t>
      </w:r>
      <w:r w:rsidR="00412474" w:rsidRPr="00215667">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w:t>
      </w:r>
      <w:r w:rsidR="00412474" w:rsidRPr="00215667">
        <w:rPr>
          <w:rFonts w:ascii="Times New Roman" w:eastAsia="Times New Roman" w:hAnsi="Times New Roman" w:cs="Times New Roman"/>
          <w:bCs/>
          <w:color w:val="000000"/>
          <w:sz w:val="24"/>
          <w:szCs w:val="24"/>
        </w:rPr>
        <w:t>0978, p</w:t>
      </w:r>
      <w:r>
        <w:rPr>
          <w:rFonts w:ascii="Times New Roman" w:eastAsia="Times New Roman" w:hAnsi="Times New Roman" w:cs="Times New Roman"/>
          <w:bCs/>
          <w:color w:val="000000"/>
          <w:sz w:val="24"/>
          <w:szCs w:val="24"/>
        </w:rPr>
        <w:t xml:space="preserve"> </w:t>
      </w:r>
      <w:r w:rsidR="00412474" w:rsidRPr="00215667">
        <w:rPr>
          <w:rFonts w:ascii="Times New Roman" w:eastAsia="Times New Roman" w:hAnsi="Times New Roman" w:cs="Times New Roman"/>
          <w:bCs/>
          <w:color w:val="000000"/>
          <w:sz w:val="24"/>
          <w:szCs w:val="24"/>
        </w:rPr>
        <w:t>=</w:t>
      </w:r>
      <w:r>
        <w:rPr>
          <w:rFonts w:ascii="Times New Roman" w:eastAsia="Times New Roman" w:hAnsi="Times New Roman" w:cs="Times New Roman"/>
          <w:bCs/>
          <w:color w:val="000000"/>
          <w:sz w:val="24"/>
          <w:szCs w:val="24"/>
        </w:rPr>
        <w:t xml:space="preserve"> </w:t>
      </w:r>
      <w:r w:rsidR="00412474" w:rsidRPr="00215667">
        <w:rPr>
          <w:rFonts w:ascii="Times New Roman" w:eastAsia="Times New Roman" w:hAnsi="Times New Roman" w:cs="Times New Roman"/>
          <w:bCs/>
          <w:color w:val="000000"/>
          <w:sz w:val="24"/>
          <w:szCs w:val="24"/>
        </w:rPr>
        <w:t xml:space="preserve">.446) (табела </w:t>
      </w:r>
      <w:r>
        <w:rPr>
          <w:rFonts w:ascii="Times New Roman" w:eastAsia="Times New Roman" w:hAnsi="Times New Roman" w:cs="Times New Roman"/>
          <w:bCs/>
          <w:color w:val="000000"/>
          <w:sz w:val="24"/>
          <w:szCs w:val="24"/>
        </w:rPr>
        <w:t xml:space="preserve">бр. 7г </w:t>
      </w:r>
      <w:r w:rsidR="00412474" w:rsidRPr="00215667">
        <w:rPr>
          <w:rFonts w:ascii="Times New Roman" w:eastAsia="Times New Roman" w:hAnsi="Times New Roman" w:cs="Times New Roman"/>
          <w:bCs/>
          <w:color w:val="000000"/>
          <w:sz w:val="24"/>
          <w:szCs w:val="24"/>
        </w:rPr>
        <w:t>и графикон број 7г)</w:t>
      </w:r>
      <w:r>
        <w:rPr>
          <w:rFonts w:ascii="Times New Roman" w:eastAsia="Times New Roman" w:hAnsi="Times New Roman" w:cs="Times New Roman"/>
          <w:bCs/>
          <w:color w:val="000000"/>
          <w:sz w:val="24"/>
          <w:szCs w:val="24"/>
        </w:rPr>
        <w:t>.</w:t>
      </w:r>
    </w:p>
    <w:p w14:paraId="659A0E41" w14:textId="2A89FA15" w:rsidR="00412474" w:rsidRPr="00215667" w:rsidRDefault="00412474" w:rsidP="002203FA">
      <w:pPr>
        <w:spacing w:after="120" w:line="360" w:lineRule="auto"/>
        <w:jc w:val="center"/>
        <w:rPr>
          <w:rFonts w:ascii="Times New Roman" w:eastAsia="Times New Roman" w:hAnsi="Times New Roman" w:cs="Times New Roman"/>
          <w:bCs/>
          <w:color w:val="000000"/>
          <w:sz w:val="24"/>
          <w:szCs w:val="24"/>
        </w:rPr>
      </w:pPr>
      <w:r w:rsidRPr="00215667">
        <w:rPr>
          <w:rFonts w:ascii="Times New Roman" w:eastAsia="Calibri" w:hAnsi="Times New Roman" w:cs="Times New Roman"/>
          <w:sz w:val="24"/>
          <w:szCs w:val="24"/>
        </w:rPr>
        <w:t>Табела бр.</w:t>
      </w:r>
      <w:r w:rsidR="002203FA">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7г</w:t>
      </w:r>
      <w:r w:rsidR="002203FA">
        <w:rPr>
          <w:rFonts w:ascii="Times New Roman" w:eastAsia="Calibri" w:hAnsi="Times New Roman" w:cs="Times New Roman"/>
          <w:sz w:val="24"/>
          <w:szCs w:val="24"/>
        </w:rPr>
        <w:t>-</w:t>
      </w:r>
      <w:r w:rsidRPr="00215667">
        <w:rPr>
          <w:rFonts w:ascii="Times New Roman" w:hAnsi="Times New Roman" w:cs="Times New Roman"/>
          <w:sz w:val="24"/>
          <w:szCs w:val="24"/>
        </w:rPr>
        <w:t xml:space="preserve"> </w:t>
      </w:r>
      <w:r w:rsidRPr="00215667">
        <w:rPr>
          <w:rFonts w:ascii="Times New Roman" w:eastAsia="Calibri" w:hAnsi="Times New Roman" w:cs="Times New Roman"/>
          <w:sz w:val="24"/>
          <w:szCs w:val="24"/>
        </w:rPr>
        <w:t>Приказ на корелациите помеѓу времето на крвавење пред поставување на дијагноза и тестот за протромбинско време (PT)</w:t>
      </w:r>
    </w:p>
    <w:tbl>
      <w:tblPr>
        <w:tblStyle w:val="TableGrid1"/>
        <w:tblW w:w="8926" w:type="dxa"/>
        <w:tblLook w:val="04A0" w:firstRow="1" w:lastRow="0" w:firstColumn="1" w:lastColumn="0" w:noHBand="0" w:noVBand="1"/>
      </w:tblPr>
      <w:tblGrid>
        <w:gridCol w:w="7366"/>
        <w:gridCol w:w="1560"/>
      </w:tblGrid>
      <w:tr w:rsidR="00412474" w:rsidRPr="00215667" w14:paraId="07FD4E47" w14:textId="77777777" w:rsidTr="00435E3A">
        <w:tc>
          <w:tcPr>
            <w:tcW w:w="7366" w:type="dxa"/>
            <w:tcBorders>
              <w:top w:val="single" w:sz="4" w:space="0" w:color="auto"/>
              <w:left w:val="single" w:sz="4" w:space="0" w:color="auto"/>
              <w:bottom w:val="single" w:sz="4" w:space="0" w:color="auto"/>
              <w:right w:val="single" w:sz="4" w:space="0" w:color="auto"/>
            </w:tcBorders>
            <w:noWrap/>
            <w:hideMark/>
          </w:tcPr>
          <w:p w14:paraId="6221BFBC" w14:textId="77777777" w:rsidR="00412474" w:rsidRPr="00215667" w:rsidRDefault="00412474" w:rsidP="00435E3A">
            <w:pPr>
              <w:spacing w:line="256" w:lineRule="auto"/>
              <w:rPr>
                <w:rFonts w:ascii="Times New Roman" w:eastAsia="Times New Roman" w:hAnsi="Times New Roman" w:cs="Times New Roman"/>
                <w:bCs/>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noWrap/>
            <w:hideMark/>
          </w:tcPr>
          <w:p w14:paraId="43C56D42" w14:textId="77777777" w:rsidR="00412474" w:rsidRPr="00215667" w:rsidRDefault="00412474" w:rsidP="00435E3A">
            <w:pPr>
              <w:rPr>
                <w:rFonts w:ascii="Times New Roman" w:eastAsia="Times New Roman" w:hAnsi="Times New Roman" w:cs="Times New Roman"/>
                <w:bCs/>
                <w:sz w:val="24"/>
                <w:szCs w:val="24"/>
              </w:rPr>
            </w:pPr>
            <w:r w:rsidRPr="00215667">
              <w:rPr>
                <w:rFonts w:ascii="Times New Roman" w:eastAsia="Times New Roman" w:hAnsi="Times New Roman" w:cs="Times New Roman"/>
                <w:bCs/>
                <w:color w:val="000000"/>
                <w:sz w:val="24"/>
                <w:szCs w:val="24"/>
              </w:rPr>
              <w:t xml:space="preserve">PT </w:t>
            </w:r>
          </w:p>
        </w:tc>
      </w:tr>
      <w:tr w:rsidR="00412474" w:rsidRPr="00215667" w14:paraId="4C3A7E91" w14:textId="77777777" w:rsidTr="00435E3A">
        <w:tc>
          <w:tcPr>
            <w:tcW w:w="7366" w:type="dxa"/>
            <w:tcBorders>
              <w:top w:val="single" w:sz="4" w:space="0" w:color="auto"/>
              <w:left w:val="single" w:sz="4" w:space="0" w:color="auto"/>
              <w:bottom w:val="single" w:sz="4" w:space="0" w:color="auto"/>
              <w:right w:val="single" w:sz="4" w:space="0" w:color="auto"/>
            </w:tcBorders>
            <w:noWrap/>
            <w:hideMark/>
          </w:tcPr>
          <w:p w14:paraId="1BB0B058" w14:textId="77777777" w:rsidR="00412474" w:rsidRPr="00215667" w:rsidRDefault="00412474" w:rsidP="002203FA">
            <w:pPr>
              <w:jc w:val="both"/>
              <w:rPr>
                <w:rFonts w:ascii="Times New Roman" w:eastAsia="Times New Roman" w:hAnsi="Times New Roman" w:cs="Times New Roman"/>
                <w:bCs/>
                <w:sz w:val="24"/>
                <w:szCs w:val="24"/>
              </w:rPr>
            </w:pPr>
            <w:r w:rsidRPr="00215667">
              <w:rPr>
                <w:rFonts w:ascii="Times New Roman" w:eastAsia="Times New Roman" w:hAnsi="Times New Roman" w:cs="Times New Roman"/>
                <w:bCs/>
                <w:sz w:val="24"/>
                <w:szCs w:val="24"/>
              </w:rPr>
              <w:t xml:space="preserve">Време </w:t>
            </w:r>
            <w:proofErr w:type="spellStart"/>
            <w:r w:rsidRPr="00215667">
              <w:rPr>
                <w:rFonts w:ascii="Times New Roman" w:eastAsia="Times New Roman" w:hAnsi="Times New Roman" w:cs="Times New Roman"/>
                <w:bCs/>
                <w:sz w:val="24"/>
                <w:szCs w:val="24"/>
              </w:rPr>
              <w:t>на</w:t>
            </w:r>
            <w:proofErr w:type="spellEnd"/>
            <w:r w:rsidRPr="00215667">
              <w:rPr>
                <w:rFonts w:ascii="Times New Roman" w:eastAsia="Times New Roman" w:hAnsi="Times New Roman" w:cs="Times New Roman"/>
                <w:bCs/>
                <w:sz w:val="24"/>
                <w:szCs w:val="24"/>
              </w:rPr>
              <w:t xml:space="preserve"> </w:t>
            </w:r>
            <w:proofErr w:type="spellStart"/>
            <w:r w:rsidRPr="00215667">
              <w:rPr>
                <w:rFonts w:ascii="Times New Roman" w:eastAsia="Times New Roman" w:hAnsi="Times New Roman" w:cs="Times New Roman"/>
                <w:bCs/>
                <w:sz w:val="24"/>
                <w:szCs w:val="24"/>
              </w:rPr>
              <w:t>крвавење</w:t>
            </w:r>
            <w:proofErr w:type="spellEnd"/>
            <w:r w:rsidRPr="00215667">
              <w:rPr>
                <w:rFonts w:ascii="Times New Roman" w:eastAsia="Times New Roman" w:hAnsi="Times New Roman" w:cs="Times New Roman"/>
                <w:bCs/>
                <w:sz w:val="24"/>
                <w:szCs w:val="24"/>
              </w:rPr>
              <w:t xml:space="preserve"> (BT) </w:t>
            </w:r>
            <w:proofErr w:type="spellStart"/>
            <w:r w:rsidRPr="00215667">
              <w:rPr>
                <w:rFonts w:ascii="Times New Roman" w:eastAsia="Times New Roman" w:hAnsi="Times New Roman" w:cs="Times New Roman"/>
                <w:bCs/>
                <w:sz w:val="24"/>
                <w:szCs w:val="24"/>
              </w:rPr>
              <w:t>според</w:t>
            </w:r>
            <w:proofErr w:type="spellEnd"/>
            <w:r w:rsidRPr="00215667">
              <w:rPr>
                <w:rFonts w:ascii="Times New Roman" w:eastAsia="Times New Roman" w:hAnsi="Times New Roman" w:cs="Times New Roman"/>
                <w:bCs/>
                <w:sz w:val="24"/>
                <w:szCs w:val="24"/>
              </w:rPr>
              <w:t xml:space="preserve"> </w:t>
            </w:r>
            <w:proofErr w:type="spellStart"/>
            <w:r w:rsidRPr="00215667">
              <w:rPr>
                <w:rFonts w:ascii="Times New Roman" w:eastAsia="Times New Roman" w:hAnsi="Times New Roman" w:cs="Times New Roman"/>
                <w:bCs/>
                <w:sz w:val="24"/>
                <w:szCs w:val="24"/>
              </w:rPr>
              <w:t>самопријавени</w:t>
            </w:r>
            <w:proofErr w:type="spellEnd"/>
            <w:r w:rsidRPr="00215667">
              <w:rPr>
                <w:rFonts w:ascii="Times New Roman" w:eastAsia="Times New Roman" w:hAnsi="Times New Roman" w:cs="Times New Roman"/>
                <w:bCs/>
                <w:sz w:val="24"/>
                <w:szCs w:val="24"/>
              </w:rPr>
              <w:t xml:space="preserve"> </w:t>
            </w:r>
            <w:proofErr w:type="spellStart"/>
            <w:r w:rsidRPr="00215667">
              <w:rPr>
                <w:rFonts w:ascii="Times New Roman" w:eastAsia="Times New Roman" w:hAnsi="Times New Roman" w:cs="Times New Roman"/>
                <w:bCs/>
                <w:sz w:val="24"/>
                <w:szCs w:val="24"/>
              </w:rPr>
              <w:t>симптоми</w:t>
            </w:r>
            <w:proofErr w:type="spellEnd"/>
            <w:r w:rsidRPr="00215667">
              <w:rPr>
                <w:rFonts w:ascii="Times New Roman" w:eastAsia="Times New Roman" w:hAnsi="Times New Roman" w:cs="Times New Roman"/>
                <w:bCs/>
                <w:sz w:val="24"/>
                <w:szCs w:val="24"/>
              </w:rPr>
              <w:t xml:space="preserve"> </w:t>
            </w:r>
            <w:proofErr w:type="spellStart"/>
            <w:r w:rsidRPr="00215667">
              <w:rPr>
                <w:rFonts w:ascii="Times New Roman" w:eastAsia="Times New Roman" w:hAnsi="Times New Roman" w:cs="Times New Roman"/>
                <w:bCs/>
                <w:sz w:val="24"/>
                <w:szCs w:val="24"/>
              </w:rPr>
              <w:t>на</w:t>
            </w:r>
            <w:proofErr w:type="spellEnd"/>
            <w:r w:rsidRPr="00215667">
              <w:rPr>
                <w:rFonts w:ascii="Times New Roman" w:eastAsia="Times New Roman" w:hAnsi="Times New Roman" w:cs="Times New Roman"/>
                <w:bCs/>
                <w:sz w:val="24"/>
                <w:szCs w:val="24"/>
              </w:rPr>
              <w:t xml:space="preserve"> </w:t>
            </w:r>
            <w:proofErr w:type="spellStart"/>
            <w:r w:rsidRPr="00215667">
              <w:rPr>
                <w:rFonts w:ascii="Times New Roman" w:eastAsia="Times New Roman" w:hAnsi="Times New Roman" w:cs="Times New Roman"/>
                <w:bCs/>
                <w:sz w:val="24"/>
                <w:szCs w:val="24"/>
              </w:rPr>
              <w:t>крвавење</w:t>
            </w:r>
            <w:proofErr w:type="spellEnd"/>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6469DC6F"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.0978</w:t>
            </w:r>
          </w:p>
        </w:tc>
      </w:tr>
      <w:tr w:rsidR="00412474" w:rsidRPr="00215667" w14:paraId="2171C10D" w14:textId="77777777" w:rsidTr="00435E3A">
        <w:tc>
          <w:tcPr>
            <w:tcW w:w="7366" w:type="dxa"/>
            <w:tcBorders>
              <w:top w:val="single" w:sz="4" w:space="0" w:color="auto"/>
              <w:left w:val="single" w:sz="4" w:space="0" w:color="auto"/>
              <w:bottom w:val="single" w:sz="4" w:space="0" w:color="auto"/>
              <w:right w:val="single" w:sz="4" w:space="0" w:color="auto"/>
            </w:tcBorders>
            <w:noWrap/>
            <w:hideMark/>
          </w:tcPr>
          <w:p w14:paraId="7B165E42" w14:textId="77777777" w:rsidR="00412474" w:rsidRPr="00215667" w:rsidRDefault="00412474" w:rsidP="00435E3A">
            <w:pPr>
              <w:spacing w:line="256" w:lineRule="auto"/>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242B0529" w14:textId="1F6ED5EA" w:rsidR="00412474" w:rsidRPr="00215667" w:rsidRDefault="002203FA" w:rsidP="00435E3A">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lang w:val="mk-MK"/>
              </w:rPr>
              <w:t xml:space="preserve"> </w:t>
            </w:r>
            <w:r w:rsidR="00412474" w:rsidRPr="0021566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mk-MK"/>
              </w:rPr>
              <w:t xml:space="preserve"> </w:t>
            </w:r>
            <w:r w:rsidR="00412474" w:rsidRPr="00215667">
              <w:rPr>
                <w:rFonts w:ascii="Times New Roman" w:eastAsia="Times New Roman" w:hAnsi="Times New Roman" w:cs="Times New Roman"/>
                <w:color w:val="000000"/>
                <w:sz w:val="24"/>
                <w:szCs w:val="24"/>
              </w:rPr>
              <w:t>.446</w:t>
            </w:r>
          </w:p>
        </w:tc>
      </w:tr>
    </w:tbl>
    <w:p w14:paraId="2407CA52" w14:textId="77777777" w:rsidR="00412474" w:rsidRPr="00215667" w:rsidRDefault="00412474" w:rsidP="00412474">
      <w:pPr>
        <w:spacing w:after="120" w:line="360" w:lineRule="auto"/>
        <w:jc w:val="both"/>
        <w:rPr>
          <w:rFonts w:ascii="Times New Roman" w:eastAsia="Times New Roman" w:hAnsi="Times New Roman" w:cs="Times New Roman"/>
          <w:bCs/>
          <w:color w:val="000000"/>
          <w:sz w:val="24"/>
          <w:szCs w:val="24"/>
        </w:rPr>
      </w:pPr>
    </w:p>
    <w:p w14:paraId="59E960E9" w14:textId="5F93BFDF" w:rsidR="00412474" w:rsidRDefault="00412474" w:rsidP="002203FA">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Графикон бр.7г</w:t>
      </w:r>
      <w:r w:rsidR="002203FA">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Приказ на корелациите помеѓу времето на крвавење пред поставување на дијагноза и тестот за протромбинско време (PT)</w:t>
      </w:r>
    </w:p>
    <w:p w14:paraId="4DCBFA8B" w14:textId="37C6D000" w:rsidR="002203FA" w:rsidRPr="00215667" w:rsidRDefault="002203FA" w:rsidP="002203FA">
      <w:pPr>
        <w:spacing w:after="120" w:line="360" w:lineRule="auto"/>
        <w:jc w:val="center"/>
        <w:rPr>
          <w:rFonts w:ascii="Times New Roman" w:eastAsia="Times New Roman" w:hAnsi="Times New Roman" w:cs="Times New Roman"/>
          <w:bCs/>
          <w:color w:val="000000"/>
          <w:sz w:val="24"/>
          <w:szCs w:val="24"/>
        </w:rPr>
      </w:pPr>
      <w:r>
        <w:rPr>
          <w:noProof/>
          <w14:ligatures w14:val="standardContextual"/>
        </w:rPr>
        <w:drawing>
          <wp:inline distT="0" distB="0" distL="0" distR="0" wp14:anchorId="61265DD9" wp14:editId="5EA35802">
            <wp:extent cx="5400040" cy="2197735"/>
            <wp:effectExtent l="0" t="0" r="0" b="0"/>
            <wp:docPr id="593475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47506" name=""/>
                    <pic:cNvPicPr/>
                  </pic:nvPicPr>
                  <pic:blipFill>
                    <a:blip r:embed="rId27"/>
                    <a:stretch>
                      <a:fillRect/>
                    </a:stretch>
                  </pic:blipFill>
                  <pic:spPr>
                    <a:xfrm>
                      <a:off x="0" y="0"/>
                      <a:ext cx="5400040" cy="2197735"/>
                    </a:xfrm>
                    <a:prstGeom prst="rect">
                      <a:avLst/>
                    </a:prstGeom>
                  </pic:spPr>
                </pic:pic>
              </a:graphicData>
            </a:graphic>
          </wp:inline>
        </w:drawing>
      </w:r>
    </w:p>
    <w:p w14:paraId="1B2EA6DD" w14:textId="766C123F" w:rsidR="00412474" w:rsidRPr="00215667" w:rsidRDefault="00412474" w:rsidP="002203FA">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Кај сите 64 пациенти, регистриравме намалени вредностите на</w:t>
      </w:r>
      <w:r w:rsidRPr="00215667">
        <w:rPr>
          <w:rFonts w:ascii="Times New Roman" w:hAnsi="Times New Roman" w:cs="Times New Roman"/>
          <w:sz w:val="24"/>
          <w:szCs w:val="24"/>
        </w:rPr>
        <w:t xml:space="preserve"> </w:t>
      </w:r>
      <w:r w:rsidRPr="00215667">
        <w:rPr>
          <w:rFonts w:ascii="Times New Roman" w:eastAsia="Calibri" w:hAnsi="Times New Roman" w:cs="Times New Roman"/>
          <w:sz w:val="24"/>
          <w:szCs w:val="24"/>
        </w:rPr>
        <w:t xml:space="preserve">ADP, </w:t>
      </w:r>
      <w:r w:rsidR="002203FA">
        <w:rPr>
          <w:rFonts w:ascii="Times New Roman" w:eastAsia="Calibri" w:hAnsi="Times New Roman" w:cs="Times New Roman"/>
          <w:bCs/>
          <w:sz w:val="24"/>
          <w:szCs w:val="24"/>
        </w:rPr>
        <w:t>ристоцетин</w:t>
      </w:r>
      <w:r w:rsidRPr="00215667">
        <w:rPr>
          <w:rFonts w:ascii="Times New Roman" w:eastAsia="Calibri" w:hAnsi="Times New Roman" w:cs="Times New Roman"/>
          <w:bCs/>
          <w:sz w:val="24"/>
          <w:szCs w:val="24"/>
        </w:rPr>
        <w:t xml:space="preserve"> и </w:t>
      </w:r>
      <w:r w:rsidR="002203FA">
        <w:rPr>
          <w:rFonts w:ascii="Times New Roman" w:eastAsia="Calibri" w:hAnsi="Times New Roman" w:cs="Times New Roman"/>
          <w:bCs/>
          <w:sz w:val="24"/>
          <w:szCs w:val="24"/>
        </w:rPr>
        <w:t>колаген</w:t>
      </w:r>
      <w:r w:rsidRPr="00215667">
        <w:rPr>
          <w:rFonts w:ascii="Times New Roman" w:eastAsia="Calibri" w:hAnsi="Times New Roman" w:cs="Times New Roman"/>
          <w:sz w:val="24"/>
          <w:szCs w:val="24"/>
        </w:rPr>
        <w:t xml:space="preserve">. Сите вредности се повеќе или помалку </w:t>
      </w:r>
      <w:r w:rsidRPr="00215667">
        <w:rPr>
          <w:rFonts w:ascii="Times New Roman" w:eastAsia="Times New Roman" w:hAnsi="Times New Roman" w:cs="Times New Roman"/>
          <w:bCs/>
          <w:color w:val="000000"/>
          <w:sz w:val="24"/>
          <w:szCs w:val="24"/>
        </w:rPr>
        <w:t xml:space="preserve">под референтните вредности за ADP (69-88), за </w:t>
      </w:r>
      <w:r w:rsidR="002203FA">
        <w:rPr>
          <w:rFonts w:ascii="Times New Roman" w:eastAsia="Calibri" w:hAnsi="Times New Roman" w:cs="Times New Roman"/>
          <w:bCs/>
          <w:sz w:val="24"/>
          <w:szCs w:val="24"/>
        </w:rPr>
        <w:t>ристоцетин</w:t>
      </w:r>
      <w:r w:rsidR="002203FA" w:rsidRPr="00215667">
        <w:rPr>
          <w:rFonts w:ascii="Times New Roman" w:eastAsia="Calibri" w:hAnsi="Times New Roman" w:cs="Times New Roman"/>
          <w:bCs/>
          <w:sz w:val="24"/>
          <w:szCs w:val="24"/>
        </w:rPr>
        <w:t xml:space="preserve"> </w:t>
      </w:r>
      <w:r w:rsidRPr="00215667">
        <w:rPr>
          <w:rFonts w:ascii="Times New Roman" w:eastAsia="Times New Roman" w:hAnsi="Times New Roman" w:cs="Times New Roman"/>
          <w:bCs/>
          <w:color w:val="000000"/>
          <w:sz w:val="24"/>
          <w:szCs w:val="24"/>
        </w:rPr>
        <w:t>(87-102)</w:t>
      </w:r>
      <w:r w:rsidRPr="00215667">
        <w:rPr>
          <w:rFonts w:ascii="Times New Roman" w:eastAsia="Times New Roman" w:hAnsi="Times New Roman" w:cs="Times New Roman"/>
          <w:bCs/>
          <w:i/>
          <w:color w:val="000000"/>
          <w:sz w:val="24"/>
          <w:szCs w:val="24"/>
        </w:rPr>
        <w:t>,</w:t>
      </w:r>
      <w:r w:rsidRPr="00215667">
        <w:rPr>
          <w:rFonts w:ascii="Times New Roman" w:eastAsia="Times New Roman" w:hAnsi="Times New Roman" w:cs="Times New Roman"/>
          <w:bCs/>
          <w:color w:val="000000"/>
          <w:sz w:val="24"/>
          <w:szCs w:val="24"/>
        </w:rPr>
        <w:t xml:space="preserve"> </w:t>
      </w:r>
      <w:r w:rsidR="002203FA">
        <w:rPr>
          <w:rFonts w:ascii="Times New Roman" w:eastAsia="Calibri" w:hAnsi="Times New Roman" w:cs="Times New Roman"/>
          <w:bCs/>
          <w:sz w:val="24"/>
          <w:szCs w:val="24"/>
        </w:rPr>
        <w:t>колаген</w:t>
      </w:r>
      <w:r w:rsidR="002203FA" w:rsidRPr="0021566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(70-94) и PT (9.8-14.2). </w:t>
      </w:r>
      <w:r w:rsidRPr="00215667">
        <w:rPr>
          <w:rFonts w:ascii="Times New Roman" w:eastAsia="Times New Roman" w:hAnsi="Times New Roman" w:cs="Times New Roman"/>
          <w:bCs/>
          <w:color w:val="000000"/>
          <w:sz w:val="24"/>
          <w:szCs w:val="24"/>
        </w:rPr>
        <w:lastRenderedPageBreak/>
        <w:t>Според клиничката историја на пролонгирани крвавења и потврдување на редуцирани н</w:t>
      </w:r>
      <w:r w:rsidR="002203FA">
        <w:rPr>
          <w:rFonts w:ascii="Times New Roman" w:eastAsia="Times New Roman" w:hAnsi="Times New Roman" w:cs="Times New Roman"/>
          <w:bCs/>
          <w:color w:val="000000"/>
          <w:sz w:val="24"/>
          <w:szCs w:val="24"/>
        </w:rPr>
        <w:t>и</w:t>
      </w:r>
      <w:r w:rsidRPr="00215667">
        <w:rPr>
          <w:rFonts w:ascii="Times New Roman" w:eastAsia="Times New Roman" w:hAnsi="Times New Roman" w:cs="Times New Roman"/>
          <w:bCs/>
          <w:color w:val="000000"/>
          <w:sz w:val="24"/>
          <w:szCs w:val="24"/>
        </w:rPr>
        <w:t xml:space="preserve">воа на ADP, </w:t>
      </w:r>
      <w:r w:rsidR="002203FA">
        <w:rPr>
          <w:rFonts w:ascii="Times New Roman" w:eastAsia="Calibri" w:hAnsi="Times New Roman" w:cs="Times New Roman"/>
          <w:bCs/>
          <w:sz w:val="24"/>
          <w:szCs w:val="24"/>
        </w:rPr>
        <w:t>ристоцетин</w:t>
      </w:r>
      <w:r w:rsidR="002203FA" w:rsidRPr="00215667">
        <w:rPr>
          <w:rFonts w:ascii="Times New Roman" w:eastAsia="Calibri" w:hAnsi="Times New Roman" w:cs="Times New Roman"/>
          <w:bCs/>
          <w:sz w:val="24"/>
          <w:szCs w:val="24"/>
        </w:rPr>
        <w:t xml:space="preserve"> </w:t>
      </w:r>
      <w:r w:rsidRPr="00215667">
        <w:rPr>
          <w:rFonts w:ascii="Times New Roman" w:eastAsia="Times New Roman" w:hAnsi="Times New Roman" w:cs="Times New Roman"/>
          <w:bCs/>
          <w:color w:val="000000"/>
          <w:sz w:val="24"/>
          <w:szCs w:val="24"/>
        </w:rPr>
        <w:t xml:space="preserve">и </w:t>
      </w:r>
      <w:r w:rsidR="002203FA">
        <w:rPr>
          <w:rFonts w:ascii="Times New Roman" w:eastAsia="Calibri" w:hAnsi="Times New Roman" w:cs="Times New Roman"/>
          <w:bCs/>
          <w:sz w:val="24"/>
          <w:szCs w:val="24"/>
        </w:rPr>
        <w:t>колаген</w:t>
      </w:r>
      <w:r w:rsidRPr="00215667">
        <w:rPr>
          <w:rFonts w:ascii="Times New Roman" w:eastAsia="Times New Roman" w:hAnsi="Times New Roman" w:cs="Times New Roman"/>
          <w:bCs/>
          <w:color w:val="000000"/>
          <w:sz w:val="24"/>
          <w:szCs w:val="24"/>
        </w:rPr>
        <w:t>, ја потврдивме дијагнозата  тромбоцитна хипоагрегабилност кај сите 64 пациенти.</w:t>
      </w:r>
    </w:p>
    <w:p w14:paraId="67C41C63" w14:textId="6F20F3AC" w:rsidR="00412474" w:rsidRPr="00215667" w:rsidRDefault="00412474" w:rsidP="00412474">
      <w:pPr>
        <w:spacing w:after="120" w:line="360" w:lineRule="auto"/>
        <w:ind w:firstLine="720"/>
        <w:jc w:val="both"/>
        <w:rPr>
          <w:rFonts w:ascii="Times New Roman" w:eastAsia="Times New Roman" w:hAnsi="Times New Roman" w:cs="Times New Roman"/>
          <w:bCs/>
          <w:color w:val="000000"/>
          <w:sz w:val="24"/>
          <w:szCs w:val="24"/>
        </w:rPr>
      </w:pPr>
      <w:r w:rsidRPr="00215667">
        <w:rPr>
          <w:rFonts w:ascii="Times New Roman" w:eastAsia="Calibri" w:hAnsi="Times New Roman" w:cs="Times New Roman"/>
          <w:sz w:val="24"/>
          <w:szCs w:val="24"/>
        </w:rPr>
        <w:t xml:space="preserve">Просечната вредност на </w:t>
      </w:r>
      <w:r w:rsidRPr="00215667">
        <w:rPr>
          <w:rFonts w:ascii="Times New Roman" w:eastAsia="Times New Roman" w:hAnsi="Times New Roman" w:cs="Times New Roman"/>
          <w:bCs/>
          <w:color w:val="000000"/>
          <w:sz w:val="24"/>
          <w:szCs w:val="24"/>
        </w:rPr>
        <w:t>ADP кај пациентите изнесува 36.6</w:t>
      </w:r>
      <w:r w:rsidR="00000A9F">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000A9F">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13.3, (во ранг од 7.0 до 60.0). Кај 50.0</w:t>
      </w:r>
      <w:r w:rsidR="00000A9F">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од пациентите вредностите се под 39.5 (Ме</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39.5 IQR(24.5-47). </w:t>
      </w:r>
      <w:r w:rsidRPr="00215667">
        <w:rPr>
          <w:rFonts w:ascii="Times New Roman" w:eastAsia="Calibri" w:hAnsi="Times New Roman" w:cs="Times New Roman"/>
          <w:sz w:val="24"/>
          <w:szCs w:val="24"/>
        </w:rPr>
        <w:t xml:space="preserve">Просечната вредност на </w:t>
      </w:r>
      <w:r w:rsidR="00295270">
        <w:rPr>
          <w:rFonts w:ascii="Times New Roman" w:eastAsia="Times New Roman" w:hAnsi="Times New Roman" w:cs="Times New Roman"/>
          <w:bCs/>
          <w:color w:val="000000"/>
          <w:sz w:val="24"/>
          <w:szCs w:val="24"/>
        </w:rPr>
        <w:t>ристоцетин</w:t>
      </w:r>
      <w:r w:rsidRPr="00215667">
        <w:rPr>
          <w:rFonts w:ascii="Times New Roman" w:eastAsia="Times New Roman" w:hAnsi="Times New Roman" w:cs="Times New Roman"/>
          <w:bCs/>
          <w:color w:val="000000"/>
          <w:sz w:val="24"/>
          <w:szCs w:val="24"/>
        </w:rPr>
        <w:t xml:space="preserve"> кај пациентите изнесува 61.4</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14.0, во ранг од 23 до 86.0. Кај 50.0</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од пациентите вредностите се под 65.0 (Ме</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65.0 IQR (51-71). </w:t>
      </w:r>
      <w:r w:rsidRPr="00215667">
        <w:rPr>
          <w:rFonts w:ascii="Times New Roman" w:eastAsia="Calibri" w:hAnsi="Times New Roman" w:cs="Times New Roman"/>
          <w:sz w:val="24"/>
          <w:szCs w:val="24"/>
        </w:rPr>
        <w:t xml:space="preserve">Просечната вредност на </w:t>
      </w:r>
      <w:r w:rsidR="00295270">
        <w:rPr>
          <w:rFonts w:ascii="Times New Roman" w:eastAsia="Times New Roman" w:hAnsi="Times New Roman" w:cs="Times New Roman"/>
          <w:bCs/>
          <w:color w:val="000000"/>
          <w:sz w:val="24"/>
          <w:szCs w:val="24"/>
        </w:rPr>
        <w:t>колаген</w:t>
      </w:r>
      <w:r w:rsidRPr="00215667">
        <w:rPr>
          <w:rFonts w:ascii="Times New Roman" w:eastAsia="Times New Roman" w:hAnsi="Times New Roman" w:cs="Times New Roman"/>
          <w:bCs/>
          <w:color w:val="000000"/>
          <w:sz w:val="24"/>
          <w:szCs w:val="24"/>
        </w:rPr>
        <w:t xml:space="preserve"> кај пациентите изнесува 49.1</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15.5, во ранг од 19.0 до 90.0. Кај 50.0</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од пациентите вредностите се под 50.0 (Ме</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50.0 IQR(39-58). </w:t>
      </w:r>
      <w:r w:rsidRPr="00215667">
        <w:rPr>
          <w:rFonts w:ascii="Times New Roman" w:eastAsia="Calibri" w:hAnsi="Times New Roman" w:cs="Times New Roman"/>
          <w:sz w:val="24"/>
          <w:szCs w:val="24"/>
        </w:rPr>
        <w:t xml:space="preserve">Просечната вредност на </w:t>
      </w:r>
      <w:r w:rsidRPr="00215667">
        <w:rPr>
          <w:rFonts w:ascii="Times New Roman" w:eastAsia="Times New Roman" w:hAnsi="Times New Roman" w:cs="Times New Roman"/>
          <w:bCs/>
          <w:color w:val="000000"/>
          <w:sz w:val="24"/>
          <w:szCs w:val="24"/>
        </w:rPr>
        <w:t>PT (протромбинско време) кај пациентите изнесува 11.5</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2.4, во ранг од 9.7 до 15.0. Кај 50.0</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од пациентите вредностите се под 11.0 (Ме</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11.0 IQR(10-12) (табела</w:t>
      </w:r>
      <w:r w:rsidR="00295270">
        <w:rPr>
          <w:rFonts w:ascii="Times New Roman" w:eastAsia="Times New Roman" w:hAnsi="Times New Roman" w:cs="Times New Roman"/>
          <w:bCs/>
          <w:color w:val="000000"/>
          <w:sz w:val="24"/>
          <w:szCs w:val="24"/>
        </w:rPr>
        <w:t xml:space="preserve"> бр. 8</w:t>
      </w:r>
      <w:r w:rsidRPr="00215667">
        <w:rPr>
          <w:rFonts w:ascii="Times New Roman" w:eastAsia="Times New Roman" w:hAnsi="Times New Roman" w:cs="Times New Roman"/>
          <w:bCs/>
          <w:color w:val="000000"/>
          <w:sz w:val="24"/>
          <w:szCs w:val="24"/>
        </w:rPr>
        <w:t xml:space="preserve"> и графикон бр</w:t>
      </w:r>
      <w:r w:rsidR="00295270">
        <w:rPr>
          <w:rFonts w:ascii="Times New Roman" w:eastAsia="Times New Roman" w:hAnsi="Times New Roman" w:cs="Times New Roman"/>
          <w:bCs/>
          <w:color w:val="000000"/>
          <w:sz w:val="24"/>
          <w:szCs w:val="24"/>
        </w:rPr>
        <w:t>.</w:t>
      </w:r>
      <w:r w:rsidRPr="00215667">
        <w:rPr>
          <w:rFonts w:ascii="Times New Roman" w:eastAsia="Times New Roman" w:hAnsi="Times New Roman" w:cs="Times New Roman"/>
          <w:bCs/>
          <w:color w:val="000000"/>
          <w:sz w:val="24"/>
          <w:szCs w:val="24"/>
        </w:rPr>
        <w:t xml:space="preserve"> 8)</w:t>
      </w:r>
      <w:r w:rsidR="00295270">
        <w:rPr>
          <w:rFonts w:ascii="Times New Roman" w:eastAsia="Times New Roman" w:hAnsi="Times New Roman" w:cs="Times New Roman"/>
          <w:bCs/>
          <w:color w:val="000000"/>
          <w:sz w:val="24"/>
          <w:szCs w:val="24"/>
        </w:rPr>
        <w:t>.</w:t>
      </w:r>
    </w:p>
    <w:p w14:paraId="6981F354" w14:textId="29BA45AF" w:rsidR="00412474" w:rsidRPr="00215667" w:rsidRDefault="00412474" w:rsidP="00295270">
      <w:pPr>
        <w:spacing w:after="120" w:line="360" w:lineRule="auto"/>
        <w:jc w:val="center"/>
        <w:rPr>
          <w:rFonts w:ascii="Times New Roman" w:eastAsia="Times New Roman" w:hAnsi="Times New Roman" w:cs="Times New Roman"/>
          <w:bCs/>
          <w:color w:val="000000"/>
          <w:sz w:val="24"/>
          <w:szCs w:val="24"/>
        </w:rPr>
      </w:pPr>
      <w:r w:rsidRPr="00215667">
        <w:rPr>
          <w:rFonts w:ascii="Times New Roman" w:eastAsia="Times New Roman" w:hAnsi="Times New Roman" w:cs="Times New Roman"/>
          <w:bCs/>
          <w:color w:val="000000"/>
          <w:sz w:val="24"/>
          <w:szCs w:val="24"/>
        </w:rPr>
        <w:t>Табела бр.</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8</w:t>
      </w:r>
      <w:r w:rsidR="00295270">
        <w:rPr>
          <w:rFonts w:ascii="Times New Roman" w:eastAsia="Times New Roman" w:hAnsi="Times New Roman" w:cs="Times New Roman"/>
          <w:bCs/>
          <w:color w:val="000000"/>
          <w:sz w:val="24"/>
          <w:szCs w:val="24"/>
        </w:rPr>
        <w:t>-</w:t>
      </w:r>
      <w:r w:rsidRPr="00215667">
        <w:rPr>
          <w:rFonts w:ascii="Times New Roman" w:eastAsia="Times New Roman" w:hAnsi="Times New Roman" w:cs="Times New Roman"/>
          <w:bCs/>
          <w:color w:val="000000"/>
          <w:sz w:val="24"/>
          <w:szCs w:val="24"/>
        </w:rPr>
        <w:t xml:space="preserve"> Приказ на просечната вредност на ADP, </w:t>
      </w:r>
      <w:r w:rsidR="00295270">
        <w:rPr>
          <w:rFonts w:ascii="Times New Roman" w:eastAsia="Times New Roman" w:hAnsi="Times New Roman" w:cs="Times New Roman"/>
          <w:bCs/>
          <w:color w:val="000000"/>
          <w:sz w:val="24"/>
          <w:szCs w:val="24"/>
        </w:rPr>
        <w:t>ристоцетин</w:t>
      </w:r>
      <w:r w:rsidRPr="00215667">
        <w:rPr>
          <w:rFonts w:ascii="Times New Roman" w:eastAsia="Times New Roman" w:hAnsi="Times New Roman" w:cs="Times New Roman"/>
          <w:bCs/>
          <w:color w:val="000000"/>
          <w:sz w:val="24"/>
          <w:szCs w:val="24"/>
        </w:rPr>
        <w:t xml:space="preserve">, </w:t>
      </w:r>
      <w:r w:rsidR="00295270">
        <w:rPr>
          <w:rFonts w:ascii="Times New Roman" w:eastAsia="Times New Roman" w:hAnsi="Times New Roman" w:cs="Times New Roman"/>
          <w:bCs/>
          <w:color w:val="000000"/>
          <w:sz w:val="24"/>
          <w:szCs w:val="24"/>
        </w:rPr>
        <w:t>колаген</w:t>
      </w:r>
      <w:r w:rsidRPr="00215667">
        <w:rPr>
          <w:rFonts w:ascii="Times New Roman" w:eastAsia="Times New Roman" w:hAnsi="Times New Roman" w:cs="Times New Roman"/>
          <w:bCs/>
          <w:color w:val="000000"/>
          <w:sz w:val="24"/>
          <w:szCs w:val="24"/>
        </w:rPr>
        <w:t xml:space="preserve"> и PT (протромбинско време)</w:t>
      </w:r>
    </w:p>
    <w:tbl>
      <w:tblPr>
        <w:tblStyle w:val="TableGrid1"/>
        <w:tblW w:w="9675" w:type="dxa"/>
        <w:tblLook w:val="04A0" w:firstRow="1" w:lastRow="0" w:firstColumn="1" w:lastColumn="0" w:noHBand="0" w:noVBand="1"/>
      </w:tblPr>
      <w:tblGrid>
        <w:gridCol w:w="1407"/>
        <w:gridCol w:w="709"/>
        <w:gridCol w:w="1108"/>
        <w:gridCol w:w="878"/>
        <w:gridCol w:w="778"/>
        <w:gridCol w:w="936"/>
        <w:gridCol w:w="1242"/>
        <w:gridCol w:w="1242"/>
        <w:gridCol w:w="1403"/>
      </w:tblGrid>
      <w:tr w:rsidR="00412474" w:rsidRPr="00215667" w14:paraId="64443EF1" w14:textId="77777777" w:rsidTr="00295270">
        <w:trPr>
          <w:trHeight w:val="628"/>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960D6E6" w14:textId="77777777" w:rsidR="00412474" w:rsidRPr="00215667" w:rsidRDefault="00412474" w:rsidP="00435E3A">
            <w:pPr>
              <w:spacing w:line="256" w:lineRule="auto"/>
              <w:rPr>
                <w:rFonts w:ascii="Times New Roman" w:eastAsia="Times New Roman" w:hAnsi="Times New Roman" w:cs="Times New Roman"/>
                <w:bCs/>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3211949" w14:textId="032D436A" w:rsidR="00412474" w:rsidRPr="00215667" w:rsidRDefault="00295270"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Б</w:t>
            </w:r>
            <w:proofErr w:type="spellStart"/>
            <w:r w:rsidR="00412474" w:rsidRPr="00215667">
              <w:rPr>
                <w:rFonts w:ascii="Times New Roman" w:eastAsia="Times New Roman" w:hAnsi="Times New Roman" w:cs="Times New Roman"/>
                <w:b/>
                <w:bCs/>
                <w:color w:val="000000"/>
                <w:sz w:val="24"/>
                <w:szCs w:val="24"/>
              </w:rPr>
              <w:t>рој</w:t>
            </w:r>
            <w:proofErr w:type="spellEnd"/>
          </w:p>
        </w:tc>
        <w:tc>
          <w:tcPr>
            <w:tcW w:w="110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7D3D64B" w14:textId="19C744CF" w:rsidR="00412474" w:rsidRPr="00215667" w:rsidRDefault="00295270"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П</w:t>
            </w:r>
            <w:proofErr w:type="spellStart"/>
            <w:r w:rsidR="00412474" w:rsidRPr="00215667">
              <w:rPr>
                <w:rFonts w:ascii="Times New Roman" w:eastAsia="Times New Roman" w:hAnsi="Times New Roman" w:cs="Times New Roman"/>
                <w:b/>
                <w:bCs/>
                <w:color w:val="000000"/>
                <w:sz w:val="24"/>
                <w:szCs w:val="24"/>
              </w:rPr>
              <w:t>росек</w:t>
            </w:r>
            <w:proofErr w:type="spellEnd"/>
          </w:p>
        </w:tc>
        <w:tc>
          <w:tcPr>
            <w:tcW w:w="87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4D0CDBE"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Me</w:t>
            </w:r>
          </w:p>
        </w:tc>
        <w:tc>
          <w:tcPr>
            <w:tcW w:w="77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971CB56"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Min.</w:t>
            </w:r>
          </w:p>
        </w:tc>
        <w:tc>
          <w:tcPr>
            <w:tcW w:w="936"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D928FDD"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Max.</w:t>
            </w:r>
          </w:p>
        </w:tc>
        <w:tc>
          <w:tcPr>
            <w:tcW w:w="1242"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0AA5E12A" w14:textId="77777777" w:rsidR="00412474" w:rsidRPr="00215667" w:rsidRDefault="00412474" w:rsidP="00435E3A">
            <w:pPr>
              <w:jc w:val="center"/>
              <w:rPr>
                <w:rFonts w:ascii="Times New Roman" w:eastAsia="Times New Roman" w:hAnsi="Times New Roman" w:cs="Times New Roman"/>
                <w:b/>
                <w:bCs/>
                <w:color w:val="000000"/>
                <w:sz w:val="24"/>
                <w:szCs w:val="24"/>
              </w:rPr>
            </w:pPr>
            <w:proofErr w:type="spellStart"/>
            <w:r w:rsidRPr="00215667">
              <w:rPr>
                <w:rFonts w:ascii="Times New Roman" w:eastAsia="Times New Roman" w:hAnsi="Times New Roman" w:cs="Times New Roman"/>
                <w:b/>
                <w:bCs/>
                <w:color w:val="000000"/>
                <w:sz w:val="24"/>
                <w:szCs w:val="24"/>
              </w:rPr>
              <w:t>Долен</w:t>
            </w:r>
            <w:proofErr w:type="spellEnd"/>
            <w:r w:rsidRPr="00215667">
              <w:rPr>
                <w:rFonts w:ascii="Times New Roman" w:eastAsia="Times New Roman" w:hAnsi="Times New Roman" w:cs="Times New Roman"/>
                <w:b/>
                <w:bCs/>
                <w:color w:val="000000"/>
                <w:sz w:val="24"/>
                <w:szCs w:val="24"/>
              </w:rPr>
              <w:t xml:space="preserve"> </w:t>
            </w:r>
          </w:p>
          <w:p w14:paraId="18BBAD80" w14:textId="77777777" w:rsidR="00412474" w:rsidRPr="00215667" w:rsidRDefault="00412474" w:rsidP="00435E3A">
            <w:pPr>
              <w:jc w:val="cente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
                <w:bCs/>
                <w:color w:val="000000"/>
                <w:sz w:val="24"/>
                <w:szCs w:val="24"/>
              </w:rPr>
              <w:t>квартил</w:t>
            </w:r>
            <w:proofErr w:type="spellEnd"/>
          </w:p>
        </w:tc>
        <w:tc>
          <w:tcPr>
            <w:tcW w:w="1242"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2FBC58A" w14:textId="77777777" w:rsidR="00412474" w:rsidRPr="00215667" w:rsidRDefault="00412474" w:rsidP="00435E3A">
            <w:pPr>
              <w:jc w:val="center"/>
              <w:rPr>
                <w:rFonts w:ascii="Times New Roman" w:eastAsia="Times New Roman" w:hAnsi="Times New Roman" w:cs="Times New Roman"/>
                <w:b/>
                <w:bCs/>
                <w:color w:val="000000"/>
                <w:sz w:val="24"/>
                <w:szCs w:val="24"/>
              </w:rPr>
            </w:pPr>
            <w:proofErr w:type="spellStart"/>
            <w:r w:rsidRPr="00215667">
              <w:rPr>
                <w:rFonts w:ascii="Times New Roman" w:eastAsia="Times New Roman" w:hAnsi="Times New Roman" w:cs="Times New Roman"/>
                <w:b/>
                <w:bCs/>
                <w:color w:val="000000"/>
                <w:sz w:val="24"/>
                <w:szCs w:val="24"/>
              </w:rPr>
              <w:t>Горен</w:t>
            </w:r>
            <w:proofErr w:type="spellEnd"/>
          </w:p>
          <w:p w14:paraId="3FD62842" w14:textId="0CA77751" w:rsidR="00412474" w:rsidRPr="00215667" w:rsidRDefault="00412474" w:rsidP="00435E3A">
            <w:pPr>
              <w:jc w:val="cente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
                <w:bCs/>
                <w:color w:val="000000"/>
                <w:sz w:val="24"/>
                <w:szCs w:val="24"/>
              </w:rPr>
              <w:t>квартил</w:t>
            </w:r>
            <w:proofErr w:type="spellEnd"/>
          </w:p>
        </w:tc>
        <w:tc>
          <w:tcPr>
            <w:tcW w:w="1403"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5D33FD3" w14:textId="0F992829" w:rsidR="00412474" w:rsidRPr="00215667" w:rsidRDefault="00412474" w:rsidP="00435E3A">
            <w:pPr>
              <w:jc w:val="cente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
                <w:bCs/>
                <w:color w:val="000000"/>
                <w:sz w:val="24"/>
                <w:szCs w:val="24"/>
              </w:rPr>
              <w:t>Стд</w:t>
            </w:r>
            <w:proofErr w:type="spellEnd"/>
            <w:r w:rsidRPr="00215667">
              <w:rPr>
                <w:rFonts w:ascii="Times New Roman" w:eastAsia="Times New Roman" w:hAnsi="Times New Roman" w:cs="Times New Roman"/>
                <w:b/>
                <w:bCs/>
                <w:color w:val="000000"/>
                <w:sz w:val="24"/>
                <w:szCs w:val="24"/>
              </w:rPr>
              <w:t>.</w:t>
            </w:r>
            <w:r w:rsidR="00295270">
              <w:rPr>
                <w:rFonts w:ascii="Times New Roman" w:eastAsia="Times New Roman" w:hAnsi="Times New Roman" w:cs="Times New Roman"/>
                <w:b/>
                <w:bCs/>
                <w:color w:val="000000"/>
                <w:sz w:val="24"/>
                <w:szCs w:val="24"/>
                <w:lang w:val="mk-MK"/>
              </w:rPr>
              <w:t xml:space="preserve"> </w:t>
            </w:r>
            <w:proofErr w:type="spellStart"/>
            <w:r w:rsidRPr="00215667">
              <w:rPr>
                <w:rFonts w:ascii="Times New Roman" w:eastAsia="Times New Roman" w:hAnsi="Times New Roman" w:cs="Times New Roman"/>
                <w:b/>
                <w:bCs/>
                <w:color w:val="000000"/>
                <w:sz w:val="24"/>
                <w:szCs w:val="24"/>
              </w:rPr>
              <w:t>Дев</w:t>
            </w:r>
            <w:proofErr w:type="spellEnd"/>
            <w:r w:rsidRPr="00215667">
              <w:rPr>
                <w:rFonts w:ascii="Times New Roman" w:eastAsia="Times New Roman" w:hAnsi="Times New Roman" w:cs="Times New Roman"/>
                <w:b/>
                <w:bCs/>
                <w:color w:val="000000"/>
                <w:sz w:val="24"/>
                <w:szCs w:val="24"/>
              </w:rPr>
              <w:t>.</w:t>
            </w:r>
          </w:p>
        </w:tc>
      </w:tr>
      <w:tr w:rsidR="00412474" w:rsidRPr="00215667" w14:paraId="6CE9F440" w14:textId="77777777" w:rsidTr="00295270">
        <w:trPr>
          <w:trHeight w:val="320"/>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92F93B8" w14:textId="77777777" w:rsidR="00412474" w:rsidRPr="00215667" w:rsidRDefault="00412474" w:rsidP="00435E3A">
            <w:pPr>
              <w:rPr>
                <w:rFonts w:ascii="Times New Roman" w:eastAsia="Times New Roman" w:hAnsi="Times New Roman" w:cs="Times New Roman"/>
                <w:bCs/>
                <w:sz w:val="24"/>
                <w:szCs w:val="24"/>
              </w:rPr>
            </w:pPr>
            <w:r w:rsidRPr="00215667">
              <w:rPr>
                <w:rFonts w:ascii="Times New Roman" w:eastAsia="Times New Roman" w:hAnsi="Times New Roman" w:cs="Times New Roman"/>
                <w:bCs/>
                <w:color w:val="000000"/>
                <w:sz w:val="24"/>
                <w:szCs w:val="24"/>
              </w:rPr>
              <w:t>ADP</w:t>
            </w:r>
          </w:p>
        </w:tc>
        <w:tc>
          <w:tcPr>
            <w:tcW w:w="0" w:type="auto"/>
            <w:tcBorders>
              <w:top w:val="single" w:sz="4" w:space="0" w:color="auto"/>
              <w:left w:val="single" w:sz="4" w:space="0" w:color="auto"/>
              <w:bottom w:val="single" w:sz="4" w:space="0" w:color="auto"/>
              <w:right w:val="single" w:sz="4" w:space="0" w:color="auto"/>
            </w:tcBorders>
            <w:noWrap/>
            <w:hideMark/>
          </w:tcPr>
          <w:p w14:paraId="2142D077"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64</w:t>
            </w:r>
          </w:p>
        </w:tc>
        <w:tc>
          <w:tcPr>
            <w:tcW w:w="1108" w:type="dxa"/>
            <w:tcBorders>
              <w:top w:val="single" w:sz="4" w:space="0" w:color="auto"/>
              <w:left w:val="single" w:sz="4" w:space="0" w:color="auto"/>
              <w:bottom w:val="single" w:sz="4" w:space="0" w:color="auto"/>
              <w:right w:val="single" w:sz="4" w:space="0" w:color="auto"/>
            </w:tcBorders>
            <w:noWrap/>
            <w:hideMark/>
          </w:tcPr>
          <w:p w14:paraId="1B4417CF"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36.9</w:t>
            </w:r>
          </w:p>
        </w:tc>
        <w:tc>
          <w:tcPr>
            <w:tcW w:w="878" w:type="dxa"/>
            <w:tcBorders>
              <w:top w:val="single" w:sz="4" w:space="0" w:color="auto"/>
              <w:left w:val="single" w:sz="4" w:space="0" w:color="auto"/>
              <w:bottom w:val="single" w:sz="4" w:space="0" w:color="auto"/>
              <w:right w:val="single" w:sz="4" w:space="0" w:color="auto"/>
            </w:tcBorders>
            <w:noWrap/>
            <w:hideMark/>
          </w:tcPr>
          <w:p w14:paraId="1E522AFB"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39.5</w:t>
            </w:r>
          </w:p>
        </w:tc>
        <w:tc>
          <w:tcPr>
            <w:tcW w:w="778" w:type="dxa"/>
            <w:tcBorders>
              <w:top w:val="single" w:sz="4" w:space="0" w:color="auto"/>
              <w:left w:val="single" w:sz="4" w:space="0" w:color="auto"/>
              <w:bottom w:val="single" w:sz="4" w:space="0" w:color="auto"/>
              <w:right w:val="single" w:sz="4" w:space="0" w:color="auto"/>
            </w:tcBorders>
            <w:noWrap/>
            <w:hideMark/>
          </w:tcPr>
          <w:p w14:paraId="51479D4C"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7.0</w:t>
            </w:r>
          </w:p>
        </w:tc>
        <w:tc>
          <w:tcPr>
            <w:tcW w:w="936" w:type="dxa"/>
            <w:tcBorders>
              <w:top w:val="single" w:sz="4" w:space="0" w:color="auto"/>
              <w:left w:val="single" w:sz="4" w:space="0" w:color="auto"/>
              <w:bottom w:val="single" w:sz="4" w:space="0" w:color="auto"/>
              <w:right w:val="single" w:sz="4" w:space="0" w:color="auto"/>
            </w:tcBorders>
            <w:noWrap/>
            <w:hideMark/>
          </w:tcPr>
          <w:p w14:paraId="436A5CB4"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60.0</w:t>
            </w:r>
          </w:p>
        </w:tc>
        <w:tc>
          <w:tcPr>
            <w:tcW w:w="1242" w:type="dxa"/>
            <w:tcBorders>
              <w:top w:val="single" w:sz="4" w:space="0" w:color="auto"/>
              <w:left w:val="single" w:sz="4" w:space="0" w:color="auto"/>
              <w:bottom w:val="single" w:sz="4" w:space="0" w:color="auto"/>
              <w:right w:val="single" w:sz="4" w:space="0" w:color="auto"/>
            </w:tcBorders>
            <w:noWrap/>
            <w:hideMark/>
          </w:tcPr>
          <w:p w14:paraId="6273350A"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24.5</w:t>
            </w:r>
          </w:p>
        </w:tc>
        <w:tc>
          <w:tcPr>
            <w:tcW w:w="1242" w:type="dxa"/>
            <w:tcBorders>
              <w:top w:val="single" w:sz="4" w:space="0" w:color="auto"/>
              <w:left w:val="single" w:sz="4" w:space="0" w:color="auto"/>
              <w:bottom w:val="single" w:sz="4" w:space="0" w:color="auto"/>
              <w:right w:val="single" w:sz="4" w:space="0" w:color="auto"/>
            </w:tcBorders>
            <w:noWrap/>
            <w:hideMark/>
          </w:tcPr>
          <w:p w14:paraId="78C69DB1"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47.0</w:t>
            </w:r>
          </w:p>
        </w:tc>
        <w:tc>
          <w:tcPr>
            <w:tcW w:w="1403" w:type="dxa"/>
            <w:tcBorders>
              <w:top w:val="single" w:sz="4" w:space="0" w:color="auto"/>
              <w:left w:val="single" w:sz="4" w:space="0" w:color="auto"/>
              <w:bottom w:val="single" w:sz="4" w:space="0" w:color="auto"/>
              <w:right w:val="single" w:sz="4" w:space="0" w:color="auto"/>
            </w:tcBorders>
            <w:noWrap/>
            <w:hideMark/>
          </w:tcPr>
          <w:p w14:paraId="769C8011"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13.27471</w:t>
            </w:r>
          </w:p>
        </w:tc>
      </w:tr>
      <w:tr w:rsidR="00412474" w:rsidRPr="00215667" w14:paraId="509D2FEB" w14:textId="77777777" w:rsidTr="00295270">
        <w:trPr>
          <w:trHeight w:val="320"/>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64C20A0" w14:textId="7B04C4FC" w:rsidR="00412474" w:rsidRPr="00215667" w:rsidRDefault="0021755D" w:rsidP="00435E3A">
            <w:pPr>
              <w:rPr>
                <w:rFonts w:ascii="Times New Roman" w:eastAsia="Times New Roman" w:hAnsi="Times New Roman" w:cs="Times New Roman"/>
                <w:bCs/>
                <w:sz w:val="24"/>
                <w:szCs w:val="24"/>
              </w:rPr>
            </w:pPr>
            <w:proofErr w:type="spellStart"/>
            <w:r>
              <w:rPr>
                <w:rFonts w:ascii="Times New Roman" w:eastAsia="Times New Roman" w:hAnsi="Times New Roman" w:cs="Times New Roman"/>
                <w:bCs/>
                <w:color w:val="000000"/>
                <w:sz w:val="24"/>
                <w:szCs w:val="24"/>
              </w:rPr>
              <w:t>Ристоцетин</w:t>
            </w:r>
            <w:proofErr w:type="spellEnd"/>
            <w:r w:rsidR="00412474" w:rsidRPr="00215667">
              <w:rPr>
                <w:rFonts w:ascii="Times New Roman" w:eastAsia="Times New Roman" w:hAnsi="Times New Roman" w:cs="Times New Roman"/>
                <w:bCs/>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118C9130"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64</w:t>
            </w:r>
          </w:p>
        </w:tc>
        <w:tc>
          <w:tcPr>
            <w:tcW w:w="1108" w:type="dxa"/>
            <w:tcBorders>
              <w:top w:val="single" w:sz="4" w:space="0" w:color="auto"/>
              <w:left w:val="single" w:sz="4" w:space="0" w:color="auto"/>
              <w:bottom w:val="single" w:sz="4" w:space="0" w:color="auto"/>
              <w:right w:val="single" w:sz="4" w:space="0" w:color="auto"/>
            </w:tcBorders>
            <w:noWrap/>
            <w:hideMark/>
          </w:tcPr>
          <w:p w14:paraId="58AAA9F7"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61.4</w:t>
            </w:r>
          </w:p>
        </w:tc>
        <w:tc>
          <w:tcPr>
            <w:tcW w:w="878" w:type="dxa"/>
            <w:tcBorders>
              <w:top w:val="single" w:sz="4" w:space="0" w:color="auto"/>
              <w:left w:val="single" w:sz="4" w:space="0" w:color="auto"/>
              <w:bottom w:val="single" w:sz="4" w:space="0" w:color="auto"/>
              <w:right w:val="single" w:sz="4" w:space="0" w:color="auto"/>
            </w:tcBorders>
            <w:noWrap/>
            <w:hideMark/>
          </w:tcPr>
          <w:p w14:paraId="2647462B"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65.0</w:t>
            </w:r>
          </w:p>
        </w:tc>
        <w:tc>
          <w:tcPr>
            <w:tcW w:w="778" w:type="dxa"/>
            <w:tcBorders>
              <w:top w:val="single" w:sz="4" w:space="0" w:color="auto"/>
              <w:left w:val="single" w:sz="4" w:space="0" w:color="auto"/>
              <w:bottom w:val="single" w:sz="4" w:space="0" w:color="auto"/>
              <w:right w:val="single" w:sz="4" w:space="0" w:color="auto"/>
            </w:tcBorders>
            <w:noWrap/>
            <w:hideMark/>
          </w:tcPr>
          <w:p w14:paraId="175BA682"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23.0</w:t>
            </w:r>
          </w:p>
        </w:tc>
        <w:tc>
          <w:tcPr>
            <w:tcW w:w="936" w:type="dxa"/>
            <w:tcBorders>
              <w:top w:val="single" w:sz="4" w:space="0" w:color="auto"/>
              <w:left w:val="single" w:sz="4" w:space="0" w:color="auto"/>
              <w:bottom w:val="single" w:sz="4" w:space="0" w:color="auto"/>
              <w:right w:val="single" w:sz="4" w:space="0" w:color="auto"/>
            </w:tcBorders>
            <w:noWrap/>
            <w:hideMark/>
          </w:tcPr>
          <w:p w14:paraId="320F7642"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86.0</w:t>
            </w:r>
          </w:p>
        </w:tc>
        <w:tc>
          <w:tcPr>
            <w:tcW w:w="1242" w:type="dxa"/>
            <w:tcBorders>
              <w:top w:val="single" w:sz="4" w:space="0" w:color="auto"/>
              <w:left w:val="single" w:sz="4" w:space="0" w:color="auto"/>
              <w:bottom w:val="single" w:sz="4" w:space="0" w:color="auto"/>
              <w:right w:val="single" w:sz="4" w:space="0" w:color="auto"/>
            </w:tcBorders>
            <w:noWrap/>
            <w:hideMark/>
          </w:tcPr>
          <w:p w14:paraId="1638A230"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51.0</w:t>
            </w:r>
          </w:p>
        </w:tc>
        <w:tc>
          <w:tcPr>
            <w:tcW w:w="1242" w:type="dxa"/>
            <w:tcBorders>
              <w:top w:val="single" w:sz="4" w:space="0" w:color="auto"/>
              <w:left w:val="single" w:sz="4" w:space="0" w:color="auto"/>
              <w:bottom w:val="single" w:sz="4" w:space="0" w:color="auto"/>
              <w:right w:val="single" w:sz="4" w:space="0" w:color="auto"/>
            </w:tcBorders>
            <w:noWrap/>
            <w:hideMark/>
          </w:tcPr>
          <w:p w14:paraId="15B2C79C"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71.0</w:t>
            </w:r>
          </w:p>
        </w:tc>
        <w:tc>
          <w:tcPr>
            <w:tcW w:w="1403" w:type="dxa"/>
            <w:tcBorders>
              <w:top w:val="single" w:sz="4" w:space="0" w:color="auto"/>
              <w:left w:val="single" w:sz="4" w:space="0" w:color="auto"/>
              <w:bottom w:val="single" w:sz="4" w:space="0" w:color="auto"/>
              <w:right w:val="single" w:sz="4" w:space="0" w:color="auto"/>
            </w:tcBorders>
            <w:noWrap/>
            <w:hideMark/>
          </w:tcPr>
          <w:p w14:paraId="06A059AF"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14.03044</w:t>
            </w:r>
          </w:p>
        </w:tc>
      </w:tr>
      <w:tr w:rsidR="00412474" w:rsidRPr="00215667" w14:paraId="270395AF" w14:textId="77777777" w:rsidTr="00295270">
        <w:trPr>
          <w:trHeight w:val="349"/>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9441DB1" w14:textId="5E9CCC3F" w:rsidR="00412474" w:rsidRPr="00215667" w:rsidRDefault="0021755D" w:rsidP="00435E3A">
            <w:pPr>
              <w:rPr>
                <w:rFonts w:ascii="Times New Roman" w:eastAsia="Times New Roman" w:hAnsi="Times New Roman" w:cs="Times New Roman"/>
                <w:bCs/>
                <w:sz w:val="24"/>
                <w:szCs w:val="24"/>
              </w:rPr>
            </w:pPr>
            <w:proofErr w:type="spellStart"/>
            <w:r>
              <w:rPr>
                <w:rFonts w:ascii="Times New Roman" w:eastAsia="Times New Roman" w:hAnsi="Times New Roman" w:cs="Times New Roman"/>
                <w:bCs/>
                <w:color w:val="000000"/>
                <w:sz w:val="24"/>
                <w:szCs w:val="24"/>
              </w:rPr>
              <w:t>Колаген</w:t>
            </w:r>
            <w:proofErr w:type="spellEnd"/>
            <w:r w:rsidR="00412474" w:rsidRPr="00215667">
              <w:rPr>
                <w:rFonts w:ascii="Times New Roman" w:eastAsia="Times New Roman" w:hAnsi="Times New Roman" w:cs="Times New Roman"/>
                <w:bCs/>
                <w:color w:val="000000"/>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0533E88B"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64</w:t>
            </w:r>
          </w:p>
        </w:tc>
        <w:tc>
          <w:tcPr>
            <w:tcW w:w="1108" w:type="dxa"/>
            <w:tcBorders>
              <w:top w:val="single" w:sz="4" w:space="0" w:color="auto"/>
              <w:left w:val="single" w:sz="4" w:space="0" w:color="auto"/>
              <w:bottom w:val="single" w:sz="4" w:space="0" w:color="auto"/>
              <w:right w:val="single" w:sz="4" w:space="0" w:color="auto"/>
            </w:tcBorders>
            <w:noWrap/>
            <w:hideMark/>
          </w:tcPr>
          <w:p w14:paraId="336CDCC9"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49.1</w:t>
            </w:r>
          </w:p>
        </w:tc>
        <w:tc>
          <w:tcPr>
            <w:tcW w:w="878" w:type="dxa"/>
            <w:tcBorders>
              <w:top w:val="single" w:sz="4" w:space="0" w:color="auto"/>
              <w:left w:val="single" w:sz="4" w:space="0" w:color="auto"/>
              <w:bottom w:val="single" w:sz="4" w:space="0" w:color="auto"/>
              <w:right w:val="single" w:sz="4" w:space="0" w:color="auto"/>
            </w:tcBorders>
            <w:noWrap/>
            <w:hideMark/>
          </w:tcPr>
          <w:p w14:paraId="725EDF03"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50.0</w:t>
            </w:r>
          </w:p>
        </w:tc>
        <w:tc>
          <w:tcPr>
            <w:tcW w:w="778" w:type="dxa"/>
            <w:tcBorders>
              <w:top w:val="single" w:sz="4" w:space="0" w:color="auto"/>
              <w:left w:val="single" w:sz="4" w:space="0" w:color="auto"/>
              <w:bottom w:val="single" w:sz="4" w:space="0" w:color="auto"/>
              <w:right w:val="single" w:sz="4" w:space="0" w:color="auto"/>
            </w:tcBorders>
            <w:noWrap/>
            <w:hideMark/>
          </w:tcPr>
          <w:p w14:paraId="3C9E67AF"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19.0</w:t>
            </w:r>
          </w:p>
        </w:tc>
        <w:tc>
          <w:tcPr>
            <w:tcW w:w="936" w:type="dxa"/>
            <w:tcBorders>
              <w:top w:val="single" w:sz="4" w:space="0" w:color="auto"/>
              <w:left w:val="single" w:sz="4" w:space="0" w:color="auto"/>
              <w:bottom w:val="single" w:sz="4" w:space="0" w:color="auto"/>
              <w:right w:val="single" w:sz="4" w:space="0" w:color="auto"/>
            </w:tcBorders>
            <w:noWrap/>
            <w:hideMark/>
          </w:tcPr>
          <w:p w14:paraId="23FC6623"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90.0</w:t>
            </w:r>
          </w:p>
        </w:tc>
        <w:tc>
          <w:tcPr>
            <w:tcW w:w="1242" w:type="dxa"/>
            <w:tcBorders>
              <w:top w:val="single" w:sz="4" w:space="0" w:color="auto"/>
              <w:left w:val="single" w:sz="4" w:space="0" w:color="auto"/>
              <w:bottom w:val="single" w:sz="4" w:space="0" w:color="auto"/>
              <w:right w:val="single" w:sz="4" w:space="0" w:color="auto"/>
            </w:tcBorders>
            <w:noWrap/>
            <w:hideMark/>
          </w:tcPr>
          <w:p w14:paraId="24E72415"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39.0</w:t>
            </w:r>
          </w:p>
        </w:tc>
        <w:tc>
          <w:tcPr>
            <w:tcW w:w="1242" w:type="dxa"/>
            <w:tcBorders>
              <w:top w:val="single" w:sz="4" w:space="0" w:color="auto"/>
              <w:left w:val="single" w:sz="4" w:space="0" w:color="auto"/>
              <w:bottom w:val="single" w:sz="4" w:space="0" w:color="auto"/>
              <w:right w:val="single" w:sz="4" w:space="0" w:color="auto"/>
            </w:tcBorders>
            <w:noWrap/>
            <w:hideMark/>
          </w:tcPr>
          <w:p w14:paraId="52600B86"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58.0</w:t>
            </w:r>
          </w:p>
        </w:tc>
        <w:tc>
          <w:tcPr>
            <w:tcW w:w="1403" w:type="dxa"/>
            <w:tcBorders>
              <w:top w:val="single" w:sz="4" w:space="0" w:color="auto"/>
              <w:left w:val="single" w:sz="4" w:space="0" w:color="auto"/>
              <w:bottom w:val="single" w:sz="4" w:space="0" w:color="auto"/>
              <w:right w:val="single" w:sz="4" w:space="0" w:color="auto"/>
            </w:tcBorders>
            <w:noWrap/>
            <w:hideMark/>
          </w:tcPr>
          <w:p w14:paraId="49A701F9"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15.49615</w:t>
            </w:r>
          </w:p>
        </w:tc>
      </w:tr>
      <w:tr w:rsidR="00412474" w:rsidRPr="00215667" w14:paraId="4998268F" w14:textId="77777777" w:rsidTr="00295270">
        <w:trPr>
          <w:trHeight w:val="320"/>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F922773" w14:textId="77777777" w:rsidR="00412474" w:rsidRPr="00215667" w:rsidRDefault="00412474" w:rsidP="00435E3A">
            <w:pPr>
              <w:rPr>
                <w:rFonts w:ascii="Times New Roman" w:eastAsia="Times New Roman" w:hAnsi="Times New Roman" w:cs="Times New Roman"/>
                <w:bCs/>
                <w:sz w:val="24"/>
                <w:szCs w:val="24"/>
              </w:rPr>
            </w:pPr>
            <w:r w:rsidRPr="00215667">
              <w:rPr>
                <w:rFonts w:ascii="Times New Roman" w:eastAsia="Times New Roman" w:hAnsi="Times New Roman" w:cs="Times New Roman"/>
                <w:bCs/>
                <w:color w:val="000000"/>
                <w:sz w:val="24"/>
                <w:szCs w:val="24"/>
              </w:rPr>
              <w:t xml:space="preserve">PT </w:t>
            </w:r>
          </w:p>
        </w:tc>
        <w:tc>
          <w:tcPr>
            <w:tcW w:w="0" w:type="auto"/>
            <w:tcBorders>
              <w:top w:val="single" w:sz="4" w:space="0" w:color="auto"/>
              <w:left w:val="single" w:sz="4" w:space="0" w:color="auto"/>
              <w:bottom w:val="single" w:sz="4" w:space="0" w:color="auto"/>
              <w:right w:val="single" w:sz="4" w:space="0" w:color="auto"/>
            </w:tcBorders>
            <w:noWrap/>
            <w:hideMark/>
          </w:tcPr>
          <w:p w14:paraId="35004E8E"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63</w:t>
            </w:r>
          </w:p>
        </w:tc>
        <w:tc>
          <w:tcPr>
            <w:tcW w:w="1108" w:type="dxa"/>
            <w:tcBorders>
              <w:top w:val="single" w:sz="4" w:space="0" w:color="auto"/>
              <w:left w:val="single" w:sz="4" w:space="0" w:color="auto"/>
              <w:bottom w:val="single" w:sz="4" w:space="0" w:color="auto"/>
              <w:right w:val="single" w:sz="4" w:space="0" w:color="auto"/>
            </w:tcBorders>
            <w:noWrap/>
            <w:hideMark/>
          </w:tcPr>
          <w:p w14:paraId="67D26703"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11.5</w:t>
            </w:r>
          </w:p>
        </w:tc>
        <w:tc>
          <w:tcPr>
            <w:tcW w:w="878" w:type="dxa"/>
            <w:tcBorders>
              <w:top w:val="single" w:sz="4" w:space="0" w:color="auto"/>
              <w:left w:val="single" w:sz="4" w:space="0" w:color="auto"/>
              <w:bottom w:val="single" w:sz="4" w:space="0" w:color="auto"/>
              <w:right w:val="single" w:sz="4" w:space="0" w:color="auto"/>
            </w:tcBorders>
            <w:noWrap/>
            <w:hideMark/>
          </w:tcPr>
          <w:p w14:paraId="0DC6DE98"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11.0</w:t>
            </w:r>
          </w:p>
        </w:tc>
        <w:tc>
          <w:tcPr>
            <w:tcW w:w="778" w:type="dxa"/>
            <w:tcBorders>
              <w:top w:val="single" w:sz="4" w:space="0" w:color="auto"/>
              <w:left w:val="single" w:sz="4" w:space="0" w:color="auto"/>
              <w:bottom w:val="single" w:sz="4" w:space="0" w:color="auto"/>
              <w:right w:val="single" w:sz="4" w:space="0" w:color="auto"/>
            </w:tcBorders>
            <w:noWrap/>
            <w:hideMark/>
          </w:tcPr>
          <w:p w14:paraId="21563467"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9.7</w:t>
            </w:r>
          </w:p>
        </w:tc>
        <w:tc>
          <w:tcPr>
            <w:tcW w:w="936" w:type="dxa"/>
            <w:tcBorders>
              <w:top w:val="single" w:sz="4" w:space="0" w:color="auto"/>
              <w:left w:val="single" w:sz="4" w:space="0" w:color="auto"/>
              <w:bottom w:val="single" w:sz="4" w:space="0" w:color="auto"/>
              <w:right w:val="single" w:sz="4" w:space="0" w:color="auto"/>
            </w:tcBorders>
            <w:noWrap/>
            <w:hideMark/>
          </w:tcPr>
          <w:p w14:paraId="03251C54"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26.0</w:t>
            </w:r>
          </w:p>
        </w:tc>
        <w:tc>
          <w:tcPr>
            <w:tcW w:w="1242" w:type="dxa"/>
            <w:tcBorders>
              <w:top w:val="single" w:sz="4" w:space="0" w:color="auto"/>
              <w:left w:val="single" w:sz="4" w:space="0" w:color="auto"/>
              <w:bottom w:val="single" w:sz="4" w:space="0" w:color="auto"/>
              <w:right w:val="single" w:sz="4" w:space="0" w:color="auto"/>
            </w:tcBorders>
            <w:noWrap/>
            <w:hideMark/>
          </w:tcPr>
          <w:p w14:paraId="41BC6BE0"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10.0</w:t>
            </w:r>
          </w:p>
        </w:tc>
        <w:tc>
          <w:tcPr>
            <w:tcW w:w="1242" w:type="dxa"/>
            <w:tcBorders>
              <w:top w:val="single" w:sz="4" w:space="0" w:color="auto"/>
              <w:left w:val="single" w:sz="4" w:space="0" w:color="auto"/>
              <w:bottom w:val="single" w:sz="4" w:space="0" w:color="auto"/>
              <w:right w:val="single" w:sz="4" w:space="0" w:color="auto"/>
            </w:tcBorders>
            <w:noWrap/>
            <w:hideMark/>
          </w:tcPr>
          <w:p w14:paraId="74835467"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12.0</w:t>
            </w:r>
          </w:p>
        </w:tc>
        <w:tc>
          <w:tcPr>
            <w:tcW w:w="1403" w:type="dxa"/>
            <w:tcBorders>
              <w:top w:val="single" w:sz="4" w:space="0" w:color="auto"/>
              <w:left w:val="single" w:sz="4" w:space="0" w:color="auto"/>
              <w:bottom w:val="single" w:sz="4" w:space="0" w:color="auto"/>
              <w:right w:val="single" w:sz="4" w:space="0" w:color="auto"/>
            </w:tcBorders>
            <w:noWrap/>
            <w:hideMark/>
          </w:tcPr>
          <w:p w14:paraId="6D49F711"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2.39639</w:t>
            </w:r>
          </w:p>
        </w:tc>
      </w:tr>
    </w:tbl>
    <w:p w14:paraId="6D0C1EA1"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68929992" w14:textId="3B5D8E86" w:rsidR="00412474" w:rsidRPr="00215667" w:rsidRDefault="00412474" w:rsidP="00295270">
      <w:pPr>
        <w:spacing w:after="120" w:line="360" w:lineRule="auto"/>
        <w:jc w:val="center"/>
        <w:rPr>
          <w:rFonts w:ascii="Times New Roman" w:eastAsia="Times New Roman" w:hAnsi="Times New Roman" w:cs="Times New Roman"/>
          <w:bCs/>
          <w:color w:val="000000"/>
          <w:sz w:val="24"/>
          <w:szCs w:val="24"/>
        </w:rPr>
      </w:pPr>
      <w:r w:rsidRPr="00215667">
        <w:rPr>
          <w:rFonts w:ascii="Times New Roman" w:eastAsia="Times New Roman" w:hAnsi="Times New Roman" w:cs="Times New Roman"/>
          <w:bCs/>
          <w:color w:val="000000"/>
          <w:sz w:val="24"/>
          <w:szCs w:val="24"/>
        </w:rPr>
        <w:t>Графикон бр.</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8</w:t>
      </w:r>
      <w:r w:rsidR="00295270">
        <w:rPr>
          <w:rFonts w:ascii="Times New Roman" w:eastAsia="Times New Roman" w:hAnsi="Times New Roman" w:cs="Times New Roman"/>
          <w:bCs/>
          <w:color w:val="000000"/>
          <w:sz w:val="24"/>
          <w:szCs w:val="24"/>
        </w:rPr>
        <w:t>-</w:t>
      </w:r>
      <w:r w:rsidRP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Приказ на просечната вредност на ADP, </w:t>
      </w:r>
      <w:r w:rsidR="00295270">
        <w:rPr>
          <w:rFonts w:ascii="Times New Roman" w:eastAsia="Times New Roman" w:hAnsi="Times New Roman" w:cs="Times New Roman"/>
          <w:bCs/>
          <w:color w:val="000000"/>
          <w:sz w:val="24"/>
          <w:szCs w:val="24"/>
        </w:rPr>
        <w:t>ристоцетин</w:t>
      </w:r>
      <w:r w:rsidR="00295270" w:rsidRPr="00215667">
        <w:rPr>
          <w:rFonts w:ascii="Times New Roman" w:eastAsia="Times New Roman" w:hAnsi="Times New Roman" w:cs="Times New Roman"/>
          <w:bCs/>
          <w:color w:val="000000"/>
          <w:sz w:val="24"/>
          <w:szCs w:val="24"/>
        </w:rPr>
        <w:t xml:space="preserve">, </w:t>
      </w:r>
      <w:r w:rsidR="00295270">
        <w:rPr>
          <w:rFonts w:ascii="Times New Roman" w:eastAsia="Times New Roman" w:hAnsi="Times New Roman" w:cs="Times New Roman"/>
          <w:bCs/>
          <w:color w:val="000000"/>
          <w:sz w:val="24"/>
          <w:szCs w:val="24"/>
        </w:rPr>
        <w:t>колаген</w:t>
      </w:r>
      <w:r w:rsidR="00295270" w:rsidRPr="0021566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и PT (протромбинско време)</w:t>
      </w:r>
      <w:r w:rsidR="00295270">
        <w:rPr>
          <w:noProof/>
          <w14:ligatures w14:val="standardContextual"/>
        </w:rPr>
        <w:drawing>
          <wp:inline distT="0" distB="0" distL="0" distR="0" wp14:anchorId="7531184D" wp14:editId="150C823D">
            <wp:extent cx="4223982" cy="2417961"/>
            <wp:effectExtent l="0" t="0" r="5715" b="1905"/>
            <wp:docPr id="21419525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952576" name=""/>
                    <pic:cNvPicPr/>
                  </pic:nvPicPr>
                  <pic:blipFill>
                    <a:blip r:embed="rId28"/>
                    <a:stretch>
                      <a:fillRect/>
                    </a:stretch>
                  </pic:blipFill>
                  <pic:spPr>
                    <a:xfrm>
                      <a:off x="0" y="0"/>
                      <a:ext cx="4223982" cy="2417961"/>
                    </a:xfrm>
                    <a:prstGeom prst="rect">
                      <a:avLst/>
                    </a:prstGeom>
                  </pic:spPr>
                </pic:pic>
              </a:graphicData>
            </a:graphic>
          </wp:inline>
        </w:drawing>
      </w:r>
      <w:r w:rsidRPr="00215667">
        <w:rPr>
          <w:rFonts w:ascii="Times New Roman" w:eastAsia="Calibri" w:hAnsi="Times New Roman" w:cs="Times New Roman"/>
          <w:sz w:val="24"/>
          <w:szCs w:val="24"/>
        </w:rPr>
        <w:t xml:space="preserve"> </w:t>
      </w:r>
    </w:p>
    <w:p w14:paraId="5B1A7078" w14:textId="5D9D0D04" w:rsidR="00412474" w:rsidRPr="00215667" w:rsidRDefault="00412474" w:rsidP="00412474">
      <w:pPr>
        <w:spacing w:after="120" w:line="360" w:lineRule="auto"/>
        <w:ind w:firstLine="720"/>
        <w:jc w:val="both"/>
        <w:rPr>
          <w:rFonts w:ascii="Times New Roman" w:eastAsia="Times New Roman" w:hAnsi="Times New Roman" w:cs="Times New Roman"/>
          <w:bCs/>
          <w:color w:val="000000"/>
          <w:sz w:val="24"/>
          <w:szCs w:val="24"/>
        </w:rPr>
      </w:pPr>
      <w:r w:rsidRPr="00215667">
        <w:rPr>
          <w:rFonts w:ascii="Times New Roman" w:eastAsia="Times New Roman" w:hAnsi="Times New Roman" w:cs="Times New Roman"/>
          <w:bCs/>
          <w:color w:val="000000"/>
          <w:sz w:val="24"/>
          <w:szCs w:val="24"/>
        </w:rPr>
        <w:lastRenderedPageBreak/>
        <w:t>Просечната вредност на ADP кај умерен интензитет на крвавење изнесува 43.8</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 10.4, во ранг од 7 до 60. Просечната вредност на ADP кај тежок интензитет на </w:t>
      </w:r>
      <w:r w:rsidR="00EC49EB" w:rsidRPr="00215667">
        <w:rPr>
          <w:rFonts w:ascii="Times New Roman" w:eastAsia="Times New Roman" w:hAnsi="Times New Roman" w:cs="Times New Roman"/>
          <w:bCs/>
          <w:color w:val="000000"/>
          <w:sz w:val="24"/>
          <w:szCs w:val="24"/>
        </w:rPr>
        <w:t>крвавење</w:t>
      </w:r>
      <w:r w:rsidRPr="00215667">
        <w:rPr>
          <w:rFonts w:ascii="Times New Roman" w:eastAsia="Times New Roman" w:hAnsi="Times New Roman" w:cs="Times New Roman"/>
          <w:bCs/>
          <w:color w:val="000000"/>
          <w:sz w:val="24"/>
          <w:szCs w:val="24"/>
        </w:rPr>
        <w:t xml:space="preserve"> е понизок и изнесува 27.9 ± 10.5, во ранг од 7 до 49. Вредноста на ADP кај лесен интензитет на </w:t>
      </w:r>
      <w:r w:rsidR="00EC49EB" w:rsidRPr="00215667">
        <w:rPr>
          <w:rFonts w:ascii="Times New Roman" w:eastAsia="Times New Roman" w:hAnsi="Times New Roman" w:cs="Times New Roman"/>
          <w:bCs/>
          <w:color w:val="000000"/>
          <w:sz w:val="24"/>
          <w:szCs w:val="24"/>
        </w:rPr>
        <w:t>крвавење</w:t>
      </w:r>
      <w:r w:rsidRPr="00215667">
        <w:rPr>
          <w:rFonts w:ascii="Times New Roman" w:eastAsia="Times New Roman" w:hAnsi="Times New Roman" w:cs="Times New Roman"/>
          <w:bCs/>
          <w:color w:val="000000"/>
          <w:sz w:val="24"/>
          <w:szCs w:val="24"/>
        </w:rPr>
        <w:t xml:space="preserve"> изнесува 58.0 (еден пациент)</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(табела </w:t>
      </w:r>
      <w:r w:rsidR="00295270">
        <w:rPr>
          <w:rFonts w:ascii="Times New Roman" w:eastAsia="Times New Roman" w:hAnsi="Times New Roman" w:cs="Times New Roman"/>
          <w:bCs/>
          <w:color w:val="000000"/>
          <w:sz w:val="24"/>
          <w:szCs w:val="24"/>
        </w:rPr>
        <w:t xml:space="preserve">бр. </w:t>
      </w:r>
      <w:r w:rsidRPr="00215667">
        <w:rPr>
          <w:rFonts w:ascii="Times New Roman" w:eastAsia="Times New Roman" w:hAnsi="Times New Roman" w:cs="Times New Roman"/>
          <w:bCs/>
          <w:color w:val="000000"/>
          <w:sz w:val="24"/>
          <w:szCs w:val="24"/>
        </w:rPr>
        <w:t xml:space="preserve">9). </w:t>
      </w:r>
    </w:p>
    <w:p w14:paraId="2059A428" w14:textId="6ED14E3C" w:rsidR="00412474" w:rsidRPr="00215667" w:rsidRDefault="00412474" w:rsidP="00412474">
      <w:pPr>
        <w:spacing w:after="120" w:line="360" w:lineRule="auto"/>
        <w:ind w:firstLine="720"/>
        <w:jc w:val="both"/>
        <w:rPr>
          <w:rFonts w:ascii="Times New Roman" w:eastAsia="Times New Roman" w:hAnsi="Times New Roman" w:cs="Times New Roman"/>
          <w:bCs/>
          <w:color w:val="000000"/>
          <w:sz w:val="24"/>
          <w:szCs w:val="24"/>
        </w:rPr>
      </w:pPr>
      <w:r w:rsidRPr="00215667">
        <w:rPr>
          <w:rFonts w:ascii="Times New Roman" w:eastAsia="Times New Roman" w:hAnsi="Times New Roman" w:cs="Times New Roman"/>
          <w:bCs/>
          <w:color w:val="000000"/>
          <w:sz w:val="24"/>
          <w:szCs w:val="24"/>
        </w:rPr>
        <w:t xml:space="preserve">Просечната вредност на </w:t>
      </w:r>
      <w:r w:rsidR="00295270">
        <w:rPr>
          <w:rFonts w:ascii="Times New Roman" w:eastAsia="Times New Roman" w:hAnsi="Times New Roman" w:cs="Times New Roman"/>
          <w:bCs/>
          <w:color w:val="000000"/>
          <w:sz w:val="24"/>
          <w:szCs w:val="24"/>
        </w:rPr>
        <w:t>ристоцетин</w:t>
      </w:r>
      <w:r w:rsidRPr="00215667">
        <w:rPr>
          <w:rFonts w:ascii="Times New Roman" w:eastAsia="Times New Roman" w:hAnsi="Times New Roman" w:cs="Times New Roman"/>
          <w:bCs/>
          <w:color w:val="000000"/>
          <w:sz w:val="24"/>
          <w:szCs w:val="24"/>
        </w:rPr>
        <w:t xml:space="preserve"> кај умерен интензитет на </w:t>
      </w:r>
      <w:r w:rsidR="00EC49EB" w:rsidRPr="00215667">
        <w:rPr>
          <w:rFonts w:ascii="Times New Roman" w:eastAsia="Times New Roman" w:hAnsi="Times New Roman" w:cs="Times New Roman"/>
          <w:bCs/>
          <w:color w:val="000000"/>
          <w:sz w:val="24"/>
          <w:szCs w:val="24"/>
        </w:rPr>
        <w:t>крвавење</w:t>
      </w:r>
      <w:r w:rsidRPr="00215667">
        <w:rPr>
          <w:rFonts w:ascii="Times New Roman" w:eastAsia="Times New Roman" w:hAnsi="Times New Roman" w:cs="Times New Roman"/>
          <w:bCs/>
          <w:color w:val="000000"/>
          <w:sz w:val="24"/>
          <w:szCs w:val="24"/>
        </w:rPr>
        <w:t xml:space="preserve"> изнесува 66.2</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 9.3, во ранг од 47 до 83. Просечната вредност на </w:t>
      </w:r>
      <w:r w:rsidR="00295270">
        <w:rPr>
          <w:rFonts w:ascii="Times New Roman" w:eastAsia="Times New Roman" w:hAnsi="Times New Roman" w:cs="Times New Roman"/>
          <w:bCs/>
          <w:color w:val="000000"/>
          <w:sz w:val="24"/>
          <w:szCs w:val="24"/>
        </w:rPr>
        <w:t>ристоцетин</w:t>
      </w:r>
      <w:r w:rsidR="00295270" w:rsidRPr="0021566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кај тежок интензитет на </w:t>
      </w:r>
      <w:r w:rsidR="00EC49EB" w:rsidRPr="00215667">
        <w:rPr>
          <w:rFonts w:ascii="Times New Roman" w:eastAsia="Times New Roman" w:hAnsi="Times New Roman" w:cs="Times New Roman"/>
          <w:bCs/>
          <w:color w:val="000000"/>
          <w:sz w:val="24"/>
          <w:szCs w:val="24"/>
        </w:rPr>
        <w:t>крвавење</w:t>
      </w:r>
      <w:r w:rsidRPr="00215667">
        <w:rPr>
          <w:rFonts w:ascii="Times New Roman" w:eastAsia="Times New Roman" w:hAnsi="Times New Roman" w:cs="Times New Roman"/>
          <w:bCs/>
          <w:color w:val="000000"/>
          <w:sz w:val="24"/>
          <w:szCs w:val="24"/>
        </w:rPr>
        <w:t xml:space="preserve"> е понизок и изнесува 55.6 ± 16.6, во ранг од 23 до 86. Вредноста на </w:t>
      </w:r>
      <w:r w:rsidR="00295270">
        <w:rPr>
          <w:rFonts w:ascii="Times New Roman" w:eastAsia="Times New Roman" w:hAnsi="Times New Roman" w:cs="Times New Roman"/>
          <w:bCs/>
          <w:color w:val="000000"/>
          <w:sz w:val="24"/>
          <w:szCs w:val="24"/>
        </w:rPr>
        <w:t>ристоцетин</w:t>
      </w:r>
      <w:r w:rsidR="00295270" w:rsidRPr="0021566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кај лесен интензитет на </w:t>
      </w:r>
      <w:r w:rsidR="00EC49EB" w:rsidRPr="00215667">
        <w:rPr>
          <w:rFonts w:ascii="Times New Roman" w:eastAsia="Times New Roman" w:hAnsi="Times New Roman" w:cs="Times New Roman"/>
          <w:bCs/>
          <w:color w:val="000000"/>
          <w:sz w:val="24"/>
          <w:szCs w:val="24"/>
        </w:rPr>
        <w:t>крвавење</w:t>
      </w:r>
      <w:r w:rsidRPr="00215667">
        <w:rPr>
          <w:rFonts w:ascii="Times New Roman" w:eastAsia="Times New Roman" w:hAnsi="Times New Roman" w:cs="Times New Roman"/>
          <w:bCs/>
          <w:color w:val="000000"/>
          <w:sz w:val="24"/>
          <w:szCs w:val="24"/>
        </w:rPr>
        <w:t xml:space="preserve"> изнесува 68.0</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(еден пациент)(табела </w:t>
      </w:r>
      <w:r w:rsidR="00295270">
        <w:rPr>
          <w:rFonts w:ascii="Times New Roman" w:eastAsia="Times New Roman" w:hAnsi="Times New Roman" w:cs="Times New Roman"/>
          <w:bCs/>
          <w:color w:val="000000"/>
          <w:sz w:val="24"/>
          <w:szCs w:val="24"/>
        </w:rPr>
        <w:t xml:space="preserve">бр. </w:t>
      </w:r>
      <w:r w:rsidRPr="00215667">
        <w:rPr>
          <w:rFonts w:ascii="Times New Roman" w:eastAsia="Times New Roman" w:hAnsi="Times New Roman" w:cs="Times New Roman"/>
          <w:bCs/>
          <w:color w:val="000000"/>
          <w:sz w:val="24"/>
          <w:szCs w:val="24"/>
        </w:rPr>
        <w:t>9).</w:t>
      </w:r>
    </w:p>
    <w:p w14:paraId="29FB4FF9" w14:textId="43B91D6D" w:rsidR="00412474" w:rsidRPr="00215667" w:rsidRDefault="00412474" w:rsidP="00412474">
      <w:pPr>
        <w:spacing w:after="120" w:line="360" w:lineRule="auto"/>
        <w:ind w:firstLine="720"/>
        <w:jc w:val="both"/>
        <w:rPr>
          <w:rFonts w:ascii="Times New Roman" w:eastAsia="Times New Roman" w:hAnsi="Times New Roman" w:cs="Times New Roman"/>
          <w:bCs/>
          <w:color w:val="000000"/>
          <w:sz w:val="24"/>
          <w:szCs w:val="24"/>
        </w:rPr>
      </w:pPr>
      <w:r w:rsidRPr="00215667">
        <w:rPr>
          <w:rFonts w:ascii="Times New Roman" w:eastAsia="Times New Roman" w:hAnsi="Times New Roman" w:cs="Times New Roman"/>
          <w:bCs/>
          <w:color w:val="000000"/>
          <w:sz w:val="24"/>
          <w:szCs w:val="24"/>
        </w:rPr>
        <w:t xml:space="preserve">Просечната вредност на </w:t>
      </w:r>
      <w:r w:rsidR="00295270">
        <w:rPr>
          <w:rFonts w:ascii="Times New Roman" w:eastAsia="Times New Roman" w:hAnsi="Times New Roman" w:cs="Times New Roman"/>
          <w:bCs/>
          <w:color w:val="000000"/>
          <w:sz w:val="24"/>
          <w:szCs w:val="24"/>
        </w:rPr>
        <w:t>колаген</w:t>
      </w:r>
      <w:r w:rsidRPr="00215667">
        <w:rPr>
          <w:rFonts w:ascii="Times New Roman" w:eastAsia="Times New Roman" w:hAnsi="Times New Roman" w:cs="Times New Roman"/>
          <w:bCs/>
          <w:color w:val="000000"/>
          <w:sz w:val="24"/>
          <w:szCs w:val="24"/>
        </w:rPr>
        <w:t xml:space="preserve"> кај умерен интензитет на </w:t>
      </w:r>
      <w:r w:rsidR="00EC49EB" w:rsidRPr="00215667">
        <w:rPr>
          <w:rFonts w:ascii="Times New Roman" w:eastAsia="Times New Roman" w:hAnsi="Times New Roman" w:cs="Times New Roman"/>
          <w:bCs/>
          <w:color w:val="000000"/>
          <w:sz w:val="24"/>
          <w:szCs w:val="24"/>
        </w:rPr>
        <w:t>крвавење</w:t>
      </w:r>
      <w:r w:rsidRPr="00215667">
        <w:rPr>
          <w:rFonts w:ascii="Times New Roman" w:eastAsia="Times New Roman" w:hAnsi="Times New Roman" w:cs="Times New Roman"/>
          <w:bCs/>
          <w:color w:val="000000"/>
          <w:sz w:val="24"/>
          <w:szCs w:val="24"/>
        </w:rPr>
        <w:t xml:space="preserve"> изнесува 52.4</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 11.3, во ранг од 27 до 86. Просечната вредност на </w:t>
      </w:r>
      <w:r w:rsidR="00295270">
        <w:rPr>
          <w:rFonts w:ascii="Times New Roman" w:eastAsia="Times New Roman" w:hAnsi="Times New Roman" w:cs="Times New Roman"/>
          <w:bCs/>
          <w:color w:val="000000"/>
          <w:sz w:val="24"/>
          <w:szCs w:val="24"/>
        </w:rPr>
        <w:t>колаген</w:t>
      </w:r>
      <w:r w:rsidR="00295270" w:rsidRPr="0021566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кај тежок интензитет на </w:t>
      </w:r>
      <w:r w:rsidR="00EC49EB" w:rsidRPr="00215667">
        <w:rPr>
          <w:rFonts w:ascii="Times New Roman" w:eastAsia="Times New Roman" w:hAnsi="Times New Roman" w:cs="Times New Roman"/>
          <w:bCs/>
          <w:color w:val="000000"/>
          <w:sz w:val="24"/>
          <w:szCs w:val="24"/>
        </w:rPr>
        <w:t>крвавење</w:t>
      </w:r>
      <w:r w:rsidRPr="00215667">
        <w:rPr>
          <w:rFonts w:ascii="Times New Roman" w:eastAsia="Times New Roman" w:hAnsi="Times New Roman" w:cs="Times New Roman"/>
          <w:bCs/>
          <w:color w:val="000000"/>
          <w:sz w:val="24"/>
          <w:szCs w:val="24"/>
        </w:rPr>
        <w:t xml:space="preserve"> е понизок и изнесува 44.9 ± 18.8, во ранг од 19 до 90. Вредноста на </w:t>
      </w:r>
      <w:r w:rsidR="00295270">
        <w:rPr>
          <w:rFonts w:ascii="Times New Roman" w:eastAsia="Times New Roman" w:hAnsi="Times New Roman" w:cs="Times New Roman"/>
          <w:bCs/>
          <w:color w:val="000000"/>
          <w:sz w:val="24"/>
          <w:szCs w:val="24"/>
        </w:rPr>
        <w:t>колаген</w:t>
      </w:r>
      <w:r w:rsidR="00295270" w:rsidRPr="0021566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кај лесен интензитет на </w:t>
      </w:r>
      <w:r w:rsidR="00EC49EB" w:rsidRPr="00215667">
        <w:rPr>
          <w:rFonts w:ascii="Times New Roman" w:eastAsia="Times New Roman" w:hAnsi="Times New Roman" w:cs="Times New Roman"/>
          <w:bCs/>
          <w:color w:val="000000"/>
          <w:sz w:val="24"/>
          <w:szCs w:val="24"/>
        </w:rPr>
        <w:t>крвавење</w:t>
      </w:r>
      <w:r w:rsidRPr="00215667">
        <w:rPr>
          <w:rFonts w:ascii="Times New Roman" w:eastAsia="Times New Roman" w:hAnsi="Times New Roman" w:cs="Times New Roman"/>
          <w:bCs/>
          <w:color w:val="000000"/>
          <w:sz w:val="24"/>
          <w:szCs w:val="24"/>
        </w:rPr>
        <w:t xml:space="preserve"> изнесува 59.0, кај еден пациент) (табела бр</w:t>
      </w:r>
      <w:r w:rsidR="00295270">
        <w:rPr>
          <w:rFonts w:ascii="Times New Roman" w:eastAsia="Times New Roman" w:hAnsi="Times New Roman" w:cs="Times New Roman"/>
          <w:bCs/>
          <w:color w:val="000000"/>
          <w:sz w:val="24"/>
          <w:szCs w:val="24"/>
        </w:rPr>
        <w:t>.</w:t>
      </w:r>
      <w:r w:rsidRPr="00215667">
        <w:rPr>
          <w:rFonts w:ascii="Times New Roman" w:eastAsia="Times New Roman" w:hAnsi="Times New Roman" w:cs="Times New Roman"/>
          <w:bCs/>
          <w:color w:val="000000"/>
          <w:sz w:val="24"/>
          <w:szCs w:val="24"/>
        </w:rPr>
        <w:t xml:space="preserve"> 9)</w:t>
      </w:r>
      <w:r w:rsidR="00295270">
        <w:rPr>
          <w:rFonts w:ascii="Times New Roman" w:eastAsia="Times New Roman" w:hAnsi="Times New Roman" w:cs="Times New Roman"/>
          <w:bCs/>
          <w:color w:val="000000"/>
          <w:sz w:val="24"/>
          <w:szCs w:val="24"/>
        </w:rPr>
        <w:t>.</w:t>
      </w:r>
    </w:p>
    <w:p w14:paraId="2937DB33" w14:textId="0FC858C6" w:rsidR="00412474" w:rsidRPr="00215667" w:rsidRDefault="00412474" w:rsidP="00295270">
      <w:pPr>
        <w:spacing w:after="120" w:line="360" w:lineRule="auto"/>
        <w:jc w:val="center"/>
        <w:rPr>
          <w:rFonts w:ascii="Times New Roman" w:eastAsia="Times New Roman" w:hAnsi="Times New Roman" w:cs="Times New Roman"/>
          <w:bCs/>
          <w:color w:val="000000"/>
          <w:sz w:val="24"/>
          <w:szCs w:val="24"/>
        </w:rPr>
      </w:pPr>
      <w:r w:rsidRPr="00215667">
        <w:rPr>
          <w:rFonts w:ascii="Times New Roman" w:eastAsia="Times New Roman" w:hAnsi="Times New Roman" w:cs="Times New Roman"/>
          <w:bCs/>
          <w:color w:val="000000"/>
          <w:sz w:val="24"/>
          <w:szCs w:val="24"/>
        </w:rPr>
        <w:t>Табела бр.</w:t>
      </w:r>
      <w:r w:rsidR="00295270">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9</w:t>
      </w:r>
      <w:r w:rsidR="00295270">
        <w:rPr>
          <w:rFonts w:ascii="Times New Roman" w:eastAsia="Times New Roman" w:hAnsi="Times New Roman" w:cs="Times New Roman"/>
          <w:bCs/>
          <w:color w:val="000000"/>
          <w:sz w:val="24"/>
          <w:szCs w:val="24"/>
        </w:rPr>
        <w:t>-</w:t>
      </w:r>
      <w:r w:rsidRPr="00215667">
        <w:rPr>
          <w:rFonts w:ascii="Times New Roman" w:eastAsia="Times New Roman" w:hAnsi="Times New Roman" w:cs="Times New Roman"/>
          <w:bCs/>
          <w:color w:val="000000"/>
          <w:sz w:val="24"/>
          <w:szCs w:val="24"/>
        </w:rPr>
        <w:t xml:space="preserve"> Приказ на просечната вредност на ADP, </w:t>
      </w:r>
      <w:r w:rsidR="00295270">
        <w:rPr>
          <w:rFonts w:ascii="Times New Roman" w:eastAsia="Times New Roman" w:hAnsi="Times New Roman" w:cs="Times New Roman"/>
          <w:bCs/>
          <w:color w:val="000000"/>
          <w:sz w:val="24"/>
          <w:szCs w:val="24"/>
        </w:rPr>
        <w:t>ристоцетин</w:t>
      </w:r>
      <w:r w:rsidRPr="00215667">
        <w:rPr>
          <w:rFonts w:ascii="Times New Roman" w:eastAsia="Times New Roman" w:hAnsi="Times New Roman" w:cs="Times New Roman"/>
          <w:bCs/>
          <w:color w:val="000000"/>
          <w:sz w:val="24"/>
          <w:szCs w:val="24"/>
        </w:rPr>
        <w:t xml:space="preserve">, </w:t>
      </w:r>
      <w:r w:rsidR="00295270">
        <w:rPr>
          <w:rFonts w:ascii="Times New Roman" w:eastAsia="Times New Roman" w:hAnsi="Times New Roman" w:cs="Times New Roman"/>
          <w:bCs/>
          <w:color w:val="000000"/>
          <w:sz w:val="24"/>
          <w:szCs w:val="24"/>
        </w:rPr>
        <w:t>колаген</w:t>
      </w:r>
      <w:r w:rsidR="00295270" w:rsidRPr="0021566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во однос на интензитетот на </w:t>
      </w:r>
      <w:r w:rsidR="00EC49EB" w:rsidRPr="00215667">
        <w:rPr>
          <w:rFonts w:ascii="Times New Roman" w:eastAsia="Times New Roman" w:hAnsi="Times New Roman" w:cs="Times New Roman"/>
          <w:bCs/>
          <w:color w:val="000000"/>
          <w:sz w:val="24"/>
          <w:szCs w:val="24"/>
        </w:rPr>
        <w:t>крвавење</w:t>
      </w:r>
      <w:r w:rsidRPr="00215667">
        <w:rPr>
          <w:rFonts w:ascii="Times New Roman" w:eastAsia="Times New Roman" w:hAnsi="Times New Roman" w:cs="Times New Roman"/>
          <w:bCs/>
          <w:color w:val="000000"/>
          <w:sz w:val="24"/>
          <w:szCs w:val="24"/>
        </w:rPr>
        <w:t xml:space="preserve"> пред </w:t>
      </w:r>
      <w:r w:rsidR="00295270">
        <w:rPr>
          <w:rFonts w:ascii="Times New Roman" w:eastAsia="Times New Roman" w:hAnsi="Times New Roman" w:cs="Times New Roman"/>
          <w:bCs/>
          <w:color w:val="000000"/>
          <w:sz w:val="24"/>
          <w:szCs w:val="24"/>
        </w:rPr>
        <w:t>поставување</w:t>
      </w:r>
      <w:r w:rsidRPr="00215667">
        <w:rPr>
          <w:rFonts w:ascii="Times New Roman" w:eastAsia="Times New Roman" w:hAnsi="Times New Roman" w:cs="Times New Roman"/>
          <w:bCs/>
          <w:color w:val="000000"/>
          <w:sz w:val="24"/>
          <w:szCs w:val="24"/>
        </w:rPr>
        <w:t xml:space="preserve"> </w:t>
      </w:r>
      <w:r w:rsidR="00BF6FA2">
        <w:rPr>
          <w:rFonts w:ascii="Times New Roman" w:eastAsia="Times New Roman" w:hAnsi="Times New Roman" w:cs="Times New Roman"/>
          <w:bCs/>
          <w:color w:val="000000"/>
          <w:sz w:val="24"/>
          <w:szCs w:val="24"/>
        </w:rPr>
        <w:t>на</w:t>
      </w:r>
      <w:r w:rsidRPr="00215667">
        <w:rPr>
          <w:rFonts w:ascii="Times New Roman" w:eastAsia="Times New Roman" w:hAnsi="Times New Roman" w:cs="Times New Roman"/>
          <w:bCs/>
          <w:color w:val="000000"/>
          <w:sz w:val="24"/>
          <w:szCs w:val="24"/>
        </w:rPr>
        <w:t xml:space="preserve"> дијагнозата</w:t>
      </w:r>
    </w:p>
    <w:tbl>
      <w:tblPr>
        <w:tblStyle w:val="TableGrid1"/>
        <w:tblW w:w="0" w:type="auto"/>
        <w:jc w:val="center"/>
        <w:tblLook w:val="04A0" w:firstRow="1" w:lastRow="0" w:firstColumn="1" w:lastColumn="0" w:noHBand="0" w:noVBand="1"/>
      </w:tblPr>
      <w:tblGrid>
        <w:gridCol w:w="2101"/>
        <w:gridCol w:w="1008"/>
        <w:gridCol w:w="709"/>
        <w:gridCol w:w="1210"/>
        <w:gridCol w:w="1305"/>
        <w:gridCol w:w="1393"/>
      </w:tblGrid>
      <w:tr w:rsidR="00412474" w:rsidRPr="00215667" w14:paraId="1518DECC" w14:textId="77777777" w:rsidTr="00BF6FA2">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EE101E7" w14:textId="77777777" w:rsidR="00412474" w:rsidRPr="00215667" w:rsidRDefault="00412474" w:rsidP="00435E3A">
            <w:pPr>
              <w:jc w:val="cente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
                <w:bCs/>
                <w:color w:val="000000"/>
                <w:sz w:val="24"/>
                <w:szCs w:val="24"/>
              </w:rPr>
              <w:t>Интензитет</w:t>
            </w:r>
            <w:proofErr w:type="spellEnd"/>
            <w:r w:rsidRPr="00215667">
              <w:rPr>
                <w:rFonts w:ascii="Times New Roman" w:eastAsia="Times New Roman" w:hAnsi="Times New Roman" w:cs="Times New Roman"/>
                <w:b/>
                <w:bCs/>
                <w:color w:val="000000"/>
                <w:sz w:val="24"/>
                <w:szCs w:val="24"/>
              </w:rPr>
              <w:t>/ ADP</w:t>
            </w:r>
          </w:p>
        </w:tc>
        <w:tc>
          <w:tcPr>
            <w:tcW w:w="0" w:type="auto"/>
            <w:tcBorders>
              <w:top w:val="single" w:sz="4" w:space="0" w:color="auto"/>
              <w:left w:val="single" w:sz="4" w:space="0" w:color="auto"/>
              <w:bottom w:val="single" w:sz="4" w:space="0" w:color="auto"/>
              <w:right w:val="single" w:sz="4" w:space="0" w:color="auto"/>
            </w:tcBorders>
            <w:noWrap/>
            <w:hideMark/>
          </w:tcPr>
          <w:p w14:paraId="7912D49B" w14:textId="3A589183" w:rsidR="00412474" w:rsidRPr="00215667" w:rsidRDefault="00BF6FA2"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П</w:t>
            </w:r>
            <w:proofErr w:type="spellStart"/>
            <w:r w:rsidR="00412474" w:rsidRPr="00215667">
              <w:rPr>
                <w:rFonts w:ascii="Times New Roman" w:eastAsia="Times New Roman" w:hAnsi="Times New Roman" w:cs="Times New Roman"/>
                <w:b/>
                <w:bCs/>
                <w:color w:val="000000"/>
                <w:sz w:val="24"/>
                <w:szCs w:val="24"/>
              </w:rPr>
              <w:t>росек</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62732868" w14:textId="29473B32" w:rsidR="00412474" w:rsidRPr="00215667" w:rsidRDefault="00BF6FA2"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Б</w:t>
            </w:r>
            <w:proofErr w:type="spellStart"/>
            <w:r w:rsidR="00412474" w:rsidRPr="00215667">
              <w:rPr>
                <w:rFonts w:ascii="Times New Roman" w:eastAsia="Times New Roman" w:hAnsi="Times New Roman" w:cs="Times New Roman"/>
                <w:b/>
                <w:bCs/>
                <w:color w:val="000000"/>
                <w:sz w:val="24"/>
                <w:szCs w:val="24"/>
              </w:rPr>
              <w:t>рој</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76E1FF69" w14:textId="2CB6B805" w:rsidR="00412474" w:rsidRPr="00215667" w:rsidRDefault="00412474" w:rsidP="00435E3A">
            <w:pPr>
              <w:jc w:val="cente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
                <w:bCs/>
                <w:color w:val="000000"/>
                <w:sz w:val="24"/>
                <w:szCs w:val="24"/>
              </w:rPr>
              <w:t>Стд</w:t>
            </w:r>
            <w:proofErr w:type="spellEnd"/>
            <w:r w:rsidRPr="00215667">
              <w:rPr>
                <w:rFonts w:ascii="Times New Roman" w:eastAsia="Times New Roman" w:hAnsi="Times New Roman" w:cs="Times New Roman"/>
                <w:b/>
                <w:bCs/>
                <w:color w:val="000000"/>
                <w:sz w:val="24"/>
                <w:szCs w:val="24"/>
              </w:rPr>
              <w:t>.</w:t>
            </w:r>
            <w:r w:rsidR="00BF6FA2">
              <w:rPr>
                <w:rFonts w:ascii="Times New Roman" w:eastAsia="Times New Roman" w:hAnsi="Times New Roman" w:cs="Times New Roman"/>
                <w:b/>
                <w:bCs/>
                <w:color w:val="000000"/>
                <w:sz w:val="24"/>
                <w:szCs w:val="24"/>
                <w:lang w:val="mk-MK"/>
              </w:rPr>
              <w:t xml:space="preserve"> </w:t>
            </w:r>
            <w:proofErr w:type="spellStart"/>
            <w:r w:rsidRPr="00215667">
              <w:rPr>
                <w:rFonts w:ascii="Times New Roman" w:eastAsia="Times New Roman" w:hAnsi="Times New Roman" w:cs="Times New Roman"/>
                <w:b/>
                <w:bCs/>
                <w:color w:val="000000"/>
                <w:sz w:val="24"/>
                <w:szCs w:val="24"/>
              </w:rPr>
              <w:t>Дев</w:t>
            </w:r>
            <w:proofErr w:type="spellEnd"/>
            <w:r w:rsidRPr="00215667">
              <w:rPr>
                <w:rFonts w:ascii="Times New Roman" w:eastAsia="Times New Roman" w:hAnsi="Times New Roman" w:cs="Times New Roman"/>
                <w:b/>
                <w:bCs/>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noWrap/>
            <w:hideMark/>
          </w:tcPr>
          <w:p w14:paraId="571052FC" w14:textId="39FECF87" w:rsidR="00412474" w:rsidRPr="00215667" w:rsidRDefault="00BF6FA2"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М</w:t>
            </w:r>
            <w:proofErr w:type="spellStart"/>
            <w:r w:rsidR="00412474" w:rsidRPr="00215667">
              <w:rPr>
                <w:rFonts w:ascii="Times New Roman" w:eastAsia="Times New Roman" w:hAnsi="Times New Roman" w:cs="Times New Roman"/>
                <w:b/>
                <w:bCs/>
                <w:color w:val="000000"/>
                <w:sz w:val="24"/>
                <w:szCs w:val="24"/>
              </w:rPr>
              <w:t>инимум</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284C6058" w14:textId="7698CB95" w:rsidR="00412474" w:rsidRPr="00215667" w:rsidRDefault="00BF6FA2"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М</w:t>
            </w:r>
            <w:proofErr w:type="spellStart"/>
            <w:r w:rsidR="00412474" w:rsidRPr="00215667">
              <w:rPr>
                <w:rFonts w:ascii="Times New Roman" w:eastAsia="Times New Roman" w:hAnsi="Times New Roman" w:cs="Times New Roman"/>
                <w:b/>
                <w:bCs/>
                <w:color w:val="000000"/>
                <w:sz w:val="24"/>
                <w:szCs w:val="24"/>
              </w:rPr>
              <w:t>аксимум</w:t>
            </w:r>
            <w:proofErr w:type="spellEnd"/>
          </w:p>
        </w:tc>
      </w:tr>
      <w:tr w:rsidR="00412474" w:rsidRPr="00215667" w14:paraId="3CEE40E5" w14:textId="77777777" w:rsidTr="00BF6FA2">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627EEE1"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лесен</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75042579"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58.0</w:t>
            </w:r>
          </w:p>
        </w:tc>
        <w:tc>
          <w:tcPr>
            <w:tcW w:w="0" w:type="auto"/>
            <w:tcBorders>
              <w:top w:val="single" w:sz="4" w:space="0" w:color="auto"/>
              <w:left w:val="single" w:sz="4" w:space="0" w:color="auto"/>
              <w:bottom w:val="single" w:sz="4" w:space="0" w:color="auto"/>
              <w:right w:val="single" w:sz="4" w:space="0" w:color="auto"/>
            </w:tcBorders>
            <w:noWrap/>
            <w:hideMark/>
          </w:tcPr>
          <w:p w14:paraId="3B1E76D6"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noWrap/>
            <w:hideMark/>
          </w:tcPr>
          <w:p w14:paraId="1AC1CE87"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0.00000</w:t>
            </w:r>
          </w:p>
        </w:tc>
        <w:tc>
          <w:tcPr>
            <w:tcW w:w="0" w:type="auto"/>
            <w:tcBorders>
              <w:top w:val="single" w:sz="4" w:space="0" w:color="auto"/>
              <w:left w:val="single" w:sz="4" w:space="0" w:color="auto"/>
              <w:bottom w:val="single" w:sz="4" w:space="0" w:color="auto"/>
              <w:right w:val="single" w:sz="4" w:space="0" w:color="auto"/>
            </w:tcBorders>
            <w:noWrap/>
            <w:hideMark/>
          </w:tcPr>
          <w:p w14:paraId="181CE245"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58.0</w:t>
            </w:r>
          </w:p>
        </w:tc>
        <w:tc>
          <w:tcPr>
            <w:tcW w:w="0" w:type="auto"/>
            <w:tcBorders>
              <w:top w:val="single" w:sz="4" w:space="0" w:color="auto"/>
              <w:left w:val="single" w:sz="4" w:space="0" w:color="auto"/>
              <w:bottom w:val="single" w:sz="4" w:space="0" w:color="auto"/>
              <w:right w:val="single" w:sz="4" w:space="0" w:color="auto"/>
            </w:tcBorders>
            <w:noWrap/>
            <w:hideMark/>
          </w:tcPr>
          <w:p w14:paraId="272120A6"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58.0</w:t>
            </w:r>
          </w:p>
        </w:tc>
      </w:tr>
      <w:tr w:rsidR="00412474" w:rsidRPr="00215667" w14:paraId="08BF1474" w14:textId="77777777" w:rsidTr="00BF6FA2">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B3C5AB3"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умерен</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75703FC5"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43.8</w:t>
            </w:r>
          </w:p>
        </w:tc>
        <w:tc>
          <w:tcPr>
            <w:tcW w:w="0" w:type="auto"/>
            <w:tcBorders>
              <w:top w:val="single" w:sz="4" w:space="0" w:color="auto"/>
              <w:left w:val="single" w:sz="4" w:space="0" w:color="auto"/>
              <w:bottom w:val="single" w:sz="4" w:space="0" w:color="auto"/>
              <w:right w:val="single" w:sz="4" w:space="0" w:color="auto"/>
            </w:tcBorders>
            <w:noWrap/>
            <w:hideMark/>
          </w:tcPr>
          <w:p w14:paraId="6E4B51FD"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34</w:t>
            </w:r>
          </w:p>
        </w:tc>
        <w:tc>
          <w:tcPr>
            <w:tcW w:w="0" w:type="auto"/>
            <w:tcBorders>
              <w:top w:val="single" w:sz="4" w:space="0" w:color="auto"/>
              <w:left w:val="single" w:sz="4" w:space="0" w:color="auto"/>
              <w:bottom w:val="single" w:sz="4" w:space="0" w:color="auto"/>
              <w:right w:val="single" w:sz="4" w:space="0" w:color="auto"/>
            </w:tcBorders>
            <w:noWrap/>
            <w:hideMark/>
          </w:tcPr>
          <w:p w14:paraId="5A9546A0"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10.41890</w:t>
            </w:r>
          </w:p>
        </w:tc>
        <w:tc>
          <w:tcPr>
            <w:tcW w:w="0" w:type="auto"/>
            <w:tcBorders>
              <w:top w:val="single" w:sz="4" w:space="0" w:color="auto"/>
              <w:left w:val="single" w:sz="4" w:space="0" w:color="auto"/>
              <w:bottom w:val="single" w:sz="4" w:space="0" w:color="auto"/>
              <w:right w:val="single" w:sz="4" w:space="0" w:color="auto"/>
            </w:tcBorders>
            <w:noWrap/>
            <w:hideMark/>
          </w:tcPr>
          <w:p w14:paraId="2BC361BC"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7.0</w:t>
            </w:r>
          </w:p>
        </w:tc>
        <w:tc>
          <w:tcPr>
            <w:tcW w:w="0" w:type="auto"/>
            <w:tcBorders>
              <w:top w:val="single" w:sz="4" w:space="0" w:color="auto"/>
              <w:left w:val="single" w:sz="4" w:space="0" w:color="auto"/>
              <w:bottom w:val="single" w:sz="4" w:space="0" w:color="auto"/>
              <w:right w:val="single" w:sz="4" w:space="0" w:color="auto"/>
            </w:tcBorders>
            <w:noWrap/>
            <w:hideMark/>
          </w:tcPr>
          <w:p w14:paraId="01893B93"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60.0</w:t>
            </w:r>
          </w:p>
        </w:tc>
      </w:tr>
      <w:tr w:rsidR="00412474" w:rsidRPr="00215667" w14:paraId="587F2218" w14:textId="77777777" w:rsidTr="00BF6FA2">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5805367"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тежок</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470C4A4E"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27.9</w:t>
            </w:r>
          </w:p>
        </w:tc>
        <w:tc>
          <w:tcPr>
            <w:tcW w:w="0" w:type="auto"/>
            <w:tcBorders>
              <w:top w:val="single" w:sz="4" w:space="0" w:color="auto"/>
              <w:left w:val="single" w:sz="4" w:space="0" w:color="auto"/>
              <w:bottom w:val="single" w:sz="4" w:space="0" w:color="auto"/>
              <w:right w:val="single" w:sz="4" w:space="0" w:color="auto"/>
            </w:tcBorders>
            <w:noWrap/>
            <w:hideMark/>
          </w:tcPr>
          <w:p w14:paraId="3D8B7727"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29</w:t>
            </w:r>
          </w:p>
        </w:tc>
        <w:tc>
          <w:tcPr>
            <w:tcW w:w="0" w:type="auto"/>
            <w:tcBorders>
              <w:top w:val="single" w:sz="4" w:space="0" w:color="auto"/>
              <w:left w:val="single" w:sz="4" w:space="0" w:color="auto"/>
              <w:bottom w:val="single" w:sz="4" w:space="0" w:color="auto"/>
              <w:right w:val="single" w:sz="4" w:space="0" w:color="auto"/>
            </w:tcBorders>
            <w:noWrap/>
            <w:hideMark/>
          </w:tcPr>
          <w:p w14:paraId="2A66E91D"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10.51846</w:t>
            </w:r>
          </w:p>
        </w:tc>
        <w:tc>
          <w:tcPr>
            <w:tcW w:w="0" w:type="auto"/>
            <w:tcBorders>
              <w:top w:val="single" w:sz="4" w:space="0" w:color="auto"/>
              <w:left w:val="single" w:sz="4" w:space="0" w:color="auto"/>
              <w:bottom w:val="single" w:sz="4" w:space="0" w:color="auto"/>
              <w:right w:val="single" w:sz="4" w:space="0" w:color="auto"/>
            </w:tcBorders>
            <w:noWrap/>
            <w:hideMark/>
          </w:tcPr>
          <w:p w14:paraId="4909BE20"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7.0</w:t>
            </w:r>
          </w:p>
        </w:tc>
        <w:tc>
          <w:tcPr>
            <w:tcW w:w="0" w:type="auto"/>
            <w:tcBorders>
              <w:top w:val="single" w:sz="4" w:space="0" w:color="auto"/>
              <w:left w:val="single" w:sz="4" w:space="0" w:color="auto"/>
              <w:bottom w:val="single" w:sz="4" w:space="0" w:color="auto"/>
              <w:right w:val="single" w:sz="4" w:space="0" w:color="auto"/>
            </w:tcBorders>
            <w:noWrap/>
            <w:hideMark/>
          </w:tcPr>
          <w:p w14:paraId="15CF9B22"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49.0</w:t>
            </w:r>
          </w:p>
        </w:tc>
      </w:tr>
      <w:tr w:rsidR="00412474" w:rsidRPr="00215667" w14:paraId="194940B9" w14:textId="77777777" w:rsidTr="00BF6FA2">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04BDC25" w14:textId="5C8877DF" w:rsidR="00412474" w:rsidRPr="00215667" w:rsidRDefault="0021755D" w:rsidP="00435E3A">
            <w:pP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color w:val="000000"/>
                <w:sz w:val="24"/>
                <w:szCs w:val="24"/>
              </w:rPr>
              <w:t>Ристоцетин</w:t>
            </w:r>
            <w:proofErr w:type="spellEnd"/>
          </w:p>
        </w:tc>
      </w:tr>
      <w:tr w:rsidR="00412474" w:rsidRPr="00215667" w14:paraId="6C80C84E" w14:textId="77777777" w:rsidTr="00BF6FA2">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A44C569"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лесен</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2B561C92"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68.0</w:t>
            </w:r>
          </w:p>
        </w:tc>
        <w:tc>
          <w:tcPr>
            <w:tcW w:w="0" w:type="auto"/>
            <w:tcBorders>
              <w:top w:val="single" w:sz="4" w:space="0" w:color="auto"/>
              <w:left w:val="single" w:sz="4" w:space="0" w:color="auto"/>
              <w:bottom w:val="single" w:sz="4" w:space="0" w:color="auto"/>
              <w:right w:val="single" w:sz="4" w:space="0" w:color="auto"/>
            </w:tcBorders>
            <w:noWrap/>
            <w:hideMark/>
          </w:tcPr>
          <w:p w14:paraId="2192D532"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noWrap/>
            <w:hideMark/>
          </w:tcPr>
          <w:p w14:paraId="1909B5EF"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0.00000</w:t>
            </w:r>
          </w:p>
        </w:tc>
        <w:tc>
          <w:tcPr>
            <w:tcW w:w="0" w:type="auto"/>
            <w:tcBorders>
              <w:top w:val="single" w:sz="4" w:space="0" w:color="auto"/>
              <w:left w:val="single" w:sz="4" w:space="0" w:color="auto"/>
              <w:bottom w:val="single" w:sz="4" w:space="0" w:color="auto"/>
              <w:right w:val="single" w:sz="4" w:space="0" w:color="auto"/>
            </w:tcBorders>
            <w:noWrap/>
            <w:hideMark/>
          </w:tcPr>
          <w:p w14:paraId="24955257"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68.0</w:t>
            </w:r>
          </w:p>
        </w:tc>
        <w:tc>
          <w:tcPr>
            <w:tcW w:w="0" w:type="auto"/>
            <w:tcBorders>
              <w:top w:val="single" w:sz="4" w:space="0" w:color="auto"/>
              <w:left w:val="single" w:sz="4" w:space="0" w:color="auto"/>
              <w:bottom w:val="single" w:sz="4" w:space="0" w:color="auto"/>
              <w:right w:val="single" w:sz="4" w:space="0" w:color="auto"/>
            </w:tcBorders>
            <w:noWrap/>
            <w:hideMark/>
          </w:tcPr>
          <w:p w14:paraId="0F849625"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68.0</w:t>
            </w:r>
          </w:p>
        </w:tc>
      </w:tr>
      <w:tr w:rsidR="00412474" w:rsidRPr="00215667" w14:paraId="249ADDFF" w14:textId="77777777" w:rsidTr="00BF6FA2">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3914163"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умерен</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16863FC5"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66.2</w:t>
            </w:r>
          </w:p>
        </w:tc>
        <w:tc>
          <w:tcPr>
            <w:tcW w:w="0" w:type="auto"/>
            <w:tcBorders>
              <w:top w:val="single" w:sz="4" w:space="0" w:color="auto"/>
              <w:left w:val="single" w:sz="4" w:space="0" w:color="auto"/>
              <w:bottom w:val="single" w:sz="4" w:space="0" w:color="auto"/>
              <w:right w:val="single" w:sz="4" w:space="0" w:color="auto"/>
            </w:tcBorders>
            <w:noWrap/>
            <w:hideMark/>
          </w:tcPr>
          <w:p w14:paraId="37492303"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34</w:t>
            </w:r>
          </w:p>
        </w:tc>
        <w:tc>
          <w:tcPr>
            <w:tcW w:w="0" w:type="auto"/>
            <w:tcBorders>
              <w:top w:val="single" w:sz="4" w:space="0" w:color="auto"/>
              <w:left w:val="single" w:sz="4" w:space="0" w:color="auto"/>
              <w:bottom w:val="single" w:sz="4" w:space="0" w:color="auto"/>
              <w:right w:val="single" w:sz="4" w:space="0" w:color="auto"/>
            </w:tcBorders>
            <w:noWrap/>
            <w:hideMark/>
          </w:tcPr>
          <w:p w14:paraId="0BD0F7A5"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9.34127</w:t>
            </w:r>
          </w:p>
        </w:tc>
        <w:tc>
          <w:tcPr>
            <w:tcW w:w="0" w:type="auto"/>
            <w:tcBorders>
              <w:top w:val="single" w:sz="4" w:space="0" w:color="auto"/>
              <w:left w:val="single" w:sz="4" w:space="0" w:color="auto"/>
              <w:bottom w:val="single" w:sz="4" w:space="0" w:color="auto"/>
              <w:right w:val="single" w:sz="4" w:space="0" w:color="auto"/>
            </w:tcBorders>
            <w:noWrap/>
            <w:hideMark/>
          </w:tcPr>
          <w:p w14:paraId="6AB92857"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47.0</w:t>
            </w:r>
          </w:p>
        </w:tc>
        <w:tc>
          <w:tcPr>
            <w:tcW w:w="0" w:type="auto"/>
            <w:tcBorders>
              <w:top w:val="single" w:sz="4" w:space="0" w:color="auto"/>
              <w:left w:val="single" w:sz="4" w:space="0" w:color="auto"/>
              <w:bottom w:val="single" w:sz="4" w:space="0" w:color="auto"/>
              <w:right w:val="single" w:sz="4" w:space="0" w:color="auto"/>
            </w:tcBorders>
            <w:noWrap/>
            <w:hideMark/>
          </w:tcPr>
          <w:p w14:paraId="5C4D82AC"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83.0</w:t>
            </w:r>
          </w:p>
        </w:tc>
      </w:tr>
      <w:tr w:rsidR="00412474" w:rsidRPr="00215667" w14:paraId="7683CC72" w14:textId="77777777" w:rsidTr="00BF6FA2">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4434D7C"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тежок</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050083B0"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55.6</w:t>
            </w:r>
          </w:p>
        </w:tc>
        <w:tc>
          <w:tcPr>
            <w:tcW w:w="0" w:type="auto"/>
            <w:tcBorders>
              <w:top w:val="single" w:sz="4" w:space="0" w:color="auto"/>
              <w:left w:val="single" w:sz="4" w:space="0" w:color="auto"/>
              <w:bottom w:val="single" w:sz="4" w:space="0" w:color="auto"/>
              <w:right w:val="single" w:sz="4" w:space="0" w:color="auto"/>
            </w:tcBorders>
            <w:noWrap/>
            <w:hideMark/>
          </w:tcPr>
          <w:p w14:paraId="7FC8B127"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29</w:t>
            </w:r>
          </w:p>
        </w:tc>
        <w:tc>
          <w:tcPr>
            <w:tcW w:w="0" w:type="auto"/>
            <w:tcBorders>
              <w:top w:val="single" w:sz="4" w:space="0" w:color="auto"/>
              <w:left w:val="single" w:sz="4" w:space="0" w:color="auto"/>
              <w:bottom w:val="single" w:sz="4" w:space="0" w:color="auto"/>
              <w:right w:val="single" w:sz="4" w:space="0" w:color="auto"/>
            </w:tcBorders>
            <w:noWrap/>
            <w:hideMark/>
          </w:tcPr>
          <w:p w14:paraId="51412A8A"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16.60984</w:t>
            </w:r>
          </w:p>
        </w:tc>
        <w:tc>
          <w:tcPr>
            <w:tcW w:w="0" w:type="auto"/>
            <w:tcBorders>
              <w:top w:val="single" w:sz="4" w:space="0" w:color="auto"/>
              <w:left w:val="single" w:sz="4" w:space="0" w:color="auto"/>
              <w:bottom w:val="single" w:sz="4" w:space="0" w:color="auto"/>
              <w:right w:val="single" w:sz="4" w:space="0" w:color="auto"/>
            </w:tcBorders>
            <w:noWrap/>
            <w:hideMark/>
          </w:tcPr>
          <w:p w14:paraId="4C09D642"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23.0</w:t>
            </w:r>
          </w:p>
        </w:tc>
        <w:tc>
          <w:tcPr>
            <w:tcW w:w="0" w:type="auto"/>
            <w:tcBorders>
              <w:top w:val="single" w:sz="4" w:space="0" w:color="auto"/>
              <w:left w:val="single" w:sz="4" w:space="0" w:color="auto"/>
              <w:bottom w:val="single" w:sz="4" w:space="0" w:color="auto"/>
              <w:right w:val="single" w:sz="4" w:space="0" w:color="auto"/>
            </w:tcBorders>
            <w:noWrap/>
            <w:hideMark/>
          </w:tcPr>
          <w:p w14:paraId="306D91EC"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86.0</w:t>
            </w:r>
          </w:p>
        </w:tc>
      </w:tr>
      <w:tr w:rsidR="00412474" w:rsidRPr="00215667" w14:paraId="773F5A7F" w14:textId="77777777" w:rsidTr="00BF6FA2">
        <w:trPr>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94716B8" w14:textId="05DB06DC" w:rsidR="00412474" w:rsidRPr="00215667" w:rsidRDefault="0021755D" w:rsidP="00435E3A">
            <w:pP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color w:val="000000"/>
                <w:sz w:val="24"/>
                <w:szCs w:val="24"/>
              </w:rPr>
              <w:t>Колаген</w:t>
            </w:r>
            <w:proofErr w:type="spellEnd"/>
          </w:p>
        </w:tc>
      </w:tr>
      <w:tr w:rsidR="00412474" w:rsidRPr="00215667" w14:paraId="3D56075F" w14:textId="77777777" w:rsidTr="00BF6FA2">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47FA92E"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лесен</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408A2AE5"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59.0</w:t>
            </w:r>
          </w:p>
        </w:tc>
        <w:tc>
          <w:tcPr>
            <w:tcW w:w="0" w:type="auto"/>
            <w:tcBorders>
              <w:top w:val="single" w:sz="4" w:space="0" w:color="auto"/>
              <w:left w:val="single" w:sz="4" w:space="0" w:color="auto"/>
              <w:bottom w:val="single" w:sz="4" w:space="0" w:color="auto"/>
              <w:right w:val="single" w:sz="4" w:space="0" w:color="auto"/>
            </w:tcBorders>
            <w:noWrap/>
            <w:hideMark/>
          </w:tcPr>
          <w:p w14:paraId="0F9C5D39"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noWrap/>
            <w:hideMark/>
          </w:tcPr>
          <w:p w14:paraId="7CB118DD"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0.00000</w:t>
            </w:r>
          </w:p>
        </w:tc>
        <w:tc>
          <w:tcPr>
            <w:tcW w:w="0" w:type="auto"/>
            <w:tcBorders>
              <w:top w:val="single" w:sz="4" w:space="0" w:color="auto"/>
              <w:left w:val="single" w:sz="4" w:space="0" w:color="auto"/>
              <w:bottom w:val="single" w:sz="4" w:space="0" w:color="auto"/>
              <w:right w:val="single" w:sz="4" w:space="0" w:color="auto"/>
            </w:tcBorders>
            <w:noWrap/>
            <w:hideMark/>
          </w:tcPr>
          <w:p w14:paraId="3113C93A"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59.0</w:t>
            </w:r>
          </w:p>
        </w:tc>
        <w:tc>
          <w:tcPr>
            <w:tcW w:w="0" w:type="auto"/>
            <w:tcBorders>
              <w:top w:val="single" w:sz="4" w:space="0" w:color="auto"/>
              <w:left w:val="single" w:sz="4" w:space="0" w:color="auto"/>
              <w:bottom w:val="single" w:sz="4" w:space="0" w:color="auto"/>
              <w:right w:val="single" w:sz="4" w:space="0" w:color="auto"/>
            </w:tcBorders>
            <w:noWrap/>
            <w:hideMark/>
          </w:tcPr>
          <w:p w14:paraId="5F1B81F9"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59.0</w:t>
            </w:r>
          </w:p>
        </w:tc>
      </w:tr>
      <w:tr w:rsidR="00412474" w:rsidRPr="00215667" w14:paraId="0B4EE791" w14:textId="77777777" w:rsidTr="00BF6FA2">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865A027"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умерен</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5DBDCD6F"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52.4</w:t>
            </w:r>
          </w:p>
        </w:tc>
        <w:tc>
          <w:tcPr>
            <w:tcW w:w="0" w:type="auto"/>
            <w:tcBorders>
              <w:top w:val="single" w:sz="4" w:space="0" w:color="auto"/>
              <w:left w:val="single" w:sz="4" w:space="0" w:color="auto"/>
              <w:bottom w:val="single" w:sz="4" w:space="0" w:color="auto"/>
              <w:right w:val="single" w:sz="4" w:space="0" w:color="auto"/>
            </w:tcBorders>
            <w:noWrap/>
            <w:hideMark/>
          </w:tcPr>
          <w:p w14:paraId="557F1049"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34</w:t>
            </w:r>
          </w:p>
        </w:tc>
        <w:tc>
          <w:tcPr>
            <w:tcW w:w="0" w:type="auto"/>
            <w:tcBorders>
              <w:top w:val="single" w:sz="4" w:space="0" w:color="auto"/>
              <w:left w:val="single" w:sz="4" w:space="0" w:color="auto"/>
              <w:bottom w:val="single" w:sz="4" w:space="0" w:color="auto"/>
              <w:right w:val="single" w:sz="4" w:space="0" w:color="auto"/>
            </w:tcBorders>
            <w:noWrap/>
            <w:hideMark/>
          </w:tcPr>
          <w:p w14:paraId="06A0AF1E"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11.34050</w:t>
            </w:r>
          </w:p>
        </w:tc>
        <w:tc>
          <w:tcPr>
            <w:tcW w:w="0" w:type="auto"/>
            <w:tcBorders>
              <w:top w:val="single" w:sz="4" w:space="0" w:color="auto"/>
              <w:left w:val="single" w:sz="4" w:space="0" w:color="auto"/>
              <w:bottom w:val="single" w:sz="4" w:space="0" w:color="auto"/>
              <w:right w:val="single" w:sz="4" w:space="0" w:color="auto"/>
            </w:tcBorders>
            <w:noWrap/>
            <w:hideMark/>
          </w:tcPr>
          <w:p w14:paraId="5D6AC945"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27.0</w:t>
            </w:r>
          </w:p>
        </w:tc>
        <w:tc>
          <w:tcPr>
            <w:tcW w:w="0" w:type="auto"/>
            <w:tcBorders>
              <w:top w:val="single" w:sz="4" w:space="0" w:color="auto"/>
              <w:left w:val="single" w:sz="4" w:space="0" w:color="auto"/>
              <w:bottom w:val="single" w:sz="4" w:space="0" w:color="auto"/>
              <w:right w:val="single" w:sz="4" w:space="0" w:color="auto"/>
            </w:tcBorders>
            <w:noWrap/>
            <w:hideMark/>
          </w:tcPr>
          <w:p w14:paraId="64B83ED2"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86.0</w:t>
            </w:r>
          </w:p>
        </w:tc>
      </w:tr>
      <w:tr w:rsidR="00412474" w:rsidRPr="00215667" w14:paraId="62D814A4" w14:textId="77777777" w:rsidTr="00BF6FA2">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D166104"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тежок</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0E94D144"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44.9</w:t>
            </w:r>
          </w:p>
        </w:tc>
        <w:tc>
          <w:tcPr>
            <w:tcW w:w="0" w:type="auto"/>
            <w:tcBorders>
              <w:top w:val="single" w:sz="4" w:space="0" w:color="auto"/>
              <w:left w:val="single" w:sz="4" w:space="0" w:color="auto"/>
              <w:bottom w:val="single" w:sz="4" w:space="0" w:color="auto"/>
              <w:right w:val="single" w:sz="4" w:space="0" w:color="auto"/>
            </w:tcBorders>
            <w:noWrap/>
            <w:hideMark/>
          </w:tcPr>
          <w:p w14:paraId="7E2CC616"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29</w:t>
            </w:r>
          </w:p>
        </w:tc>
        <w:tc>
          <w:tcPr>
            <w:tcW w:w="0" w:type="auto"/>
            <w:tcBorders>
              <w:top w:val="single" w:sz="4" w:space="0" w:color="auto"/>
              <w:left w:val="single" w:sz="4" w:space="0" w:color="auto"/>
              <w:bottom w:val="single" w:sz="4" w:space="0" w:color="auto"/>
              <w:right w:val="single" w:sz="4" w:space="0" w:color="auto"/>
            </w:tcBorders>
            <w:noWrap/>
            <w:hideMark/>
          </w:tcPr>
          <w:p w14:paraId="16B83687"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18.81855</w:t>
            </w:r>
          </w:p>
        </w:tc>
        <w:tc>
          <w:tcPr>
            <w:tcW w:w="0" w:type="auto"/>
            <w:tcBorders>
              <w:top w:val="single" w:sz="4" w:space="0" w:color="auto"/>
              <w:left w:val="single" w:sz="4" w:space="0" w:color="auto"/>
              <w:bottom w:val="single" w:sz="4" w:space="0" w:color="auto"/>
              <w:right w:val="single" w:sz="4" w:space="0" w:color="auto"/>
            </w:tcBorders>
            <w:noWrap/>
            <w:hideMark/>
          </w:tcPr>
          <w:p w14:paraId="3410882D"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19.0</w:t>
            </w:r>
          </w:p>
        </w:tc>
        <w:tc>
          <w:tcPr>
            <w:tcW w:w="0" w:type="auto"/>
            <w:tcBorders>
              <w:top w:val="single" w:sz="4" w:space="0" w:color="auto"/>
              <w:left w:val="single" w:sz="4" w:space="0" w:color="auto"/>
              <w:bottom w:val="single" w:sz="4" w:space="0" w:color="auto"/>
              <w:right w:val="single" w:sz="4" w:space="0" w:color="auto"/>
            </w:tcBorders>
            <w:noWrap/>
            <w:hideMark/>
          </w:tcPr>
          <w:p w14:paraId="7944E37C"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90.0</w:t>
            </w:r>
          </w:p>
        </w:tc>
      </w:tr>
    </w:tbl>
    <w:p w14:paraId="169CB684"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15129EC0" w14:textId="7B27C582" w:rsidR="00412474" w:rsidRPr="00215667" w:rsidRDefault="00412474" w:rsidP="00412474">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 xml:space="preserve">Според </w:t>
      </w:r>
      <w:r w:rsidRPr="00BF6FA2">
        <w:rPr>
          <w:rFonts w:ascii="Times New Roman" w:eastAsia="Calibri" w:hAnsi="Times New Roman" w:cs="Times New Roman"/>
          <w:i/>
          <w:iCs/>
          <w:sz w:val="24"/>
          <w:szCs w:val="24"/>
        </w:rPr>
        <w:t>Kruskal-Wallis ANOVA</w:t>
      </w:r>
      <w:r w:rsidRPr="00215667">
        <w:rPr>
          <w:rFonts w:ascii="Times New Roman" w:eastAsia="Calibri" w:hAnsi="Times New Roman" w:cs="Times New Roman"/>
          <w:sz w:val="24"/>
          <w:szCs w:val="24"/>
        </w:rPr>
        <w:t xml:space="preserve"> тестот, разликите помеѓу просечните вредности е сигнификантна за p</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&lt;</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.05 (</w:t>
      </w:r>
      <w:r w:rsidRPr="00BF6FA2">
        <w:rPr>
          <w:rFonts w:ascii="Times New Roman" w:eastAsia="Calibri" w:hAnsi="Times New Roman" w:cs="Times New Roman"/>
          <w:i/>
          <w:iCs/>
          <w:sz w:val="24"/>
          <w:szCs w:val="24"/>
        </w:rPr>
        <w:t>Kruskal-Wallis test</w:t>
      </w:r>
      <w:r w:rsidRPr="00215667">
        <w:rPr>
          <w:rFonts w:ascii="Times New Roman" w:eastAsia="Calibri" w:hAnsi="Times New Roman" w:cs="Times New Roman"/>
          <w:sz w:val="24"/>
          <w:szCs w:val="24"/>
        </w:rPr>
        <w:t>: H ( 2, N</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64) =</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27.67529 p =</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.0000). Вкупната разлика која се регистрира помеѓу просечните вредности на </w:t>
      </w:r>
      <w:r w:rsidRPr="00215667">
        <w:rPr>
          <w:rFonts w:ascii="Times New Roman" w:eastAsia="Calibri" w:hAnsi="Times New Roman" w:cs="Times New Roman"/>
          <w:bCs/>
          <w:sz w:val="24"/>
          <w:szCs w:val="24"/>
        </w:rPr>
        <w:t>ADP</w:t>
      </w:r>
      <w:r w:rsidRPr="00215667">
        <w:rPr>
          <w:rFonts w:ascii="Times New Roman" w:eastAsia="Calibri" w:hAnsi="Times New Roman" w:cs="Times New Roman"/>
          <w:sz w:val="24"/>
          <w:szCs w:val="24"/>
        </w:rPr>
        <w:t xml:space="preserve">, се должи на сигнификантна разлика помеѓу просечните вредности на </w:t>
      </w:r>
      <w:r w:rsidRPr="00215667">
        <w:rPr>
          <w:rFonts w:ascii="Times New Roman" w:eastAsia="Calibri" w:hAnsi="Times New Roman" w:cs="Times New Roman"/>
          <w:bCs/>
          <w:sz w:val="24"/>
          <w:szCs w:val="24"/>
        </w:rPr>
        <w:t xml:space="preserve">ADP </w:t>
      </w:r>
      <w:r w:rsidRPr="00215667">
        <w:rPr>
          <w:rFonts w:ascii="Times New Roman" w:eastAsia="Calibri" w:hAnsi="Times New Roman" w:cs="Times New Roman"/>
          <w:bCs/>
          <w:sz w:val="24"/>
          <w:szCs w:val="24"/>
        </w:rPr>
        <w:lastRenderedPageBreak/>
        <w:t xml:space="preserve">кај </w:t>
      </w:r>
      <w:r w:rsidRPr="00215667">
        <w:rPr>
          <w:rFonts w:ascii="Times New Roman" w:eastAsia="Calibri" w:hAnsi="Times New Roman" w:cs="Times New Roman"/>
          <w:sz w:val="24"/>
          <w:szCs w:val="24"/>
        </w:rPr>
        <w:t xml:space="preserve">умерен </w:t>
      </w:r>
      <w:r w:rsidR="001F2E2D">
        <w:rPr>
          <w:rFonts w:ascii="Times New Roman" w:eastAsia="Calibri" w:hAnsi="Times New Roman" w:cs="Times New Roman"/>
          <w:sz w:val="24"/>
          <w:szCs w:val="24"/>
        </w:rPr>
        <w:t>версус</w:t>
      </w:r>
      <w:r w:rsidRPr="00215667">
        <w:rPr>
          <w:rFonts w:ascii="Times New Roman" w:eastAsia="Calibri" w:hAnsi="Times New Roman" w:cs="Times New Roman"/>
          <w:sz w:val="24"/>
          <w:szCs w:val="24"/>
        </w:rPr>
        <w:t xml:space="preserve"> тежок интензитет за p</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&lt;</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.05 (</w:t>
      </w:r>
      <w:r w:rsidRPr="00BF6FA2">
        <w:rPr>
          <w:rFonts w:ascii="Times New Roman" w:eastAsia="Calibri" w:hAnsi="Times New Roman" w:cs="Times New Roman"/>
          <w:i/>
          <w:iCs/>
          <w:sz w:val="24"/>
          <w:szCs w:val="24"/>
        </w:rPr>
        <w:t>Multiple Comparisons p values</w:t>
      </w:r>
      <w:r w:rsidRPr="00215667">
        <w:rPr>
          <w:rFonts w:ascii="Times New Roman" w:eastAsia="Calibri" w:hAnsi="Times New Roman" w:cs="Times New Roman"/>
          <w:sz w:val="24"/>
          <w:szCs w:val="24"/>
        </w:rPr>
        <w:t xml:space="preserve"> (2-</w:t>
      </w:r>
      <w:r w:rsidRPr="00BF6FA2">
        <w:rPr>
          <w:rFonts w:ascii="Times New Roman" w:eastAsia="Calibri" w:hAnsi="Times New Roman" w:cs="Times New Roman"/>
          <w:i/>
          <w:iCs/>
          <w:sz w:val="24"/>
          <w:szCs w:val="24"/>
        </w:rPr>
        <w:t>tailed</w:t>
      </w:r>
      <w:r w:rsidRPr="00215667">
        <w:rPr>
          <w:rFonts w:ascii="Times New Roman" w:eastAsia="Calibri" w:hAnsi="Times New Roman" w:cs="Times New Roman"/>
          <w:sz w:val="24"/>
          <w:szCs w:val="24"/>
        </w:rPr>
        <w:t>), p</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.000002 (табела бр</w:t>
      </w:r>
      <w:r w:rsidR="00BF6FA2">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9а)</w:t>
      </w:r>
      <w:r w:rsidR="00BF6FA2">
        <w:rPr>
          <w:rFonts w:ascii="Times New Roman" w:eastAsia="Calibri" w:hAnsi="Times New Roman" w:cs="Times New Roman"/>
          <w:sz w:val="24"/>
          <w:szCs w:val="24"/>
        </w:rPr>
        <w:t>.</w:t>
      </w:r>
    </w:p>
    <w:p w14:paraId="0660F974" w14:textId="131B97E8" w:rsidR="00412474" w:rsidRPr="00215667" w:rsidRDefault="00412474" w:rsidP="00BF6FA2">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 9а</w:t>
      </w:r>
      <w:r w:rsidR="00BF6FA2">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w:t>
      </w:r>
      <w:r w:rsidRPr="00BF6FA2">
        <w:rPr>
          <w:rFonts w:ascii="Times New Roman" w:eastAsia="Calibri" w:hAnsi="Times New Roman" w:cs="Times New Roman"/>
          <w:i/>
          <w:iCs/>
          <w:color w:val="000000"/>
          <w:sz w:val="24"/>
          <w:szCs w:val="24"/>
        </w:rPr>
        <w:t>Multiple Comparisons p values (2-tailed)</w:t>
      </w:r>
      <w:r w:rsidRPr="00215667">
        <w:rPr>
          <w:rFonts w:ascii="Times New Roman" w:hAnsi="Times New Roman" w:cs="Times New Roman"/>
          <w:sz w:val="24"/>
          <w:szCs w:val="24"/>
        </w:rPr>
        <w:t xml:space="preserve"> на </w:t>
      </w:r>
      <w:r w:rsidRPr="00215667">
        <w:rPr>
          <w:rFonts w:ascii="Times New Roman" w:eastAsia="Calibri" w:hAnsi="Times New Roman" w:cs="Times New Roman"/>
          <w:color w:val="000000"/>
          <w:sz w:val="24"/>
          <w:szCs w:val="24"/>
        </w:rPr>
        <w:t>разлика помеѓу просечните вредности на ADP кај лесен, умерен и тежок интензитет на крвавење</w:t>
      </w:r>
    </w:p>
    <w:tbl>
      <w:tblPr>
        <w:tblStyle w:val="TableGrid1"/>
        <w:tblW w:w="0" w:type="auto"/>
        <w:tblLook w:val="04A0" w:firstRow="1" w:lastRow="0" w:firstColumn="1" w:lastColumn="0" w:noHBand="0" w:noVBand="1"/>
      </w:tblPr>
      <w:tblGrid>
        <w:gridCol w:w="1808"/>
        <w:gridCol w:w="2304"/>
        <w:gridCol w:w="2304"/>
        <w:gridCol w:w="2304"/>
      </w:tblGrid>
      <w:tr w:rsidR="00412474" w:rsidRPr="00215667" w14:paraId="4F3C6925" w14:textId="77777777" w:rsidTr="00435E3A">
        <w:tc>
          <w:tcPr>
            <w:tcW w:w="0" w:type="auto"/>
            <w:gridSpan w:val="4"/>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14E987A" w14:textId="77777777" w:rsidR="00412474" w:rsidRPr="00215667" w:rsidRDefault="00412474" w:rsidP="00435E3A">
            <w:pPr>
              <w:jc w:val="center"/>
              <w:rPr>
                <w:rFonts w:ascii="Times New Roman" w:eastAsia="Times New Roman" w:hAnsi="Times New Roman" w:cs="Times New Roman"/>
                <w:sz w:val="24"/>
                <w:szCs w:val="24"/>
              </w:rPr>
            </w:pPr>
            <w:r w:rsidRPr="00BF6FA2">
              <w:rPr>
                <w:rFonts w:ascii="Times New Roman" w:eastAsia="Times New Roman" w:hAnsi="Times New Roman" w:cs="Times New Roman"/>
                <w:i/>
                <w:iCs/>
                <w:color w:val="000000"/>
                <w:sz w:val="24"/>
                <w:szCs w:val="24"/>
              </w:rPr>
              <w:t>Multiple Comparisons p values (2-tailed)</w:t>
            </w:r>
            <w:r w:rsidRPr="00215667">
              <w:rPr>
                <w:rFonts w:ascii="Times New Roman" w:eastAsia="Times New Roman" w:hAnsi="Times New Roman" w:cs="Times New Roman"/>
                <w:color w:val="000000"/>
                <w:sz w:val="24"/>
                <w:szCs w:val="24"/>
              </w:rPr>
              <w:t>; ADP (</w:t>
            </w:r>
            <w:proofErr w:type="spellStart"/>
            <w:r w:rsidRPr="00215667">
              <w:rPr>
                <w:rFonts w:ascii="Times New Roman" w:eastAsia="Times New Roman" w:hAnsi="Times New Roman" w:cs="Times New Roman"/>
                <w:color w:val="000000"/>
                <w:sz w:val="24"/>
                <w:szCs w:val="24"/>
              </w:rPr>
              <w:t>пред</w:t>
            </w:r>
            <w:proofErr w:type="spellEnd"/>
            <w:r w:rsidRPr="00215667">
              <w:rPr>
                <w:rFonts w:ascii="Times New Roman" w:eastAsia="Times New Roman" w:hAnsi="Times New Roman" w:cs="Times New Roman"/>
                <w:color w:val="000000"/>
                <w:sz w:val="24"/>
                <w:szCs w:val="24"/>
              </w:rPr>
              <w:t xml:space="preserve"> </w:t>
            </w:r>
            <w:proofErr w:type="spellStart"/>
            <w:r w:rsidRPr="00215667">
              <w:rPr>
                <w:rFonts w:ascii="Times New Roman" w:eastAsia="Times New Roman" w:hAnsi="Times New Roman" w:cs="Times New Roman"/>
                <w:color w:val="000000"/>
                <w:sz w:val="24"/>
                <w:szCs w:val="24"/>
              </w:rPr>
              <w:t>дијагноза</w:t>
            </w:r>
            <w:proofErr w:type="spellEnd"/>
            <w:r w:rsidRPr="00215667">
              <w:rPr>
                <w:rFonts w:ascii="Times New Roman" w:eastAsia="Times New Roman" w:hAnsi="Times New Roman" w:cs="Times New Roman"/>
                <w:color w:val="000000"/>
                <w:sz w:val="24"/>
                <w:szCs w:val="24"/>
              </w:rPr>
              <w:t xml:space="preserve"> </w:t>
            </w:r>
            <w:r w:rsidRPr="00BF6FA2">
              <w:rPr>
                <w:rFonts w:ascii="Times New Roman" w:eastAsia="Times New Roman" w:hAnsi="Times New Roman" w:cs="Times New Roman"/>
                <w:i/>
                <w:iCs/>
                <w:color w:val="000000"/>
                <w:sz w:val="24"/>
                <w:szCs w:val="24"/>
              </w:rPr>
              <w:t>Kruskal-Wallis test</w:t>
            </w:r>
            <w:r w:rsidRPr="00215667">
              <w:rPr>
                <w:rFonts w:ascii="Times New Roman" w:eastAsia="Times New Roman" w:hAnsi="Times New Roman" w:cs="Times New Roman"/>
                <w:color w:val="000000"/>
                <w:sz w:val="24"/>
                <w:szCs w:val="24"/>
              </w:rPr>
              <w:t>: H ( 2, N= 64) =27.67529 p =.0000</w:t>
            </w:r>
          </w:p>
        </w:tc>
      </w:tr>
      <w:tr w:rsidR="00412474" w:rsidRPr="00215667" w14:paraId="4B33CE40"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B9A8EB3" w14:textId="77777777" w:rsidR="00412474" w:rsidRPr="00215667" w:rsidRDefault="00412474" w:rsidP="00435E3A">
            <w:pPr>
              <w:spacing w:line="256"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3615632"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1 - R:62.000</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834AEF4"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2 - R:42.882</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828AAF7"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3 - R:19.310</w:t>
            </w:r>
          </w:p>
        </w:tc>
      </w:tr>
      <w:tr w:rsidR="00412474" w:rsidRPr="00215667" w14:paraId="1D6EB9E2"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D7C4525" w14:textId="77777777" w:rsidR="00412474" w:rsidRPr="00215667" w:rsidRDefault="00412474" w:rsidP="00435E3A">
            <w:pP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Cs/>
                <w:color w:val="000000"/>
                <w:sz w:val="24"/>
                <w:szCs w:val="24"/>
              </w:rPr>
              <w:t>лесен</w:t>
            </w:r>
            <w:proofErr w:type="spellEnd"/>
            <w:r w:rsidRPr="00215667">
              <w:rPr>
                <w:rFonts w:ascii="Times New Roman" w:eastAsia="Times New Roman" w:hAnsi="Times New Roman" w:cs="Times New Roman"/>
                <w:b/>
                <w:bCs/>
                <w:color w:val="000000"/>
                <w:sz w:val="24"/>
                <w:szCs w:val="24"/>
              </w:rPr>
              <w:t xml:space="preserve"> 1</w:t>
            </w:r>
          </w:p>
        </w:tc>
        <w:tc>
          <w:tcPr>
            <w:tcW w:w="0" w:type="auto"/>
            <w:tcBorders>
              <w:top w:val="single" w:sz="4" w:space="0" w:color="auto"/>
              <w:left w:val="single" w:sz="4" w:space="0" w:color="auto"/>
              <w:bottom w:val="single" w:sz="4" w:space="0" w:color="auto"/>
              <w:right w:val="single" w:sz="4" w:space="0" w:color="auto"/>
            </w:tcBorders>
            <w:noWrap/>
            <w:hideMark/>
          </w:tcPr>
          <w:p w14:paraId="43755264" w14:textId="77777777" w:rsidR="00412474" w:rsidRPr="00215667" w:rsidRDefault="00412474" w:rsidP="00435E3A">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noWrap/>
            <w:hideMark/>
          </w:tcPr>
          <w:p w14:paraId="06E697C7"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0.934603</w:t>
            </w:r>
          </w:p>
        </w:tc>
        <w:tc>
          <w:tcPr>
            <w:tcW w:w="0" w:type="auto"/>
            <w:tcBorders>
              <w:top w:val="single" w:sz="4" w:space="0" w:color="auto"/>
              <w:left w:val="single" w:sz="4" w:space="0" w:color="auto"/>
              <w:bottom w:val="single" w:sz="4" w:space="0" w:color="auto"/>
              <w:right w:val="single" w:sz="4" w:space="0" w:color="auto"/>
            </w:tcBorders>
            <w:noWrap/>
            <w:hideMark/>
          </w:tcPr>
          <w:p w14:paraId="575971C7"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0.072538</w:t>
            </w:r>
          </w:p>
        </w:tc>
      </w:tr>
      <w:tr w:rsidR="00412474" w:rsidRPr="00215667" w14:paraId="37ECEE8C"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BDDDDBB" w14:textId="77777777" w:rsidR="00412474" w:rsidRPr="00215667" w:rsidRDefault="00412474" w:rsidP="00435E3A">
            <w:pP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Cs/>
                <w:color w:val="000000"/>
                <w:sz w:val="24"/>
                <w:szCs w:val="24"/>
              </w:rPr>
              <w:t>умерен</w:t>
            </w:r>
            <w:proofErr w:type="spellEnd"/>
            <w:r w:rsidRPr="00215667">
              <w:rPr>
                <w:rFonts w:ascii="Times New Roman" w:eastAsia="Times New Roman" w:hAnsi="Times New Roman" w:cs="Times New Roman"/>
                <w:b/>
                <w:bCs/>
                <w:color w:val="000000"/>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hideMark/>
          </w:tcPr>
          <w:p w14:paraId="4990257A"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0.934603</w:t>
            </w:r>
          </w:p>
        </w:tc>
        <w:tc>
          <w:tcPr>
            <w:tcW w:w="0" w:type="auto"/>
            <w:tcBorders>
              <w:top w:val="single" w:sz="4" w:space="0" w:color="auto"/>
              <w:left w:val="single" w:sz="4" w:space="0" w:color="auto"/>
              <w:bottom w:val="single" w:sz="4" w:space="0" w:color="auto"/>
              <w:right w:val="single" w:sz="4" w:space="0" w:color="auto"/>
            </w:tcBorders>
            <w:noWrap/>
            <w:hideMark/>
          </w:tcPr>
          <w:p w14:paraId="39FA8B4B" w14:textId="77777777" w:rsidR="00412474" w:rsidRPr="00215667" w:rsidRDefault="00412474" w:rsidP="00435E3A">
            <w:pPr>
              <w:spacing w:line="256"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noWrap/>
            <w:hideMark/>
          </w:tcPr>
          <w:p w14:paraId="5BBE8B25"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FF0000"/>
                <w:sz w:val="24"/>
                <w:szCs w:val="24"/>
              </w:rPr>
              <w:t>0.000002</w:t>
            </w:r>
          </w:p>
        </w:tc>
      </w:tr>
      <w:tr w:rsidR="00412474" w:rsidRPr="00215667" w14:paraId="4AF9F9D8"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7883E1D" w14:textId="77777777" w:rsidR="00412474" w:rsidRPr="00215667" w:rsidRDefault="00412474" w:rsidP="00435E3A">
            <w:pP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Cs/>
                <w:color w:val="000000"/>
                <w:sz w:val="24"/>
                <w:szCs w:val="24"/>
              </w:rPr>
              <w:t>тежок</w:t>
            </w:r>
            <w:proofErr w:type="spellEnd"/>
            <w:r w:rsidRPr="00215667">
              <w:rPr>
                <w:rFonts w:ascii="Times New Roman" w:eastAsia="Times New Roman" w:hAnsi="Times New Roman" w:cs="Times New Roman"/>
                <w:b/>
                <w:bCs/>
                <w:color w:val="000000"/>
                <w:sz w:val="24"/>
                <w:szCs w:val="24"/>
              </w:rPr>
              <w:t xml:space="preserve"> 3</w:t>
            </w:r>
          </w:p>
        </w:tc>
        <w:tc>
          <w:tcPr>
            <w:tcW w:w="0" w:type="auto"/>
            <w:tcBorders>
              <w:top w:val="single" w:sz="4" w:space="0" w:color="auto"/>
              <w:left w:val="single" w:sz="4" w:space="0" w:color="auto"/>
              <w:bottom w:val="single" w:sz="4" w:space="0" w:color="auto"/>
              <w:right w:val="single" w:sz="4" w:space="0" w:color="auto"/>
            </w:tcBorders>
            <w:noWrap/>
            <w:hideMark/>
          </w:tcPr>
          <w:p w14:paraId="60C39C6D"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0.072538</w:t>
            </w:r>
          </w:p>
        </w:tc>
        <w:tc>
          <w:tcPr>
            <w:tcW w:w="0" w:type="auto"/>
            <w:tcBorders>
              <w:top w:val="single" w:sz="4" w:space="0" w:color="auto"/>
              <w:left w:val="single" w:sz="4" w:space="0" w:color="auto"/>
              <w:bottom w:val="single" w:sz="4" w:space="0" w:color="auto"/>
              <w:right w:val="single" w:sz="4" w:space="0" w:color="auto"/>
            </w:tcBorders>
            <w:noWrap/>
            <w:hideMark/>
          </w:tcPr>
          <w:p w14:paraId="4B54DCC9"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FF0000"/>
                <w:sz w:val="24"/>
                <w:szCs w:val="24"/>
              </w:rPr>
              <w:t>0.000002</w:t>
            </w:r>
          </w:p>
        </w:tc>
        <w:tc>
          <w:tcPr>
            <w:tcW w:w="0" w:type="auto"/>
            <w:tcBorders>
              <w:top w:val="single" w:sz="4" w:space="0" w:color="auto"/>
              <w:left w:val="single" w:sz="4" w:space="0" w:color="auto"/>
              <w:bottom w:val="single" w:sz="4" w:space="0" w:color="auto"/>
              <w:right w:val="single" w:sz="4" w:space="0" w:color="auto"/>
            </w:tcBorders>
            <w:noWrap/>
            <w:hideMark/>
          </w:tcPr>
          <w:p w14:paraId="11A6E709" w14:textId="77777777" w:rsidR="00412474" w:rsidRPr="00215667" w:rsidRDefault="00412474" w:rsidP="00435E3A">
            <w:pPr>
              <w:spacing w:line="256" w:lineRule="auto"/>
              <w:rPr>
                <w:rFonts w:ascii="Times New Roman" w:eastAsia="Times New Roman" w:hAnsi="Times New Roman" w:cs="Times New Roman"/>
                <w:sz w:val="24"/>
                <w:szCs w:val="24"/>
              </w:rPr>
            </w:pPr>
          </w:p>
        </w:tc>
      </w:tr>
    </w:tbl>
    <w:p w14:paraId="72F2A86F"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6234A9C7" w14:textId="77440FBF" w:rsidR="00412474" w:rsidRPr="00215667" w:rsidRDefault="00412474" w:rsidP="00412474">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 xml:space="preserve">Според </w:t>
      </w:r>
      <w:r w:rsidRPr="00BF6FA2">
        <w:rPr>
          <w:rFonts w:ascii="Times New Roman" w:eastAsia="Calibri" w:hAnsi="Times New Roman" w:cs="Times New Roman"/>
          <w:i/>
          <w:iCs/>
          <w:sz w:val="24"/>
          <w:szCs w:val="24"/>
        </w:rPr>
        <w:t>Kruskal-Wallis ANOVA</w:t>
      </w:r>
      <w:r w:rsidRPr="00215667">
        <w:rPr>
          <w:rFonts w:ascii="Times New Roman" w:eastAsia="Calibri" w:hAnsi="Times New Roman" w:cs="Times New Roman"/>
          <w:sz w:val="24"/>
          <w:szCs w:val="24"/>
        </w:rPr>
        <w:t xml:space="preserve"> тестот разликите помеѓу просечните вредности на </w:t>
      </w:r>
      <w:r w:rsidR="00BF6FA2">
        <w:rPr>
          <w:rFonts w:ascii="Times New Roman" w:eastAsia="Calibri" w:hAnsi="Times New Roman" w:cs="Times New Roman"/>
          <w:sz w:val="24"/>
          <w:szCs w:val="24"/>
        </w:rPr>
        <w:t>ристоцетин</w:t>
      </w:r>
      <w:r w:rsidRPr="00215667">
        <w:rPr>
          <w:rFonts w:ascii="Times New Roman" w:eastAsia="Calibri" w:hAnsi="Times New Roman" w:cs="Times New Roman"/>
          <w:sz w:val="24"/>
          <w:szCs w:val="24"/>
        </w:rPr>
        <w:t xml:space="preserve"> е сигнификантна за p</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&lt;</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.05 (</w:t>
      </w:r>
      <w:r w:rsidRPr="00BF6FA2">
        <w:rPr>
          <w:rFonts w:ascii="Times New Roman" w:eastAsia="Calibri" w:hAnsi="Times New Roman" w:cs="Times New Roman"/>
          <w:i/>
          <w:iCs/>
          <w:sz w:val="24"/>
          <w:szCs w:val="24"/>
        </w:rPr>
        <w:t>Kruskal-Wallis test</w:t>
      </w:r>
      <w:r w:rsidRPr="00215667">
        <w:rPr>
          <w:rFonts w:ascii="Times New Roman" w:eastAsia="Calibri" w:hAnsi="Times New Roman" w:cs="Times New Roman"/>
          <w:sz w:val="24"/>
          <w:szCs w:val="24"/>
        </w:rPr>
        <w:t>: H ( 2, N</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64) =</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6.205275 p =</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.0449).</w:t>
      </w:r>
    </w:p>
    <w:p w14:paraId="19621016" w14:textId="51BCCAF2" w:rsidR="00412474" w:rsidRPr="00215667" w:rsidRDefault="00412474" w:rsidP="00412474">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 xml:space="preserve">Резултатите покажаа дека вкупната разлика која се регистрира помеѓу просечните вредности на </w:t>
      </w:r>
      <w:r w:rsidR="00BF6FA2">
        <w:rPr>
          <w:rFonts w:ascii="Times New Roman" w:eastAsia="Calibri" w:hAnsi="Times New Roman" w:cs="Times New Roman"/>
          <w:sz w:val="24"/>
          <w:szCs w:val="24"/>
        </w:rPr>
        <w:t>ристоцетин</w:t>
      </w:r>
      <w:r w:rsidRPr="00215667">
        <w:rPr>
          <w:rFonts w:ascii="Times New Roman" w:eastAsia="Calibri" w:hAnsi="Times New Roman" w:cs="Times New Roman"/>
          <w:sz w:val="24"/>
          <w:szCs w:val="24"/>
        </w:rPr>
        <w:t xml:space="preserve">, се должи на сигнификантна разлика помеѓу просечните вредности на </w:t>
      </w:r>
      <w:r w:rsidR="00BF6FA2">
        <w:rPr>
          <w:rFonts w:ascii="Times New Roman" w:eastAsia="Calibri" w:hAnsi="Times New Roman" w:cs="Times New Roman"/>
          <w:sz w:val="24"/>
          <w:szCs w:val="24"/>
        </w:rPr>
        <w:t>ристоцетин</w:t>
      </w:r>
      <w:r w:rsidR="00BF6FA2" w:rsidRPr="00215667">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кај умерен </w:t>
      </w:r>
      <w:r w:rsidR="001F2E2D">
        <w:rPr>
          <w:rFonts w:ascii="Times New Roman" w:eastAsia="Calibri" w:hAnsi="Times New Roman" w:cs="Times New Roman"/>
          <w:sz w:val="24"/>
          <w:szCs w:val="24"/>
        </w:rPr>
        <w:t>версус</w:t>
      </w:r>
      <w:r w:rsidRPr="00215667">
        <w:rPr>
          <w:rFonts w:ascii="Times New Roman" w:eastAsia="Calibri" w:hAnsi="Times New Roman" w:cs="Times New Roman"/>
          <w:sz w:val="24"/>
          <w:szCs w:val="24"/>
        </w:rPr>
        <w:t xml:space="preserve"> тежок интензитет на крвавење за p</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&lt;</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.05 (</w:t>
      </w:r>
      <w:r w:rsidRPr="00BF6FA2">
        <w:rPr>
          <w:rFonts w:ascii="Times New Roman" w:eastAsia="Calibri" w:hAnsi="Times New Roman" w:cs="Times New Roman"/>
          <w:i/>
          <w:iCs/>
          <w:sz w:val="24"/>
          <w:szCs w:val="24"/>
        </w:rPr>
        <w:t>Multiple Comparisons p values (2-tailed)</w:t>
      </w:r>
      <w:r w:rsidRPr="00215667">
        <w:rPr>
          <w:rFonts w:ascii="Times New Roman" w:eastAsia="Calibri" w:hAnsi="Times New Roman" w:cs="Times New Roman"/>
          <w:sz w:val="24"/>
          <w:szCs w:val="24"/>
        </w:rPr>
        <w:t>, p</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.040486)</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(табела  б</w:t>
      </w:r>
      <w:r w:rsidR="00BF6FA2">
        <w:rPr>
          <w:rFonts w:ascii="Times New Roman" w:eastAsia="Calibri" w:hAnsi="Times New Roman" w:cs="Times New Roman"/>
          <w:sz w:val="24"/>
          <w:szCs w:val="24"/>
        </w:rPr>
        <w:t>р.</w:t>
      </w:r>
      <w:r w:rsidRPr="00215667">
        <w:rPr>
          <w:rFonts w:ascii="Times New Roman" w:eastAsia="Calibri" w:hAnsi="Times New Roman" w:cs="Times New Roman"/>
          <w:sz w:val="24"/>
          <w:szCs w:val="24"/>
        </w:rPr>
        <w:t xml:space="preserve"> 9б)</w:t>
      </w:r>
      <w:r w:rsidR="00BF6FA2">
        <w:rPr>
          <w:rFonts w:ascii="Times New Roman" w:eastAsia="Calibri" w:hAnsi="Times New Roman" w:cs="Times New Roman"/>
          <w:sz w:val="24"/>
          <w:szCs w:val="24"/>
        </w:rPr>
        <w:t>.</w:t>
      </w:r>
    </w:p>
    <w:p w14:paraId="620FD8D5" w14:textId="06AF5882" w:rsidR="00412474" w:rsidRPr="00215667" w:rsidRDefault="00412474" w:rsidP="00BF6FA2">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9б</w:t>
      </w:r>
      <w:r w:rsidR="00BF6FA2">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w:t>
      </w:r>
      <w:r w:rsidRPr="00BF6FA2">
        <w:rPr>
          <w:rFonts w:ascii="Times New Roman" w:eastAsia="Calibri" w:hAnsi="Times New Roman" w:cs="Times New Roman"/>
          <w:i/>
          <w:iCs/>
          <w:color w:val="000000"/>
          <w:sz w:val="24"/>
          <w:szCs w:val="24"/>
        </w:rPr>
        <w:t>Multiple Comparisons p values (2-tailed)</w:t>
      </w:r>
      <w:r w:rsidRPr="00215667">
        <w:rPr>
          <w:rFonts w:ascii="Times New Roman" w:eastAsia="Calibri" w:hAnsi="Times New Roman" w:cs="Times New Roman"/>
          <w:color w:val="000000"/>
          <w:sz w:val="24"/>
          <w:szCs w:val="24"/>
        </w:rPr>
        <w:t xml:space="preserve"> на разлика помеѓу просечните вредности на </w:t>
      </w:r>
      <w:r w:rsidR="00BF6FA2">
        <w:rPr>
          <w:rFonts w:ascii="Times New Roman" w:eastAsia="Calibri" w:hAnsi="Times New Roman" w:cs="Times New Roman"/>
          <w:sz w:val="24"/>
          <w:szCs w:val="24"/>
        </w:rPr>
        <w:t>ристоцетин</w:t>
      </w:r>
      <w:r w:rsidR="00BF6FA2" w:rsidRPr="00215667">
        <w:rPr>
          <w:rFonts w:ascii="Times New Roman" w:eastAsia="Calibri" w:hAnsi="Times New Roman" w:cs="Times New Roman"/>
          <w:color w:val="000000"/>
          <w:sz w:val="24"/>
          <w:szCs w:val="24"/>
        </w:rPr>
        <w:t xml:space="preserve"> </w:t>
      </w:r>
      <w:r w:rsidRPr="00215667">
        <w:rPr>
          <w:rFonts w:ascii="Times New Roman" w:eastAsia="Calibri" w:hAnsi="Times New Roman" w:cs="Times New Roman"/>
          <w:color w:val="000000"/>
          <w:sz w:val="24"/>
          <w:szCs w:val="24"/>
        </w:rPr>
        <w:t>кај умерен версус тежок интензитет на крвавење</w:t>
      </w:r>
    </w:p>
    <w:tbl>
      <w:tblPr>
        <w:tblStyle w:val="TableGrid1"/>
        <w:tblW w:w="0" w:type="auto"/>
        <w:tblLook w:val="04A0" w:firstRow="1" w:lastRow="0" w:firstColumn="1" w:lastColumn="0" w:noHBand="0" w:noVBand="1"/>
      </w:tblPr>
      <w:tblGrid>
        <w:gridCol w:w="1811"/>
        <w:gridCol w:w="2303"/>
        <w:gridCol w:w="2303"/>
        <w:gridCol w:w="2303"/>
      </w:tblGrid>
      <w:tr w:rsidR="00412474" w:rsidRPr="00215667" w14:paraId="7B53BE6C" w14:textId="77777777" w:rsidTr="00435E3A">
        <w:tc>
          <w:tcPr>
            <w:tcW w:w="0" w:type="auto"/>
            <w:gridSpan w:val="4"/>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4FE501A" w14:textId="2CD7DCF2" w:rsidR="00412474" w:rsidRPr="00215667" w:rsidRDefault="00412474" w:rsidP="00435E3A">
            <w:pPr>
              <w:jc w:val="center"/>
              <w:rPr>
                <w:rFonts w:ascii="Times New Roman" w:eastAsia="Times New Roman" w:hAnsi="Times New Roman" w:cs="Times New Roman"/>
                <w:sz w:val="24"/>
                <w:szCs w:val="24"/>
              </w:rPr>
            </w:pPr>
            <w:r w:rsidRPr="00BF6FA2">
              <w:rPr>
                <w:rFonts w:ascii="Times New Roman" w:eastAsia="Times New Roman" w:hAnsi="Times New Roman" w:cs="Times New Roman"/>
                <w:i/>
                <w:iCs/>
                <w:color w:val="000000"/>
                <w:sz w:val="24"/>
                <w:szCs w:val="24"/>
              </w:rPr>
              <w:t>Multiple Comparisons p values (2-tailed)</w:t>
            </w:r>
            <w:r w:rsidRPr="00215667">
              <w:rPr>
                <w:rFonts w:ascii="Times New Roman" w:eastAsia="Times New Roman" w:hAnsi="Times New Roman" w:cs="Times New Roman"/>
                <w:color w:val="000000"/>
                <w:sz w:val="24"/>
                <w:szCs w:val="24"/>
              </w:rPr>
              <w:t xml:space="preserve">; </w:t>
            </w:r>
            <w:r w:rsidR="00BF6FA2">
              <w:rPr>
                <w:rFonts w:ascii="Times New Roman" w:hAnsi="Times New Roman" w:cs="Times New Roman"/>
                <w:sz w:val="24"/>
                <w:szCs w:val="24"/>
                <w:lang w:val="mk-MK"/>
              </w:rPr>
              <w:t>Р</w:t>
            </w:r>
            <w:proofErr w:type="spellStart"/>
            <w:r w:rsidR="00BF6FA2">
              <w:rPr>
                <w:rFonts w:ascii="Times New Roman" w:hAnsi="Times New Roman" w:cs="Times New Roman"/>
                <w:sz w:val="24"/>
                <w:szCs w:val="24"/>
              </w:rPr>
              <w:t>истоцетин</w:t>
            </w:r>
            <w:proofErr w:type="spellEnd"/>
            <w:r w:rsidR="00BF6FA2" w:rsidRPr="00215667">
              <w:rPr>
                <w:rFonts w:ascii="Times New Roman" w:eastAsia="Times New Roman" w:hAnsi="Times New Roman" w:cs="Times New Roman"/>
                <w:color w:val="000000"/>
                <w:sz w:val="24"/>
                <w:szCs w:val="24"/>
              </w:rPr>
              <w:t xml:space="preserve"> </w:t>
            </w:r>
            <w:r w:rsidRPr="00215667">
              <w:rPr>
                <w:rFonts w:ascii="Times New Roman" w:eastAsia="Times New Roman" w:hAnsi="Times New Roman" w:cs="Times New Roman"/>
                <w:color w:val="000000"/>
                <w:sz w:val="24"/>
                <w:szCs w:val="24"/>
              </w:rPr>
              <w:t>(</w:t>
            </w:r>
            <w:proofErr w:type="spellStart"/>
            <w:r w:rsidRPr="00215667">
              <w:rPr>
                <w:rFonts w:ascii="Times New Roman" w:eastAsia="Times New Roman" w:hAnsi="Times New Roman" w:cs="Times New Roman"/>
                <w:color w:val="000000"/>
                <w:sz w:val="24"/>
                <w:szCs w:val="24"/>
              </w:rPr>
              <w:t>пред</w:t>
            </w:r>
            <w:proofErr w:type="spellEnd"/>
            <w:r w:rsidRPr="00215667">
              <w:rPr>
                <w:rFonts w:ascii="Times New Roman" w:eastAsia="Times New Roman" w:hAnsi="Times New Roman" w:cs="Times New Roman"/>
                <w:color w:val="000000"/>
                <w:sz w:val="24"/>
                <w:szCs w:val="24"/>
              </w:rPr>
              <w:t xml:space="preserve"> </w:t>
            </w:r>
            <w:proofErr w:type="spellStart"/>
            <w:r w:rsidRPr="00215667">
              <w:rPr>
                <w:rFonts w:ascii="Times New Roman" w:eastAsia="Times New Roman" w:hAnsi="Times New Roman" w:cs="Times New Roman"/>
                <w:color w:val="000000"/>
                <w:sz w:val="24"/>
                <w:szCs w:val="24"/>
              </w:rPr>
              <w:t>дијагноза</w:t>
            </w:r>
            <w:proofErr w:type="spellEnd"/>
            <w:r w:rsidRPr="00215667">
              <w:rPr>
                <w:rFonts w:ascii="Times New Roman" w:eastAsia="Times New Roman" w:hAnsi="Times New Roman" w:cs="Times New Roman"/>
                <w:color w:val="000000"/>
                <w:sz w:val="24"/>
                <w:szCs w:val="24"/>
              </w:rPr>
              <w:t xml:space="preserve"> </w:t>
            </w:r>
            <w:r w:rsidRPr="00BF6FA2">
              <w:rPr>
                <w:rFonts w:ascii="Times New Roman" w:eastAsia="Times New Roman" w:hAnsi="Times New Roman" w:cs="Times New Roman"/>
                <w:i/>
                <w:iCs/>
                <w:color w:val="000000"/>
                <w:sz w:val="24"/>
                <w:szCs w:val="24"/>
              </w:rPr>
              <w:t>Kruskal-Wallis test</w:t>
            </w:r>
            <w:r w:rsidRPr="00215667">
              <w:rPr>
                <w:rFonts w:ascii="Times New Roman" w:eastAsia="Times New Roman" w:hAnsi="Times New Roman" w:cs="Times New Roman"/>
                <w:color w:val="000000"/>
                <w:sz w:val="24"/>
                <w:szCs w:val="24"/>
              </w:rPr>
              <w:t>: H ( 2, N</w:t>
            </w:r>
            <w:r w:rsidR="00BF6FA2">
              <w:rPr>
                <w:rFonts w:ascii="Times New Roman" w:eastAsia="Times New Roman" w:hAnsi="Times New Roman" w:cs="Times New Roman"/>
                <w:color w:val="000000"/>
                <w:sz w:val="24"/>
                <w:szCs w:val="24"/>
                <w:lang w:val="mk-MK"/>
              </w:rPr>
              <w:t xml:space="preserve"> </w:t>
            </w:r>
            <w:r w:rsidRPr="00215667">
              <w:rPr>
                <w:rFonts w:ascii="Times New Roman" w:eastAsia="Times New Roman" w:hAnsi="Times New Roman" w:cs="Times New Roman"/>
                <w:color w:val="000000"/>
                <w:sz w:val="24"/>
                <w:szCs w:val="24"/>
              </w:rPr>
              <w:t>= 64) =</w:t>
            </w:r>
            <w:r w:rsidR="00BF6FA2">
              <w:rPr>
                <w:rFonts w:ascii="Times New Roman" w:eastAsia="Times New Roman" w:hAnsi="Times New Roman" w:cs="Times New Roman"/>
                <w:color w:val="000000"/>
                <w:sz w:val="24"/>
                <w:szCs w:val="24"/>
                <w:lang w:val="mk-MK"/>
              </w:rPr>
              <w:t xml:space="preserve"> </w:t>
            </w:r>
            <w:r w:rsidRPr="00215667">
              <w:rPr>
                <w:rFonts w:ascii="Times New Roman" w:eastAsia="Times New Roman" w:hAnsi="Times New Roman" w:cs="Times New Roman"/>
                <w:color w:val="000000"/>
                <w:sz w:val="24"/>
                <w:szCs w:val="24"/>
              </w:rPr>
              <w:t>6.205275 p =</w:t>
            </w:r>
            <w:r w:rsidR="00BF6FA2">
              <w:rPr>
                <w:rFonts w:ascii="Times New Roman" w:eastAsia="Times New Roman" w:hAnsi="Times New Roman" w:cs="Times New Roman"/>
                <w:color w:val="000000"/>
                <w:sz w:val="24"/>
                <w:szCs w:val="24"/>
                <w:lang w:val="mk-MK"/>
              </w:rPr>
              <w:t xml:space="preserve"> </w:t>
            </w:r>
            <w:r w:rsidRPr="00215667">
              <w:rPr>
                <w:rFonts w:ascii="Times New Roman" w:eastAsia="Times New Roman" w:hAnsi="Times New Roman" w:cs="Times New Roman"/>
                <w:color w:val="000000"/>
                <w:sz w:val="24"/>
                <w:szCs w:val="24"/>
              </w:rPr>
              <w:t>.0449</w:t>
            </w:r>
          </w:p>
        </w:tc>
      </w:tr>
      <w:tr w:rsidR="00412474" w:rsidRPr="00215667" w14:paraId="6435F9D7"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6BD324A" w14:textId="77777777" w:rsidR="00412474" w:rsidRPr="00215667" w:rsidRDefault="00412474" w:rsidP="00435E3A">
            <w:pPr>
              <w:spacing w:line="256"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33F20DE"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1 - R:38.000</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7DCB247"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2 - R:37.765</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08B0082A"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3 - R:26.138</w:t>
            </w:r>
          </w:p>
        </w:tc>
      </w:tr>
      <w:tr w:rsidR="00412474" w:rsidRPr="00215667" w14:paraId="665C2610"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05BE8AFF" w14:textId="77777777" w:rsidR="00412474" w:rsidRPr="00215667" w:rsidRDefault="00412474" w:rsidP="00435E3A">
            <w:pP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Cs/>
                <w:color w:val="000000"/>
                <w:sz w:val="24"/>
                <w:szCs w:val="24"/>
              </w:rPr>
              <w:t>лесен</w:t>
            </w:r>
            <w:proofErr w:type="spellEnd"/>
            <w:r w:rsidRPr="00215667">
              <w:rPr>
                <w:rFonts w:ascii="Times New Roman" w:eastAsia="Times New Roman" w:hAnsi="Times New Roman" w:cs="Times New Roman"/>
                <w:b/>
                <w:bCs/>
                <w:color w:val="000000"/>
                <w:sz w:val="24"/>
                <w:szCs w:val="24"/>
              </w:rPr>
              <w:t xml:space="preserve"> 1</w:t>
            </w:r>
          </w:p>
        </w:tc>
        <w:tc>
          <w:tcPr>
            <w:tcW w:w="0" w:type="auto"/>
            <w:tcBorders>
              <w:top w:val="single" w:sz="4" w:space="0" w:color="auto"/>
              <w:left w:val="single" w:sz="4" w:space="0" w:color="auto"/>
              <w:bottom w:val="single" w:sz="4" w:space="0" w:color="auto"/>
              <w:right w:val="single" w:sz="4" w:space="0" w:color="auto"/>
            </w:tcBorders>
            <w:noWrap/>
            <w:hideMark/>
          </w:tcPr>
          <w:p w14:paraId="79E6FC99" w14:textId="77777777" w:rsidR="00412474" w:rsidRPr="00215667" w:rsidRDefault="00412474" w:rsidP="00435E3A">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noWrap/>
            <w:hideMark/>
          </w:tcPr>
          <w:p w14:paraId="2D7580FB"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1.000000</w:t>
            </w:r>
          </w:p>
        </w:tc>
        <w:tc>
          <w:tcPr>
            <w:tcW w:w="0" w:type="auto"/>
            <w:tcBorders>
              <w:top w:val="single" w:sz="4" w:space="0" w:color="auto"/>
              <w:left w:val="single" w:sz="4" w:space="0" w:color="auto"/>
              <w:bottom w:val="single" w:sz="4" w:space="0" w:color="auto"/>
              <w:right w:val="single" w:sz="4" w:space="0" w:color="auto"/>
            </w:tcBorders>
            <w:noWrap/>
            <w:hideMark/>
          </w:tcPr>
          <w:p w14:paraId="0FE1D95B"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1.000000</w:t>
            </w:r>
          </w:p>
        </w:tc>
      </w:tr>
      <w:tr w:rsidR="00412474" w:rsidRPr="00215667" w14:paraId="0BA0AA8A"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82D21E1" w14:textId="77777777" w:rsidR="00412474" w:rsidRPr="00215667" w:rsidRDefault="00412474" w:rsidP="00435E3A">
            <w:pP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Cs/>
                <w:color w:val="000000"/>
                <w:sz w:val="24"/>
                <w:szCs w:val="24"/>
              </w:rPr>
              <w:t>умерен</w:t>
            </w:r>
            <w:proofErr w:type="spellEnd"/>
            <w:r w:rsidRPr="00215667">
              <w:rPr>
                <w:rFonts w:ascii="Times New Roman" w:eastAsia="Times New Roman" w:hAnsi="Times New Roman" w:cs="Times New Roman"/>
                <w:b/>
                <w:bCs/>
                <w:color w:val="000000"/>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hideMark/>
          </w:tcPr>
          <w:p w14:paraId="7679AE6B"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1.000000</w:t>
            </w:r>
          </w:p>
        </w:tc>
        <w:tc>
          <w:tcPr>
            <w:tcW w:w="0" w:type="auto"/>
            <w:tcBorders>
              <w:top w:val="single" w:sz="4" w:space="0" w:color="auto"/>
              <w:left w:val="single" w:sz="4" w:space="0" w:color="auto"/>
              <w:bottom w:val="single" w:sz="4" w:space="0" w:color="auto"/>
              <w:right w:val="single" w:sz="4" w:space="0" w:color="auto"/>
            </w:tcBorders>
            <w:noWrap/>
            <w:hideMark/>
          </w:tcPr>
          <w:p w14:paraId="35253E7A" w14:textId="77777777" w:rsidR="00412474" w:rsidRPr="00215667" w:rsidRDefault="00412474" w:rsidP="00435E3A">
            <w:pPr>
              <w:spacing w:line="256"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noWrap/>
            <w:hideMark/>
          </w:tcPr>
          <w:p w14:paraId="70DA8EAE"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FF0000"/>
                <w:sz w:val="24"/>
                <w:szCs w:val="24"/>
              </w:rPr>
              <w:t>0.040486</w:t>
            </w:r>
          </w:p>
        </w:tc>
      </w:tr>
      <w:tr w:rsidR="00412474" w:rsidRPr="00215667" w14:paraId="6B8CA6BC"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DBB373E" w14:textId="77777777" w:rsidR="00412474" w:rsidRPr="00215667" w:rsidRDefault="00412474" w:rsidP="00435E3A">
            <w:pP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Cs/>
                <w:color w:val="000000"/>
                <w:sz w:val="24"/>
                <w:szCs w:val="24"/>
              </w:rPr>
              <w:t>тежок</w:t>
            </w:r>
            <w:proofErr w:type="spellEnd"/>
            <w:r w:rsidRPr="00215667">
              <w:rPr>
                <w:rFonts w:ascii="Times New Roman" w:eastAsia="Times New Roman" w:hAnsi="Times New Roman" w:cs="Times New Roman"/>
                <w:b/>
                <w:bCs/>
                <w:color w:val="000000"/>
                <w:sz w:val="24"/>
                <w:szCs w:val="24"/>
              </w:rPr>
              <w:t xml:space="preserve"> 3</w:t>
            </w:r>
          </w:p>
        </w:tc>
        <w:tc>
          <w:tcPr>
            <w:tcW w:w="0" w:type="auto"/>
            <w:tcBorders>
              <w:top w:val="single" w:sz="4" w:space="0" w:color="auto"/>
              <w:left w:val="single" w:sz="4" w:space="0" w:color="auto"/>
              <w:bottom w:val="single" w:sz="4" w:space="0" w:color="auto"/>
              <w:right w:val="single" w:sz="4" w:space="0" w:color="auto"/>
            </w:tcBorders>
            <w:noWrap/>
            <w:hideMark/>
          </w:tcPr>
          <w:p w14:paraId="02430777"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1.000000</w:t>
            </w:r>
          </w:p>
        </w:tc>
        <w:tc>
          <w:tcPr>
            <w:tcW w:w="0" w:type="auto"/>
            <w:tcBorders>
              <w:top w:val="single" w:sz="4" w:space="0" w:color="auto"/>
              <w:left w:val="single" w:sz="4" w:space="0" w:color="auto"/>
              <w:bottom w:val="single" w:sz="4" w:space="0" w:color="auto"/>
              <w:right w:val="single" w:sz="4" w:space="0" w:color="auto"/>
            </w:tcBorders>
            <w:noWrap/>
            <w:hideMark/>
          </w:tcPr>
          <w:p w14:paraId="60820DB6"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FF0000"/>
                <w:sz w:val="24"/>
                <w:szCs w:val="24"/>
              </w:rPr>
              <w:t>0.040486</w:t>
            </w:r>
          </w:p>
        </w:tc>
        <w:tc>
          <w:tcPr>
            <w:tcW w:w="0" w:type="auto"/>
            <w:tcBorders>
              <w:top w:val="single" w:sz="4" w:space="0" w:color="auto"/>
              <w:left w:val="single" w:sz="4" w:space="0" w:color="auto"/>
              <w:bottom w:val="single" w:sz="4" w:space="0" w:color="auto"/>
              <w:right w:val="single" w:sz="4" w:space="0" w:color="auto"/>
            </w:tcBorders>
            <w:noWrap/>
            <w:hideMark/>
          </w:tcPr>
          <w:p w14:paraId="7854E2C5" w14:textId="77777777" w:rsidR="00412474" w:rsidRPr="00215667" w:rsidRDefault="00412474" w:rsidP="00435E3A">
            <w:pPr>
              <w:spacing w:line="256" w:lineRule="auto"/>
              <w:rPr>
                <w:rFonts w:ascii="Times New Roman" w:eastAsia="Times New Roman" w:hAnsi="Times New Roman" w:cs="Times New Roman"/>
                <w:sz w:val="24"/>
                <w:szCs w:val="24"/>
              </w:rPr>
            </w:pPr>
          </w:p>
        </w:tc>
      </w:tr>
    </w:tbl>
    <w:p w14:paraId="0DE56E37"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35C1E775" w14:textId="0321252A" w:rsidR="00412474" w:rsidRPr="00215667" w:rsidRDefault="00412474" w:rsidP="00BF6FA2">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 xml:space="preserve">Според </w:t>
      </w:r>
      <w:r w:rsidRPr="00BF6FA2">
        <w:rPr>
          <w:rFonts w:ascii="Times New Roman" w:eastAsia="Calibri" w:hAnsi="Times New Roman" w:cs="Times New Roman"/>
          <w:i/>
          <w:iCs/>
          <w:sz w:val="24"/>
          <w:szCs w:val="24"/>
        </w:rPr>
        <w:t>Kruskal-Wallis ANOVA</w:t>
      </w:r>
      <w:r w:rsidRPr="00215667">
        <w:rPr>
          <w:rFonts w:ascii="Times New Roman" w:eastAsia="Calibri" w:hAnsi="Times New Roman" w:cs="Times New Roman"/>
          <w:sz w:val="24"/>
          <w:szCs w:val="24"/>
        </w:rPr>
        <w:t xml:space="preserve"> тестот разликите помеѓу просечните вредности на </w:t>
      </w:r>
      <w:r w:rsidR="00BF6FA2">
        <w:rPr>
          <w:rFonts w:ascii="Times New Roman" w:eastAsia="Calibri" w:hAnsi="Times New Roman" w:cs="Times New Roman"/>
          <w:sz w:val="24"/>
          <w:szCs w:val="24"/>
        </w:rPr>
        <w:t>колаген</w:t>
      </w:r>
      <w:r w:rsidRPr="00215667">
        <w:rPr>
          <w:rFonts w:ascii="Times New Roman" w:eastAsia="Calibri" w:hAnsi="Times New Roman" w:cs="Times New Roman"/>
          <w:sz w:val="24"/>
          <w:szCs w:val="24"/>
        </w:rPr>
        <w:t xml:space="preserve"> е сигнификантна за p</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&lt;</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.05 (</w:t>
      </w:r>
      <w:r w:rsidRPr="00BF6FA2">
        <w:rPr>
          <w:rFonts w:ascii="Times New Roman" w:eastAsia="Calibri" w:hAnsi="Times New Roman" w:cs="Times New Roman"/>
          <w:i/>
          <w:iCs/>
          <w:sz w:val="24"/>
          <w:szCs w:val="24"/>
        </w:rPr>
        <w:t>Kruskal-Wallis test</w:t>
      </w:r>
      <w:r w:rsidRPr="00215667">
        <w:rPr>
          <w:rFonts w:ascii="Times New Roman" w:eastAsia="Calibri" w:hAnsi="Times New Roman" w:cs="Times New Roman"/>
          <w:sz w:val="24"/>
          <w:szCs w:val="24"/>
        </w:rPr>
        <w:t>: H ( 2, N</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64) =</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7.266578 p =</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.0264).</w:t>
      </w:r>
    </w:p>
    <w:p w14:paraId="6AD9452C" w14:textId="0C806BB5" w:rsidR="00412474" w:rsidRPr="00215667" w:rsidRDefault="00412474" w:rsidP="00412474">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lastRenderedPageBreak/>
        <w:t xml:space="preserve">Резултатите покажаа дека вкупната разлика која се регистрира помеѓу просечните вредности на </w:t>
      </w:r>
      <w:r w:rsidR="00BF6FA2">
        <w:rPr>
          <w:rFonts w:ascii="Times New Roman" w:eastAsia="Calibri" w:hAnsi="Times New Roman" w:cs="Times New Roman"/>
          <w:sz w:val="24"/>
          <w:szCs w:val="24"/>
        </w:rPr>
        <w:t>колаген</w:t>
      </w:r>
      <w:r w:rsidRPr="00215667">
        <w:rPr>
          <w:rFonts w:ascii="Times New Roman" w:eastAsia="Calibri" w:hAnsi="Times New Roman" w:cs="Times New Roman"/>
          <w:sz w:val="24"/>
          <w:szCs w:val="24"/>
        </w:rPr>
        <w:t xml:space="preserve">, се должи на сигнификантна разлика помеѓу просечните вредности на </w:t>
      </w:r>
      <w:r w:rsidR="00BF6FA2">
        <w:rPr>
          <w:rFonts w:ascii="Times New Roman" w:eastAsia="Calibri" w:hAnsi="Times New Roman" w:cs="Times New Roman"/>
          <w:sz w:val="24"/>
          <w:szCs w:val="24"/>
        </w:rPr>
        <w:t>колаген</w:t>
      </w:r>
      <w:r w:rsidRPr="00215667">
        <w:rPr>
          <w:rFonts w:ascii="Times New Roman" w:eastAsia="Calibri" w:hAnsi="Times New Roman" w:cs="Times New Roman"/>
          <w:sz w:val="24"/>
          <w:szCs w:val="24"/>
        </w:rPr>
        <w:t xml:space="preserve"> кај умерен </w:t>
      </w:r>
      <w:r w:rsidR="001F2E2D">
        <w:rPr>
          <w:rFonts w:ascii="Times New Roman" w:eastAsia="Calibri" w:hAnsi="Times New Roman" w:cs="Times New Roman"/>
          <w:sz w:val="24"/>
          <w:szCs w:val="24"/>
        </w:rPr>
        <w:t>версус</w:t>
      </w:r>
      <w:r w:rsidRPr="00215667">
        <w:rPr>
          <w:rFonts w:ascii="Times New Roman" w:eastAsia="Calibri" w:hAnsi="Times New Roman" w:cs="Times New Roman"/>
          <w:sz w:val="24"/>
          <w:szCs w:val="24"/>
        </w:rPr>
        <w:t xml:space="preserve"> тежок интензитет за p</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&lt;</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.05 (</w:t>
      </w:r>
      <w:r w:rsidRPr="00BF6FA2">
        <w:rPr>
          <w:rFonts w:ascii="Times New Roman" w:eastAsia="Calibri" w:hAnsi="Times New Roman" w:cs="Times New Roman"/>
          <w:i/>
          <w:iCs/>
          <w:sz w:val="24"/>
          <w:szCs w:val="24"/>
        </w:rPr>
        <w:t>Multiple Comparisons p values (2-tailed)</w:t>
      </w:r>
      <w:r w:rsidRPr="00215667">
        <w:rPr>
          <w:rFonts w:ascii="Times New Roman" w:eastAsia="Calibri" w:hAnsi="Times New Roman" w:cs="Times New Roman"/>
          <w:sz w:val="24"/>
          <w:szCs w:val="24"/>
        </w:rPr>
        <w:t>, p</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.039640 (табела бр</w:t>
      </w:r>
      <w:r w:rsidR="00BF6FA2">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9в)</w:t>
      </w:r>
      <w:r w:rsidR="00BF6FA2">
        <w:rPr>
          <w:rFonts w:ascii="Times New Roman" w:eastAsia="Calibri" w:hAnsi="Times New Roman" w:cs="Times New Roman"/>
          <w:sz w:val="24"/>
          <w:szCs w:val="24"/>
        </w:rPr>
        <w:t>.</w:t>
      </w:r>
    </w:p>
    <w:p w14:paraId="2C3FA8BD" w14:textId="6E5E1FFF" w:rsidR="00412474" w:rsidRPr="00215667" w:rsidRDefault="00412474" w:rsidP="00BF6FA2">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9в</w:t>
      </w:r>
      <w:r w:rsidR="00BF6FA2">
        <w:rPr>
          <w:rFonts w:ascii="Times New Roman" w:eastAsia="Calibri" w:hAnsi="Times New Roman" w:cs="Times New Roman"/>
          <w:sz w:val="24"/>
          <w:szCs w:val="24"/>
        </w:rPr>
        <w:t>-</w:t>
      </w:r>
      <w:r w:rsidRPr="00215667">
        <w:rPr>
          <w:rFonts w:ascii="Times New Roman" w:hAnsi="Times New Roman" w:cs="Times New Roman"/>
          <w:sz w:val="24"/>
          <w:szCs w:val="24"/>
        </w:rPr>
        <w:t xml:space="preserve"> </w:t>
      </w:r>
      <w:r w:rsidRPr="00215667">
        <w:rPr>
          <w:rFonts w:ascii="Times New Roman" w:eastAsia="Calibri" w:hAnsi="Times New Roman" w:cs="Times New Roman"/>
          <w:color w:val="000000"/>
          <w:sz w:val="24"/>
          <w:szCs w:val="24"/>
        </w:rPr>
        <w:t xml:space="preserve">Приказ на </w:t>
      </w:r>
      <w:r w:rsidRPr="00BF6FA2">
        <w:rPr>
          <w:rFonts w:ascii="Times New Roman" w:eastAsia="Calibri" w:hAnsi="Times New Roman" w:cs="Times New Roman"/>
          <w:i/>
          <w:iCs/>
          <w:color w:val="000000"/>
          <w:sz w:val="24"/>
          <w:szCs w:val="24"/>
        </w:rPr>
        <w:t>Multiple Comparisons p values (2-tailed)</w:t>
      </w:r>
      <w:r w:rsidRPr="00215667">
        <w:rPr>
          <w:rFonts w:ascii="Times New Roman" w:eastAsia="Calibri" w:hAnsi="Times New Roman" w:cs="Times New Roman"/>
          <w:color w:val="000000"/>
          <w:sz w:val="24"/>
          <w:szCs w:val="24"/>
        </w:rPr>
        <w:t xml:space="preserve"> на разлика помеѓу просечните вредности на </w:t>
      </w:r>
      <w:r w:rsidR="00BF6FA2">
        <w:rPr>
          <w:rFonts w:ascii="Times New Roman" w:eastAsia="Calibri" w:hAnsi="Times New Roman" w:cs="Times New Roman"/>
          <w:color w:val="000000"/>
          <w:sz w:val="24"/>
          <w:szCs w:val="24"/>
        </w:rPr>
        <w:t>колаген</w:t>
      </w:r>
      <w:r w:rsidRPr="00215667">
        <w:rPr>
          <w:rFonts w:ascii="Times New Roman" w:eastAsia="Calibri" w:hAnsi="Times New Roman" w:cs="Times New Roman"/>
          <w:color w:val="000000"/>
          <w:sz w:val="24"/>
          <w:szCs w:val="24"/>
        </w:rPr>
        <w:t xml:space="preserve"> кај умерен версус тежок интензитет на крвавење</w:t>
      </w:r>
    </w:p>
    <w:tbl>
      <w:tblPr>
        <w:tblStyle w:val="TableGrid1"/>
        <w:tblW w:w="0" w:type="auto"/>
        <w:tblLook w:val="04A0" w:firstRow="1" w:lastRow="0" w:firstColumn="1" w:lastColumn="0" w:noHBand="0" w:noVBand="1"/>
      </w:tblPr>
      <w:tblGrid>
        <w:gridCol w:w="1811"/>
        <w:gridCol w:w="2303"/>
        <w:gridCol w:w="2303"/>
        <w:gridCol w:w="2303"/>
      </w:tblGrid>
      <w:tr w:rsidR="00412474" w:rsidRPr="00215667" w14:paraId="28E53817" w14:textId="77777777" w:rsidTr="00435E3A">
        <w:tc>
          <w:tcPr>
            <w:tcW w:w="0" w:type="auto"/>
            <w:gridSpan w:val="4"/>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13928F6" w14:textId="00E3D4F8" w:rsidR="00412474" w:rsidRPr="00215667" w:rsidRDefault="00412474" w:rsidP="00435E3A">
            <w:pPr>
              <w:jc w:val="center"/>
              <w:rPr>
                <w:rFonts w:ascii="Times New Roman" w:eastAsia="Times New Roman" w:hAnsi="Times New Roman" w:cs="Times New Roman"/>
                <w:sz w:val="24"/>
                <w:szCs w:val="24"/>
              </w:rPr>
            </w:pPr>
            <w:r w:rsidRPr="00BF6FA2">
              <w:rPr>
                <w:rFonts w:ascii="Times New Roman" w:eastAsia="Times New Roman" w:hAnsi="Times New Roman" w:cs="Times New Roman"/>
                <w:i/>
                <w:iCs/>
                <w:color w:val="000000"/>
                <w:sz w:val="24"/>
                <w:szCs w:val="24"/>
              </w:rPr>
              <w:t>Multiple Comparisons p values (2-tailed)</w:t>
            </w:r>
            <w:r w:rsidRPr="00215667">
              <w:rPr>
                <w:rFonts w:ascii="Times New Roman" w:eastAsia="Times New Roman" w:hAnsi="Times New Roman" w:cs="Times New Roman"/>
                <w:color w:val="000000"/>
                <w:sz w:val="24"/>
                <w:szCs w:val="24"/>
              </w:rPr>
              <w:t xml:space="preserve">; </w:t>
            </w:r>
            <w:r w:rsidR="00BF6FA2">
              <w:rPr>
                <w:rFonts w:ascii="Times New Roman" w:eastAsia="Times New Roman" w:hAnsi="Times New Roman" w:cs="Times New Roman"/>
                <w:color w:val="000000"/>
                <w:sz w:val="24"/>
                <w:szCs w:val="24"/>
                <w:lang w:val="mk-MK"/>
              </w:rPr>
              <w:t xml:space="preserve">колаген </w:t>
            </w:r>
            <w:r w:rsidRPr="00215667">
              <w:rPr>
                <w:rFonts w:ascii="Times New Roman" w:eastAsia="Times New Roman" w:hAnsi="Times New Roman" w:cs="Times New Roman"/>
                <w:color w:val="000000"/>
                <w:sz w:val="24"/>
                <w:szCs w:val="24"/>
              </w:rPr>
              <w:t>(</w:t>
            </w:r>
            <w:proofErr w:type="spellStart"/>
            <w:r w:rsidRPr="00215667">
              <w:rPr>
                <w:rFonts w:ascii="Times New Roman" w:eastAsia="Times New Roman" w:hAnsi="Times New Roman" w:cs="Times New Roman"/>
                <w:color w:val="000000"/>
                <w:sz w:val="24"/>
                <w:szCs w:val="24"/>
              </w:rPr>
              <w:t>пред</w:t>
            </w:r>
            <w:proofErr w:type="spellEnd"/>
            <w:r w:rsidRPr="00215667">
              <w:rPr>
                <w:rFonts w:ascii="Times New Roman" w:eastAsia="Times New Roman" w:hAnsi="Times New Roman" w:cs="Times New Roman"/>
                <w:color w:val="000000"/>
                <w:sz w:val="24"/>
                <w:szCs w:val="24"/>
              </w:rPr>
              <w:t xml:space="preserve"> </w:t>
            </w:r>
            <w:proofErr w:type="spellStart"/>
            <w:r w:rsidRPr="00215667">
              <w:rPr>
                <w:rFonts w:ascii="Times New Roman" w:eastAsia="Times New Roman" w:hAnsi="Times New Roman" w:cs="Times New Roman"/>
                <w:color w:val="000000"/>
                <w:sz w:val="24"/>
                <w:szCs w:val="24"/>
              </w:rPr>
              <w:t>дијагноза</w:t>
            </w:r>
            <w:proofErr w:type="spellEnd"/>
            <w:r w:rsidRPr="00215667">
              <w:rPr>
                <w:rFonts w:ascii="Times New Roman" w:eastAsia="Times New Roman" w:hAnsi="Times New Roman" w:cs="Times New Roman"/>
                <w:color w:val="000000"/>
                <w:sz w:val="24"/>
                <w:szCs w:val="24"/>
              </w:rPr>
              <w:t xml:space="preserve"> </w:t>
            </w:r>
            <w:r w:rsidRPr="00BF6FA2">
              <w:rPr>
                <w:rFonts w:ascii="Times New Roman" w:eastAsia="Times New Roman" w:hAnsi="Times New Roman" w:cs="Times New Roman"/>
                <w:i/>
                <w:iCs/>
                <w:color w:val="000000"/>
                <w:sz w:val="24"/>
                <w:szCs w:val="24"/>
              </w:rPr>
              <w:t>Kruskal-Wallis test</w:t>
            </w:r>
            <w:r w:rsidRPr="00215667">
              <w:rPr>
                <w:rFonts w:ascii="Times New Roman" w:eastAsia="Times New Roman" w:hAnsi="Times New Roman" w:cs="Times New Roman"/>
                <w:color w:val="000000"/>
                <w:sz w:val="24"/>
                <w:szCs w:val="24"/>
              </w:rPr>
              <w:t>: H (2, N</w:t>
            </w:r>
            <w:r w:rsidR="00BF6FA2">
              <w:rPr>
                <w:rFonts w:ascii="Times New Roman" w:eastAsia="Times New Roman" w:hAnsi="Times New Roman" w:cs="Times New Roman"/>
                <w:color w:val="000000"/>
                <w:sz w:val="24"/>
                <w:szCs w:val="24"/>
                <w:lang w:val="mk-MK"/>
              </w:rPr>
              <w:t xml:space="preserve"> </w:t>
            </w:r>
            <w:r w:rsidRPr="00215667">
              <w:rPr>
                <w:rFonts w:ascii="Times New Roman" w:eastAsia="Times New Roman" w:hAnsi="Times New Roman" w:cs="Times New Roman"/>
                <w:color w:val="000000"/>
                <w:sz w:val="24"/>
                <w:szCs w:val="24"/>
              </w:rPr>
              <w:t>= 64) =</w:t>
            </w:r>
            <w:r w:rsidR="00BF6FA2">
              <w:rPr>
                <w:rFonts w:ascii="Times New Roman" w:eastAsia="Times New Roman" w:hAnsi="Times New Roman" w:cs="Times New Roman"/>
                <w:color w:val="000000"/>
                <w:sz w:val="24"/>
                <w:szCs w:val="24"/>
                <w:lang w:val="mk-MK"/>
              </w:rPr>
              <w:t xml:space="preserve"> </w:t>
            </w:r>
            <w:r w:rsidRPr="00215667">
              <w:rPr>
                <w:rFonts w:ascii="Times New Roman" w:eastAsia="Times New Roman" w:hAnsi="Times New Roman" w:cs="Times New Roman"/>
                <w:color w:val="000000"/>
                <w:sz w:val="24"/>
                <w:szCs w:val="24"/>
              </w:rPr>
              <w:t>7.266578 p =</w:t>
            </w:r>
            <w:r w:rsidR="00BF6FA2">
              <w:rPr>
                <w:rFonts w:ascii="Times New Roman" w:eastAsia="Times New Roman" w:hAnsi="Times New Roman" w:cs="Times New Roman"/>
                <w:color w:val="000000"/>
                <w:sz w:val="24"/>
                <w:szCs w:val="24"/>
                <w:lang w:val="mk-MK"/>
              </w:rPr>
              <w:t xml:space="preserve"> </w:t>
            </w:r>
            <w:r w:rsidRPr="00215667">
              <w:rPr>
                <w:rFonts w:ascii="Times New Roman" w:eastAsia="Times New Roman" w:hAnsi="Times New Roman" w:cs="Times New Roman"/>
                <w:color w:val="000000"/>
                <w:sz w:val="24"/>
                <w:szCs w:val="24"/>
              </w:rPr>
              <w:t>.0264</w:t>
            </w:r>
          </w:p>
        </w:tc>
      </w:tr>
      <w:tr w:rsidR="00412474" w:rsidRPr="00215667" w14:paraId="211870D5"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CA59235" w14:textId="77777777" w:rsidR="00412474" w:rsidRPr="00215667" w:rsidRDefault="00412474" w:rsidP="00435E3A">
            <w:pPr>
              <w:spacing w:line="256"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6E702DF"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1 - R:52.000</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7661C60"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2 - R:37.559</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35B4FFD"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3 - R:25.897</w:t>
            </w:r>
          </w:p>
        </w:tc>
      </w:tr>
      <w:tr w:rsidR="00412474" w:rsidRPr="00215667" w14:paraId="17283F26"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1AD5FA4" w14:textId="77777777" w:rsidR="00412474" w:rsidRPr="00215667" w:rsidRDefault="00412474" w:rsidP="00435E3A">
            <w:pP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Cs/>
                <w:color w:val="000000"/>
                <w:sz w:val="24"/>
                <w:szCs w:val="24"/>
              </w:rPr>
              <w:t>лесен</w:t>
            </w:r>
            <w:proofErr w:type="spellEnd"/>
            <w:r w:rsidRPr="00215667">
              <w:rPr>
                <w:rFonts w:ascii="Times New Roman" w:eastAsia="Times New Roman" w:hAnsi="Times New Roman" w:cs="Times New Roman"/>
                <w:b/>
                <w:bCs/>
                <w:color w:val="000000"/>
                <w:sz w:val="24"/>
                <w:szCs w:val="24"/>
              </w:rPr>
              <w:t xml:space="preserve"> 1</w:t>
            </w:r>
          </w:p>
        </w:tc>
        <w:tc>
          <w:tcPr>
            <w:tcW w:w="0" w:type="auto"/>
            <w:tcBorders>
              <w:top w:val="single" w:sz="4" w:space="0" w:color="auto"/>
              <w:left w:val="single" w:sz="4" w:space="0" w:color="auto"/>
              <w:bottom w:val="single" w:sz="4" w:space="0" w:color="auto"/>
              <w:right w:val="single" w:sz="4" w:space="0" w:color="auto"/>
            </w:tcBorders>
            <w:noWrap/>
            <w:hideMark/>
          </w:tcPr>
          <w:p w14:paraId="333ADC43" w14:textId="77777777" w:rsidR="00412474" w:rsidRPr="00215667" w:rsidRDefault="00412474" w:rsidP="00435E3A">
            <w:pPr>
              <w:spacing w:line="256" w:lineRule="auto"/>
              <w:rPr>
                <w:rFonts w:ascii="Times New Roman" w:eastAsia="Times New Roman" w:hAnsi="Times New Roman" w:cs="Times New Roman"/>
                <w:b/>
                <w:bCs/>
                <w:sz w:val="24"/>
                <w:szCs w:val="24"/>
              </w:rPr>
            </w:pPr>
          </w:p>
        </w:tc>
        <w:tc>
          <w:tcPr>
            <w:tcW w:w="0" w:type="auto"/>
            <w:tcBorders>
              <w:top w:val="single" w:sz="4" w:space="0" w:color="auto"/>
              <w:left w:val="single" w:sz="4" w:space="0" w:color="auto"/>
              <w:bottom w:val="single" w:sz="4" w:space="0" w:color="auto"/>
              <w:right w:val="single" w:sz="4" w:space="0" w:color="auto"/>
            </w:tcBorders>
            <w:noWrap/>
            <w:hideMark/>
          </w:tcPr>
          <w:p w14:paraId="7420CD54"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1.000000</w:t>
            </w:r>
          </w:p>
        </w:tc>
        <w:tc>
          <w:tcPr>
            <w:tcW w:w="0" w:type="auto"/>
            <w:tcBorders>
              <w:top w:val="single" w:sz="4" w:space="0" w:color="auto"/>
              <w:left w:val="single" w:sz="4" w:space="0" w:color="auto"/>
              <w:bottom w:val="single" w:sz="4" w:space="0" w:color="auto"/>
              <w:right w:val="single" w:sz="4" w:space="0" w:color="auto"/>
            </w:tcBorders>
            <w:noWrap/>
            <w:hideMark/>
          </w:tcPr>
          <w:p w14:paraId="29720B4D"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0.504225</w:t>
            </w:r>
          </w:p>
        </w:tc>
      </w:tr>
      <w:tr w:rsidR="00412474" w:rsidRPr="00215667" w14:paraId="3FD231FE"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E0B54CA" w14:textId="77777777" w:rsidR="00412474" w:rsidRPr="00215667" w:rsidRDefault="00412474" w:rsidP="00435E3A">
            <w:pP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Cs/>
                <w:color w:val="000000"/>
                <w:sz w:val="24"/>
                <w:szCs w:val="24"/>
              </w:rPr>
              <w:t>умерен</w:t>
            </w:r>
            <w:proofErr w:type="spellEnd"/>
            <w:r w:rsidRPr="00215667">
              <w:rPr>
                <w:rFonts w:ascii="Times New Roman" w:eastAsia="Times New Roman" w:hAnsi="Times New Roman" w:cs="Times New Roman"/>
                <w:b/>
                <w:bCs/>
                <w:color w:val="000000"/>
                <w:sz w:val="24"/>
                <w:szCs w:val="24"/>
              </w:rPr>
              <w:t xml:space="preserve"> 2</w:t>
            </w:r>
          </w:p>
        </w:tc>
        <w:tc>
          <w:tcPr>
            <w:tcW w:w="0" w:type="auto"/>
            <w:tcBorders>
              <w:top w:val="single" w:sz="4" w:space="0" w:color="auto"/>
              <w:left w:val="single" w:sz="4" w:space="0" w:color="auto"/>
              <w:bottom w:val="single" w:sz="4" w:space="0" w:color="auto"/>
              <w:right w:val="single" w:sz="4" w:space="0" w:color="auto"/>
            </w:tcBorders>
            <w:noWrap/>
            <w:hideMark/>
          </w:tcPr>
          <w:p w14:paraId="13C0CE3C"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1.000000</w:t>
            </w:r>
          </w:p>
        </w:tc>
        <w:tc>
          <w:tcPr>
            <w:tcW w:w="0" w:type="auto"/>
            <w:tcBorders>
              <w:top w:val="single" w:sz="4" w:space="0" w:color="auto"/>
              <w:left w:val="single" w:sz="4" w:space="0" w:color="auto"/>
              <w:bottom w:val="single" w:sz="4" w:space="0" w:color="auto"/>
              <w:right w:val="single" w:sz="4" w:space="0" w:color="auto"/>
            </w:tcBorders>
            <w:noWrap/>
            <w:hideMark/>
          </w:tcPr>
          <w:p w14:paraId="66B48938" w14:textId="77777777" w:rsidR="00412474" w:rsidRPr="00215667" w:rsidRDefault="00412474" w:rsidP="00435E3A">
            <w:pPr>
              <w:spacing w:line="256" w:lineRule="auto"/>
              <w:rPr>
                <w:rFonts w:ascii="Times New Roman" w:eastAsia="Times New Roman" w:hAnsi="Times New Roman" w:cs="Times New Roman"/>
                <w:sz w:val="24"/>
                <w:szCs w:val="24"/>
              </w:rPr>
            </w:pPr>
          </w:p>
        </w:tc>
        <w:tc>
          <w:tcPr>
            <w:tcW w:w="0" w:type="auto"/>
            <w:tcBorders>
              <w:top w:val="single" w:sz="4" w:space="0" w:color="auto"/>
              <w:left w:val="single" w:sz="4" w:space="0" w:color="auto"/>
              <w:bottom w:val="single" w:sz="4" w:space="0" w:color="auto"/>
              <w:right w:val="single" w:sz="4" w:space="0" w:color="auto"/>
            </w:tcBorders>
            <w:noWrap/>
            <w:hideMark/>
          </w:tcPr>
          <w:p w14:paraId="370116BD"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FF0000"/>
                <w:sz w:val="24"/>
                <w:szCs w:val="24"/>
              </w:rPr>
              <w:t>0.039640</w:t>
            </w:r>
          </w:p>
        </w:tc>
      </w:tr>
      <w:tr w:rsidR="00412474" w:rsidRPr="00215667" w14:paraId="635BDA0A"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DD4B53C" w14:textId="77777777" w:rsidR="00412474" w:rsidRPr="00215667" w:rsidRDefault="00412474" w:rsidP="00435E3A">
            <w:pP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Cs/>
                <w:color w:val="000000"/>
                <w:sz w:val="24"/>
                <w:szCs w:val="24"/>
              </w:rPr>
              <w:t>тежок</w:t>
            </w:r>
            <w:proofErr w:type="spellEnd"/>
            <w:r w:rsidRPr="00215667">
              <w:rPr>
                <w:rFonts w:ascii="Times New Roman" w:eastAsia="Times New Roman" w:hAnsi="Times New Roman" w:cs="Times New Roman"/>
                <w:b/>
                <w:bCs/>
                <w:color w:val="000000"/>
                <w:sz w:val="24"/>
                <w:szCs w:val="24"/>
              </w:rPr>
              <w:t xml:space="preserve"> 3</w:t>
            </w:r>
          </w:p>
        </w:tc>
        <w:tc>
          <w:tcPr>
            <w:tcW w:w="0" w:type="auto"/>
            <w:tcBorders>
              <w:top w:val="single" w:sz="4" w:space="0" w:color="auto"/>
              <w:left w:val="single" w:sz="4" w:space="0" w:color="auto"/>
              <w:bottom w:val="single" w:sz="4" w:space="0" w:color="auto"/>
              <w:right w:val="single" w:sz="4" w:space="0" w:color="auto"/>
            </w:tcBorders>
            <w:noWrap/>
            <w:hideMark/>
          </w:tcPr>
          <w:p w14:paraId="6439C870"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0.504225</w:t>
            </w:r>
          </w:p>
        </w:tc>
        <w:tc>
          <w:tcPr>
            <w:tcW w:w="0" w:type="auto"/>
            <w:tcBorders>
              <w:top w:val="single" w:sz="4" w:space="0" w:color="auto"/>
              <w:left w:val="single" w:sz="4" w:space="0" w:color="auto"/>
              <w:bottom w:val="single" w:sz="4" w:space="0" w:color="auto"/>
              <w:right w:val="single" w:sz="4" w:space="0" w:color="auto"/>
            </w:tcBorders>
            <w:noWrap/>
            <w:hideMark/>
          </w:tcPr>
          <w:p w14:paraId="17CB6474"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FF0000"/>
                <w:sz w:val="24"/>
                <w:szCs w:val="24"/>
              </w:rPr>
              <w:t>0.039640</w:t>
            </w:r>
          </w:p>
        </w:tc>
        <w:tc>
          <w:tcPr>
            <w:tcW w:w="0" w:type="auto"/>
            <w:tcBorders>
              <w:top w:val="single" w:sz="4" w:space="0" w:color="auto"/>
              <w:left w:val="single" w:sz="4" w:space="0" w:color="auto"/>
              <w:bottom w:val="single" w:sz="4" w:space="0" w:color="auto"/>
              <w:right w:val="single" w:sz="4" w:space="0" w:color="auto"/>
            </w:tcBorders>
            <w:noWrap/>
            <w:hideMark/>
          </w:tcPr>
          <w:p w14:paraId="70D981F7" w14:textId="77777777" w:rsidR="00412474" w:rsidRPr="00215667" w:rsidRDefault="00412474" w:rsidP="00435E3A">
            <w:pPr>
              <w:spacing w:line="256" w:lineRule="auto"/>
              <w:rPr>
                <w:rFonts w:ascii="Times New Roman" w:eastAsia="Times New Roman" w:hAnsi="Times New Roman" w:cs="Times New Roman"/>
                <w:sz w:val="24"/>
                <w:szCs w:val="24"/>
              </w:rPr>
            </w:pPr>
          </w:p>
        </w:tc>
      </w:tr>
    </w:tbl>
    <w:p w14:paraId="55C88E78"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6689EF81" w14:textId="6DF22FFE" w:rsidR="00412474" w:rsidRPr="00215667" w:rsidRDefault="00412474" w:rsidP="00412474">
      <w:pPr>
        <w:spacing w:after="120" w:line="360" w:lineRule="auto"/>
        <w:ind w:firstLine="720"/>
        <w:jc w:val="both"/>
        <w:rPr>
          <w:rFonts w:ascii="Times New Roman" w:eastAsia="Calibri" w:hAnsi="Times New Roman" w:cs="Times New Roman"/>
          <w:bCs/>
          <w:sz w:val="24"/>
          <w:szCs w:val="24"/>
        </w:rPr>
      </w:pPr>
      <w:r w:rsidRPr="00215667">
        <w:rPr>
          <w:rFonts w:ascii="Times New Roman" w:eastAsia="Calibri" w:hAnsi="Times New Roman" w:cs="Times New Roman"/>
          <w:sz w:val="24"/>
          <w:szCs w:val="24"/>
        </w:rPr>
        <w:t xml:space="preserve">Просечното времетраење на </w:t>
      </w:r>
      <w:r w:rsidR="00EC49EB" w:rsidRPr="00215667">
        <w:rPr>
          <w:rFonts w:ascii="Times New Roman" w:eastAsia="Calibri" w:hAnsi="Times New Roman" w:cs="Times New Roman"/>
          <w:sz w:val="24"/>
          <w:szCs w:val="24"/>
        </w:rPr>
        <w:t>крвавење</w:t>
      </w:r>
      <w:r w:rsidRPr="00215667">
        <w:rPr>
          <w:rFonts w:ascii="Times New Roman" w:eastAsia="Calibri" w:hAnsi="Times New Roman" w:cs="Times New Roman"/>
          <w:sz w:val="24"/>
          <w:szCs w:val="24"/>
        </w:rPr>
        <w:t xml:space="preserve">то во минути кај екстракција на заби кај пациентите со </w:t>
      </w:r>
      <w:r w:rsidRPr="00215667">
        <w:rPr>
          <w:rFonts w:ascii="Times New Roman" w:eastAsia="Calibri" w:hAnsi="Times New Roman" w:cs="Times New Roman"/>
          <w:bCs/>
          <w:sz w:val="24"/>
          <w:szCs w:val="24"/>
        </w:rPr>
        <w:t xml:space="preserve">пролонгирани крварења/ </w:t>
      </w:r>
      <w:r w:rsidRPr="00215667">
        <w:rPr>
          <w:rFonts w:ascii="Times New Roman" w:eastAsia="Calibri" w:hAnsi="Times New Roman" w:cs="Times New Roman"/>
          <w:sz w:val="24"/>
          <w:szCs w:val="24"/>
        </w:rPr>
        <w:t>хипоагрегабилност изнесува 267.3</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BF6FA2">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215.7 во ранг до 720 минути. Во групата на пациенти со хипоагрегабилност се регистрира висока стандардна девијација која индиректно зборува за големи варијации на статистичките единици околу просечната вредност (табела</w:t>
      </w:r>
      <w:r w:rsidR="00D33984">
        <w:rPr>
          <w:rFonts w:ascii="Times New Roman" w:eastAsia="Calibri" w:hAnsi="Times New Roman" w:cs="Times New Roman"/>
          <w:sz w:val="24"/>
          <w:szCs w:val="24"/>
        </w:rPr>
        <w:t xml:space="preserve"> бр. 10</w:t>
      </w:r>
      <w:r w:rsidRPr="00215667">
        <w:rPr>
          <w:rFonts w:ascii="Times New Roman" w:eastAsia="Calibri" w:hAnsi="Times New Roman" w:cs="Times New Roman"/>
          <w:sz w:val="24"/>
          <w:szCs w:val="24"/>
        </w:rPr>
        <w:t xml:space="preserve"> и графикон бр</w:t>
      </w:r>
      <w:r w:rsidR="00D33984">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10).</w:t>
      </w:r>
    </w:p>
    <w:p w14:paraId="54B60513" w14:textId="18270220" w:rsidR="00412474" w:rsidRPr="00215667" w:rsidRDefault="00412474" w:rsidP="00D33984">
      <w:pPr>
        <w:spacing w:after="120" w:line="360" w:lineRule="auto"/>
        <w:ind w:firstLine="720"/>
        <w:jc w:val="both"/>
        <w:rPr>
          <w:rFonts w:ascii="Times New Roman" w:eastAsia="Calibri" w:hAnsi="Times New Roman" w:cs="Times New Roman"/>
          <w:bCs/>
          <w:sz w:val="24"/>
          <w:szCs w:val="24"/>
        </w:rPr>
      </w:pPr>
      <w:r w:rsidRPr="00215667">
        <w:rPr>
          <w:rFonts w:ascii="Times New Roman" w:eastAsia="Calibri" w:hAnsi="Times New Roman" w:cs="Times New Roman"/>
          <w:sz w:val="24"/>
          <w:szCs w:val="24"/>
        </w:rPr>
        <w:t xml:space="preserve">Просечното времетраење на </w:t>
      </w:r>
      <w:r w:rsidR="00EC49EB" w:rsidRPr="00215667">
        <w:rPr>
          <w:rFonts w:ascii="Times New Roman" w:eastAsia="Calibri" w:hAnsi="Times New Roman" w:cs="Times New Roman"/>
          <w:sz w:val="24"/>
          <w:szCs w:val="24"/>
        </w:rPr>
        <w:t>крвавење</w:t>
      </w:r>
      <w:r w:rsidRPr="00215667">
        <w:rPr>
          <w:rFonts w:ascii="Times New Roman" w:eastAsia="Calibri" w:hAnsi="Times New Roman" w:cs="Times New Roman"/>
          <w:sz w:val="24"/>
          <w:szCs w:val="24"/>
        </w:rPr>
        <w:t>то во минути кај екстракција на заби кај</w:t>
      </w:r>
      <w:r w:rsidRPr="00215667">
        <w:rPr>
          <w:rFonts w:ascii="Times New Roman" w:eastAsia="Calibri" w:hAnsi="Times New Roman" w:cs="Times New Roman"/>
          <w:bCs/>
          <w:sz w:val="24"/>
          <w:szCs w:val="24"/>
        </w:rPr>
        <w:t xml:space="preserve"> здрави пациенти постекстракционо </w:t>
      </w:r>
      <w:r w:rsidRPr="00215667">
        <w:rPr>
          <w:rFonts w:ascii="Times New Roman" w:eastAsia="Calibri" w:hAnsi="Times New Roman" w:cs="Times New Roman"/>
          <w:sz w:val="24"/>
          <w:szCs w:val="24"/>
        </w:rPr>
        <w:t>изнесува 12.1</w:t>
      </w:r>
      <w:r w:rsidR="00D33984">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D33984">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3.8 во ранг од 3.0 до 20 минути (табела </w:t>
      </w:r>
      <w:r w:rsidR="00D33984">
        <w:rPr>
          <w:rFonts w:ascii="Times New Roman" w:eastAsia="Calibri" w:hAnsi="Times New Roman" w:cs="Times New Roman"/>
          <w:sz w:val="24"/>
          <w:szCs w:val="24"/>
        </w:rPr>
        <w:t xml:space="preserve">бр. 10 </w:t>
      </w:r>
      <w:r w:rsidRPr="00215667">
        <w:rPr>
          <w:rFonts w:ascii="Times New Roman" w:eastAsia="Calibri" w:hAnsi="Times New Roman" w:cs="Times New Roman"/>
          <w:sz w:val="24"/>
          <w:szCs w:val="24"/>
        </w:rPr>
        <w:t>и графикон бр</w:t>
      </w:r>
      <w:r w:rsidR="00D33984">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10).</w:t>
      </w:r>
    </w:p>
    <w:p w14:paraId="65ED823E" w14:textId="7E576D5F" w:rsidR="00412474" w:rsidRPr="00215667" w:rsidRDefault="00412474" w:rsidP="00D33984">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 xml:space="preserve">Според </w:t>
      </w:r>
      <w:r w:rsidRPr="00D33984">
        <w:rPr>
          <w:rFonts w:ascii="Times New Roman" w:eastAsia="Times New Roman" w:hAnsi="Times New Roman" w:cs="Times New Roman"/>
          <w:i/>
          <w:iCs/>
          <w:color w:val="000000"/>
          <w:sz w:val="24"/>
          <w:szCs w:val="24"/>
        </w:rPr>
        <w:t>Mann-Whitney U Test</w:t>
      </w:r>
      <w:r w:rsidRPr="00215667">
        <w:rPr>
          <w:rFonts w:ascii="Times New Roman" w:eastAsia="Times New Roman" w:hAnsi="Times New Roman" w:cs="Times New Roman"/>
          <w:color w:val="000000"/>
          <w:sz w:val="24"/>
          <w:szCs w:val="24"/>
        </w:rPr>
        <w:t xml:space="preserve"> разликата која се регистрира помеѓу просечните вредности е сигнификантна за p</w:t>
      </w:r>
      <w:r w:rsidR="00D33984">
        <w:rPr>
          <w:rFonts w:ascii="Times New Roman" w:eastAsia="Times New Roman" w:hAnsi="Times New Roman" w:cs="Times New Roman"/>
          <w:color w:val="000000"/>
          <w:sz w:val="24"/>
          <w:szCs w:val="24"/>
        </w:rPr>
        <w:t xml:space="preserve"> </w:t>
      </w:r>
      <w:r w:rsidRPr="00215667">
        <w:rPr>
          <w:rFonts w:ascii="Times New Roman" w:eastAsia="Times New Roman" w:hAnsi="Times New Roman" w:cs="Times New Roman"/>
          <w:color w:val="000000"/>
          <w:sz w:val="24"/>
          <w:szCs w:val="24"/>
        </w:rPr>
        <w:t>&lt;</w:t>
      </w:r>
      <w:r w:rsidR="00D33984">
        <w:rPr>
          <w:rFonts w:ascii="Times New Roman" w:eastAsia="Times New Roman" w:hAnsi="Times New Roman" w:cs="Times New Roman"/>
          <w:color w:val="000000"/>
          <w:sz w:val="24"/>
          <w:szCs w:val="24"/>
        </w:rPr>
        <w:t xml:space="preserve"> </w:t>
      </w:r>
      <w:r w:rsidRPr="00215667">
        <w:rPr>
          <w:rFonts w:ascii="Times New Roman" w:eastAsia="Times New Roman" w:hAnsi="Times New Roman" w:cs="Times New Roman"/>
          <w:color w:val="000000"/>
          <w:sz w:val="24"/>
          <w:szCs w:val="24"/>
        </w:rPr>
        <w:t>.005</w:t>
      </w:r>
      <w:r w:rsidR="00D33984">
        <w:rPr>
          <w:rFonts w:ascii="Times New Roman" w:eastAsia="Times New Roman" w:hAnsi="Times New Roman" w:cs="Times New Roman"/>
          <w:color w:val="000000"/>
          <w:sz w:val="24"/>
          <w:szCs w:val="24"/>
        </w:rPr>
        <w:t xml:space="preserve"> </w:t>
      </w:r>
      <w:r w:rsidRPr="00215667">
        <w:rPr>
          <w:rFonts w:ascii="Times New Roman" w:eastAsia="Times New Roman" w:hAnsi="Times New Roman" w:cs="Times New Roman"/>
          <w:color w:val="000000"/>
          <w:sz w:val="24"/>
          <w:szCs w:val="24"/>
        </w:rPr>
        <w:t>(</w:t>
      </w:r>
      <w:r w:rsidRPr="00D33984">
        <w:rPr>
          <w:rFonts w:ascii="Times New Roman" w:eastAsia="Times New Roman" w:hAnsi="Times New Roman" w:cs="Times New Roman"/>
          <w:i/>
          <w:iCs/>
          <w:color w:val="000000"/>
          <w:sz w:val="24"/>
          <w:szCs w:val="24"/>
        </w:rPr>
        <w:t>Mann-Whitney U Test</w:t>
      </w:r>
      <w:r w:rsidRPr="00215667">
        <w:rPr>
          <w:rFonts w:ascii="Times New Roman" w:eastAsia="Times New Roman" w:hAnsi="Times New Roman" w:cs="Times New Roman"/>
          <w:color w:val="000000"/>
          <w:sz w:val="24"/>
          <w:szCs w:val="24"/>
        </w:rPr>
        <w:t>, U 406.0, Z 5.558646, p</w:t>
      </w:r>
      <w:r w:rsidR="00D33984">
        <w:rPr>
          <w:rFonts w:ascii="Times New Roman" w:eastAsia="Times New Roman" w:hAnsi="Times New Roman" w:cs="Times New Roman"/>
          <w:color w:val="000000"/>
          <w:sz w:val="24"/>
          <w:szCs w:val="24"/>
        </w:rPr>
        <w:t xml:space="preserve"> </w:t>
      </w:r>
      <w:r w:rsidRPr="00215667">
        <w:rPr>
          <w:rFonts w:ascii="Times New Roman" w:eastAsia="Times New Roman" w:hAnsi="Times New Roman" w:cs="Times New Roman"/>
          <w:color w:val="FF0000"/>
          <w:sz w:val="24"/>
          <w:szCs w:val="24"/>
        </w:rPr>
        <w:t>=</w:t>
      </w:r>
      <w:r w:rsidR="00D33984">
        <w:rPr>
          <w:rFonts w:ascii="Times New Roman" w:eastAsia="Times New Roman" w:hAnsi="Times New Roman" w:cs="Times New Roman"/>
          <w:color w:val="FF0000"/>
          <w:sz w:val="24"/>
          <w:szCs w:val="24"/>
        </w:rPr>
        <w:t xml:space="preserve"> </w:t>
      </w:r>
      <w:r w:rsidRPr="00215667">
        <w:rPr>
          <w:rFonts w:ascii="Times New Roman" w:eastAsia="Times New Roman" w:hAnsi="Times New Roman" w:cs="Times New Roman"/>
          <w:color w:val="FF0000"/>
          <w:sz w:val="24"/>
          <w:szCs w:val="24"/>
        </w:rPr>
        <w:t>.000000</w:t>
      </w:r>
      <w:r w:rsidRPr="00215667">
        <w:rPr>
          <w:rFonts w:ascii="Times New Roman" w:eastAsia="Times New Roman" w:hAnsi="Times New Roman" w:cs="Times New Roman"/>
          <w:color w:val="000000"/>
          <w:sz w:val="24"/>
          <w:szCs w:val="24"/>
        </w:rPr>
        <w:t>)</w:t>
      </w:r>
      <w:r w:rsidR="00D33984">
        <w:rPr>
          <w:rFonts w:ascii="Times New Roman" w:eastAsia="Times New Roman" w:hAnsi="Times New Roman" w:cs="Times New Roman"/>
          <w:color w:val="000000"/>
          <w:sz w:val="24"/>
          <w:szCs w:val="24"/>
        </w:rPr>
        <w:t>.</w:t>
      </w:r>
    </w:p>
    <w:p w14:paraId="63AA6448" w14:textId="21E43B00" w:rsidR="00412474" w:rsidRPr="00215667" w:rsidRDefault="00412474" w:rsidP="00D33984">
      <w:pPr>
        <w:spacing w:after="120" w:line="360" w:lineRule="auto"/>
        <w:jc w:val="center"/>
        <w:rPr>
          <w:rFonts w:ascii="Times New Roman" w:eastAsia="Calibri" w:hAnsi="Times New Roman" w:cs="Times New Roman"/>
          <w:bCs/>
          <w:sz w:val="24"/>
          <w:szCs w:val="24"/>
        </w:rPr>
      </w:pPr>
      <w:r w:rsidRPr="00215667">
        <w:rPr>
          <w:rFonts w:ascii="Times New Roman" w:eastAsia="Calibri" w:hAnsi="Times New Roman" w:cs="Times New Roman"/>
          <w:sz w:val="24"/>
          <w:szCs w:val="24"/>
        </w:rPr>
        <w:t>Табела бр.</w:t>
      </w:r>
      <w:r w:rsidR="00D33984">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10</w:t>
      </w:r>
      <w:r w:rsidR="00D33984">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просечното времетраење (во минути) на крвавење при екстракција/ дентоалвеоларна хирургија кај пациентите со тромбоцитна хипоагрегабилност</w:t>
      </w:r>
      <w:r w:rsidRPr="00215667">
        <w:rPr>
          <w:rFonts w:ascii="Times New Roman" w:eastAsia="Calibri" w:hAnsi="Times New Roman" w:cs="Times New Roman"/>
          <w:bCs/>
          <w:sz w:val="24"/>
          <w:szCs w:val="24"/>
        </w:rPr>
        <w:t xml:space="preserve"> версус здрави пациенти</w:t>
      </w:r>
    </w:p>
    <w:tbl>
      <w:tblPr>
        <w:tblStyle w:val="TableGrid1"/>
        <w:tblW w:w="0" w:type="auto"/>
        <w:tblLook w:val="04A0" w:firstRow="1" w:lastRow="0" w:firstColumn="1" w:lastColumn="0" w:noHBand="0" w:noVBand="1"/>
      </w:tblPr>
      <w:tblGrid>
        <w:gridCol w:w="2233"/>
        <w:gridCol w:w="709"/>
        <w:gridCol w:w="1008"/>
        <w:gridCol w:w="1305"/>
        <w:gridCol w:w="1393"/>
        <w:gridCol w:w="1210"/>
      </w:tblGrid>
      <w:tr w:rsidR="00412474" w:rsidRPr="00215667" w14:paraId="575EFAF5"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tcPr>
          <w:p w14:paraId="1AD5FD3E" w14:textId="77777777" w:rsidR="00412474" w:rsidRPr="00215667" w:rsidRDefault="00412474" w:rsidP="00435E3A">
            <w:pPr>
              <w:jc w:val="center"/>
              <w:rPr>
                <w:rFonts w:ascii="Times New Roman" w:eastAsia="Times New Roman" w:hAnsi="Times New Roman" w:cs="Times New Roman"/>
                <w:b/>
                <w:bCs/>
                <w:color w:val="000000"/>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E60FA42" w14:textId="72E70A4A" w:rsidR="00412474" w:rsidRPr="00215667" w:rsidRDefault="00D33984"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Б</w:t>
            </w:r>
            <w:proofErr w:type="spellStart"/>
            <w:r w:rsidR="00412474" w:rsidRPr="00215667">
              <w:rPr>
                <w:rFonts w:ascii="Times New Roman" w:eastAsia="Times New Roman" w:hAnsi="Times New Roman" w:cs="Times New Roman"/>
                <w:b/>
                <w:bCs/>
                <w:color w:val="000000"/>
                <w:sz w:val="24"/>
                <w:szCs w:val="24"/>
              </w:rPr>
              <w:t>рој</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096D7B70" w14:textId="459EB731" w:rsidR="00412474" w:rsidRPr="00215667" w:rsidRDefault="00D33984"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П</w:t>
            </w:r>
            <w:proofErr w:type="spellStart"/>
            <w:r w:rsidR="00412474" w:rsidRPr="00215667">
              <w:rPr>
                <w:rFonts w:ascii="Times New Roman" w:eastAsia="Times New Roman" w:hAnsi="Times New Roman" w:cs="Times New Roman"/>
                <w:b/>
                <w:bCs/>
                <w:color w:val="000000"/>
                <w:sz w:val="24"/>
                <w:szCs w:val="24"/>
              </w:rPr>
              <w:t>росек</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82539C6" w14:textId="4F0711EF" w:rsidR="00412474" w:rsidRPr="00215667" w:rsidRDefault="00D33984"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М</w:t>
            </w:r>
            <w:proofErr w:type="spellStart"/>
            <w:r w:rsidR="00412474" w:rsidRPr="00215667">
              <w:rPr>
                <w:rFonts w:ascii="Times New Roman" w:eastAsia="Times New Roman" w:hAnsi="Times New Roman" w:cs="Times New Roman"/>
                <w:b/>
                <w:bCs/>
                <w:color w:val="000000"/>
                <w:sz w:val="24"/>
                <w:szCs w:val="24"/>
              </w:rPr>
              <w:t>инимум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72642B6" w14:textId="27493085" w:rsidR="00412474" w:rsidRPr="00215667" w:rsidRDefault="00D33984"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М</w:t>
            </w:r>
            <w:proofErr w:type="spellStart"/>
            <w:r w:rsidR="00412474" w:rsidRPr="00215667">
              <w:rPr>
                <w:rFonts w:ascii="Times New Roman" w:eastAsia="Times New Roman" w:hAnsi="Times New Roman" w:cs="Times New Roman"/>
                <w:b/>
                <w:bCs/>
                <w:color w:val="000000"/>
                <w:sz w:val="24"/>
                <w:szCs w:val="24"/>
              </w:rPr>
              <w:t>аксимум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1DA1B87" w14:textId="3DD71FE1" w:rsidR="00412474" w:rsidRPr="00215667" w:rsidRDefault="00412474" w:rsidP="00435E3A">
            <w:pPr>
              <w:jc w:val="cente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
                <w:bCs/>
                <w:color w:val="000000"/>
                <w:sz w:val="24"/>
                <w:szCs w:val="24"/>
              </w:rPr>
              <w:t>Стд</w:t>
            </w:r>
            <w:proofErr w:type="spellEnd"/>
            <w:r w:rsidRPr="00215667">
              <w:rPr>
                <w:rFonts w:ascii="Times New Roman" w:eastAsia="Times New Roman" w:hAnsi="Times New Roman" w:cs="Times New Roman"/>
                <w:b/>
                <w:bCs/>
                <w:color w:val="000000"/>
                <w:sz w:val="24"/>
                <w:szCs w:val="24"/>
              </w:rPr>
              <w:t>.</w:t>
            </w:r>
            <w:r w:rsidR="00D33984">
              <w:rPr>
                <w:rFonts w:ascii="Times New Roman" w:eastAsia="Times New Roman" w:hAnsi="Times New Roman" w:cs="Times New Roman"/>
                <w:b/>
                <w:bCs/>
                <w:color w:val="000000"/>
                <w:sz w:val="24"/>
                <w:szCs w:val="24"/>
                <w:lang w:val="mk-MK"/>
              </w:rPr>
              <w:t xml:space="preserve"> </w:t>
            </w:r>
            <w:proofErr w:type="spellStart"/>
            <w:r w:rsidRPr="00215667">
              <w:rPr>
                <w:rFonts w:ascii="Times New Roman" w:eastAsia="Times New Roman" w:hAnsi="Times New Roman" w:cs="Times New Roman"/>
                <w:b/>
                <w:bCs/>
                <w:color w:val="000000"/>
                <w:sz w:val="24"/>
                <w:szCs w:val="24"/>
              </w:rPr>
              <w:t>Дев</w:t>
            </w:r>
            <w:proofErr w:type="spellEnd"/>
            <w:r w:rsidRPr="00215667">
              <w:rPr>
                <w:rFonts w:ascii="Times New Roman" w:eastAsia="Times New Roman" w:hAnsi="Times New Roman" w:cs="Times New Roman"/>
                <w:b/>
                <w:bCs/>
                <w:color w:val="000000"/>
                <w:sz w:val="24"/>
                <w:szCs w:val="24"/>
              </w:rPr>
              <w:t>.</w:t>
            </w:r>
          </w:p>
        </w:tc>
      </w:tr>
      <w:tr w:rsidR="00412474" w:rsidRPr="00215667" w14:paraId="39FC696A"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hideMark/>
          </w:tcPr>
          <w:p w14:paraId="71CE7F03" w14:textId="64FF27B4" w:rsidR="00412474" w:rsidRPr="00215667" w:rsidRDefault="00D33984" w:rsidP="00435E3A">
            <w:pPr>
              <w:jc w:val="center"/>
              <w:rPr>
                <w:rFonts w:ascii="Times New Roman" w:eastAsia="Times New Roman" w:hAnsi="Times New Roman" w:cs="Times New Roman"/>
                <w:color w:val="000000"/>
                <w:sz w:val="24"/>
                <w:szCs w:val="24"/>
              </w:rPr>
            </w:pPr>
            <w:r>
              <w:rPr>
                <w:rFonts w:ascii="Times New Roman" w:hAnsi="Times New Roman" w:cs="Times New Roman"/>
                <w:sz w:val="24"/>
                <w:szCs w:val="24"/>
                <w:lang w:val="mk-MK"/>
              </w:rPr>
              <w:t>Х</w:t>
            </w:r>
            <w:proofErr w:type="spellStart"/>
            <w:r w:rsidR="00412474" w:rsidRPr="00215667">
              <w:rPr>
                <w:rFonts w:ascii="Times New Roman" w:hAnsi="Times New Roman" w:cs="Times New Roman"/>
                <w:sz w:val="24"/>
                <w:szCs w:val="24"/>
              </w:rPr>
              <w:t>ипоагрегабилност</w:t>
            </w:r>
            <w:proofErr w:type="spellEnd"/>
            <w:r w:rsidR="00412474" w:rsidRPr="00215667">
              <w:rPr>
                <w:rFonts w:ascii="Times New Roman" w:hAnsi="Times New Roman" w:cs="Times New Roman"/>
                <w:sz w:val="24"/>
                <w:szCs w:val="24"/>
              </w:rPr>
              <w:t xml:space="preserve"> </w:t>
            </w:r>
            <w:r w:rsidR="00412474" w:rsidRPr="00215667">
              <w:rPr>
                <w:rFonts w:ascii="Times New Roman" w:hAnsi="Times New Roman" w:cs="Times New Roman"/>
                <w:bCs/>
                <w:sz w:val="24"/>
                <w:szCs w:val="24"/>
              </w:rPr>
              <w:t xml:space="preserve"> </w:t>
            </w:r>
          </w:p>
        </w:tc>
        <w:tc>
          <w:tcPr>
            <w:tcW w:w="0" w:type="auto"/>
            <w:tcBorders>
              <w:top w:val="single" w:sz="4" w:space="0" w:color="auto"/>
              <w:left w:val="single" w:sz="4" w:space="0" w:color="auto"/>
              <w:bottom w:val="single" w:sz="4" w:space="0" w:color="auto"/>
              <w:right w:val="single" w:sz="4" w:space="0" w:color="auto"/>
            </w:tcBorders>
            <w:noWrap/>
            <w:hideMark/>
          </w:tcPr>
          <w:p w14:paraId="19EB9984"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41</w:t>
            </w:r>
          </w:p>
        </w:tc>
        <w:tc>
          <w:tcPr>
            <w:tcW w:w="0" w:type="auto"/>
            <w:tcBorders>
              <w:top w:val="single" w:sz="4" w:space="0" w:color="auto"/>
              <w:left w:val="single" w:sz="4" w:space="0" w:color="auto"/>
              <w:bottom w:val="single" w:sz="4" w:space="0" w:color="auto"/>
              <w:right w:val="single" w:sz="4" w:space="0" w:color="auto"/>
            </w:tcBorders>
            <w:noWrap/>
            <w:hideMark/>
          </w:tcPr>
          <w:p w14:paraId="7E6D275A"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267.3</w:t>
            </w:r>
          </w:p>
        </w:tc>
        <w:tc>
          <w:tcPr>
            <w:tcW w:w="0" w:type="auto"/>
            <w:tcBorders>
              <w:top w:val="single" w:sz="4" w:space="0" w:color="auto"/>
              <w:left w:val="single" w:sz="4" w:space="0" w:color="auto"/>
              <w:bottom w:val="single" w:sz="4" w:space="0" w:color="auto"/>
              <w:right w:val="single" w:sz="4" w:space="0" w:color="auto"/>
            </w:tcBorders>
            <w:noWrap/>
            <w:hideMark/>
          </w:tcPr>
          <w:p w14:paraId="3C8BB60F"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0.0</w:t>
            </w:r>
          </w:p>
        </w:tc>
        <w:tc>
          <w:tcPr>
            <w:tcW w:w="0" w:type="auto"/>
            <w:tcBorders>
              <w:top w:val="single" w:sz="4" w:space="0" w:color="auto"/>
              <w:left w:val="single" w:sz="4" w:space="0" w:color="auto"/>
              <w:bottom w:val="single" w:sz="4" w:space="0" w:color="auto"/>
              <w:right w:val="single" w:sz="4" w:space="0" w:color="auto"/>
            </w:tcBorders>
            <w:noWrap/>
            <w:hideMark/>
          </w:tcPr>
          <w:p w14:paraId="56D43BC8"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720.0</w:t>
            </w:r>
          </w:p>
        </w:tc>
        <w:tc>
          <w:tcPr>
            <w:tcW w:w="0" w:type="auto"/>
            <w:tcBorders>
              <w:top w:val="single" w:sz="4" w:space="0" w:color="auto"/>
              <w:left w:val="single" w:sz="4" w:space="0" w:color="auto"/>
              <w:bottom w:val="single" w:sz="4" w:space="0" w:color="auto"/>
              <w:right w:val="single" w:sz="4" w:space="0" w:color="auto"/>
            </w:tcBorders>
            <w:noWrap/>
            <w:hideMark/>
          </w:tcPr>
          <w:p w14:paraId="27065BCC"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215.7548</w:t>
            </w:r>
          </w:p>
        </w:tc>
      </w:tr>
      <w:tr w:rsidR="00412474" w:rsidRPr="00215667" w14:paraId="3C099A39"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hideMark/>
          </w:tcPr>
          <w:p w14:paraId="2364EC37" w14:textId="2A10B744" w:rsidR="00412474" w:rsidRPr="00215667" w:rsidRDefault="00D33984" w:rsidP="00435E3A">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mk-MK"/>
              </w:rPr>
              <w:t>З</w:t>
            </w:r>
            <w:proofErr w:type="spellStart"/>
            <w:r w:rsidR="00412474" w:rsidRPr="00215667">
              <w:rPr>
                <w:rFonts w:ascii="Times New Roman" w:eastAsia="Times New Roman" w:hAnsi="Times New Roman" w:cs="Times New Roman"/>
                <w:color w:val="000000"/>
                <w:sz w:val="24"/>
                <w:szCs w:val="24"/>
              </w:rPr>
              <w:t>драви</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71C6B240"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58</w:t>
            </w:r>
          </w:p>
        </w:tc>
        <w:tc>
          <w:tcPr>
            <w:tcW w:w="0" w:type="auto"/>
            <w:tcBorders>
              <w:top w:val="single" w:sz="4" w:space="0" w:color="auto"/>
              <w:left w:val="single" w:sz="4" w:space="0" w:color="auto"/>
              <w:bottom w:val="single" w:sz="4" w:space="0" w:color="auto"/>
              <w:right w:val="single" w:sz="4" w:space="0" w:color="auto"/>
            </w:tcBorders>
            <w:noWrap/>
            <w:hideMark/>
          </w:tcPr>
          <w:p w14:paraId="6EB12AE5"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12.1</w:t>
            </w:r>
          </w:p>
        </w:tc>
        <w:tc>
          <w:tcPr>
            <w:tcW w:w="0" w:type="auto"/>
            <w:tcBorders>
              <w:top w:val="single" w:sz="4" w:space="0" w:color="auto"/>
              <w:left w:val="single" w:sz="4" w:space="0" w:color="auto"/>
              <w:bottom w:val="single" w:sz="4" w:space="0" w:color="auto"/>
              <w:right w:val="single" w:sz="4" w:space="0" w:color="auto"/>
            </w:tcBorders>
            <w:noWrap/>
            <w:hideMark/>
          </w:tcPr>
          <w:p w14:paraId="1DC797BE"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3.0</w:t>
            </w:r>
          </w:p>
        </w:tc>
        <w:tc>
          <w:tcPr>
            <w:tcW w:w="0" w:type="auto"/>
            <w:tcBorders>
              <w:top w:val="single" w:sz="4" w:space="0" w:color="auto"/>
              <w:left w:val="single" w:sz="4" w:space="0" w:color="auto"/>
              <w:bottom w:val="single" w:sz="4" w:space="0" w:color="auto"/>
              <w:right w:val="single" w:sz="4" w:space="0" w:color="auto"/>
            </w:tcBorders>
            <w:noWrap/>
            <w:hideMark/>
          </w:tcPr>
          <w:p w14:paraId="0D1513F1"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20.0</w:t>
            </w:r>
          </w:p>
        </w:tc>
        <w:tc>
          <w:tcPr>
            <w:tcW w:w="0" w:type="auto"/>
            <w:tcBorders>
              <w:top w:val="single" w:sz="4" w:space="0" w:color="auto"/>
              <w:left w:val="single" w:sz="4" w:space="0" w:color="auto"/>
              <w:bottom w:val="single" w:sz="4" w:space="0" w:color="auto"/>
              <w:right w:val="single" w:sz="4" w:space="0" w:color="auto"/>
            </w:tcBorders>
            <w:noWrap/>
            <w:hideMark/>
          </w:tcPr>
          <w:p w14:paraId="7CAAB5B3"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3.828286</w:t>
            </w:r>
          </w:p>
        </w:tc>
      </w:tr>
    </w:tbl>
    <w:p w14:paraId="576E62D5"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40D27552" w14:textId="01B1A2A9" w:rsidR="00412474" w:rsidRPr="00215667" w:rsidRDefault="00412474" w:rsidP="00D33984">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lastRenderedPageBreak/>
        <w:t>Графикон бр.</w:t>
      </w:r>
      <w:r w:rsidR="00D33984">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10</w:t>
      </w:r>
      <w:r w:rsidR="00D33984">
        <w:rPr>
          <w:rFonts w:ascii="Times New Roman" w:eastAsia="Calibri" w:hAnsi="Times New Roman" w:cs="Times New Roman"/>
          <w:sz w:val="24"/>
          <w:szCs w:val="24"/>
        </w:rPr>
        <w:t>-</w:t>
      </w:r>
      <w:r w:rsidRPr="00D33984">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Приказ на просечното времетраење (во минути) на крвавење при екстракција/ дентоалвеоларна хирургија кај пациентите со тромбоцитна хипоагрегабилност версус здрави пациенти</w:t>
      </w:r>
    </w:p>
    <w:p w14:paraId="64EBB2DD" w14:textId="51FF28A7" w:rsidR="00412474" w:rsidRPr="00215667" w:rsidRDefault="00D33984" w:rsidP="00412474">
      <w:pPr>
        <w:spacing w:after="120" w:line="360" w:lineRule="auto"/>
        <w:ind w:firstLine="720"/>
        <w:jc w:val="both"/>
        <w:rPr>
          <w:rFonts w:ascii="Times New Roman" w:eastAsia="Calibri" w:hAnsi="Times New Roman" w:cs="Times New Roman"/>
          <w:sz w:val="24"/>
          <w:szCs w:val="24"/>
        </w:rPr>
      </w:pPr>
      <w:r>
        <w:rPr>
          <w:noProof/>
          <w14:ligatures w14:val="standardContextual"/>
        </w:rPr>
        <w:drawing>
          <wp:inline distT="0" distB="0" distL="0" distR="0" wp14:anchorId="44C76E6D" wp14:editId="12AF349B">
            <wp:extent cx="5400040" cy="2112010"/>
            <wp:effectExtent l="0" t="0" r="0" b="2540"/>
            <wp:docPr id="640751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751546" name=""/>
                    <pic:cNvPicPr/>
                  </pic:nvPicPr>
                  <pic:blipFill>
                    <a:blip r:embed="rId29"/>
                    <a:stretch>
                      <a:fillRect/>
                    </a:stretch>
                  </pic:blipFill>
                  <pic:spPr>
                    <a:xfrm>
                      <a:off x="0" y="0"/>
                      <a:ext cx="5400040" cy="2112010"/>
                    </a:xfrm>
                    <a:prstGeom prst="rect">
                      <a:avLst/>
                    </a:prstGeom>
                  </pic:spPr>
                </pic:pic>
              </a:graphicData>
            </a:graphic>
          </wp:inline>
        </w:drawing>
      </w:r>
    </w:p>
    <w:p w14:paraId="4139AD97" w14:textId="77777777" w:rsidR="00412474" w:rsidRPr="00215667" w:rsidRDefault="00412474" w:rsidP="00412474">
      <w:pPr>
        <w:spacing w:after="120" w:line="360" w:lineRule="auto"/>
        <w:ind w:firstLine="720"/>
        <w:jc w:val="both"/>
        <w:rPr>
          <w:rFonts w:ascii="Times New Roman" w:eastAsia="Calibri" w:hAnsi="Times New Roman" w:cs="Times New Roman"/>
          <w:sz w:val="24"/>
          <w:szCs w:val="24"/>
        </w:rPr>
      </w:pPr>
    </w:p>
    <w:p w14:paraId="5ABD4247" w14:textId="37D849CB" w:rsidR="00412474" w:rsidRPr="00215667" w:rsidRDefault="00412474" w:rsidP="00412474">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По востановув</w:t>
      </w:r>
      <w:r w:rsidR="00D33984">
        <w:rPr>
          <w:rFonts w:ascii="Times New Roman" w:eastAsia="Calibri" w:hAnsi="Times New Roman" w:cs="Times New Roman"/>
          <w:sz w:val="24"/>
          <w:szCs w:val="24"/>
        </w:rPr>
        <w:t>а</w:t>
      </w:r>
      <w:r w:rsidRPr="00215667">
        <w:rPr>
          <w:rFonts w:ascii="Times New Roman" w:eastAsia="Calibri" w:hAnsi="Times New Roman" w:cs="Times New Roman"/>
          <w:sz w:val="24"/>
          <w:szCs w:val="24"/>
        </w:rPr>
        <w:t>ње на дијагнозата и поставување на индикација за екстракција или дентоалвеоларен хируршки третман, сите пациенти беа подложени на постапката за предоперативна припрема со интравенска апликација на транексамична киселина. Со цел да ја потврдиме ефикасноста на ТХА, ја проценивме разликата помеѓу инциденцата на PEB пред поставување на дијагнозата и ја корелираме со PEB кај предоперативно подготвени пациенти со ТХА, со следните анализи и резултати.</w:t>
      </w:r>
    </w:p>
    <w:p w14:paraId="2834B501" w14:textId="7950DE04" w:rsidR="00412474" w:rsidRPr="00215667" w:rsidRDefault="00412474" w:rsidP="00412474">
      <w:pPr>
        <w:spacing w:after="120" w:line="360" w:lineRule="auto"/>
        <w:ind w:firstLine="720"/>
        <w:jc w:val="both"/>
        <w:rPr>
          <w:rFonts w:ascii="Times New Roman" w:eastAsia="Times New Roman" w:hAnsi="Times New Roman" w:cs="Times New Roman"/>
          <w:bCs/>
          <w:color w:val="000000"/>
          <w:sz w:val="24"/>
          <w:szCs w:val="24"/>
        </w:rPr>
      </w:pPr>
      <w:r w:rsidRPr="00215667">
        <w:rPr>
          <w:rFonts w:ascii="Times New Roman" w:eastAsia="Times New Roman" w:hAnsi="Times New Roman" w:cs="Times New Roman"/>
          <w:bCs/>
          <w:color w:val="000000"/>
          <w:sz w:val="24"/>
          <w:szCs w:val="24"/>
        </w:rPr>
        <w:t xml:space="preserve">Резултатите за корелациите помеѓу времето на крвавење и ADP, </w:t>
      </w:r>
      <w:r w:rsidR="00D33984">
        <w:rPr>
          <w:rFonts w:ascii="Times New Roman" w:eastAsia="Times New Roman" w:hAnsi="Times New Roman" w:cs="Times New Roman"/>
          <w:bCs/>
          <w:color w:val="000000"/>
          <w:sz w:val="24"/>
          <w:szCs w:val="24"/>
        </w:rPr>
        <w:t>ристоцетин</w:t>
      </w:r>
      <w:r w:rsidRPr="00215667">
        <w:rPr>
          <w:rFonts w:ascii="Times New Roman" w:eastAsia="Times New Roman" w:hAnsi="Times New Roman" w:cs="Times New Roman"/>
          <w:bCs/>
          <w:color w:val="000000"/>
          <w:sz w:val="24"/>
          <w:szCs w:val="24"/>
        </w:rPr>
        <w:t xml:space="preserve">, </w:t>
      </w:r>
      <w:r w:rsidR="00D33984">
        <w:rPr>
          <w:rFonts w:ascii="Times New Roman" w:eastAsia="Times New Roman" w:hAnsi="Times New Roman" w:cs="Times New Roman"/>
          <w:bCs/>
          <w:color w:val="000000"/>
          <w:sz w:val="24"/>
          <w:szCs w:val="24"/>
        </w:rPr>
        <w:t>колаген</w:t>
      </w:r>
      <w:r w:rsidRPr="00215667">
        <w:rPr>
          <w:rFonts w:ascii="Times New Roman" w:eastAsia="Times New Roman" w:hAnsi="Times New Roman" w:cs="Times New Roman"/>
          <w:bCs/>
          <w:color w:val="000000"/>
          <w:sz w:val="24"/>
          <w:szCs w:val="24"/>
        </w:rPr>
        <w:t xml:space="preserve"> и PT</w:t>
      </w:r>
      <w:r w:rsidR="00D33984">
        <w:rPr>
          <w:rFonts w:ascii="Times New Roman" w:eastAsia="Times New Roman" w:hAnsi="Times New Roman" w:cs="Times New Roman"/>
          <w:bCs/>
          <w:color w:val="000000"/>
          <w:sz w:val="24"/>
          <w:szCs w:val="24"/>
        </w:rPr>
        <w:t>,</w:t>
      </w:r>
      <w:r w:rsidRPr="00215667">
        <w:rPr>
          <w:rFonts w:ascii="Times New Roman" w:eastAsia="Times New Roman" w:hAnsi="Times New Roman" w:cs="Times New Roman"/>
          <w:bCs/>
          <w:color w:val="000000"/>
          <w:sz w:val="24"/>
          <w:szCs w:val="24"/>
        </w:rPr>
        <w:t xml:space="preserve"> постопертивно по апликација на </w:t>
      </w:r>
      <w:r w:rsidR="00F00F01">
        <w:rPr>
          <w:rFonts w:ascii="Times New Roman" w:eastAsia="Times New Roman" w:hAnsi="Times New Roman" w:cs="Times New Roman"/>
          <w:bCs/>
          <w:color w:val="000000"/>
          <w:sz w:val="24"/>
          <w:szCs w:val="24"/>
        </w:rPr>
        <w:t>транексамична</w:t>
      </w:r>
      <w:r w:rsidRPr="00215667">
        <w:rPr>
          <w:rFonts w:ascii="Times New Roman" w:eastAsia="Times New Roman" w:hAnsi="Times New Roman" w:cs="Times New Roman"/>
          <w:bCs/>
          <w:color w:val="000000"/>
          <w:sz w:val="24"/>
          <w:szCs w:val="24"/>
        </w:rPr>
        <w:t xml:space="preserve"> киселина покажаа дека</w:t>
      </w:r>
      <w:r w:rsidR="00D33984">
        <w:rPr>
          <w:rFonts w:ascii="Times New Roman" w:eastAsia="Times New Roman" w:hAnsi="Times New Roman" w:cs="Times New Roman"/>
          <w:bCs/>
          <w:color w:val="000000"/>
          <w:sz w:val="24"/>
          <w:szCs w:val="24"/>
        </w:rPr>
        <w:t xml:space="preserve"> п</w:t>
      </w:r>
      <w:r w:rsidRPr="00215667">
        <w:rPr>
          <w:rFonts w:ascii="Times New Roman" w:eastAsia="Times New Roman" w:hAnsi="Times New Roman" w:cs="Times New Roman"/>
          <w:bCs/>
          <w:color w:val="000000"/>
          <w:sz w:val="24"/>
          <w:szCs w:val="24"/>
        </w:rPr>
        <w:t>о интравенска апликација на транексамична киселина, резултатите покажаа дека, помеѓу времето на крвавење постекстракционо (PEB) и вредностите на ADP</w:t>
      </w:r>
      <w:r w:rsidR="00D33984">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се регистрира умерена негативна индиректна сигнификантна  корелација (r</w:t>
      </w:r>
      <w:r w:rsidR="00D33984">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D33984">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-2890, p</w:t>
      </w:r>
      <w:r w:rsidR="00D33984">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FF0000"/>
          <w:sz w:val="24"/>
          <w:szCs w:val="24"/>
        </w:rPr>
        <w:t>=</w:t>
      </w:r>
      <w:r w:rsidR="00D33984">
        <w:rPr>
          <w:rFonts w:ascii="Times New Roman" w:eastAsia="Times New Roman" w:hAnsi="Times New Roman" w:cs="Times New Roman"/>
          <w:bCs/>
          <w:color w:val="FF0000"/>
          <w:sz w:val="24"/>
          <w:szCs w:val="24"/>
        </w:rPr>
        <w:t xml:space="preserve"> </w:t>
      </w:r>
      <w:r w:rsidRPr="00215667">
        <w:rPr>
          <w:rFonts w:ascii="Times New Roman" w:eastAsia="Times New Roman" w:hAnsi="Times New Roman" w:cs="Times New Roman"/>
          <w:bCs/>
          <w:color w:val="FF0000"/>
          <w:sz w:val="24"/>
          <w:szCs w:val="24"/>
        </w:rPr>
        <w:t>.023</w:t>
      </w:r>
      <w:r w:rsidRPr="00215667">
        <w:rPr>
          <w:rFonts w:ascii="Times New Roman" w:eastAsia="Times New Roman" w:hAnsi="Times New Roman" w:cs="Times New Roman"/>
          <w:bCs/>
          <w:color w:val="000000"/>
          <w:sz w:val="24"/>
          <w:szCs w:val="24"/>
        </w:rPr>
        <w:t xml:space="preserve">) (табела </w:t>
      </w:r>
      <w:r w:rsidR="00D33984">
        <w:rPr>
          <w:rFonts w:ascii="Times New Roman" w:eastAsia="Times New Roman" w:hAnsi="Times New Roman" w:cs="Times New Roman"/>
          <w:bCs/>
          <w:color w:val="000000"/>
          <w:sz w:val="24"/>
          <w:szCs w:val="24"/>
        </w:rPr>
        <w:t xml:space="preserve">бр. 11а </w:t>
      </w:r>
      <w:r w:rsidRPr="00215667">
        <w:rPr>
          <w:rFonts w:ascii="Times New Roman" w:eastAsia="Times New Roman" w:hAnsi="Times New Roman" w:cs="Times New Roman"/>
          <w:bCs/>
          <w:color w:val="000000"/>
          <w:sz w:val="24"/>
          <w:szCs w:val="24"/>
        </w:rPr>
        <w:t>и графикон бр</w:t>
      </w:r>
      <w:r w:rsidR="00D33984">
        <w:rPr>
          <w:rFonts w:ascii="Times New Roman" w:eastAsia="Times New Roman" w:hAnsi="Times New Roman" w:cs="Times New Roman"/>
          <w:bCs/>
          <w:color w:val="000000"/>
          <w:sz w:val="24"/>
          <w:szCs w:val="24"/>
        </w:rPr>
        <w:t>.</w:t>
      </w:r>
      <w:r w:rsidRPr="00215667">
        <w:rPr>
          <w:rFonts w:ascii="Times New Roman" w:eastAsia="Times New Roman" w:hAnsi="Times New Roman" w:cs="Times New Roman"/>
          <w:bCs/>
          <w:color w:val="000000"/>
          <w:sz w:val="24"/>
          <w:szCs w:val="24"/>
        </w:rPr>
        <w:t xml:space="preserve"> 11а)</w:t>
      </w:r>
      <w:r w:rsidR="00D33984">
        <w:rPr>
          <w:rFonts w:ascii="Times New Roman" w:eastAsia="Times New Roman" w:hAnsi="Times New Roman" w:cs="Times New Roman"/>
          <w:bCs/>
          <w:color w:val="000000"/>
          <w:sz w:val="24"/>
          <w:szCs w:val="24"/>
        </w:rPr>
        <w:t>.</w:t>
      </w:r>
    </w:p>
    <w:p w14:paraId="0910B345" w14:textId="77777777" w:rsidR="00412474" w:rsidRDefault="00412474" w:rsidP="00412474">
      <w:pPr>
        <w:spacing w:after="120" w:line="360" w:lineRule="auto"/>
        <w:ind w:firstLine="720"/>
        <w:jc w:val="both"/>
        <w:rPr>
          <w:rFonts w:ascii="Times New Roman" w:eastAsia="Times New Roman" w:hAnsi="Times New Roman" w:cs="Times New Roman"/>
          <w:bCs/>
          <w:color w:val="000000"/>
          <w:sz w:val="24"/>
          <w:szCs w:val="24"/>
        </w:rPr>
      </w:pPr>
    </w:p>
    <w:p w14:paraId="30923F30" w14:textId="77777777" w:rsidR="00D33984" w:rsidRDefault="00D33984" w:rsidP="00412474">
      <w:pPr>
        <w:spacing w:after="120" w:line="360" w:lineRule="auto"/>
        <w:ind w:firstLine="720"/>
        <w:jc w:val="both"/>
        <w:rPr>
          <w:rFonts w:ascii="Times New Roman" w:eastAsia="Times New Roman" w:hAnsi="Times New Roman" w:cs="Times New Roman"/>
          <w:bCs/>
          <w:color w:val="000000"/>
          <w:sz w:val="24"/>
          <w:szCs w:val="24"/>
        </w:rPr>
      </w:pPr>
    </w:p>
    <w:p w14:paraId="03025D63" w14:textId="77777777" w:rsidR="00D33984" w:rsidRDefault="00D33984" w:rsidP="00412474">
      <w:pPr>
        <w:spacing w:after="120" w:line="360" w:lineRule="auto"/>
        <w:ind w:firstLine="720"/>
        <w:jc w:val="both"/>
        <w:rPr>
          <w:rFonts w:ascii="Times New Roman" w:eastAsia="Times New Roman" w:hAnsi="Times New Roman" w:cs="Times New Roman"/>
          <w:bCs/>
          <w:color w:val="000000"/>
          <w:sz w:val="24"/>
          <w:szCs w:val="24"/>
        </w:rPr>
      </w:pPr>
    </w:p>
    <w:p w14:paraId="0B936CBA" w14:textId="77777777" w:rsidR="00D33984" w:rsidRPr="00215667" w:rsidRDefault="00D33984" w:rsidP="00412474">
      <w:pPr>
        <w:spacing w:after="120" w:line="360" w:lineRule="auto"/>
        <w:ind w:firstLine="720"/>
        <w:jc w:val="both"/>
        <w:rPr>
          <w:rFonts w:ascii="Times New Roman" w:eastAsia="Times New Roman" w:hAnsi="Times New Roman" w:cs="Times New Roman"/>
          <w:bCs/>
          <w:color w:val="000000"/>
          <w:sz w:val="24"/>
          <w:szCs w:val="24"/>
        </w:rPr>
      </w:pPr>
    </w:p>
    <w:p w14:paraId="60BA119E" w14:textId="075102E4" w:rsidR="00412474" w:rsidRPr="00215667" w:rsidRDefault="00412474" w:rsidP="00D33984">
      <w:pPr>
        <w:spacing w:after="120" w:line="360" w:lineRule="auto"/>
        <w:jc w:val="center"/>
        <w:rPr>
          <w:rFonts w:ascii="Times New Roman" w:eastAsia="Times New Roman" w:hAnsi="Times New Roman" w:cs="Times New Roman"/>
          <w:bCs/>
          <w:color w:val="000000"/>
          <w:sz w:val="24"/>
          <w:szCs w:val="24"/>
        </w:rPr>
      </w:pPr>
      <w:r w:rsidRPr="00215667">
        <w:rPr>
          <w:rFonts w:ascii="Times New Roman" w:eastAsia="Times New Roman" w:hAnsi="Times New Roman" w:cs="Times New Roman"/>
          <w:bCs/>
          <w:color w:val="000000"/>
          <w:sz w:val="24"/>
          <w:szCs w:val="24"/>
        </w:rPr>
        <w:lastRenderedPageBreak/>
        <w:t>Табела бр.</w:t>
      </w:r>
      <w:r w:rsidR="00D33984">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11а</w:t>
      </w:r>
      <w:r w:rsidR="00D33984">
        <w:rPr>
          <w:rFonts w:ascii="Times New Roman" w:eastAsia="Times New Roman" w:hAnsi="Times New Roman" w:cs="Times New Roman"/>
          <w:bCs/>
          <w:color w:val="000000"/>
          <w:sz w:val="24"/>
          <w:szCs w:val="24"/>
        </w:rPr>
        <w:t>-</w:t>
      </w:r>
      <w:r w:rsidRPr="00215667">
        <w:rPr>
          <w:rFonts w:ascii="Times New Roman" w:hAnsi="Times New Roman" w:cs="Times New Roman"/>
          <w:sz w:val="24"/>
          <w:szCs w:val="24"/>
        </w:rPr>
        <w:t xml:space="preserve"> </w:t>
      </w:r>
      <w:r w:rsidRPr="00215667">
        <w:rPr>
          <w:rFonts w:ascii="Times New Roman" w:eastAsia="Times New Roman" w:hAnsi="Times New Roman" w:cs="Times New Roman"/>
          <w:bCs/>
          <w:color w:val="000000"/>
          <w:sz w:val="24"/>
          <w:szCs w:val="24"/>
        </w:rPr>
        <w:t xml:space="preserve">Приказ на корелациите помеѓу постекстракционото време на крвавење (BT) и ADP по апликација на </w:t>
      </w:r>
      <w:r w:rsidR="00F00F01">
        <w:rPr>
          <w:rFonts w:ascii="Times New Roman" w:eastAsia="Times New Roman" w:hAnsi="Times New Roman" w:cs="Times New Roman"/>
          <w:bCs/>
          <w:color w:val="000000"/>
          <w:sz w:val="24"/>
          <w:szCs w:val="24"/>
        </w:rPr>
        <w:t>транексамична</w:t>
      </w:r>
      <w:r w:rsidRPr="00215667">
        <w:rPr>
          <w:rFonts w:ascii="Times New Roman" w:eastAsia="Times New Roman" w:hAnsi="Times New Roman" w:cs="Times New Roman"/>
          <w:bCs/>
          <w:color w:val="000000"/>
          <w:sz w:val="24"/>
          <w:szCs w:val="24"/>
        </w:rPr>
        <w:t xml:space="preserve"> киселина</w:t>
      </w:r>
    </w:p>
    <w:tbl>
      <w:tblPr>
        <w:tblStyle w:val="TableGrid1"/>
        <w:tblW w:w="8926" w:type="dxa"/>
        <w:jc w:val="center"/>
        <w:tblLook w:val="04A0" w:firstRow="1" w:lastRow="0" w:firstColumn="1" w:lastColumn="0" w:noHBand="0" w:noVBand="1"/>
      </w:tblPr>
      <w:tblGrid>
        <w:gridCol w:w="7366"/>
        <w:gridCol w:w="1560"/>
      </w:tblGrid>
      <w:tr w:rsidR="00412474" w:rsidRPr="00215667" w14:paraId="14617B85" w14:textId="77777777" w:rsidTr="00D33984">
        <w:trPr>
          <w:jc w:val="center"/>
        </w:trPr>
        <w:tc>
          <w:tcPr>
            <w:tcW w:w="7366" w:type="dxa"/>
            <w:tcBorders>
              <w:top w:val="single" w:sz="4" w:space="0" w:color="auto"/>
              <w:left w:val="single" w:sz="4" w:space="0" w:color="auto"/>
              <w:bottom w:val="single" w:sz="4" w:space="0" w:color="auto"/>
              <w:right w:val="single" w:sz="4" w:space="0" w:color="auto"/>
            </w:tcBorders>
            <w:noWrap/>
          </w:tcPr>
          <w:p w14:paraId="5D42B30A" w14:textId="77777777" w:rsidR="00412474" w:rsidRPr="00215667" w:rsidRDefault="00412474" w:rsidP="00435E3A">
            <w:pPr>
              <w:rPr>
                <w:rFonts w:ascii="Times New Roman" w:eastAsia="Times New Roman" w:hAnsi="Times New Roman" w:cs="Times New Roman"/>
                <w:bCs/>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noWrap/>
            <w:hideMark/>
          </w:tcPr>
          <w:p w14:paraId="62DB5BE6" w14:textId="77777777" w:rsidR="00412474" w:rsidRPr="00215667" w:rsidRDefault="00412474" w:rsidP="00D33984">
            <w:pPr>
              <w:jc w:val="center"/>
              <w:rPr>
                <w:rFonts w:ascii="Times New Roman" w:eastAsia="Times New Roman" w:hAnsi="Times New Roman" w:cs="Times New Roman"/>
                <w:color w:val="FF0000"/>
                <w:sz w:val="24"/>
                <w:szCs w:val="24"/>
              </w:rPr>
            </w:pPr>
            <w:r w:rsidRPr="00215667">
              <w:rPr>
                <w:rFonts w:ascii="Times New Roman" w:eastAsia="Times New Roman" w:hAnsi="Times New Roman" w:cs="Times New Roman"/>
                <w:bCs/>
                <w:color w:val="000000"/>
                <w:sz w:val="24"/>
                <w:szCs w:val="24"/>
              </w:rPr>
              <w:t>ADP</w:t>
            </w:r>
          </w:p>
        </w:tc>
      </w:tr>
      <w:tr w:rsidR="00412474" w:rsidRPr="00215667" w14:paraId="288B6F0D" w14:textId="77777777" w:rsidTr="00D33984">
        <w:trPr>
          <w:jc w:val="center"/>
        </w:trPr>
        <w:tc>
          <w:tcPr>
            <w:tcW w:w="7366" w:type="dxa"/>
            <w:tcBorders>
              <w:top w:val="single" w:sz="4" w:space="0" w:color="auto"/>
              <w:left w:val="single" w:sz="4" w:space="0" w:color="auto"/>
              <w:bottom w:val="single" w:sz="4" w:space="0" w:color="auto"/>
              <w:right w:val="single" w:sz="4" w:space="0" w:color="auto"/>
            </w:tcBorders>
            <w:noWrap/>
            <w:hideMark/>
          </w:tcPr>
          <w:p w14:paraId="7ACC658B" w14:textId="7941EFDC" w:rsidR="00412474" w:rsidRPr="00215667" w:rsidRDefault="00D33984" w:rsidP="00435E3A">
            <w:pPr>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lang w:val="mk-MK"/>
              </w:rPr>
              <w:t>П</w:t>
            </w:r>
            <w:proofErr w:type="spellStart"/>
            <w:r w:rsidR="00412474" w:rsidRPr="00215667">
              <w:rPr>
                <w:rFonts w:ascii="Times New Roman" w:eastAsia="Times New Roman" w:hAnsi="Times New Roman" w:cs="Times New Roman"/>
                <w:bCs/>
                <w:color w:val="000000"/>
                <w:sz w:val="24"/>
                <w:szCs w:val="24"/>
              </w:rPr>
              <w:t>остекстракционо</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време</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на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крвавење</w:t>
            </w:r>
            <w:proofErr w:type="spellEnd"/>
            <w:r w:rsidR="00412474" w:rsidRPr="00215667">
              <w:rPr>
                <w:rFonts w:ascii="Times New Roman" w:eastAsia="Times New Roman" w:hAnsi="Times New Roman" w:cs="Times New Roman"/>
                <w:bCs/>
                <w:color w:val="000000"/>
                <w:sz w:val="24"/>
                <w:szCs w:val="24"/>
              </w:rPr>
              <w:t xml:space="preserve"> (BT), </w:t>
            </w:r>
            <w:proofErr w:type="spellStart"/>
            <w:r w:rsidR="00412474" w:rsidRPr="00215667">
              <w:rPr>
                <w:rFonts w:ascii="Times New Roman" w:eastAsia="Times New Roman" w:hAnsi="Times New Roman" w:cs="Times New Roman"/>
                <w:bCs/>
                <w:color w:val="000000"/>
                <w:sz w:val="24"/>
                <w:szCs w:val="24"/>
              </w:rPr>
              <w:t>по</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апликација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на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F00F01">
              <w:rPr>
                <w:rFonts w:ascii="Times New Roman" w:eastAsia="Times New Roman" w:hAnsi="Times New Roman" w:cs="Times New Roman"/>
                <w:bCs/>
                <w:color w:val="000000"/>
                <w:sz w:val="24"/>
                <w:szCs w:val="24"/>
              </w:rPr>
              <w:t>транексамична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киселина</w:t>
            </w:r>
            <w:proofErr w:type="spellEnd"/>
          </w:p>
        </w:tc>
        <w:tc>
          <w:tcPr>
            <w:tcW w:w="1560" w:type="dxa"/>
            <w:tcBorders>
              <w:top w:val="single" w:sz="4" w:space="0" w:color="auto"/>
              <w:left w:val="single" w:sz="4" w:space="0" w:color="auto"/>
              <w:bottom w:val="single" w:sz="4" w:space="0" w:color="auto"/>
              <w:right w:val="single" w:sz="4" w:space="0" w:color="auto"/>
            </w:tcBorders>
            <w:noWrap/>
            <w:hideMark/>
          </w:tcPr>
          <w:p w14:paraId="0E608999"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FF0000"/>
                <w:sz w:val="24"/>
                <w:szCs w:val="24"/>
              </w:rPr>
              <w:t>-.2890</w:t>
            </w:r>
          </w:p>
        </w:tc>
      </w:tr>
      <w:tr w:rsidR="00412474" w:rsidRPr="00215667" w14:paraId="66C48A39" w14:textId="77777777" w:rsidTr="00D33984">
        <w:trPr>
          <w:jc w:val="center"/>
        </w:trPr>
        <w:tc>
          <w:tcPr>
            <w:tcW w:w="7366" w:type="dxa"/>
            <w:tcBorders>
              <w:top w:val="single" w:sz="4" w:space="0" w:color="auto"/>
              <w:left w:val="single" w:sz="4" w:space="0" w:color="auto"/>
              <w:bottom w:val="single" w:sz="4" w:space="0" w:color="auto"/>
              <w:right w:val="single" w:sz="4" w:space="0" w:color="auto"/>
            </w:tcBorders>
            <w:noWrap/>
            <w:hideMark/>
          </w:tcPr>
          <w:p w14:paraId="08300F9B" w14:textId="77777777" w:rsidR="00412474" w:rsidRPr="00215667" w:rsidRDefault="00412474" w:rsidP="00435E3A">
            <w:pPr>
              <w:spacing w:line="256" w:lineRule="auto"/>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hideMark/>
          </w:tcPr>
          <w:p w14:paraId="36D36488" w14:textId="534D7AC6" w:rsidR="00412474" w:rsidRPr="00215667" w:rsidRDefault="00D33984" w:rsidP="00435E3A">
            <w:pPr>
              <w:rPr>
                <w:rFonts w:ascii="Times New Roman" w:eastAsia="Times New Roman" w:hAnsi="Times New Roman" w:cs="Times New Roman"/>
                <w:sz w:val="24"/>
                <w:szCs w:val="24"/>
              </w:rPr>
            </w:pPr>
            <w:r>
              <w:rPr>
                <w:rFonts w:ascii="Times New Roman" w:eastAsia="Times New Roman" w:hAnsi="Times New Roman" w:cs="Times New Roman"/>
                <w:color w:val="FF0000"/>
                <w:sz w:val="24"/>
                <w:szCs w:val="24"/>
              </w:rPr>
              <w:t>p</w:t>
            </w:r>
            <w:r>
              <w:rPr>
                <w:rFonts w:ascii="Times New Roman" w:eastAsia="Times New Roman" w:hAnsi="Times New Roman" w:cs="Times New Roman"/>
                <w:color w:val="FF0000"/>
                <w:sz w:val="24"/>
                <w:szCs w:val="24"/>
                <w:lang w:val="mk-MK"/>
              </w:rPr>
              <w:t xml:space="preserve"> </w:t>
            </w:r>
            <w:r w:rsidR="00412474" w:rsidRPr="00215667">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lang w:val="mk-MK"/>
              </w:rPr>
              <w:t xml:space="preserve"> </w:t>
            </w:r>
            <w:r w:rsidR="00412474" w:rsidRPr="00215667">
              <w:rPr>
                <w:rFonts w:ascii="Times New Roman" w:eastAsia="Times New Roman" w:hAnsi="Times New Roman" w:cs="Times New Roman"/>
                <w:color w:val="FF0000"/>
                <w:sz w:val="24"/>
                <w:szCs w:val="24"/>
              </w:rPr>
              <w:t>.023</w:t>
            </w:r>
          </w:p>
        </w:tc>
      </w:tr>
    </w:tbl>
    <w:p w14:paraId="1CF79E3A" w14:textId="77777777" w:rsidR="00412474" w:rsidRPr="00215667" w:rsidRDefault="00412474" w:rsidP="00412474">
      <w:pPr>
        <w:spacing w:after="120" w:line="360" w:lineRule="auto"/>
        <w:jc w:val="both"/>
        <w:rPr>
          <w:rFonts w:ascii="Times New Roman" w:eastAsia="Times New Roman" w:hAnsi="Times New Roman" w:cs="Times New Roman"/>
          <w:bCs/>
          <w:color w:val="000000"/>
          <w:sz w:val="24"/>
          <w:szCs w:val="24"/>
        </w:rPr>
      </w:pPr>
    </w:p>
    <w:p w14:paraId="627DD1AA" w14:textId="019E32DC" w:rsidR="00412474" w:rsidRPr="00215667" w:rsidRDefault="00412474" w:rsidP="00D33984">
      <w:pPr>
        <w:spacing w:after="120" w:line="360" w:lineRule="auto"/>
        <w:ind w:firstLine="720"/>
        <w:jc w:val="both"/>
        <w:rPr>
          <w:rFonts w:ascii="Times New Roman" w:eastAsia="Calibri" w:hAnsi="Times New Roman" w:cs="Times New Roman"/>
          <w:sz w:val="24"/>
          <w:szCs w:val="24"/>
        </w:rPr>
      </w:pPr>
      <w:r w:rsidRPr="00215667">
        <w:rPr>
          <w:rFonts w:ascii="Times New Roman" w:eastAsia="Times New Roman" w:hAnsi="Times New Roman" w:cs="Times New Roman"/>
          <w:bCs/>
          <w:color w:val="000000"/>
          <w:sz w:val="24"/>
          <w:szCs w:val="24"/>
        </w:rPr>
        <w:t>Графикон бр.</w:t>
      </w:r>
      <w:r w:rsidR="00D33984">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11а</w:t>
      </w:r>
      <w:r w:rsidR="00D33984">
        <w:rPr>
          <w:rFonts w:ascii="Times New Roman" w:eastAsia="Times New Roman" w:hAnsi="Times New Roman" w:cs="Times New Roman"/>
          <w:bCs/>
          <w:color w:val="000000"/>
          <w:sz w:val="24"/>
          <w:szCs w:val="24"/>
        </w:rPr>
        <w:t>-</w:t>
      </w:r>
      <w:r w:rsidRPr="00D33984">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Приказ на корелациите помеѓу постекстракционото време на крвавење (BT) и ADP по апликација на </w:t>
      </w:r>
      <w:r w:rsidR="00F00F01">
        <w:rPr>
          <w:rFonts w:ascii="Times New Roman" w:eastAsia="Times New Roman" w:hAnsi="Times New Roman" w:cs="Times New Roman"/>
          <w:bCs/>
          <w:color w:val="000000"/>
          <w:sz w:val="24"/>
          <w:szCs w:val="24"/>
        </w:rPr>
        <w:t>транексамична</w:t>
      </w:r>
      <w:r w:rsidRPr="00215667">
        <w:rPr>
          <w:rFonts w:ascii="Times New Roman" w:eastAsia="Times New Roman" w:hAnsi="Times New Roman" w:cs="Times New Roman"/>
          <w:bCs/>
          <w:color w:val="000000"/>
          <w:sz w:val="24"/>
          <w:szCs w:val="24"/>
        </w:rPr>
        <w:t xml:space="preserve"> киселина </w:t>
      </w:r>
      <w:r w:rsidR="009D29AC" w:rsidRPr="009D29AC">
        <w:rPr>
          <w:rFonts w:ascii="Times New Roman" w:eastAsia="Calibri" w:hAnsi="Times New Roman" w:cs="Times New Roman"/>
          <w:noProof/>
          <w:sz w:val="24"/>
          <w:szCs w:val="24"/>
          <w14:ligatures w14:val="standardContextual"/>
        </w:rPr>
        <w:object w:dxaOrig="11070" w:dyaOrig="4245" w14:anchorId="619E0C8F">
          <v:shape id="_x0000_i1063" type="#_x0000_t75" alt="" style="width:554.1pt;height:211.4pt;mso-width-percent:0;mso-height-percent:0;mso-width-percent:0;mso-height-percent:0" o:ole="">
            <v:imagedata r:id="rId30" o:title=""/>
          </v:shape>
          <o:OLEObject Type="Embed" ProgID="STATISTICA.Graph" ShapeID="_x0000_i1063" DrawAspect="Content" ObjectID="_1819618111" r:id="rId31">
            <o:FieldCodes>\s</o:FieldCodes>
          </o:OLEObject>
        </w:object>
      </w:r>
      <w:r w:rsidRPr="00215667">
        <w:rPr>
          <w:rFonts w:ascii="Times New Roman" w:eastAsia="Calibri" w:hAnsi="Times New Roman" w:cs="Times New Roman"/>
          <w:sz w:val="24"/>
          <w:szCs w:val="24"/>
        </w:rPr>
        <w:tab/>
        <w:t xml:space="preserve">Регистрирана е несигнификантно умерено слаба негативна (индиректна) корелација помеѓу постекстракционо време на крвавење и вредностите на </w:t>
      </w:r>
      <w:r w:rsidR="00D33984">
        <w:rPr>
          <w:rFonts w:ascii="Times New Roman" w:eastAsia="Calibri" w:hAnsi="Times New Roman" w:cs="Times New Roman"/>
          <w:sz w:val="24"/>
          <w:szCs w:val="24"/>
        </w:rPr>
        <w:t>ристоцетин</w:t>
      </w:r>
      <w:r w:rsidRPr="00215667">
        <w:rPr>
          <w:rFonts w:ascii="Times New Roman" w:eastAsia="Calibri" w:hAnsi="Times New Roman" w:cs="Times New Roman"/>
          <w:sz w:val="24"/>
          <w:szCs w:val="24"/>
        </w:rPr>
        <w:t xml:space="preserve"> (r</w:t>
      </w:r>
      <w:r w:rsidR="00D33984">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D33984">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-2478, p</w:t>
      </w:r>
      <w:r w:rsidR="00D33984">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D33984">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.052) (табела</w:t>
      </w:r>
      <w:r w:rsidR="00D33984">
        <w:rPr>
          <w:rFonts w:ascii="Times New Roman" w:eastAsia="Calibri" w:hAnsi="Times New Roman" w:cs="Times New Roman"/>
          <w:sz w:val="24"/>
          <w:szCs w:val="24"/>
        </w:rPr>
        <w:t xml:space="preserve"> бр. 11б</w:t>
      </w:r>
      <w:r w:rsidRPr="00215667">
        <w:rPr>
          <w:rFonts w:ascii="Times New Roman" w:eastAsia="Calibri" w:hAnsi="Times New Roman" w:cs="Times New Roman"/>
          <w:sz w:val="24"/>
          <w:szCs w:val="24"/>
        </w:rPr>
        <w:t xml:space="preserve"> и график бр</w:t>
      </w:r>
      <w:r w:rsidR="00D33984">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11б)</w:t>
      </w:r>
      <w:r w:rsidR="00D33984">
        <w:rPr>
          <w:rFonts w:ascii="Times New Roman" w:eastAsia="Calibri" w:hAnsi="Times New Roman" w:cs="Times New Roman"/>
          <w:sz w:val="24"/>
          <w:szCs w:val="24"/>
        </w:rPr>
        <w:t>.</w:t>
      </w:r>
    </w:p>
    <w:p w14:paraId="0FE14240" w14:textId="210EF1E7" w:rsidR="00412474" w:rsidRPr="00215667" w:rsidRDefault="00412474" w:rsidP="00D33984">
      <w:pPr>
        <w:spacing w:after="120" w:line="360" w:lineRule="auto"/>
        <w:jc w:val="center"/>
        <w:rPr>
          <w:rFonts w:ascii="Times New Roman" w:eastAsia="Times New Roman" w:hAnsi="Times New Roman" w:cs="Times New Roman"/>
          <w:bCs/>
          <w:color w:val="000000"/>
          <w:sz w:val="24"/>
          <w:szCs w:val="24"/>
        </w:rPr>
      </w:pPr>
      <w:r w:rsidRPr="00215667">
        <w:rPr>
          <w:rFonts w:ascii="Times New Roman" w:eastAsia="Calibri" w:hAnsi="Times New Roman" w:cs="Times New Roman"/>
          <w:sz w:val="24"/>
          <w:szCs w:val="24"/>
        </w:rPr>
        <w:t>Табела бр.</w:t>
      </w:r>
      <w:r w:rsidR="00D33984">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11б</w:t>
      </w:r>
      <w:r w:rsidR="00D33984">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корелациите помеѓу време на крвавење и </w:t>
      </w:r>
      <w:r w:rsidR="00D33984">
        <w:rPr>
          <w:rFonts w:ascii="Times New Roman" w:eastAsia="Calibri" w:hAnsi="Times New Roman" w:cs="Times New Roman"/>
          <w:sz w:val="24"/>
          <w:szCs w:val="24"/>
        </w:rPr>
        <w:t>ристоцетин</w:t>
      </w:r>
      <w:r w:rsidR="00D33984" w:rsidRPr="00215667">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по апликација на </w:t>
      </w:r>
      <w:r w:rsidR="00F00F01">
        <w:rPr>
          <w:rFonts w:ascii="Times New Roman" w:eastAsia="Calibri" w:hAnsi="Times New Roman" w:cs="Times New Roman"/>
          <w:sz w:val="24"/>
          <w:szCs w:val="24"/>
        </w:rPr>
        <w:t>транексамична</w:t>
      </w:r>
      <w:r w:rsidRPr="00215667">
        <w:rPr>
          <w:rFonts w:ascii="Times New Roman" w:eastAsia="Calibri" w:hAnsi="Times New Roman" w:cs="Times New Roman"/>
          <w:sz w:val="24"/>
          <w:szCs w:val="24"/>
        </w:rPr>
        <w:t xml:space="preserve"> киселина</w:t>
      </w:r>
    </w:p>
    <w:tbl>
      <w:tblPr>
        <w:tblStyle w:val="TableGrid1"/>
        <w:tblW w:w="3681" w:type="dxa"/>
        <w:jc w:val="center"/>
        <w:tblLook w:val="04A0" w:firstRow="1" w:lastRow="0" w:firstColumn="1" w:lastColumn="0" w:noHBand="0" w:noVBand="1"/>
      </w:tblPr>
      <w:tblGrid>
        <w:gridCol w:w="2405"/>
        <w:gridCol w:w="1407"/>
      </w:tblGrid>
      <w:tr w:rsidR="00412474" w:rsidRPr="00215667" w14:paraId="52B4EB0C" w14:textId="77777777" w:rsidTr="00D33984">
        <w:trPr>
          <w:jc w:val="center"/>
        </w:trPr>
        <w:tc>
          <w:tcPr>
            <w:tcW w:w="2405" w:type="dxa"/>
            <w:tcBorders>
              <w:top w:val="single" w:sz="4" w:space="0" w:color="auto"/>
              <w:left w:val="single" w:sz="4" w:space="0" w:color="auto"/>
              <w:bottom w:val="single" w:sz="4" w:space="0" w:color="auto"/>
              <w:right w:val="single" w:sz="4" w:space="0" w:color="auto"/>
            </w:tcBorders>
            <w:noWrap/>
            <w:hideMark/>
          </w:tcPr>
          <w:p w14:paraId="4FB73C68" w14:textId="77777777" w:rsidR="00412474" w:rsidRPr="00215667" w:rsidRDefault="00412474" w:rsidP="00435E3A">
            <w:pPr>
              <w:spacing w:line="256" w:lineRule="auto"/>
              <w:rPr>
                <w:rFonts w:ascii="Times New Roman" w:eastAsia="Times New Roman" w:hAnsi="Times New Roman" w:cs="Times New Roman"/>
                <w:bCs/>
                <w:color w:val="000000"/>
                <w:sz w:val="24"/>
                <w:szCs w:val="24"/>
              </w:rPr>
            </w:pPr>
          </w:p>
        </w:tc>
        <w:tc>
          <w:tcPr>
            <w:tcW w:w="1276" w:type="dxa"/>
            <w:tcBorders>
              <w:top w:val="single" w:sz="4" w:space="0" w:color="auto"/>
              <w:left w:val="single" w:sz="4" w:space="0" w:color="auto"/>
              <w:bottom w:val="single" w:sz="4" w:space="0" w:color="auto"/>
              <w:right w:val="single" w:sz="4" w:space="0" w:color="auto"/>
            </w:tcBorders>
            <w:noWrap/>
            <w:hideMark/>
          </w:tcPr>
          <w:p w14:paraId="43955399" w14:textId="6B599CF6" w:rsidR="00412474" w:rsidRPr="00215667" w:rsidRDefault="00D33984" w:rsidP="00435E3A">
            <w:pPr>
              <w:jc w:val="center"/>
              <w:rPr>
                <w:rFonts w:ascii="Times New Roman" w:eastAsia="Times New Roman" w:hAnsi="Times New Roman" w:cs="Times New Roman"/>
                <w:bCs/>
                <w:sz w:val="24"/>
                <w:szCs w:val="24"/>
              </w:rPr>
            </w:pPr>
            <w:r>
              <w:rPr>
                <w:rFonts w:ascii="Times New Roman" w:hAnsi="Times New Roman" w:cs="Times New Roman"/>
                <w:sz w:val="24"/>
                <w:szCs w:val="24"/>
                <w:lang w:val="mk-MK"/>
              </w:rPr>
              <w:t>Р</w:t>
            </w:r>
            <w:proofErr w:type="spellStart"/>
            <w:r>
              <w:rPr>
                <w:rFonts w:ascii="Times New Roman" w:hAnsi="Times New Roman" w:cs="Times New Roman"/>
                <w:sz w:val="24"/>
                <w:szCs w:val="24"/>
              </w:rPr>
              <w:t>истоцетин</w:t>
            </w:r>
            <w:proofErr w:type="spellEnd"/>
          </w:p>
        </w:tc>
      </w:tr>
      <w:tr w:rsidR="00412474" w:rsidRPr="00215667" w14:paraId="4C942A96" w14:textId="77777777" w:rsidTr="00D33984">
        <w:trPr>
          <w:jc w:val="center"/>
        </w:trPr>
        <w:tc>
          <w:tcPr>
            <w:tcW w:w="2405" w:type="dxa"/>
            <w:tcBorders>
              <w:top w:val="single" w:sz="4" w:space="0" w:color="auto"/>
              <w:left w:val="single" w:sz="4" w:space="0" w:color="auto"/>
              <w:bottom w:val="single" w:sz="4" w:space="0" w:color="auto"/>
              <w:right w:val="single" w:sz="4" w:space="0" w:color="auto"/>
            </w:tcBorders>
            <w:noWrap/>
            <w:hideMark/>
          </w:tcPr>
          <w:p w14:paraId="01AA1CBB" w14:textId="77777777" w:rsidR="00412474" w:rsidRPr="00215667" w:rsidRDefault="00412474" w:rsidP="00435E3A">
            <w:pPr>
              <w:rPr>
                <w:rFonts w:ascii="Times New Roman" w:eastAsia="Times New Roman" w:hAnsi="Times New Roman" w:cs="Times New Roman"/>
                <w:b/>
                <w:bCs/>
                <w:sz w:val="24"/>
                <w:szCs w:val="24"/>
              </w:rPr>
            </w:pPr>
            <w:r w:rsidRPr="00215667">
              <w:rPr>
                <w:rFonts w:ascii="Times New Roman" w:eastAsia="Times New Roman" w:hAnsi="Times New Roman" w:cs="Times New Roman"/>
                <w:bCs/>
                <w:color w:val="000000"/>
                <w:sz w:val="24"/>
                <w:szCs w:val="24"/>
              </w:rPr>
              <w:t xml:space="preserve">Време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крвавење</w:t>
            </w:r>
            <w:proofErr w:type="spellEnd"/>
          </w:p>
        </w:tc>
        <w:tc>
          <w:tcPr>
            <w:tcW w:w="1276" w:type="dxa"/>
            <w:tcBorders>
              <w:top w:val="single" w:sz="4" w:space="0" w:color="auto"/>
              <w:left w:val="single" w:sz="4" w:space="0" w:color="auto"/>
              <w:bottom w:val="single" w:sz="4" w:space="0" w:color="auto"/>
              <w:right w:val="single" w:sz="4" w:space="0" w:color="auto"/>
            </w:tcBorders>
            <w:noWrap/>
            <w:hideMark/>
          </w:tcPr>
          <w:p w14:paraId="761CDE96"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-.2478</w:t>
            </w:r>
          </w:p>
        </w:tc>
      </w:tr>
      <w:tr w:rsidR="00412474" w:rsidRPr="00215667" w14:paraId="74C1931C" w14:textId="77777777" w:rsidTr="00D33984">
        <w:trPr>
          <w:jc w:val="center"/>
        </w:trPr>
        <w:tc>
          <w:tcPr>
            <w:tcW w:w="2405" w:type="dxa"/>
            <w:tcBorders>
              <w:top w:val="single" w:sz="4" w:space="0" w:color="auto"/>
              <w:left w:val="single" w:sz="4" w:space="0" w:color="auto"/>
              <w:bottom w:val="single" w:sz="4" w:space="0" w:color="auto"/>
              <w:right w:val="single" w:sz="4" w:space="0" w:color="auto"/>
            </w:tcBorders>
            <w:noWrap/>
            <w:hideMark/>
          </w:tcPr>
          <w:p w14:paraId="6B3298BA" w14:textId="77777777" w:rsidR="00412474" w:rsidRPr="00215667" w:rsidRDefault="00412474" w:rsidP="00435E3A">
            <w:pPr>
              <w:spacing w:line="256" w:lineRule="auto"/>
              <w:rPr>
                <w:rFonts w:ascii="Times New Roman" w:eastAsia="Times New Roman" w:hAnsi="Times New Roman" w:cs="Times New Roman"/>
                <w:sz w:val="24"/>
                <w:szCs w:val="24"/>
              </w:rPr>
            </w:pPr>
          </w:p>
        </w:tc>
        <w:tc>
          <w:tcPr>
            <w:tcW w:w="1276" w:type="dxa"/>
            <w:tcBorders>
              <w:top w:val="single" w:sz="4" w:space="0" w:color="auto"/>
              <w:left w:val="single" w:sz="4" w:space="0" w:color="auto"/>
              <w:bottom w:val="single" w:sz="4" w:space="0" w:color="auto"/>
              <w:right w:val="single" w:sz="4" w:space="0" w:color="auto"/>
            </w:tcBorders>
            <w:noWrap/>
            <w:hideMark/>
          </w:tcPr>
          <w:p w14:paraId="0F1A086A" w14:textId="49EACCC6" w:rsidR="00412474" w:rsidRPr="00215667" w:rsidRDefault="00D33984" w:rsidP="00435E3A">
            <w:pP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lang w:val="mk-MK"/>
              </w:rPr>
              <w:t xml:space="preserve"> </w:t>
            </w:r>
            <w:r w:rsidR="00412474" w:rsidRPr="00215667">
              <w:rPr>
                <w:rFonts w:ascii="Times New Roman" w:eastAsia="Times New Roman" w:hAnsi="Times New Roman" w:cs="Times New Roman"/>
                <w:sz w:val="24"/>
                <w:szCs w:val="24"/>
              </w:rPr>
              <w:t>=</w:t>
            </w:r>
            <w:r>
              <w:rPr>
                <w:rFonts w:ascii="Times New Roman" w:eastAsia="Times New Roman" w:hAnsi="Times New Roman" w:cs="Times New Roman"/>
                <w:sz w:val="24"/>
                <w:szCs w:val="24"/>
                <w:lang w:val="mk-MK"/>
              </w:rPr>
              <w:t xml:space="preserve"> </w:t>
            </w:r>
            <w:r w:rsidR="00412474" w:rsidRPr="00215667">
              <w:rPr>
                <w:rFonts w:ascii="Times New Roman" w:eastAsia="Times New Roman" w:hAnsi="Times New Roman" w:cs="Times New Roman"/>
                <w:sz w:val="24"/>
                <w:szCs w:val="24"/>
              </w:rPr>
              <w:t>.052</w:t>
            </w:r>
          </w:p>
        </w:tc>
      </w:tr>
    </w:tbl>
    <w:p w14:paraId="413599C0" w14:textId="77777777" w:rsidR="00412474" w:rsidRPr="00215667" w:rsidRDefault="00412474" w:rsidP="00412474">
      <w:pPr>
        <w:spacing w:after="120" w:line="360" w:lineRule="auto"/>
        <w:jc w:val="both"/>
        <w:rPr>
          <w:rFonts w:ascii="Times New Roman" w:eastAsia="Times New Roman" w:hAnsi="Times New Roman" w:cs="Times New Roman"/>
          <w:bCs/>
          <w:color w:val="000000"/>
          <w:sz w:val="24"/>
          <w:szCs w:val="24"/>
        </w:rPr>
      </w:pPr>
    </w:p>
    <w:p w14:paraId="614ABD7A" w14:textId="77777777" w:rsidR="00D33984" w:rsidRDefault="00D33984" w:rsidP="00412474">
      <w:pPr>
        <w:spacing w:after="120" w:line="360" w:lineRule="auto"/>
        <w:jc w:val="both"/>
        <w:rPr>
          <w:rFonts w:ascii="Times New Roman" w:eastAsia="Calibri" w:hAnsi="Times New Roman" w:cs="Times New Roman"/>
          <w:sz w:val="24"/>
          <w:szCs w:val="24"/>
        </w:rPr>
      </w:pPr>
    </w:p>
    <w:p w14:paraId="291E7023" w14:textId="77777777" w:rsidR="00D33984" w:rsidRDefault="00D33984" w:rsidP="00412474">
      <w:pPr>
        <w:spacing w:after="120" w:line="360" w:lineRule="auto"/>
        <w:jc w:val="both"/>
        <w:rPr>
          <w:rFonts w:ascii="Times New Roman" w:eastAsia="Calibri" w:hAnsi="Times New Roman" w:cs="Times New Roman"/>
          <w:sz w:val="24"/>
          <w:szCs w:val="24"/>
        </w:rPr>
      </w:pPr>
    </w:p>
    <w:p w14:paraId="6ED863EA" w14:textId="77777777" w:rsidR="00D33984" w:rsidRDefault="00D33984" w:rsidP="00412474">
      <w:pPr>
        <w:spacing w:after="120" w:line="360" w:lineRule="auto"/>
        <w:jc w:val="both"/>
        <w:rPr>
          <w:rFonts w:ascii="Times New Roman" w:eastAsia="Calibri" w:hAnsi="Times New Roman" w:cs="Times New Roman"/>
          <w:sz w:val="24"/>
          <w:szCs w:val="24"/>
        </w:rPr>
      </w:pPr>
    </w:p>
    <w:p w14:paraId="405828E7" w14:textId="4DB12227" w:rsidR="00412474" w:rsidRPr="00215667" w:rsidRDefault="00412474" w:rsidP="00D33984">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lastRenderedPageBreak/>
        <w:t>Графикон бр.</w:t>
      </w:r>
      <w:r w:rsidR="00D33984">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11б</w:t>
      </w:r>
      <w:r w:rsidR="00D33984">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корелациите помеѓу времето на крвавење и </w:t>
      </w:r>
      <w:r w:rsidR="00D33984">
        <w:rPr>
          <w:rFonts w:ascii="Times New Roman" w:eastAsia="Calibri" w:hAnsi="Times New Roman" w:cs="Times New Roman"/>
          <w:sz w:val="24"/>
          <w:szCs w:val="24"/>
        </w:rPr>
        <w:t>ристоцетин</w:t>
      </w:r>
      <w:r w:rsidRPr="00215667">
        <w:rPr>
          <w:rFonts w:ascii="Times New Roman" w:eastAsia="Calibri" w:hAnsi="Times New Roman" w:cs="Times New Roman"/>
          <w:sz w:val="24"/>
          <w:szCs w:val="24"/>
        </w:rPr>
        <w:t xml:space="preserve"> по</w:t>
      </w:r>
      <w:r w:rsidR="00D33984">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апликација на </w:t>
      </w:r>
      <w:r w:rsidR="00F00F01">
        <w:rPr>
          <w:rFonts w:ascii="Times New Roman" w:eastAsia="Calibri" w:hAnsi="Times New Roman" w:cs="Times New Roman"/>
          <w:sz w:val="24"/>
          <w:szCs w:val="24"/>
        </w:rPr>
        <w:t>транексамична</w:t>
      </w:r>
      <w:r w:rsidRPr="00215667">
        <w:rPr>
          <w:rFonts w:ascii="Times New Roman" w:eastAsia="Calibri" w:hAnsi="Times New Roman" w:cs="Times New Roman"/>
          <w:sz w:val="24"/>
          <w:szCs w:val="24"/>
        </w:rPr>
        <w:t xml:space="preserve"> киселина</w:t>
      </w:r>
    </w:p>
    <w:p w14:paraId="1125EAB5" w14:textId="16BA4C52" w:rsidR="00412474" w:rsidRPr="00215667" w:rsidRDefault="00B33524" w:rsidP="00412474">
      <w:pPr>
        <w:spacing w:after="120" w:line="360" w:lineRule="auto"/>
        <w:jc w:val="both"/>
        <w:rPr>
          <w:rFonts w:ascii="Times New Roman" w:eastAsia="Times New Roman" w:hAnsi="Times New Roman" w:cs="Times New Roman"/>
          <w:bCs/>
          <w:color w:val="000000"/>
          <w:sz w:val="24"/>
          <w:szCs w:val="24"/>
        </w:rPr>
      </w:pPr>
      <w:r>
        <w:rPr>
          <w:noProof/>
          <w14:ligatures w14:val="standardContextual"/>
        </w:rPr>
        <w:drawing>
          <wp:inline distT="0" distB="0" distL="0" distR="0" wp14:anchorId="040EB01F" wp14:editId="58599884">
            <wp:extent cx="5400040" cy="2099945"/>
            <wp:effectExtent l="0" t="0" r="0" b="0"/>
            <wp:docPr id="593025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025970" name=""/>
                    <pic:cNvPicPr/>
                  </pic:nvPicPr>
                  <pic:blipFill>
                    <a:blip r:embed="rId32"/>
                    <a:stretch>
                      <a:fillRect/>
                    </a:stretch>
                  </pic:blipFill>
                  <pic:spPr>
                    <a:xfrm>
                      <a:off x="0" y="0"/>
                      <a:ext cx="5400040" cy="2099945"/>
                    </a:xfrm>
                    <a:prstGeom prst="rect">
                      <a:avLst/>
                    </a:prstGeom>
                  </pic:spPr>
                </pic:pic>
              </a:graphicData>
            </a:graphic>
          </wp:inline>
        </w:drawing>
      </w:r>
    </w:p>
    <w:p w14:paraId="76A9CB7C" w14:textId="5985F083" w:rsidR="00412474" w:rsidRPr="00215667" w:rsidRDefault="00412474" w:rsidP="00412474">
      <w:pPr>
        <w:spacing w:after="120" w:line="360" w:lineRule="auto"/>
        <w:ind w:firstLine="720"/>
        <w:jc w:val="both"/>
        <w:rPr>
          <w:rFonts w:ascii="Times New Roman" w:eastAsia="Times New Roman" w:hAnsi="Times New Roman" w:cs="Times New Roman"/>
          <w:bCs/>
          <w:color w:val="000000"/>
          <w:sz w:val="24"/>
          <w:szCs w:val="24"/>
        </w:rPr>
      </w:pPr>
      <w:r w:rsidRPr="00215667">
        <w:rPr>
          <w:rFonts w:ascii="Times New Roman" w:eastAsia="Times New Roman" w:hAnsi="Times New Roman" w:cs="Times New Roman"/>
          <w:bCs/>
          <w:color w:val="000000"/>
          <w:sz w:val="24"/>
          <w:szCs w:val="24"/>
        </w:rPr>
        <w:t xml:space="preserve">Резултатите од анализата на корелацијата помеѓу постекстракционото  време на крвавење (BT), по апликација на </w:t>
      </w:r>
      <w:r w:rsidR="00F00F01">
        <w:rPr>
          <w:rFonts w:ascii="Times New Roman" w:eastAsia="Times New Roman" w:hAnsi="Times New Roman" w:cs="Times New Roman"/>
          <w:bCs/>
          <w:color w:val="000000"/>
          <w:sz w:val="24"/>
          <w:szCs w:val="24"/>
        </w:rPr>
        <w:t>транексамична</w:t>
      </w:r>
      <w:r w:rsidRPr="00215667">
        <w:rPr>
          <w:rFonts w:ascii="Times New Roman" w:eastAsia="Times New Roman" w:hAnsi="Times New Roman" w:cs="Times New Roman"/>
          <w:bCs/>
          <w:color w:val="000000"/>
          <w:sz w:val="24"/>
          <w:szCs w:val="24"/>
        </w:rPr>
        <w:t xml:space="preserve"> киселина и вредностите на </w:t>
      </w:r>
      <w:r w:rsidR="00B33524">
        <w:rPr>
          <w:rFonts w:ascii="Times New Roman" w:eastAsia="Times New Roman" w:hAnsi="Times New Roman" w:cs="Times New Roman"/>
          <w:bCs/>
          <w:color w:val="000000"/>
          <w:sz w:val="24"/>
          <w:szCs w:val="24"/>
        </w:rPr>
        <w:t>колаген</w:t>
      </w:r>
      <w:r w:rsidRPr="00215667">
        <w:rPr>
          <w:rFonts w:ascii="Times New Roman" w:eastAsia="Times New Roman" w:hAnsi="Times New Roman" w:cs="Times New Roman"/>
          <w:bCs/>
          <w:color w:val="000000"/>
          <w:sz w:val="24"/>
          <w:szCs w:val="24"/>
        </w:rPr>
        <w:t>, покажаа дека се регистрира умерена негативна (индиректна) сигнификантна  разлика (r</w:t>
      </w:r>
      <w:r w:rsidR="00B33524">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B33524">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-2772, p</w:t>
      </w:r>
      <w:r w:rsidR="00B33524">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B33524">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.029) (табела </w:t>
      </w:r>
      <w:r w:rsidR="00B33524">
        <w:rPr>
          <w:rFonts w:ascii="Times New Roman" w:eastAsia="Times New Roman" w:hAnsi="Times New Roman" w:cs="Times New Roman"/>
          <w:bCs/>
          <w:color w:val="000000"/>
          <w:sz w:val="24"/>
          <w:szCs w:val="24"/>
        </w:rPr>
        <w:t xml:space="preserve">бр. 11в </w:t>
      </w:r>
      <w:r w:rsidRPr="00215667">
        <w:rPr>
          <w:rFonts w:ascii="Times New Roman" w:eastAsia="Times New Roman" w:hAnsi="Times New Roman" w:cs="Times New Roman"/>
          <w:bCs/>
          <w:color w:val="000000"/>
          <w:sz w:val="24"/>
          <w:szCs w:val="24"/>
        </w:rPr>
        <w:t>и графикон бр</w:t>
      </w:r>
      <w:r w:rsidR="00B33524">
        <w:rPr>
          <w:rFonts w:ascii="Times New Roman" w:eastAsia="Times New Roman" w:hAnsi="Times New Roman" w:cs="Times New Roman"/>
          <w:bCs/>
          <w:color w:val="000000"/>
          <w:sz w:val="24"/>
          <w:szCs w:val="24"/>
        </w:rPr>
        <w:t>.</w:t>
      </w:r>
      <w:r w:rsidRPr="00215667">
        <w:rPr>
          <w:rFonts w:ascii="Times New Roman" w:eastAsia="Times New Roman" w:hAnsi="Times New Roman" w:cs="Times New Roman"/>
          <w:bCs/>
          <w:color w:val="000000"/>
          <w:sz w:val="24"/>
          <w:szCs w:val="24"/>
        </w:rPr>
        <w:t xml:space="preserve"> 11в)</w:t>
      </w:r>
      <w:r w:rsidR="00B33524">
        <w:rPr>
          <w:rFonts w:ascii="Times New Roman" w:eastAsia="Times New Roman" w:hAnsi="Times New Roman" w:cs="Times New Roman"/>
          <w:bCs/>
          <w:color w:val="000000"/>
          <w:sz w:val="24"/>
          <w:szCs w:val="24"/>
        </w:rPr>
        <w:t>.</w:t>
      </w:r>
    </w:p>
    <w:p w14:paraId="6AF05AEA" w14:textId="069374F8" w:rsidR="00412474" w:rsidRPr="00215667" w:rsidRDefault="00412474" w:rsidP="00B33524">
      <w:pPr>
        <w:spacing w:after="120" w:line="360" w:lineRule="auto"/>
        <w:jc w:val="center"/>
        <w:rPr>
          <w:rFonts w:ascii="Times New Roman" w:eastAsia="Times New Roman" w:hAnsi="Times New Roman" w:cs="Times New Roman"/>
          <w:bCs/>
          <w:color w:val="000000"/>
          <w:sz w:val="24"/>
          <w:szCs w:val="24"/>
        </w:rPr>
      </w:pPr>
      <w:r w:rsidRPr="00215667">
        <w:rPr>
          <w:rFonts w:ascii="Times New Roman" w:eastAsia="Calibri" w:hAnsi="Times New Roman" w:cs="Times New Roman"/>
          <w:sz w:val="24"/>
          <w:szCs w:val="24"/>
        </w:rPr>
        <w:t>Табела бр.</w:t>
      </w:r>
      <w:r w:rsidR="00B33524">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11в</w:t>
      </w:r>
      <w:r w:rsidR="00B33524">
        <w:rPr>
          <w:rFonts w:ascii="Times New Roman" w:eastAsia="Calibri" w:hAnsi="Times New Roman" w:cs="Times New Roman"/>
          <w:sz w:val="24"/>
          <w:szCs w:val="24"/>
        </w:rPr>
        <w:t>-</w:t>
      </w:r>
      <w:r w:rsidRPr="00215667">
        <w:rPr>
          <w:rFonts w:ascii="Times New Roman" w:hAnsi="Times New Roman" w:cs="Times New Roman"/>
          <w:sz w:val="24"/>
          <w:szCs w:val="24"/>
        </w:rPr>
        <w:t xml:space="preserve"> </w:t>
      </w:r>
      <w:r w:rsidRPr="00215667">
        <w:rPr>
          <w:rFonts w:ascii="Times New Roman" w:eastAsia="Calibri" w:hAnsi="Times New Roman" w:cs="Times New Roman"/>
          <w:sz w:val="24"/>
          <w:szCs w:val="24"/>
        </w:rPr>
        <w:t xml:space="preserve">Приказ на корелациите помеѓу постекстракционото време на крвавење и </w:t>
      </w:r>
      <w:r w:rsidR="00B33524">
        <w:rPr>
          <w:rFonts w:ascii="Times New Roman" w:eastAsia="Calibri" w:hAnsi="Times New Roman" w:cs="Times New Roman"/>
          <w:sz w:val="24"/>
          <w:szCs w:val="24"/>
        </w:rPr>
        <w:t>колаген</w:t>
      </w:r>
      <w:r w:rsidRPr="00215667">
        <w:rPr>
          <w:rFonts w:ascii="Times New Roman" w:eastAsia="Calibri" w:hAnsi="Times New Roman" w:cs="Times New Roman"/>
          <w:sz w:val="24"/>
          <w:szCs w:val="24"/>
        </w:rPr>
        <w:t xml:space="preserve"> по апликација на </w:t>
      </w:r>
      <w:r w:rsidR="00F00F01">
        <w:rPr>
          <w:rFonts w:ascii="Times New Roman" w:eastAsia="Calibri" w:hAnsi="Times New Roman" w:cs="Times New Roman"/>
          <w:sz w:val="24"/>
          <w:szCs w:val="24"/>
        </w:rPr>
        <w:t>транексамична</w:t>
      </w:r>
      <w:r w:rsidRPr="00215667">
        <w:rPr>
          <w:rFonts w:ascii="Times New Roman" w:eastAsia="Calibri" w:hAnsi="Times New Roman" w:cs="Times New Roman"/>
          <w:sz w:val="24"/>
          <w:szCs w:val="24"/>
        </w:rPr>
        <w:t xml:space="preserve"> киселина</w:t>
      </w:r>
    </w:p>
    <w:tbl>
      <w:tblPr>
        <w:tblStyle w:val="TableGrid1"/>
        <w:tblW w:w="8926" w:type="dxa"/>
        <w:tblLook w:val="04A0" w:firstRow="1" w:lastRow="0" w:firstColumn="1" w:lastColumn="0" w:noHBand="0" w:noVBand="1"/>
      </w:tblPr>
      <w:tblGrid>
        <w:gridCol w:w="6658"/>
        <w:gridCol w:w="2268"/>
      </w:tblGrid>
      <w:tr w:rsidR="00412474" w:rsidRPr="00215667" w14:paraId="44FBA2C4" w14:textId="77777777" w:rsidTr="00435E3A">
        <w:tc>
          <w:tcPr>
            <w:tcW w:w="6658" w:type="dxa"/>
            <w:tcBorders>
              <w:top w:val="single" w:sz="4" w:space="0" w:color="auto"/>
              <w:left w:val="single" w:sz="4" w:space="0" w:color="auto"/>
              <w:bottom w:val="single" w:sz="4" w:space="0" w:color="auto"/>
              <w:right w:val="single" w:sz="4" w:space="0" w:color="auto"/>
            </w:tcBorders>
            <w:noWrap/>
            <w:hideMark/>
          </w:tcPr>
          <w:p w14:paraId="21DCC16A" w14:textId="77777777" w:rsidR="00412474" w:rsidRPr="00215667" w:rsidRDefault="00412474" w:rsidP="00435E3A">
            <w:pPr>
              <w:spacing w:line="256" w:lineRule="auto"/>
              <w:rPr>
                <w:rFonts w:ascii="Times New Roman" w:eastAsia="Times New Roman" w:hAnsi="Times New Roman" w:cs="Times New Roman"/>
                <w:bCs/>
                <w:color w:val="000000"/>
                <w:sz w:val="24"/>
                <w:szCs w:val="24"/>
              </w:rPr>
            </w:pPr>
          </w:p>
        </w:tc>
        <w:tc>
          <w:tcPr>
            <w:tcW w:w="2268" w:type="dxa"/>
            <w:tcBorders>
              <w:top w:val="single" w:sz="4" w:space="0" w:color="auto"/>
              <w:left w:val="single" w:sz="4" w:space="0" w:color="auto"/>
              <w:bottom w:val="single" w:sz="4" w:space="0" w:color="auto"/>
              <w:right w:val="single" w:sz="4" w:space="0" w:color="auto"/>
            </w:tcBorders>
            <w:noWrap/>
            <w:hideMark/>
          </w:tcPr>
          <w:p w14:paraId="2CF4C378" w14:textId="0BF9D155" w:rsidR="00412474" w:rsidRPr="00215667" w:rsidRDefault="00B33524" w:rsidP="00435E3A">
            <w:pPr>
              <w:jc w:val="center"/>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lang w:val="mk-MK"/>
              </w:rPr>
              <w:t>Колаген</w:t>
            </w:r>
            <w:r w:rsidR="00412474" w:rsidRPr="00215667">
              <w:rPr>
                <w:rFonts w:ascii="Times New Roman" w:eastAsia="Times New Roman" w:hAnsi="Times New Roman" w:cs="Times New Roman"/>
                <w:bCs/>
                <w:color w:val="000000"/>
                <w:sz w:val="24"/>
                <w:szCs w:val="24"/>
              </w:rPr>
              <w:t xml:space="preserve"> </w:t>
            </w:r>
          </w:p>
        </w:tc>
      </w:tr>
      <w:tr w:rsidR="00412474" w:rsidRPr="00215667" w14:paraId="77D6E79C" w14:textId="77777777" w:rsidTr="00435E3A">
        <w:tc>
          <w:tcPr>
            <w:tcW w:w="6658" w:type="dxa"/>
            <w:tcBorders>
              <w:top w:val="single" w:sz="4" w:space="0" w:color="auto"/>
              <w:left w:val="single" w:sz="4" w:space="0" w:color="auto"/>
              <w:bottom w:val="single" w:sz="4" w:space="0" w:color="auto"/>
              <w:right w:val="single" w:sz="4" w:space="0" w:color="auto"/>
            </w:tcBorders>
            <w:noWrap/>
            <w:hideMark/>
          </w:tcPr>
          <w:p w14:paraId="04A020AF" w14:textId="775DF0D8" w:rsidR="00412474" w:rsidRPr="00215667" w:rsidRDefault="00B33524" w:rsidP="00435E3A">
            <w:pPr>
              <w:rPr>
                <w:rFonts w:ascii="Times New Roman" w:eastAsia="Times New Roman" w:hAnsi="Times New Roman" w:cs="Times New Roman"/>
                <w:b/>
                <w:bCs/>
                <w:sz w:val="24"/>
                <w:szCs w:val="24"/>
              </w:rPr>
            </w:pPr>
            <w:r>
              <w:rPr>
                <w:rFonts w:ascii="Times New Roman" w:eastAsia="Times New Roman" w:hAnsi="Times New Roman" w:cs="Times New Roman"/>
                <w:bCs/>
                <w:color w:val="000000"/>
                <w:sz w:val="24"/>
                <w:szCs w:val="24"/>
                <w:lang w:val="mk-MK"/>
              </w:rPr>
              <w:t>П</w:t>
            </w:r>
            <w:proofErr w:type="spellStart"/>
            <w:r w:rsidR="00412474" w:rsidRPr="00215667">
              <w:rPr>
                <w:rFonts w:ascii="Times New Roman" w:eastAsia="Times New Roman" w:hAnsi="Times New Roman" w:cs="Times New Roman"/>
                <w:bCs/>
                <w:color w:val="000000"/>
                <w:sz w:val="24"/>
                <w:szCs w:val="24"/>
              </w:rPr>
              <w:t>остекстракционото</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време</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на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крвавење</w:t>
            </w:r>
            <w:proofErr w:type="spellEnd"/>
            <w:r w:rsidR="00412474" w:rsidRPr="00215667">
              <w:rPr>
                <w:rFonts w:ascii="Times New Roman" w:eastAsia="Times New Roman" w:hAnsi="Times New Roman" w:cs="Times New Roman"/>
                <w:bCs/>
                <w:color w:val="000000"/>
                <w:sz w:val="24"/>
                <w:szCs w:val="24"/>
              </w:rPr>
              <w:t xml:space="preserve"> (BT), </w:t>
            </w:r>
            <w:proofErr w:type="spellStart"/>
            <w:r w:rsidR="00412474" w:rsidRPr="00215667">
              <w:rPr>
                <w:rFonts w:ascii="Times New Roman" w:eastAsia="Times New Roman" w:hAnsi="Times New Roman" w:cs="Times New Roman"/>
                <w:bCs/>
                <w:color w:val="000000"/>
                <w:sz w:val="24"/>
                <w:szCs w:val="24"/>
              </w:rPr>
              <w:t>по</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апликација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на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F00F01">
              <w:rPr>
                <w:rFonts w:ascii="Times New Roman" w:eastAsia="Times New Roman" w:hAnsi="Times New Roman" w:cs="Times New Roman"/>
                <w:bCs/>
                <w:color w:val="000000"/>
                <w:sz w:val="24"/>
                <w:szCs w:val="24"/>
              </w:rPr>
              <w:t>транексамична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киселина</w:t>
            </w:r>
            <w:proofErr w:type="spellEnd"/>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0E128722" w14:textId="77777777" w:rsidR="00412474" w:rsidRPr="00215667" w:rsidRDefault="00412474" w:rsidP="00435E3A">
            <w:pPr>
              <w:rPr>
                <w:rFonts w:ascii="Times New Roman" w:eastAsia="Times New Roman" w:hAnsi="Times New Roman" w:cs="Times New Roman"/>
                <w:color w:val="FF0000"/>
                <w:sz w:val="24"/>
                <w:szCs w:val="24"/>
              </w:rPr>
            </w:pPr>
            <w:r w:rsidRPr="00215667">
              <w:rPr>
                <w:rFonts w:ascii="Times New Roman" w:eastAsia="Times New Roman" w:hAnsi="Times New Roman" w:cs="Times New Roman"/>
                <w:color w:val="FF0000"/>
                <w:sz w:val="24"/>
                <w:szCs w:val="24"/>
              </w:rPr>
              <w:t>-.2772</w:t>
            </w:r>
          </w:p>
        </w:tc>
      </w:tr>
      <w:tr w:rsidR="00412474" w:rsidRPr="00215667" w14:paraId="68B73B29" w14:textId="77777777" w:rsidTr="00435E3A">
        <w:tc>
          <w:tcPr>
            <w:tcW w:w="6658" w:type="dxa"/>
            <w:tcBorders>
              <w:top w:val="single" w:sz="4" w:space="0" w:color="auto"/>
              <w:left w:val="single" w:sz="4" w:space="0" w:color="auto"/>
              <w:bottom w:val="single" w:sz="4" w:space="0" w:color="auto"/>
              <w:right w:val="single" w:sz="4" w:space="0" w:color="auto"/>
            </w:tcBorders>
            <w:noWrap/>
            <w:hideMark/>
          </w:tcPr>
          <w:p w14:paraId="0A8037B9" w14:textId="77777777" w:rsidR="00412474" w:rsidRPr="00215667" w:rsidRDefault="00412474" w:rsidP="00435E3A">
            <w:pPr>
              <w:spacing w:line="256" w:lineRule="auto"/>
              <w:rPr>
                <w:rFonts w:ascii="Times New Roman" w:eastAsia="Times New Roman" w:hAnsi="Times New Roman" w:cs="Times New Roman"/>
                <w:color w:val="FF0000"/>
                <w:sz w:val="24"/>
                <w:szCs w:val="24"/>
              </w:rPr>
            </w:pPr>
          </w:p>
        </w:tc>
        <w:tc>
          <w:tcPr>
            <w:tcW w:w="2268" w:type="dxa"/>
            <w:tcBorders>
              <w:top w:val="single" w:sz="4" w:space="0" w:color="auto"/>
              <w:left w:val="single" w:sz="4" w:space="0" w:color="auto"/>
              <w:bottom w:val="single" w:sz="4" w:space="0" w:color="auto"/>
              <w:right w:val="single" w:sz="4" w:space="0" w:color="auto"/>
            </w:tcBorders>
            <w:noWrap/>
            <w:vAlign w:val="center"/>
            <w:hideMark/>
          </w:tcPr>
          <w:p w14:paraId="73E664D5" w14:textId="1AE5B991" w:rsidR="00412474" w:rsidRPr="00215667" w:rsidRDefault="00B33524" w:rsidP="00435E3A">
            <w:pPr>
              <w:rPr>
                <w:rFonts w:ascii="Times New Roman" w:eastAsia="Times New Roman" w:hAnsi="Times New Roman" w:cs="Times New Roman"/>
                <w:color w:val="FF0000"/>
                <w:sz w:val="24"/>
                <w:szCs w:val="24"/>
              </w:rPr>
            </w:pPr>
            <w:r>
              <w:rPr>
                <w:rFonts w:ascii="Times New Roman" w:eastAsia="Times New Roman" w:hAnsi="Times New Roman" w:cs="Times New Roman"/>
                <w:color w:val="FF0000"/>
                <w:sz w:val="24"/>
                <w:szCs w:val="24"/>
              </w:rPr>
              <w:t>p</w:t>
            </w:r>
            <w:r>
              <w:rPr>
                <w:rFonts w:ascii="Times New Roman" w:eastAsia="Times New Roman" w:hAnsi="Times New Roman" w:cs="Times New Roman"/>
                <w:color w:val="FF0000"/>
                <w:sz w:val="24"/>
                <w:szCs w:val="24"/>
                <w:lang w:val="mk-MK"/>
              </w:rPr>
              <w:t xml:space="preserve"> </w:t>
            </w:r>
            <w:r w:rsidR="00412474" w:rsidRPr="00215667">
              <w:rPr>
                <w:rFonts w:ascii="Times New Roman" w:eastAsia="Times New Roman" w:hAnsi="Times New Roman" w:cs="Times New Roman"/>
                <w:color w:val="FF0000"/>
                <w:sz w:val="24"/>
                <w:szCs w:val="24"/>
              </w:rPr>
              <w:t>=</w:t>
            </w:r>
            <w:r>
              <w:rPr>
                <w:rFonts w:ascii="Times New Roman" w:eastAsia="Times New Roman" w:hAnsi="Times New Roman" w:cs="Times New Roman"/>
                <w:color w:val="FF0000"/>
                <w:sz w:val="24"/>
                <w:szCs w:val="24"/>
                <w:lang w:val="mk-MK"/>
              </w:rPr>
              <w:t xml:space="preserve"> </w:t>
            </w:r>
            <w:r w:rsidR="00412474" w:rsidRPr="00215667">
              <w:rPr>
                <w:rFonts w:ascii="Times New Roman" w:eastAsia="Times New Roman" w:hAnsi="Times New Roman" w:cs="Times New Roman"/>
                <w:color w:val="FF0000"/>
                <w:sz w:val="24"/>
                <w:szCs w:val="24"/>
              </w:rPr>
              <w:t>.029</w:t>
            </w:r>
          </w:p>
        </w:tc>
      </w:tr>
    </w:tbl>
    <w:p w14:paraId="5865706E"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46971250" w14:textId="5AAC610A" w:rsidR="00412474" w:rsidRPr="00215667" w:rsidRDefault="00412474" w:rsidP="00B33524">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График</w:t>
      </w:r>
      <w:r w:rsidR="00B33524">
        <w:rPr>
          <w:rFonts w:ascii="Times New Roman" w:eastAsia="Calibri" w:hAnsi="Times New Roman" w:cs="Times New Roman"/>
          <w:sz w:val="24"/>
          <w:szCs w:val="24"/>
        </w:rPr>
        <w:t xml:space="preserve"> бр.</w:t>
      </w:r>
      <w:r w:rsidRPr="00215667">
        <w:rPr>
          <w:rFonts w:ascii="Times New Roman" w:eastAsia="Calibri" w:hAnsi="Times New Roman" w:cs="Times New Roman"/>
          <w:sz w:val="24"/>
          <w:szCs w:val="24"/>
        </w:rPr>
        <w:t xml:space="preserve"> 11в</w:t>
      </w:r>
      <w:r w:rsidR="00B33524">
        <w:rPr>
          <w:rFonts w:ascii="Times New Roman" w:hAnsi="Times New Roman" w:cs="Times New Roman"/>
          <w:sz w:val="24"/>
          <w:szCs w:val="24"/>
        </w:rPr>
        <w:t xml:space="preserve">- </w:t>
      </w:r>
      <w:r w:rsidRPr="00215667">
        <w:rPr>
          <w:rFonts w:ascii="Times New Roman" w:eastAsia="Calibri" w:hAnsi="Times New Roman" w:cs="Times New Roman"/>
          <w:sz w:val="24"/>
          <w:szCs w:val="24"/>
        </w:rPr>
        <w:t xml:space="preserve">Приказ на корелациите помеѓу постекстракционото време на крвавење и </w:t>
      </w:r>
      <w:r w:rsidR="00B33524">
        <w:rPr>
          <w:rFonts w:ascii="Times New Roman" w:eastAsia="Calibri" w:hAnsi="Times New Roman" w:cs="Times New Roman"/>
          <w:sz w:val="24"/>
          <w:szCs w:val="24"/>
        </w:rPr>
        <w:t>колаген</w:t>
      </w:r>
      <w:r w:rsidRPr="00215667">
        <w:rPr>
          <w:rFonts w:ascii="Times New Roman" w:eastAsia="Calibri" w:hAnsi="Times New Roman" w:cs="Times New Roman"/>
          <w:sz w:val="24"/>
          <w:szCs w:val="24"/>
        </w:rPr>
        <w:t xml:space="preserve"> по</w:t>
      </w:r>
      <w:r w:rsidR="00B33524">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апликација на </w:t>
      </w:r>
      <w:r w:rsidR="00F00F01">
        <w:rPr>
          <w:rFonts w:ascii="Times New Roman" w:eastAsia="Calibri" w:hAnsi="Times New Roman" w:cs="Times New Roman"/>
          <w:sz w:val="24"/>
          <w:szCs w:val="24"/>
        </w:rPr>
        <w:t>транексамична</w:t>
      </w:r>
      <w:r w:rsidRPr="00215667">
        <w:rPr>
          <w:rFonts w:ascii="Times New Roman" w:eastAsia="Calibri" w:hAnsi="Times New Roman" w:cs="Times New Roman"/>
          <w:sz w:val="24"/>
          <w:szCs w:val="24"/>
        </w:rPr>
        <w:t xml:space="preserve"> киселина</w:t>
      </w:r>
    </w:p>
    <w:p w14:paraId="2CA6658C" w14:textId="213B48BB" w:rsidR="00412474" w:rsidRPr="00215667" w:rsidRDefault="00B33524" w:rsidP="00412474">
      <w:pPr>
        <w:spacing w:after="120" w:line="360" w:lineRule="auto"/>
        <w:jc w:val="both"/>
        <w:rPr>
          <w:rFonts w:ascii="Times New Roman" w:eastAsia="Times New Roman" w:hAnsi="Times New Roman" w:cs="Times New Roman"/>
          <w:bCs/>
          <w:color w:val="000000"/>
          <w:sz w:val="24"/>
          <w:szCs w:val="24"/>
        </w:rPr>
      </w:pPr>
      <w:r>
        <w:rPr>
          <w:noProof/>
          <w14:ligatures w14:val="standardContextual"/>
        </w:rPr>
        <w:drawing>
          <wp:inline distT="0" distB="0" distL="0" distR="0" wp14:anchorId="7A61ED3F" wp14:editId="62C2FA54">
            <wp:extent cx="5400040" cy="2146935"/>
            <wp:effectExtent l="0" t="0" r="0" b="5715"/>
            <wp:docPr id="7335426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542668" name=""/>
                    <pic:cNvPicPr/>
                  </pic:nvPicPr>
                  <pic:blipFill>
                    <a:blip r:embed="rId33"/>
                    <a:stretch>
                      <a:fillRect/>
                    </a:stretch>
                  </pic:blipFill>
                  <pic:spPr>
                    <a:xfrm>
                      <a:off x="0" y="0"/>
                      <a:ext cx="5400040" cy="2146935"/>
                    </a:xfrm>
                    <a:prstGeom prst="rect">
                      <a:avLst/>
                    </a:prstGeom>
                  </pic:spPr>
                </pic:pic>
              </a:graphicData>
            </a:graphic>
          </wp:inline>
        </w:drawing>
      </w:r>
    </w:p>
    <w:p w14:paraId="06928793" w14:textId="04A6E3F3" w:rsidR="00412474" w:rsidRDefault="00412474" w:rsidP="00412474">
      <w:pPr>
        <w:spacing w:after="120" w:line="360" w:lineRule="auto"/>
        <w:ind w:firstLine="720"/>
        <w:jc w:val="both"/>
        <w:rPr>
          <w:rFonts w:ascii="Times New Roman" w:eastAsia="Times New Roman" w:hAnsi="Times New Roman" w:cs="Times New Roman"/>
          <w:bCs/>
          <w:color w:val="000000"/>
          <w:sz w:val="24"/>
          <w:szCs w:val="24"/>
        </w:rPr>
      </w:pPr>
      <w:r w:rsidRPr="00215667">
        <w:rPr>
          <w:rFonts w:ascii="Times New Roman" w:eastAsia="Times New Roman" w:hAnsi="Times New Roman" w:cs="Times New Roman"/>
          <w:bCs/>
          <w:color w:val="000000"/>
          <w:sz w:val="24"/>
          <w:szCs w:val="24"/>
        </w:rPr>
        <w:lastRenderedPageBreak/>
        <w:t>Се регистрира многу слаба позитивна (директна) несигнификантна  корелација помеѓу постекстракционото време на крвавење и вредностите на PT (r</w:t>
      </w:r>
      <w:r w:rsidR="00B33524">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B33524">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0803, p</w:t>
      </w:r>
      <w:r w:rsidR="00B33524">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B33524">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.538) (табела </w:t>
      </w:r>
      <w:r w:rsidR="00B33524">
        <w:rPr>
          <w:rFonts w:ascii="Times New Roman" w:eastAsia="Times New Roman" w:hAnsi="Times New Roman" w:cs="Times New Roman"/>
          <w:bCs/>
          <w:color w:val="000000"/>
          <w:sz w:val="24"/>
          <w:szCs w:val="24"/>
        </w:rPr>
        <w:t xml:space="preserve">бр. 11г </w:t>
      </w:r>
      <w:r w:rsidRPr="00215667">
        <w:rPr>
          <w:rFonts w:ascii="Times New Roman" w:eastAsia="Times New Roman" w:hAnsi="Times New Roman" w:cs="Times New Roman"/>
          <w:bCs/>
          <w:color w:val="000000"/>
          <w:sz w:val="24"/>
          <w:szCs w:val="24"/>
        </w:rPr>
        <w:t>и графикон бр</w:t>
      </w:r>
      <w:r w:rsidR="00B33524">
        <w:rPr>
          <w:rFonts w:ascii="Times New Roman" w:eastAsia="Times New Roman" w:hAnsi="Times New Roman" w:cs="Times New Roman"/>
          <w:bCs/>
          <w:color w:val="000000"/>
          <w:sz w:val="24"/>
          <w:szCs w:val="24"/>
        </w:rPr>
        <w:t>.</w:t>
      </w:r>
      <w:r w:rsidRPr="00215667">
        <w:rPr>
          <w:rFonts w:ascii="Times New Roman" w:eastAsia="Times New Roman" w:hAnsi="Times New Roman" w:cs="Times New Roman"/>
          <w:bCs/>
          <w:color w:val="000000"/>
          <w:sz w:val="24"/>
          <w:szCs w:val="24"/>
        </w:rPr>
        <w:t xml:space="preserve"> 11г)</w:t>
      </w:r>
      <w:r w:rsidR="00B33524">
        <w:rPr>
          <w:rFonts w:ascii="Times New Roman" w:eastAsia="Times New Roman" w:hAnsi="Times New Roman" w:cs="Times New Roman"/>
          <w:bCs/>
          <w:color w:val="000000"/>
          <w:sz w:val="24"/>
          <w:szCs w:val="24"/>
        </w:rPr>
        <w:t>.</w:t>
      </w:r>
    </w:p>
    <w:p w14:paraId="300204AF" w14:textId="65B9C388" w:rsidR="00412474" w:rsidRPr="00215667" w:rsidRDefault="00412474" w:rsidP="00B33524">
      <w:pPr>
        <w:spacing w:after="120" w:line="360" w:lineRule="auto"/>
        <w:jc w:val="center"/>
        <w:rPr>
          <w:rFonts w:ascii="Times New Roman" w:eastAsia="Times New Roman" w:hAnsi="Times New Roman" w:cs="Times New Roman"/>
          <w:bCs/>
          <w:color w:val="000000"/>
          <w:sz w:val="24"/>
          <w:szCs w:val="24"/>
        </w:rPr>
      </w:pPr>
      <w:r w:rsidRPr="00215667">
        <w:rPr>
          <w:rFonts w:ascii="Times New Roman" w:eastAsia="Calibri" w:hAnsi="Times New Roman" w:cs="Times New Roman"/>
          <w:sz w:val="24"/>
          <w:szCs w:val="24"/>
        </w:rPr>
        <w:t>Табела бр.</w:t>
      </w:r>
      <w:r w:rsidR="00B33524">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11г</w:t>
      </w:r>
      <w:r w:rsidR="00B33524">
        <w:rPr>
          <w:rFonts w:ascii="Times New Roman" w:eastAsia="Calibri" w:hAnsi="Times New Roman" w:cs="Times New Roman"/>
          <w:sz w:val="24"/>
          <w:szCs w:val="24"/>
        </w:rPr>
        <w:t>-</w:t>
      </w:r>
      <w:r w:rsidRPr="00215667">
        <w:rPr>
          <w:rFonts w:ascii="Times New Roman" w:hAnsi="Times New Roman" w:cs="Times New Roman"/>
          <w:sz w:val="24"/>
          <w:szCs w:val="24"/>
        </w:rPr>
        <w:t xml:space="preserve"> </w:t>
      </w:r>
      <w:r w:rsidRPr="00215667">
        <w:rPr>
          <w:rFonts w:ascii="Times New Roman" w:eastAsia="Calibri" w:hAnsi="Times New Roman" w:cs="Times New Roman"/>
          <w:sz w:val="24"/>
          <w:szCs w:val="24"/>
        </w:rPr>
        <w:t>Приказ на корелациите помеѓу постекстракционо</w:t>
      </w:r>
      <w:r w:rsidR="00EA76DC">
        <w:rPr>
          <w:rFonts w:ascii="Times New Roman" w:eastAsia="Calibri" w:hAnsi="Times New Roman" w:cs="Times New Roman"/>
          <w:sz w:val="24"/>
          <w:szCs w:val="24"/>
        </w:rPr>
        <w:t>то</w:t>
      </w:r>
      <w:r w:rsidRPr="00215667">
        <w:rPr>
          <w:rFonts w:ascii="Times New Roman" w:eastAsia="Calibri" w:hAnsi="Times New Roman" w:cs="Times New Roman"/>
          <w:sz w:val="24"/>
          <w:szCs w:val="24"/>
        </w:rPr>
        <w:t xml:space="preserve"> време на крвавење (BT) и PT по апликација на </w:t>
      </w:r>
      <w:r w:rsidR="00F00F01">
        <w:rPr>
          <w:rFonts w:ascii="Times New Roman" w:eastAsia="Calibri" w:hAnsi="Times New Roman" w:cs="Times New Roman"/>
          <w:sz w:val="24"/>
          <w:szCs w:val="24"/>
        </w:rPr>
        <w:t>транексамична</w:t>
      </w:r>
      <w:r w:rsidRPr="00215667">
        <w:rPr>
          <w:rFonts w:ascii="Times New Roman" w:eastAsia="Calibri" w:hAnsi="Times New Roman" w:cs="Times New Roman"/>
          <w:sz w:val="24"/>
          <w:szCs w:val="24"/>
        </w:rPr>
        <w:t xml:space="preserve"> киселина</w:t>
      </w:r>
    </w:p>
    <w:tbl>
      <w:tblPr>
        <w:tblStyle w:val="TableGrid1"/>
        <w:tblW w:w="8926" w:type="dxa"/>
        <w:tblLook w:val="04A0" w:firstRow="1" w:lastRow="0" w:firstColumn="1" w:lastColumn="0" w:noHBand="0" w:noVBand="1"/>
      </w:tblPr>
      <w:tblGrid>
        <w:gridCol w:w="7366"/>
        <w:gridCol w:w="1560"/>
      </w:tblGrid>
      <w:tr w:rsidR="00412474" w:rsidRPr="00215667" w14:paraId="71D7B861" w14:textId="77777777" w:rsidTr="00435E3A">
        <w:tc>
          <w:tcPr>
            <w:tcW w:w="7366" w:type="dxa"/>
            <w:tcBorders>
              <w:top w:val="single" w:sz="4" w:space="0" w:color="auto"/>
              <w:left w:val="single" w:sz="4" w:space="0" w:color="auto"/>
              <w:bottom w:val="single" w:sz="4" w:space="0" w:color="auto"/>
              <w:right w:val="single" w:sz="4" w:space="0" w:color="auto"/>
            </w:tcBorders>
            <w:noWrap/>
            <w:hideMark/>
          </w:tcPr>
          <w:p w14:paraId="587A852A" w14:textId="77777777" w:rsidR="00412474" w:rsidRPr="00215667" w:rsidRDefault="00412474" w:rsidP="00435E3A">
            <w:pPr>
              <w:spacing w:line="256" w:lineRule="auto"/>
              <w:rPr>
                <w:rFonts w:ascii="Times New Roman" w:eastAsia="Times New Roman" w:hAnsi="Times New Roman" w:cs="Times New Roman"/>
                <w:bCs/>
                <w:color w:val="000000"/>
                <w:sz w:val="24"/>
                <w:szCs w:val="24"/>
              </w:rPr>
            </w:pPr>
          </w:p>
        </w:tc>
        <w:tc>
          <w:tcPr>
            <w:tcW w:w="1560" w:type="dxa"/>
            <w:tcBorders>
              <w:top w:val="single" w:sz="4" w:space="0" w:color="auto"/>
              <w:left w:val="single" w:sz="4" w:space="0" w:color="auto"/>
              <w:bottom w:val="single" w:sz="4" w:space="0" w:color="auto"/>
              <w:right w:val="single" w:sz="4" w:space="0" w:color="auto"/>
            </w:tcBorders>
            <w:noWrap/>
            <w:hideMark/>
          </w:tcPr>
          <w:p w14:paraId="6F53830F" w14:textId="77777777" w:rsidR="00412474" w:rsidRPr="00215667" w:rsidRDefault="00412474" w:rsidP="00435E3A">
            <w:pPr>
              <w:rPr>
                <w:rFonts w:ascii="Times New Roman" w:eastAsia="Times New Roman" w:hAnsi="Times New Roman" w:cs="Times New Roman"/>
                <w:bCs/>
                <w:sz w:val="24"/>
                <w:szCs w:val="24"/>
              </w:rPr>
            </w:pPr>
            <w:r w:rsidRPr="00215667">
              <w:rPr>
                <w:rFonts w:ascii="Times New Roman" w:eastAsia="Times New Roman" w:hAnsi="Times New Roman" w:cs="Times New Roman"/>
                <w:bCs/>
                <w:color w:val="000000"/>
                <w:sz w:val="24"/>
                <w:szCs w:val="24"/>
              </w:rPr>
              <w:t xml:space="preserve">PT </w:t>
            </w:r>
          </w:p>
        </w:tc>
      </w:tr>
      <w:tr w:rsidR="00412474" w:rsidRPr="00215667" w14:paraId="28969CC8" w14:textId="77777777" w:rsidTr="00435E3A">
        <w:tc>
          <w:tcPr>
            <w:tcW w:w="7366" w:type="dxa"/>
            <w:tcBorders>
              <w:top w:val="single" w:sz="4" w:space="0" w:color="auto"/>
              <w:left w:val="single" w:sz="4" w:space="0" w:color="auto"/>
              <w:bottom w:val="single" w:sz="4" w:space="0" w:color="auto"/>
              <w:right w:val="single" w:sz="4" w:space="0" w:color="auto"/>
            </w:tcBorders>
            <w:noWrap/>
            <w:hideMark/>
          </w:tcPr>
          <w:p w14:paraId="7BC94AA9" w14:textId="6756DA10" w:rsidR="00412474" w:rsidRPr="00215667" w:rsidRDefault="00B33524" w:rsidP="00435E3A">
            <w:pPr>
              <w:rPr>
                <w:rFonts w:ascii="Times New Roman" w:eastAsia="Times New Roman" w:hAnsi="Times New Roman" w:cs="Times New Roman"/>
                <w:b/>
                <w:bCs/>
                <w:sz w:val="24"/>
                <w:szCs w:val="24"/>
              </w:rPr>
            </w:pPr>
            <w:r>
              <w:rPr>
                <w:rFonts w:ascii="Times New Roman" w:eastAsia="Times New Roman" w:hAnsi="Times New Roman" w:cs="Times New Roman"/>
                <w:bCs/>
                <w:color w:val="000000"/>
                <w:sz w:val="24"/>
                <w:szCs w:val="24"/>
                <w:lang w:val="mk-MK"/>
              </w:rPr>
              <w:t>П</w:t>
            </w:r>
            <w:proofErr w:type="spellStart"/>
            <w:r w:rsidR="00412474" w:rsidRPr="00215667">
              <w:rPr>
                <w:rFonts w:ascii="Times New Roman" w:eastAsia="Times New Roman" w:hAnsi="Times New Roman" w:cs="Times New Roman"/>
                <w:bCs/>
                <w:color w:val="000000"/>
                <w:sz w:val="24"/>
                <w:szCs w:val="24"/>
              </w:rPr>
              <w:t>остекстракционото</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време</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на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крвавење</w:t>
            </w:r>
            <w:proofErr w:type="spellEnd"/>
            <w:r w:rsidR="00412474" w:rsidRPr="00215667">
              <w:rPr>
                <w:rFonts w:ascii="Times New Roman" w:eastAsia="Times New Roman" w:hAnsi="Times New Roman" w:cs="Times New Roman"/>
                <w:bCs/>
                <w:color w:val="000000"/>
                <w:sz w:val="24"/>
                <w:szCs w:val="24"/>
              </w:rPr>
              <w:t xml:space="preserve"> (BT), </w:t>
            </w:r>
            <w:proofErr w:type="spellStart"/>
            <w:r w:rsidR="00412474" w:rsidRPr="00215667">
              <w:rPr>
                <w:rFonts w:ascii="Times New Roman" w:eastAsia="Times New Roman" w:hAnsi="Times New Roman" w:cs="Times New Roman"/>
                <w:bCs/>
                <w:color w:val="000000"/>
                <w:sz w:val="24"/>
                <w:szCs w:val="24"/>
              </w:rPr>
              <w:t>по</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апликација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на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F00F01">
              <w:rPr>
                <w:rFonts w:ascii="Times New Roman" w:eastAsia="Times New Roman" w:hAnsi="Times New Roman" w:cs="Times New Roman"/>
                <w:bCs/>
                <w:color w:val="000000"/>
                <w:sz w:val="24"/>
                <w:szCs w:val="24"/>
              </w:rPr>
              <w:t>транексамична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киселина</w:t>
            </w:r>
            <w:proofErr w:type="spellEnd"/>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7442251C"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.0803</w:t>
            </w:r>
          </w:p>
        </w:tc>
      </w:tr>
      <w:tr w:rsidR="00412474" w:rsidRPr="00215667" w14:paraId="44EC4486" w14:textId="77777777" w:rsidTr="00435E3A">
        <w:tc>
          <w:tcPr>
            <w:tcW w:w="7366" w:type="dxa"/>
            <w:tcBorders>
              <w:top w:val="single" w:sz="4" w:space="0" w:color="auto"/>
              <w:left w:val="single" w:sz="4" w:space="0" w:color="auto"/>
              <w:bottom w:val="single" w:sz="4" w:space="0" w:color="auto"/>
              <w:right w:val="single" w:sz="4" w:space="0" w:color="auto"/>
            </w:tcBorders>
            <w:noWrap/>
            <w:hideMark/>
          </w:tcPr>
          <w:p w14:paraId="35097701" w14:textId="77777777" w:rsidR="00412474" w:rsidRPr="00215667" w:rsidRDefault="00412474" w:rsidP="00435E3A">
            <w:pPr>
              <w:spacing w:line="256" w:lineRule="auto"/>
              <w:rPr>
                <w:rFonts w:ascii="Times New Roman" w:eastAsia="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noWrap/>
            <w:vAlign w:val="center"/>
            <w:hideMark/>
          </w:tcPr>
          <w:p w14:paraId="47272CBE" w14:textId="03E1349F" w:rsidR="00412474" w:rsidRPr="00215667" w:rsidRDefault="00B33524" w:rsidP="00435E3A">
            <w:pPr>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p</w:t>
            </w:r>
            <w:r>
              <w:rPr>
                <w:rFonts w:ascii="Times New Roman" w:eastAsia="Times New Roman" w:hAnsi="Times New Roman" w:cs="Times New Roman"/>
                <w:color w:val="000000"/>
                <w:sz w:val="24"/>
                <w:szCs w:val="24"/>
                <w:lang w:val="mk-MK"/>
              </w:rPr>
              <w:t xml:space="preserve"> </w:t>
            </w:r>
            <w:r w:rsidR="00412474" w:rsidRPr="00215667">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lang w:val="mk-MK"/>
              </w:rPr>
              <w:t xml:space="preserve"> </w:t>
            </w:r>
            <w:r w:rsidR="00412474" w:rsidRPr="00215667">
              <w:rPr>
                <w:rFonts w:ascii="Times New Roman" w:eastAsia="Times New Roman" w:hAnsi="Times New Roman" w:cs="Times New Roman"/>
                <w:color w:val="000000"/>
                <w:sz w:val="24"/>
                <w:szCs w:val="24"/>
              </w:rPr>
              <w:t>.538</w:t>
            </w:r>
          </w:p>
        </w:tc>
      </w:tr>
    </w:tbl>
    <w:p w14:paraId="370D97CE" w14:textId="77777777" w:rsidR="00412474" w:rsidRPr="00215667" w:rsidRDefault="00412474" w:rsidP="00412474">
      <w:pPr>
        <w:spacing w:after="120" w:line="360" w:lineRule="auto"/>
        <w:jc w:val="both"/>
        <w:rPr>
          <w:rFonts w:ascii="Times New Roman" w:eastAsia="Times New Roman" w:hAnsi="Times New Roman" w:cs="Times New Roman"/>
          <w:bCs/>
          <w:color w:val="000000"/>
          <w:sz w:val="24"/>
          <w:szCs w:val="24"/>
        </w:rPr>
      </w:pPr>
    </w:p>
    <w:p w14:paraId="1F858C7C" w14:textId="1EC79BD4" w:rsidR="00412474" w:rsidRPr="00215667" w:rsidRDefault="00412474" w:rsidP="00B33524">
      <w:pPr>
        <w:spacing w:after="120" w:line="360" w:lineRule="auto"/>
        <w:jc w:val="center"/>
        <w:rPr>
          <w:rFonts w:ascii="Times New Roman" w:eastAsia="Times New Roman" w:hAnsi="Times New Roman" w:cs="Times New Roman"/>
          <w:bCs/>
          <w:color w:val="000000"/>
          <w:sz w:val="24"/>
          <w:szCs w:val="24"/>
        </w:rPr>
      </w:pPr>
      <w:r w:rsidRPr="00215667">
        <w:rPr>
          <w:rFonts w:ascii="Times New Roman" w:eastAsia="Calibri" w:hAnsi="Times New Roman" w:cs="Times New Roman"/>
          <w:sz w:val="24"/>
          <w:szCs w:val="24"/>
        </w:rPr>
        <w:t>Графикон бр.11г</w:t>
      </w:r>
      <w:r w:rsidR="00B33524">
        <w:rPr>
          <w:rFonts w:ascii="Times New Roman" w:eastAsia="Calibri" w:hAnsi="Times New Roman" w:cs="Times New Roman"/>
          <w:sz w:val="24"/>
          <w:szCs w:val="24"/>
        </w:rPr>
        <w:t>-</w:t>
      </w:r>
      <w:r w:rsidRPr="00215667">
        <w:rPr>
          <w:rFonts w:ascii="Times New Roman" w:hAnsi="Times New Roman" w:cs="Times New Roman"/>
          <w:sz w:val="24"/>
          <w:szCs w:val="24"/>
        </w:rPr>
        <w:t xml:space="preserve"> </w:t>
      </w:r>
      <w:r w:rsidRPr="00215667">
        <w:rPr>
          <w:rFonts w:ascii="Times New Roman" w:eastAsia="Calibri" w:hAnsi="Times New Roman" w:cs="Times New Roman"/>
          <w:sz w:val="24"/>
          <w:szCs w:val="24"/>
        </w:rPr>
        <w:t xml:space="preserve">Приказ на корелациите помеѓу време на крвавење и PT постопертивно по апликација на </w:t>
      </w:r>
      <w:r w:rsidR="00F00F01">
        <w:rPr>
          <w:rFonts w:ascii="Times New Roman" w:eastAsia="Calibri" w:hAnsi="Times New Roman" w:cs="Times New Roman"/>
          <w:sz w:val="24"/>
          <w:szCs w:val="24"/>
        </w:rPr>
        <w:t>транексамична</w:t>
      </w:r>
      <w:r w:rsidRPr="00215667">
        <w:rPr>
          <w:rFonts w:ascii="Times New Roman" w:eastAsia="Calibri" w:hAnsi="Times New Roman" w:cs="Times New Roman"/>
          <w:sz w:val="24"/>
          <w:szCs w:val="24"/>
        </w:rPr>
        <w:t xml:space="preserve"> киселина</w:t>
      </w:r>
    </w:p>
    <w:p w14:paraId="616B31EF" w14:textId="6F45A09E" w:rsidR="00412474" w:rsidRPr="00215667" w:rsidRDefault="009D29AC" w:rsidP="00EA76DC">
      <w:pPr>
        <w:spacing w:after="120" w:line="360" w:lineRule="auto"/>
        <w:ind w:firstLine="720"/>
        <w:jc w:val="both"/>
        <w:rPr>
          <w:rFonts w:ascii="Times New Roman" w:eastAsia="Calibri" w:hAnsi="Times New Roman" w:cs="Times New Roman"/>
          <w:sz w:val="24"/>
          <w:szCs w:val="24"/>
        </w:rPr>
      </w:pPr>
      <w:r w:rsidRPr="009D29AC">
        <w:rPr>
          <w:rFonts w:ascii="Times New Roman" w:eastAsia="Calibri" w:hAnsi="Times New Roman" w:cs="Times New Roman"/>
          <w:noProof/>
          <w:sz w:val="24"/>
          <w:szCs w:val="24"/>
          <w14:ligatures w14:val="standardContextual"/>
        </w:rPr>
        <w:object w:dxaOrig="9360" w:dyaOrig="3630" w14:anchorId="2E1AB78A">
          <v:shape id="_x0000_i1064" type="#_x0000_t75" alt="" style="width:469.45pt;height:181.45pt;mso-width-percent:0;mso-height-percent:0;mso-width-percent:0;mso-height-percent:0" o:ole="">
            <v:imagedata r:id="rId34" o:title=""/>
          </v:shape>
          <o:OLEObject Type="Embed" ProgID="STATISTICA.Graph" ShapeID="_x0000_i1064" DrawAspect="Content" ObjectID="_1819618112" r:id="rId35">
            <o:FieldCodes>\s</o:FieldCodes>
          </o:OLEObject>
        </w:object>
      </w:r>
      <w:r w:rsidR="00EA76DC">
        <w:rPr>
          <w:rFonts w:ascii="Times New Roman" w:eastAsia="Calibri" w:hAnsi="Times New Roman" w:cs="Times New Roman"/>
          <w:noProof/>
          <w:sz w:val="24"/>
          <w:szCs w:val="24"/>
          <w14:ligatures w14:val="standardContextual"/>
        </w:rPr>
        <w:tab/>
      </w:r>
      <w:r w:rsidR="00412474" w:rsidRPr="00215667">
        <w:rPr>
          <w:rFonts w:ascii="Times New Roman" w:eastAsia="Calibri" w:hAnsi="Times New Roman" w:cs="Times New Roman"/>
          <w:sz w:val="24"/>
          <w:szCs w:val="24"/>
        </w:rPr>
        <w:t>Крвавење кај сите пациенти кај кои не беше дијагностицирана тромбоцитната хипоагрегабилност беше присутно кај 100</w:t>
      </w:r>
      <w:r w:rsidR="00EA76DC">
        <w:rPr>
          <w:rFonts w:ascii="Times New Roman" w:eastAsia="Calibri" w:hAnsi="Times New Roman" w:cs="Times New Roman"/>
          <w:sz w:val="24"/>
          <w:szCs w:val="24"/>
        </w:rPr>
        <w:t xml:space="preserve"> </w:t>
      </w:r>
      <w:r w:rsidR="00412474" w:rsidRPr="00215667">
        <w:rPr>
          <w:rFonts w:ascii="Times New Roman" w:eastAsia="Calibri" w:hAnsi="Times New Roman" w:cs="Times New Roman"/>
          <w:sz w:val="24"/>
          <w:szCs w:val="24"/>
        </w:rPr>
        <w:t>% од пациентите со различен интензитет.</w:t>
      </w:r>
    </w:p>
    <w:p w14:paraId="68678333" w14:textId="767D69FC" w:rsidR="00412474" w:rsidRPr="00215667" w:rsidRDefault="00412474" w:rsidP="00EA76DC">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Тешки постекстракциони крвавења не се регистрираат во однос на предоперативно, каде се регистрираа скоро кај половина (45.3</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од пациентите (кога пациентите немаа поставена дијагноза и процедурална предоперативна припрема).</w:t>
      </w:r>
    </w:p>
    <w:p w14:paraId="66213283" w14:textId="44277CF3" w:rsidR="00412474" w:rsidRPr="00215667" w:rsidRDefault="00412474" w:rsidP="00EA76DC">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 xml:space="preserve">По интравенската апликација на профилактична доза на </w:t>
      </w:r>
      <w:r w:rsidR="00F00F01">
        <w:rPr>
          <w:rFonts w:ascii="Times New Roman" w:eastAsia="Calibri" w:hAnsi="Times New Roman" w:cs="Times New Roman"/>
          <w:sz w:val="24"/>
          <w:szCs w:val="24"/>
        </w:rPr>
        <w:t>транексамична</w:t>
      </w:r>
      <w:r w:rsidRPr="00215667">
        <w:rPr>
          <w:rFonts w:ascii="Times New Roman" w:eastAsia="Calibri" w:hAnsi="Times New Roman" w:cs="Times New Roman"/>
          <w:sz w:val="24"/>
          <w:szCs w:val="24"/>
        </w:rPr>
        <w:t xml:space="preserve"> киселина отсуство на постоперативно крвавење се регистрира кај 8</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(12.5</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пациенти.</w:t>
      </w:r>
    </w:p>
    <w:p w14:paraId="229BB684" w14:textId="68CA051B" w:rsidR="00412474" w:rsidRPr="00215667" w:rsidRDefault="00412474" w:rsidP="00EA76DC">
      <w:pPr>
        <w:spacing w:after="120" w:line="360" w:lineRule="auto"/>
        <w:ind w:firstLine="720"/>
        <w:jc w:val="both"/>
        <w:rPr>
          <w:rFonts w:ascii="Times New Roman" w:eastAsia="Calibri" w:hAnsi="Times New Roman" w:cs="Times New Roman"/>
          <w:bCs/>
          <w:sz w:val="24"/>
          <w:szCs w:val="24"/>
        </w:rPr>
      </w:pPr>
      <w:r w:rsidRPr="00215667">
        <w:rPr>
          <w:rFonts w:ascii="Times New Roman" w:eastAsia="Calibri" w:hAnsi="Times New Roman" w:cs="Times New Roman"/>
          <w:sz w:val="24"/>
          <w:szCs w:val="24"/>
        </w:rPr>
        <w:lastRenderedPageBreak/>
        <w:t>Присуство на сукрвица во плунка (</w:t>
      </w:r>
      <w:r w:rsidRPr="00EA76DC">
        <w:rPr>
          <w:rFonts w:ascii="Times New Roman" w:eastAsia="Calibri" w:hAnsi="Times New Roman" w:cs="Times New Roman"/>
          <w:i/>
          <w:iCs/>
          <w:sz w:val="24"/>
          <w:szCs w:val="24"/>
        </w:rPr>
        <w:t>oozing bleeding</w:t>
      </w:r>
      <w:r w:rsidRPr="00215667">
        <w:rPr>
          <w:rFonts w:ascii="Times New Roman" w:eastAsia="Calibri" w:hAnsi="Times New Roman" w:cs="Times New Roman"/>
          <w:sz w:val="24"/>
          <w:szCs w:val="24"/>
        </w:rPr>
        <w:t>) постекстракционо, кое не бара никаква додатна интервенција се регистрира кај 54 (84.4</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од пациентите, а пред поставување на дијагнозата се регистрираше само кај еден (1.6</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пациент. Процентуалната разлика помеѓу постекстракционите крвавења пред дијагностицирањето (без соодветна предоперативна припрема) версус по употреба на профилактична доза на транексамична киселина е сигнификантно за p</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&lt;</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.05(</w:t>
      </w:r>
      <w:r w:rsidRPr="00EA76DC">
        <w:rPr>
          <w:rFonts w:ascii="Times New Roman" w:eastAsia="Calibri" w:hAnsi="Times New Roman" w:cs="Times New Roman"/>
          <w:i/>
          <w:iCs/>
          <w:sz w:val="24"/>
          <w:szCs w:val="24"/>
        </w:rPr>
        <w:t>Difference test</w:t>
      </w:r>
      <w:r w:rsidRPr="00215667">
        <w:rPr>
          <w:rFonts w:ascii="Times New Roman" w:eastAsia="Calibri" w:hAnsi="Times New Roman" w:cs="Times New Roman"/>
          <w:sz w:val="24"/>
          <w:szCs w:val="24"/>
        </w:rPr>
        <w:t xml:space="preserve"> , p</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.0000).</w:t>
      </w:r>
      <w:r w:rsidRPr="00215667">
        <w:rPr>
          <w:rFonts w:ascii="Times New Roman" w:eastAsia="Calibri" w:hAnsi="Times New Roman" w:cs="Times New Roman"/>
          <w:bCs/>
          <w:sz w:val="24"/>
          <w:szCs w:val="24"/>
        </w:rPr>
        <w:t xml:space="preserve"> </w:t>
      </w:r>
    </w:p>
    <w:p w14:paraId="4AB5A125" w14:textId="4FBC9977" w:rsidR="00412474" w:rsidRPr="00215667" w:rsidRDefault="00412474" w:rsidP="00EA76DC">
      <w:pPr>
        <w:spacing w:after="120" w:line="360" w:lineRule="auto"/>
        <w:ind w:firstLine="720"/>
        <w:jc w:val="both"/>
        <w:rPr>
          <w:rFonts w:ascii="Times New Roman" w:eastAsia="Calibri" w:hAnsi="Times New Roman" w:cs="Times New Roman"/>
          <w:bCs/>
          <w:sz w:val="24"/>
          <w:szCs w:val="24"/>
        </w:rPr>
      </w:pPr>
      <w:r w:rsidRPr="00215667">
        <w:rPr>
          <w:rFonts w:ascii="Times New Roman" w:eastAsia="Calibri" w:hAnsi="Times New Roman" w:cs="Times New Roman"/>
          <w:sz w:val="24"/>
          <w:szCs w:val="24"/>
        </w:rPr>
        <w:t>Лесен интензитет на крвавење се регистрира само кај двајца (3.1</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пациенти по поставување на дијагнозата и соодветна профилакса, за разлика од несоодветно припремени пациенти, без востановената дијагноза кај кои постоперативно крвавење се регистрираше кај 34 (53.1</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пациенти. Процентуалната разлика во однос на лесниот интензитет пред версус по апликација на ТХА покажа сигнификантна разлика за p</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&lt;</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.05</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Pr="00EA76DC">
        <w:rPr>
          <w:rFonts w:ascii="Times New Roman" w:eastAsia="Calibri" w:hAnsi="Times New Roman" w:cs="Times New Roman"/>
          <w:i/>
          <w:iCs/>
          <w:sz w:val="24"/>
          <w:szCs w:val="24"/>
        </w:rPr>
        <w:t>Difference test</w:t>
      </w:r>
      <w:r w:rsidRPr="00215667">
        <w:rPr>
          <w:rFonts w:ascii="Times New Roman" w:eastAsia="Calibri" w:hAnsi="Times New Roman" w:cs="Times New Roman"/>
          <w:sz w:val="24"/>
          <w:szCs w:val="24"/>
        </w:rPr>
        <w:t>, p</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color w:val="FF0000"/>
          <w:sz w:val="24"/>
          <w:szCs w:val="24"/>
        </w:rPr>
        <w:t>=</w:t>
      </w:r>
      <w:r w:rsidR="00EA76DC">
        <w:rPr>
          <w:rFonts w:ascii="Times New Roman" w:eastAsia="Calibri" w:hAnsi="Times New Roman" w:cs="Times New Roman"/>
          <w:color w:val="FF0000"/>
          <w:sz w:val="24"/>
          <w:szCs w:val="24"/>
        </w:rPr>
        <w:t xml:space="preserve"> </w:t>
      </w:r>
      <w:r w:rsidRPr="00215667">
        <w:rPr>
          <w:rFonts w:ascii="Times New Roman" w:eastAsia="Calibri" w:hAnsi="Times New Roman" w:cs="Times New Roman"/>
          <w:color w:val="FF0000"/>
          <w:sz w:val="24"/>
          <w:szCs w:val="24"/>
        </w:rPr>
        <w:t>.0000</w:t>
      </w:r>
      <w:r w:rsidRPr="00215667">
        <w:rPr>
          <w:rFonts w:ascii="Times New Roman" w:eastAsia="Calibri" w:hAnsi="Times New Roman" w:cs="Times New Roman"/>
          <w:sz w:val="24"/>
          <w:szCs w:val="24"/>
        </w:rPr>
        <w:t>).</w:t>
      </w:r>
      <w:r w:rsidRPr="00215667">
        <w:rPr>
          <w:rFonts w:ascii="Times New Roman" w:eastAsia="Calibri" w:hAnsi="Times New Roman" w:cs="Times New Roman"/>
          <w:bCs/>
          <w:sz w:val="24"/>
          <w:szCs w:val="24"/>
        </w:rPr>
        <w:t xml:space="preserve">  (табела</w:t>
      </w:r>
      <w:r w:rsidR="00EA76DC">
        <w:rPr>
          <w:rFonts w:ascii="Times New Roman" w:eastAsia="Calibri" w:hAnsi="Times New Roman" w:cs="Times New Roman"/>
          <w:bCs/>
          <w:sz w:val="24"/>
          <w:szCs w:val="24"/>
        </w:rPr>
        <w:t xml:space="preserve"> бр. 12</w:t>
      </w:r>
      <w:r w:rsidRPr="00215667">
        <w:rPr>
          <w:rFonts w:ascii="Times New Roman" w:eastAsia="Calibri" w:hAnsi="Times New Roman" w:cs="Times New Roman"/>
          <w:bCs/>
          <w:sz w:val="24"/>
          <w:szCs w:val="24"/>
        </w:rPr>
        <w:t xml:space="preserve"> и графикон бр</w:t>
      </w:r>
      <w:r w:rsidR="00EA76DC">
        <w:rPr>
          <w:rFonts w:ascii="Times New Roman" w:eastAsia="Calibri" w:hAnsi="Times New Roman" w:cs="Times New Roman"/>
          <w:bCs/>
          <w:sz w:val="24"/>
          <w:szCs w:val="24"/>
        </w:rPr>
        <w:t>.</w:t>
      </w:r>
      <w:r w:rsidRPr="00215667">
        <w:rPr>
          <w:rFonts w:ascii="Times New Roman" w:eastAsia="Calibri" w:hAnsi="Times New Roman" w:cs="Times New Roman"/>
          <w:bCs/>
          <w:sz w:val="24"/>
          <w:szCs w:val="24"/>
        </w:rPr>
        <w:t xml:space="preserve"> 12).</w:t>
      </w:r>
    </w:p>
    <w:p w14:paraId="34F3F550" w14:textId="2D4B3B2C" w:rsidR="00412474" w:rsidRPr="00215667" w:rsidRDefault="00412474" w:rsidP="00EA76DC">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Според индексот на динамика на PEB, се регистрира темпо на пора</w:t>
      </w:r>
      <w:r w:rsidR="00EA76DC">
        <w:rPr>
          <w:rFonts w:ascii="Times New Roman" w:eastAsia="Calibri" w:hAnsi="Times New Roman" w:cs="Times New Roman"/>
          <w:sz w:val="24"/>
          <w:szCs w:val="24"/>
        </w:rPr>
        <w:t>с</w:t>
      </w:r>
      <w:r w:rsidRPr="00215667">
        <w:rPr>
          <w:rFonts w:ascii="Times New Roman" w:eastAsia="Calibri" w:hAnsi="Times New Roman" w:cs="Times New Roman"/>
          <w:sz w:val="24"/>
          <w:szCs w:val="24"/>
        </w:rPr>
        <w:t>т на присуство на сукрвица во плунка (</w:t>
      </w:r>
      <w:r w:rsidRPr="00EA76DC">
        <w:rPr>
          <w:rFonts w:ascii="Times New Roman" w:eastAsia="Calibri" w:hAnsi="Times New Roman" w:cs="Times New Roman"/>
          <w:i/>
          <w:iCs/>
          <w:sz w:val="24"/>
          <w:szCs w:val="24"/>
        </w:rPr>
        <w:t>oozing bleeding</w:t>
      </w:r>
      <w:r w:rsidRPr="00215667">
        <w:rPr>
          <w:rFonts w:ascii="Times New Roman" w:eastAsia="Calibri" w:hAnsi="Times New Roman" w:cs="Times New Roman"/>
          <w:sz w:val="24"/>
          <w:szCs w:val="24"/>
        </w:rPr>
        <w:t>) по соодветна профилакса со ТХА за 53</w:t>
      </w:r>
      <w:r w:rsidR="00EA76DC">
        <w:rPr>
          <w:rFonts w:ascii="Times New Roman" w:eastAsia="Calibri" w:hAnsi="Times New Roman" w:cs="Times New Roman"/>
          <w:sz w:val="24"/>
          <w:szCs w:val="24"/>
        </w:rPr>
        <w:t>.</w:t>
      </w:r>
      <w:r w:rsidRPr="00215667">
        <w:rPr>
          <w:rFonts w:ascii="Times New Roman" w:eastAsia="Calibri" w:hAnsi="Times New Roman" w:cs="Times New Roman"/>
          <w:sz w:val="24"/>
          <w:szCs w:val="24"/>
        </w:rPr>
        <w:t>0</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во однос на несоодветно подготвените пациенти,</w:t>
      </w:r>
      <w:r w:rsidRPr="00215667">
        <w:rPr>
          <w:rFonts w:ascii="Times New Roman" w:hAnsi="Times New Roman" w:cs="Times New Roman"/>
          <w:sz w:val="24"/>
          <w:szCs w:val="24"/>
        </w:rPr>
        <w:t xml:space="preserve"> </w:t>
      </w:r>
      <w:r w:rsidRPr="00215667">
        <w:rPr>
          <w:rFonts w:ascii="Times New Roman" w:eastAsia="Calibri" w:hAnsi="Times New Roman" w:cs="Times New Roman"/>
          <w:sz w:val="24"/>
          <w:szCs w:val="24"/>
        </w:rPr>
        <w:t>пред поставување на дијагнозата.</w:t>
      </w:r>
    </w:p>
    <w:p w14:paraId="0E16D4FC" w14:textId="4E69F9A1" w:rsidR="00412474" w:rsidRPr="00215667" w:rsidRDefault="00412474" w:rsidP="00EA76DC">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 xml:space="preserve">По примена на профилакса со интравенска апликација на ТХА, според индексот на динамика се регистрира темпо на опаѓање на </w:t>
      </w:r>
      <w:r w:rsidRPr="00215667">
        <w:rPr>
          <w:rFonts w:ascii="Times New Roman" w:eastAsia="Calibri" w:hAnsi="Times New Roman" w:cs="Times New Roman"/>
          <w:bCs/>
          <w:sz w:val="24"/>
          <w:szCs w:val="24"/>
        </w:rPr>
        <w:t>лесниот</w:t>
      </w:r>
      <w:r w:rsidRPr="00215667">
        <w:rPr>
          <w:rFonts w:ascii="Times New Roman" w:eastAsia="Calibri" w:hAnsi="Times New Roman" w:cs="Times New Roman"/>
          <w:sz w:val="24"/>
          <w:szCs w:val="24"/>
        </w:rPr>
        <w:t xml:space="preserve"> интензитет на крвавење за 94.1</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во однос на несоодветно подготвените пациенти, пред поставување на дијагнозата</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EA76DC">
        <w:rPr>
          <w:rFonts w:ascii="Times New Roman" w:eastAsia="Calibri" w:hAnsi="Times New Roman" w:cs="Times New Roman"/>
          <w:sz w:val="24"/>
          <w:szCs w:val="24"/>
        </w:rPr>
        <w:t>т</w:t>
      </w:r>
      <w:r w:rsidRPr="00215667">
        <w:rPr>
          <w:rFonts w:ascii="Times New Roman" w:eastAsia="Calibri" w:hAnsi="Times New Roman" w:cs="Times New Roman"/>
          <w:sz w:val="24"/>
          <w:szCs w:val="24"/>
        </w:rPr>
        <w:t xml:space="preserve">абела </w:t>
      </w:r>
      <w:r w:rsidR="00EA76DC">
        <w:rPr>
          <w:rFonts w:ascii="Times New Roman" w:eastAsia="Calibri" w:hAnsi="Times New Roman" w:cs="Times New Roman"/>
          <w:sz w:val="24"/>
          <w:szCs w:val="24"/>
        </w:rPr>
        <w:t xml:space="preserve">бр. 12 </w:t>
      </w:r>
      <w:r w:rsidRPr="00215667">
        <w:rPr>
          <w:rFonts w:ascii="Times New Roman" w:eastAsia="Calibri" w:hAnsi="Times New Roman" w:cs="Times New Roman"/>
          <w:sz w:val="24"/>
          <w:szCs w:val="24"/>
        </w:rPr>
        <w:t>и графикон бр.</w:t>
      </w:r>
      <w:r w:rsidR="00EA76DC">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12)</w:t>
      </w:r>
      <w:r w:rsidR="00EA76DC">
        <w:rPr>
          <w:rFonts w:ascii="Times New Roman" w:eastAsia="Calibri" w:hAnsi="Times New Roman" w:cs="Times New Roman"/>
          <w:sz w:val="24"/>
          <w:szCs w:val="24"/>
        </w:rPr>
        <w:t>.</w:t>
      </w:r>
    </w:p>
    <w:p w14:paraId="0EC87A83" w14:textId="02F3C988" w:rsidR="00412474" w:rsidRPr="00215667" w:rsidRDefault="00412474" w:rsidP="00191E87">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w:t>
      </w:r>
      <w:r w:rsidR="00191E87">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12</w:t>
      </w:r>
      <w:r w:rsidR="00191E87">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интензитетот на пролонгираните постекстракциони крвавења, по примена на профилакса со интравенска апликација на ТХА</w:t>
      </w:r>
    </w:p>
    <w:tbl>
      <w:tblPr>
        <w:tblStyle w:val="TableGrid1"/>
        <w:tblW w:w="8926" w:type="dxa"/>
        <w:tblLook w:val="04A0" w:firstRow="1" w:lastRow="0" w:firstColumn="1" w:lastColumn="0" w:noHBand="0" w:noVBand="1"/>
      </w:tblPr>
      <w:tblGrid>
        <w:gridCol w:w="6232"/>
        <w:gridCol w:w="1418"/>
        <w:gridCol w:w="1276"/>
      </w:tblGrid>
      <w:tr w:rsidR="00412474" w:rsidRPr="00215667" w14:paraId="67B7B3E5" w14:textId="77777777" w:rsidTr="00435E3A">
        <w:tc>
          <w:tcPr>
            <w:tcW w:w="8926" w:type="dxa"/>
            <w:gridSpan w:val="3"/>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C10B334" w14:textId="77777777" w:rsidR="00412474" w:rsidRPr="00215667" w:rsidRDefault="00412474" w:rsidP="00435E3A">
            <w:pPr>
              <w:rPr>
                <w:rFonts w:ascii="Times New Roman" w:eastAsia="Times New Roman" w:hAnsi="Times New Roman" w:cs="Times New Roman"/>
                <w:b/>
                <w:color w:val="000000"/>
                <w:sz w:val="24"/>
                <w:szCs w:val="24"/>
              </w:rPr>
            </w:pPr>
            <w:proofErr w:type="spellStart"/>
            <w:r w:rsidRPr="00215667">
              <w:rPr>
                <w:rFonts w:ascii="Times New Roman" w:eastAsia="Times New Roman" w:hAnsi="Times New Roman" w:cs="Times New Roman"/>
                <w:b/>
                <w:color w:val="000000"/>
                <w:sz w:val="24"/>
                <w:szCs w:val="24"/>
              </w:rPr>
              <w:t>Интензитет</w:t>
            </w:r>
            <w:proofErr w:type="spellEnd"/>
            <w:r w:rsidRPr="00215667">
              <w:rPr>
                <w:rFonts w:ascii="Times New Roman" w:eastAsia="Times New Roman" w:hAnsi="Times New Roman" w:cs="Times New Roman"/>
                <w:b/>
                <w:color w:val="000000"/>
                <w:sz w:val="24"/>
                <w:szCs w:val="24"/>
              </w:rPr>
              <w:t xml:space="preserve"> </w:t>
            </w:r>
            <w:proofErr w:type="spellStart"/>
            <w:r w:rsidRPr="00215667">
              <w:rPr>
                <w:rFonts w:ascii="Times New Roman" w:eastAsia="Times New Roman" w:hAnsi="Times New Roman" w:cs="Times New Roman"/>
                <w:b/>
                <w:color w:val="000000"/>
                <w:sz w:val="24"/>
                <w:szCs w:val="24"/>
              </w:rPr>
              <w:t>на</w:t>
            </w:r>
            <w:proofErr w:type="spellEnd"/>
            <w:r w:rsidRPr="00215667">
              <w:rPr>
                <w:rFonts w:ascii="Times New Roman" w:eastAsia="Times New Roman" w:hAnsi="Times New Roman" w:cs="Times New Roman"/>
                <w:b/>
                <w:color w:val="000000"/>
                <w:sz w:val="24"/>
                <w:szCs w:val="24"/>
              </w:rPr>
              <w:t xml:space="preserve"> </w:t>
            </w:r>
            <w:proofErr w:type="spellStart"/>
            <w:r w:rsidRPr="00215667">
              <w:rPr>
                <w:rFonts w:ascii="Times New Roman" w:eastAsia="Times New Roman" w:hAnsi="Times New Roman" w:cs="Times New Roman"/>
                <w:b/>
                <w:color w:val="000000"/>
                <w:sz w:val="24"/>
                <w:szCs w:val="24"/>
              </w:rPr>
              <w:t>крвавење</w:t>
            </w:r>
            <w:proofErr w:type="spellEnd"/>
            <w:r w:rsidRPr="00215667">
              <w:rPr>
                <w:rFonts w:ascii="Times New Roman" w:eastAsia="Times New Roman" w:hAnsi="Times New Roman" w:cs="Times New Roman"/>
                <w:b/>
                <w:color w:val="000000"/>
                <w:sz w:val="24"/>
                <w:szCs w:val="24"/>
              </w:rPr>
              <w:t xml:space="preserve"> (PEB)</w:t>
            </w:r>
            <w:r w:rsidRPr="00215667">
              <w:rPr>
                <w:rFonts w:ascii="Times New Roman" w:hAnsi="Times New Roman" w:cs="Times New Roman"/>
                <w:sz w:val="24"/>
                <w:szCs w:val="24"/>
              </w:rPr>
              <w:t xml:space="preserve"> </w:t>
            </w:r>
            <w:proofErr w:type="spellStart"/>
            <w:r w:rsidRPr="00215667">
              <w:rPr>
                <w:rFonts w:ascii="Times New Roman" w:eastAsia="Times New Roman" w:hAnsi="Times New Roman" w:cs="Times New Roman"/>
                <w:b/>
                <w:color w:val="000000"/>
                <w:sz w:val="24"/>
                <w:szCs w:val="24"/>
              </w:rPr>
              <w:t>по</w:t>
            </w:r>
            <w:proofErr w:type="spellEnd"/>
            <w:r w:rsidRPr="00215667">
              <w:rPr>
                <w:rFonts w:ascii="Times New Roman" w:eastAsia="Times New Roman" w:hAnsi="Times New Roman" w:cs="Times New Roman"/>
                <w:b/>
                <w:color w:val="000000"/>
                <w:sz w:val="24"/>
                <w:szCs w:val="24"/>
              </w:rPr>
              <w:t xml:space="preserve"> </w:t>
            </w:r>
            <w:proofErr w:type="spellStart"/>
            <w:r w:rsidRPr="00215667">
              <w:rPr>
                <w:rFonts w:ascii="Times New Roman" w:eastAsia="Times New Roman" w:hAnsi="Times New Roman" w:cs="Times New Roman"/>
                <w:b/>
                <w:color w:val="000000"/>
                <w:sz w:val="24"/>
                <w:szCs w:val="24"/>
              </w:rPr>
              <w:t>примена</w:t>
            </w:r>
            <w:proofErr w:type="spellEnd"/>
            <w:r w:rsidRPr="00215667">
              <w:rPr>
                <w:rFonts w:ascii="Times New Roman" w:eastAsia="Times New Roman" w:hAnsi="Times New Roman" w:cs="Times New Roman"/>
                <w:b/>
                <w:color w:val="000000"/>
                <w:sz w:val="24"/>
                <w:szCs w:val="24"/>
              </w:rPr>
              <w:t xml:space="preserve"> </w:t>
            </w:r>
            <w:proofErr w:type="spellStart"/>
            <w:r w:rsidRPr="00215667">
              <w:rPr>
                <w:rFonts w:ascii="Times New Roman" w:eastAsia="Times New Roman" w:hAnsi="Times New Roman" w:cs="Times New Roman"/>
                <w:b/>
                <w:color w:val="000000"/>
                <w:sz w:val="24"/>
                <w:szCs w:val="24"/>
              </w:rPr>
              <w:t>на</w:t>
            </w:r>
            <w:proofErr w:type="spellEnd"/>
            <w:r w:rsidRPr="00215667">
              <w:rPr>
                <w:rFonts w:ascii="Times New Roman" w:eastAsia="Times New Roman" w:hAnsi="Times New Roman" w:cs="Times New Roman"/>
                <w:b/>
                <w:color w:val="000000"/>
                <w:sz w:val="24"/>
                <w:szCs w:val="24"/>
              </w:rPr>
              <w:t xml:space="preserve"> ТХА </w:t>
            </w:r>
            <w:proofErr w:type="spellStart"/>
            <w:r w:rsidRPr="00215667">
              <w:rPr>
                <w:rFonts w:ascii="Times New Roman" w:eastAsia="Times New Roman" w:hAnsi="Times New Roman" w:cs="Times New Roman"/>
                <w:b/>
                <w:color w:val="000000"/>
                <w:sz w:val="24"/>
                <w:szCs w:val="24"/>
              </w:rPr>
              <w:t>профилакса</w:t>
            </w:r>
            <w:proofErr w:type="spellEnd"/>
          </w:p>
        </w:tc>
      </w:tr>
      <w:tr w:rsidR="00412474" w:rsidRPr="00215667" w14:paraId="62BB7296" w14:textId="77777777" w:rsidTr="00435E3A">
        <w:tc>
          <w:tcPr>
            <w:tcW w:w="6232" w:type="dxa"/>
            <w:tcBorders>
              <w:top w:val="single" w:sz="4" w:space="0" w:color="auto"/>
              <w:left w:val="single" w:sz="4" w:space="0" w:color="auto"/>
              <w:bottom w:val="single" w:sz="4" w:space="0" w:color="auto"/>
              <w:right w:val="single" w:sz="4" w:space="0" w:color="auto"/>
            </w:tcBorders>
            <w:shd w:val="clear" w:color="auto" w:fill="E8E8E8" w:themeFill="background2"/>
            <w:noWrap/>
          </w:tcPr>
          <w:p w14:paraId="0D7D4883" w14:textId="77777777" w:rsidR="00412474" w:rsidRPr="00215667" w:rsidRDefault="00412474" w:rsidP="00435E3A">
            <w:pPr>
              <w:rPr>
                <w:rFonts w:ascii="Times New Roman" w:eastAsia="Times New Roman" w:hAnsi="Times New Roman" w:cs="Times New Roman"/>
                <w:bCs/>
                <w:color w:val="000000"/>
                <w:sz w:val="24"/>
                <w:szCs w:val="24"/>
              </w:rPr>
            </w:pP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A5387C8" w14:textId="22326DB4" w:rsidR="00412474" w:rsidRPr="00215667" w:rsidRDefault="00191E87" w:rsidP="00435E3A">
            <w:pPr>
              <w:jc w:val="center"/>
              <w:rPr>
                <w:rFonts w:ascii="Times New Roman" w:hAnsi="Times New Roman" w:cs="Times New Roman"/>
                <w:color w:val="000000"/>
                <w:sz w:val="24"/>
                <w:szCs w:val="24"/>
              </w:rPr>
            </w:pPr>
            <w:r>
              <w:rPr>
                <w:rFonts w:ascii="Times New Roman" w:hAnsi="Times New Roman" w:cs="Times New Roman"/>
                <w:color w:val="000000"/>
                <w:sz w:val="24"/>
                <w:szCs w:val="24"/>
                <w:lang w:val="mk-MK"/>
              </w:rPr>
              <w:t>Б</w:t>
            </w:r>
            <w:proofErr w:type="spellStart"/>
            <w:r w:rsidR="00412474" w:rsidRPr="00215667">
              <w:rPr>
                <w:rFonts w:ascii="Times New Roman" w:hAnsi="Times New Roman" w:cs="Times New Roman"/>
                <w:color w:val="000000"/>
                <w:sz w:val="24"/>
                <w:szCs w:val="24"/>
              </w:rPr>
              <w:t>рој</w:t>
            </w:r>
            <w:proofErr w:type="spellEnd"/>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18CD45B" w14:textId="77777777" w:rsidR="00412474" w:rsidRPr="00215667" w:rsidRDefault="00412474" w:rsidP="00435E3A">
            <w:pPr>
              <w:jc w:val="center"/>
              <w:rPr>
                <w:rFonts w:ascii="Times New Roman" w:hAnsi="Times New Roman" w:cs="Times New Roman"/>
                <w:color w:val="000000"/>
                <w:sz w:val="24"/>
                <w:szCs w:val="24"/>
              </w:rPr>
            </w:pPr>
            <w:r w:rsidRPr="00215667">
              <w:rPr>
                <w:rFonts w:ascii="Times New Roman" w:hAnsi="Times New Roman" w:cs="Times New Roman"/>
                <w:color w:val="000000"/>
                <w:sz w:val="24"/>
                <w:szCs w:val="24"/>
              </w:rPr>
              <w:t>%</w:t>
            </w:r>
          </w:p>
        </w:tc>
      </w:tr>
      <w:tr w:rsidR="00412474" w:rsidRPr="00215667" w14:paraId="5A0464FE" w14:textId="77777777" w:rsidTr="00435E3A">
        <w:tc>
          <w:tcPr>
            <w:tcW w:w="6232"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C27C1ED"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нема</w:t>
            </w:r>
            <w:proofErr w:type="spellEnd"/>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2C478E58"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8</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502C995D"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12.5</w:t>
            </w:r>
          </w:p>
        </w:tc>
      </w:tr>
      <w:tr w:rsidR="00412474" w:rsidRPr="00215667" w14:paraId="375F71B0" w14:textId="77777777" w:rsidTr="00435E3A">
        <w:tc>
          <w:tcPr>
            <w:tcW w:w="6232"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5A346CD" w14:textId="716AAB86" w:rsidR="00412474" w:rsidRPr="00191E87" w:rsidRDefault="00412474" w:rsidP="00435E3A">
            <w:pPr>
              <w:rPr>
                <w:rFonts w:ascii="Times New Roman" w:eastAsia="Times New Roman" w:hAnsi="Times New Roman" w:cs="Times New Roman"/>
                <w:bCs/>
                <w:color w:val="000000"/>
                <w:sz w:val="24"/>
                <w:szCs w:val="24"/>
                <w:lang w:val="mk-MK"/>
              </w:rPr>
            </w:pPr>
            <w:proofErr w:type="spellStart"/>
            <w:r w:rsidRPr="00215667">
              <w:rPr>
                <w:rFonts w:ascii="Times New Roman" w:eastAsia="Times New Roman" w:hAnsi="Times New Roman" w:cs="Times New Roman"/>
                <w:bCs/>
                <w:color w:val="000000"/>
                <w:sz w:val="24"/>
                <w:szCs w:val="24"/>
              </w:rPr>
              <w:t>присуство</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сукрвица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во</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плунка</w:t>
            </w:r>
            <w:proofErr w:type="spellEnd"/>
            <w:r w:rsidR="00191E87">
              <w:rPr>
                <w:rFonts w:ascii="Times New Roman" w:eastAsia="Times New Roman" w:hAnsi="Times New Roman" w:cs="Times New Roman"/>
                <w:bCs/>
                <w:color w:val="000000"/>
                <w:sz w:val="24"/>
                <w:szCs w:val="24"/>
                <w:lang w:val="mk-MK"/>
              </w:rPr>
              <w:t xml:space="preserve"> </w:t>
            </w:r>
            <w:r w:rsidR="00191E87" w:rsidRPr="00215667">
              <w:rPr>
                <w:rFonts w:ascii="Times New Roman" w:eastAsia="Times New Roman" w:hAnsi="Times New Roman" w:cs="Times New Roman"/>
                <w:bCs/>
                <w:color w:val="000000"/>
                <w:sz w:val="24"/>
                <w:szCs w:val="24"/>
              </w:rPr>
              <w:t>(</w:t>
            </w:r>
            <w:r w:rsidR="00191E87" w:rsidRPr="00191E87">
              <w:rPr>
                <w:rFonts w:ascii="Times New Roman" w:eastAsia="Times New Roman" w:hAnsi="Times New Roman" w:cs="Times New Roman"/>
                <w:bCs/>
                <w:i/>
                <w:iCs/>
                <w:color w:val="000000"/>
                <w:sz w:val="24"/>
                <w:szCs w:val="24"/>
              </w:rPr>
              <w:t>oozing bleeding</w:t>
            </w:r>
            <w:r w:rsidR="00191E87" w:rsidRPr="00215667">
              <w:rPr>
                <w:rFonts w:ascii="Times New Roman" w:eastAsia="Times New Roman" w:hAnsi="Times New Roman" w:cs="Times New Roman"/>
                <w:bCs/>
                <w:color w:val="000000"/>
                <w:sz w:val="24"/>
                <w:szCs w:val="24"/>
              </w:rPr>
              <w:t>)</w:t>
            </w:r>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13E02135"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54</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1866B5F7"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84.4</w:t>
            </w:r>
          </w:p>
        </w:tc>
      </w:tr>
      <w:tr w:rsidR="00412474" w:rsidRPr="00215667" w14:paraId="171993DE" w14:textId="77777777" w:rsidTr="00435E3A">
        <w:tc>
          <w:tcPr>
            <w:tcW w:w="6232"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399462D" w14:textId="42386AB1" w:rsidR="00412474" w:rsidRPr="00215667" w:rsidRDefault="00191E87" w:rsidP="00435E3A">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mk-MK"/>
              </w:rPr>
              <w:t>л</w:t>
            </w:r>
            <w:proofErr w:type="spellStart"/>
            <w:r w:rsidR="00412474" w:rsidRPr="00215667">
              <w:rPr>
                <w:rFonts w:ascii="Times New Roman" w:eastAsia="Times New Roman" w:hAnsi="Times New Roman" w:cs="Times New Roman"/>
                <w:bCs/>
                <w:color w:val="000000"/>
                <w:sz w:val="24"/>
                <w:szCs w:val="24"/>
              </w:rPr>
              <w:t>есен</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степен</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на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крвавење</w:t>
            </w:r>
            <w:proofErr w:type="spellEnd"/>
          </w:p>
        </w:tc>
        <w:tc>
          <w:tcPr>
            <w:tcW w:w="1418" w:type="dxa"/>
            <w:tcBorders>
              <w:top w:val="single" w:sz="4" w:space="0" w:color="auto"/>
              <w:left w:val="single" w:sz="4" w:space="0" w:color="auto"/>
              <w:bottom w:val="single" w:sz="4" w:space="0" w:color="auto"/>
              <w:right w:val="single" w:sz="4" w:space="0" w:color="auto"/>
            </w:tcBorders>
            <w:noWrap/>
            <w:vAlign w:val="center"/>
            <w:hideMark/>
          </w:tcPr>
          <w:p w14:paraId="0A261301"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14:paraId="71B3BAFE"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3.1</w:t>
            </w:r>
          </w:p>
        </w:tc>
      </w:tr>
      <w:tr w:rsidR="00412474" w:rsidRPr="00215667" w14:paraId="3C5CFD59" w14:textId="77777777" w:rsidTr="00435E3A">
        <w:tc>
          <w:tcPr>
            <w:tcW w:w="6232" w:type="dxa"/>
            <w:tcBorders>
              <w:top w:val="single" w:sz="4" w:space="0" w:color="auto"/>
              <w:left w:val="single" w:sz="4" w:space="0" w:color="auto"/>
              <w:bottom w:val="single" w:sz="4" w:space="0" w:color="auto"/>
              <w:right w:val="single" w:sz="4" w:space="0" w:color="auto"/>
            </w:tcBorders>
            <w:shd w:val="clear" w:color="auto" w:fill="E8E8E8" w:themeFill="background2"/>
            <w:noWrap/>
          </w:tcPr>
          <w:p w14:paraId="4B4A6D36" w14:textId="54ACFD18" w:rsidR="00412474" w:rsidRPr="00215667" w:rsidRDefault="00191E87" w:rsidP="00435E3A">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mk-MK"/>
              </w:rPr>
              <w:t>у</w:t>
            </w:r>
            <w:proofErr w:type="spellStart"/>
            <w:r w:rsidR="00412474" w:rsidRPr="00215667">
              <w:rPr>
                <w:rFonts w:ascii="Times New Roman" w:eastAsia="Times New Roman" w:hAnsi="Times New Roman" w:cs="Times New Roman"/>
                <w:bCs/>
                <w:color w:val="000000"/>
                <w:sz w:val="24"/>
                <w:szCs w:val="24"/>
              </w:rPr>
              <w:t>мерен</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степен</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на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крвавење</w:t>
            </w:r>
            <w:proofErr w:type="spellEnd"/>
          </w:p>
        </w:tc>
        <w:tc>
          <w:tcPr>
            <w:tcW w:w="1418" w:type="dxa"/>
            <w:tcBorders>
              <w:top w:val="single" w:sz="4" w:space="0" w:color="auto"/>
              <w:left w:val="single" w:sz="4" w:space="0" w:color="auto"/>
              <w:bottom w:val="single" w:sz="4" w:space="0" w:color="auto"/>
              <w:right w:val="single" w:sz="4" w:space="0" w:color="auto"/>
            </w:tcBorders>
            <w:noWrap/>
            <w:vAlign w:val="center"/>
          </w:tcPr>
          <w:p w14:paraId="014C87FD" w14:textId="77777777" w:rsidR="00412474" w:rsidRPr="00215667" w:rsidRDefault="00412474" w:rsidP="00435E3A">
            <w:pPr>
              <w:jc w:val="center"/>
              <w:rPr>
                <w:rFonts w:ascii="Times New Roman" w:hAnsi="Times New Roman" w:cs="Times New Roman"/>
                <w:color w:val="000000"/>
                <w:sz w:val="24"/>
                <w:szCs w:val="24"/>
              </w:rPr>
            </w:pPr>
            <w:r w:rsidRPr="00215667">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noWrap/>
            <w:vAlign w:val="center"/>
          </w:tcPr>
          <w:p w14:paraId="7009A071" w14:textId="3E4C6BDF" w:rsidR="00412474" w:rsidRPr="00191E87" w:rsidRDefault="00412474" w:rsidP="00435E3A">
            <w:pPr>
              <w:jc w:val="center"/>
              <w:rPr>
                <w:rFonts w:ascii="Times New Roman" w:hAnsi="Times New Roman" w:cs="Times New Roman"/>
                <w:color w:val="000000"/>
                <w:sz w:val="24"/>
                <w:szCs w:val="24"/>
                <w:lang w:val="mk-MK"/>
              </w:rPr>
            </w:pPr>
            <w:r w:rsidRPr="00215667">
              <w:rPr>
                <w:rFonts w:ascii="Times New Roman" w:hAnsi="Times New Roman" w:cs="Times New Roman"/>
                <w:color w:val="000000"/>
                <w:sz w:val="24"/>
                <w:szCs w:val="24"/>
              </w:rPr>
              <w:t>0</w:t>
            </w:r>
          </w:p>
        </w:tc>
      </w:tr>
      <w:tr w:rsidR="00412474" w:rsidRPr="00215667" w14:paraId="45D017CD" w14:textId="77777777" w:rsidTr="00435E3A">
        <w:tc>
          <w:tcPr>
            <w:tcW w:w="6232" w:type="dxa"/>
            <w:tcBorders>
              <w:top w:val="single" w:sz="4" w:space="0" w:color="auto"/>
              <w:left w:val="single" w:sz="4" w:space="0" w:color="auto"/>
              <w:bottom w:val="single" w:sz="4" w:space="0" w:color="auto"/>
              <w:right w:val="single" w:sz="4" w:space="0" w:color="auto"/>
            </w:tcBorders>
            <w:shd w:val="clear" w:color="auto" w:fill="E8E8E8" w:themeFill="background2"/>
            <w:noWrap/>
          </w:tcPr>
          <w:p w14:paraId="56700CBB" w14:textId="56F98ABD" w:rsidR="00412474" w:rsidRPr="00215667" w:rsidRDefault="00191E87" w:rsidP="00435E3A">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mk-MK"/>
              </w:rPr>
              <w:t>т</w:t>
            </w:r>
            <w:proofErr w:type="spellStart"/>
            <w:r w:rsidR="00412474" w:rsidRPr="00215667">
              <w:rPr>
                <w:rFonts w:ascii="Times New Roman" w:eastAsia="Times New Roman" w:hAnsi="Times New Roman" w:cs="Times New Roman"/>
                <w:bCs/>
                <w:color w:val="000000"/>
                <w:sz w:val="24"/>
                <w:szCs w:val="24"/>
              </w:rPr>
              <w:t>ешки</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крвавења</w:t>
            </w:r>
            <w:proofErr w:type="spellEnd"/>
          </w:p>
        </w:tc>
        <w:tc>
          <w:tcPr>
            <w:tcW w:w="1418" w:type="dxa"/>
            <w:tcBorders>
              <w:top w:val="single" w:sz="4" w:space="0" w:color="auto"/>
              <w:left w:val="single" w:sz="4" w:space="0" w:color="auto"/>
              <w:bottom w:val="single" w:sz="4" w:space="0" w:color="auto"/>
              <w:right w:val="single" w:sz="4" w:space="0" w:color="auto"/>
            </w:tcBorders>
            <w:noWrap/>
            <w:vAlign w:val="center"/>
          </w:tcPr>
          <w:p w14:paraId="23A55420" w14:textId="77777777" w:rsidR="00412474" w:rsidRPr="00215667" w:rsidRDefault="00412474" w:rsidP="00435E3A">
            <w:pPr>
              <w:jc w:val="center"/>
              <w:rPr>
                <w:rFonts w:ascii="Times New Roman" w:hAnsi="Times New Roman" w:cs="Times New Roman"/>
                <w:color w:val="000000"/>
                <w:sz w:val="24"/>
                <w:szCs w:val="24"/>
              </w:rPr>
            </w:pPr>
            <w:r w:rsidRPr="00215667">
              <w:rPr>
                <w:rFonts w:ascii="Times New Roman" w:hAnsi="Times New Roman" w:cs="Times New Roman"/>
                <w:color w:val="000000"/>
                <w:sz w:val="24"/>
                <w:szCs w:val="24"/>
              </w:rPr>
              <w:t>0</w:t>
            </w:r>
          </w:p>
        </w:tc>
        <w:tc>
          <w:tcPr>
            <w:tcW w:w="1276" w:type="dxa"/>
            <w:tcBorders>
              <w:top w:val="single" w:sz="4" w:space="0" w:color="auto"/>
              <w:left w:val="single" w:sz="4" w:space="0" w:color="auto"/>
              <w:bottom w:val="single" w:sz="4" w:space="0" w:color="auto"/>
              <w:right w:val="single" w:sz="4" w:space="0" w:color="auto"/>
            </w:tcBorders>
            <w:noWrap/>
            <w:vAlign w:val="center"/>
          </w:tcPr>
          <w:p w14:paraId="18992293" w14:textId="14D3237B" w:rsidR="00412474" w:rsidRPr="00191E87" w:rsidRDefault="00412474" w:rsidP="00435E3A">
            <w:pPr>
              <w:jc w:val="center"/>
              <w:rPr>
                <w:rFonts w:ascii="Times New Roman" w:hAnsi="Times New Roman" w:cs="Times New Roman"/>
                <w:color w:val="000000"/>
                <w:sz w:val="24"/>
                <w:szCs w:val="24"/>
                <w:lang w:val="mk-MK"/>
              </w:rPr>
            </w:pPr>
            <w:r w:rsidRPr="00215667">
              <w:rPr>
                <w:rFonts w:ascii="Times New Roman" w:hAnsi="Times New Roman" w:cs="Times New Roman"/>
                <w:color w:val="000000"/>
                <w:sz w:val="24"/>
                <w:szCs w:val="24"/>
              </w:rPr>
              <w:t>0</w:t>
            </w:r>
          </w:p>
        </w:tc>
      </w:tr>
    </w:tbl>
    <w:p w14:paraId="5B2DE85D"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0B383046" w14:textId="6B599395" w:rsidR="00412474" w:rsidRPr="00215667" w:rsidRDefault="00412474" w:rsidP="00191E87">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lastRenderedPageBreak/>
        <w:t>Графикон бр.12</w:t>
      </w:r>
      <w:r w:rsidR="00191E87">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интензитетот на пролонгираните постекстракциони крвавења, по примена на профилакса со интравенска апликација на ТХА</w:t>
      </w:r>
    </w:p>
    <w:p w14:paraId="05A0A3E8" w14:textId="77777777" w:rsidR="00412474" w:rsidRPr="00215667" w:rsidRDefault="00412474" w:rsidP="00412474">
      <w:pPr>
        <w:spacing w:after="120" w:line="360" w:lineRule="auto"/>
        <w:jc w:val="both"/>
        <w:rPr>
          <w:rFonts w:ascii="Times New Roman" w:eastAsia="Calibri" w:hAnsi="Times New Roman" w:cs="Times New Roman"/>
          <w:sz w:val="24"/>
          <w:szCs w:val="24"/>
        </w:rPr>
      </w:pPr>
      <w:r w:rsidRPr="00215667">
        <w:rPr>
          <w:rFonts w:ascii="Times New Roman" w:eastAsia="Calibri" w:hAnsi="Times New Roman" w:cs="Times New Roman"/>
          <w:noProof/>
          <w:sz w:val="24"/>
          <w:szCs w:val="24"/>
          <w:lang w:val="en-US"/>
        </w:rPr>
        <w:drawing>
          <wp:inline distT="0" distB="0" distL="0" distR="0" wp14:anchorId="64E962DA" wp14:editId="68823510">
            <wp:extent cx="5495925" cy="1990725"/>
            <wp:effectExtent l="0" t="0" r="9525" b="9525"/>
            <wp:docPr id="1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EBCB0C7" w14:textId="388E78D7" w:rsidR="00412474" w:rsidRPr="00215667" w:rsidRDefault="00412474" w:rsidP="00412474">
      <w:pPr>
        <w:spacing w:after="120" w:line="360" w:lineRule="auto"/>
        <w:ind w:firstLine="720"/>
        <w:jc w:val="both"/>
        <w:rPr>
          <w:rFonts w:ascii="Times New Roman" w:eastAsia="Times New Roman" w:hAnsi="Times New Roman" w:cs="Times New Roman"/>
          <w:bCs/>
          <w:color w:val="000000"/>
          <w:sz w:val="24"/>
          <w:szCs w:val="24"/>
        </w:rPr>
      </w:pPr>
      <w:r w:rsidRPr="00215667">
        <w:rPr>
          <w:rFonts w:ascii="Times New Roman" w:eastAsia="Calibri" w:hAnsi="Times New Roman" w:cs="Times New Roman"/>
          <w:sz w:val="24"/>
          <w:szCs w:val="24"/>
        </w:rPr>
        <w:t xml:space="preserve">Просечната вредност на </w:t>
      </w:r>
      <w:r w:rsidRPr="00215667">
        <w:rPr>
          <w:rFonts w:ascii="Times New Roman" w:eastAsia="Times New Roman" w:hAnsi="Times New Roman" w:cs="Times New Roman"/>
          <w:bCs/>
          <w:color w:val="000000"/>
          <w:sz w:val="24"/>
          <w:szCs w:val="24"/>
        </w:rPr>
        <w:t>ADP кај пациентите кај кои не се регистрира крвавење изнесува 43.5</w:t>
      </w:r>
      <w:r w:rsidR="00191E8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3.5, во ранг од 38 до 49.</w:t>
      </w:r>
      <w:r w:rsidRPr="00215667">
        <w:rPr>
          <w:rFonts w:ascii="Times New Roman" w:eastAsia="Calibri" w:hAnsi="Times New Roman" w:cs="Times New Roman"/>
          <w:sz w:val="24"/>
          <w:szCs w:val="24"/>
        </w:rPr>
        <w:t xml:space="preserve"> Просечната вредност на </w:t>
      </w:r>
      <w:r w:rsidRPr="00215667">
        <w:rPr>
          <w:rFonts w:ascii="Times New Roman" w:eastAsia="Times New Roman" w:hAnsi="Times New Roman" w:cs="Times New Roman"/>
          <w:bCs/>
          <w:color w:val="000000"/>
          <w:sz w:val="24"/>
          <w:szCs w:val="24"/>
        </w:rPr>
        <w:t xml:space="preserve">ADP кај присуство на сукрвица во плунка </w:t>
      </w:r>
      <w:r w:rsidR="00191E87" w:rsidRPr="00215667">
        <w:rPr>
          <w:rFonts w:ascii="Times New Roman" w:eastAsia="Times New Roman" w:hAnsi="Times New Roman" w:cs="Times New Roman"/>
          <w:bCs/>
          <w:color w:val="000000"/>
          <w:sz w:val="24"/>
          <w:szCs w:val="24"/>
        </w:rPr>
        <w:t>(</w:t>
      </w:r>
      <w:r w:rsidR="00191E87" w:rsidRPr="00191E87">
        <w:rPr>
          <w:rFonts w:ascii="Times New Roman" w:eastAsia="Times New Roman" w:hAnsi="Times New Roman" w:cs="Times New Roman"/>
          <w:bCs/>
          <w:i/>
          <w:iCs/>
          <w:color w:val="000000"/>
          <w:sz w:val="24"/>
          <w:szCs w:val="24"/>
        </w:rPr>
        <w:t>oozing bleeding</w:t>
      </w:r>
      <w:r w:rsidR="00191E87" w:rsidRPr="0021566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е понизок и изнесува 35.6 ± 14.0, во ранг од 7 до 60. Вредноста на ADP кај лесен интензитет на крвавење изнесува 45.0</w:t>
      </w:r>
      <w:r w:rsidR="00191E8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191E8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5.6, во ранг од 41 до 49 (табела бр</w:t>
      </w:r>
      <w:r w:rsidR="00191E87">
        <w:rPr>
          <w:rFonts w:ascii="Times New Roman" w:eastAsia="Times New Roman" w:hAnsi="Times New Roman" w:cs="Times New Roman"/>
          <w:bCs/>
          <w:color w:val="000000"/>
          <w:sz w:val="24"/>
          <w:szCs w:val="24"/>
        </w:rPr>
        <w:t>.</w:t>
      </w:r>
      <w:r w:rsidRPr="00215667">
        <w:rPr>
          <w:rFonts w:ascii="Times New Roman" w:eastAsia="Times New Roman" w:hAnsi="Times New Roman" w:cs="Times New Roman"/>
          <w:bCs/>
          <w:color w:val="000000"/>
          <w:sz w:val="24"/>
          <w:szCs w:val="24"/>
        </w:rPr>
        <w:t xml:space="preserve"> 13).</w:t>
      </w:r>
    </w:p>
    <w:p w14:paraId="27D6B6A9" w14:textId="72E74AA8" w:rsidR="00412474" w:rsidRPr="00215667" w:rsidRDefault="00412474" w:rsidP="00412474">
      <w:pPr>
        <w:spacing w:after="120" w:line="360" w:lineRule="auto"/>
        <w:ind w:firstLine="720"/>
        <w:jc w:val="both"/>
        <w:rPr>
          <w:rFonts w:ascii="Times New Roman" w:eastAsia="Times New Roman" w:hAnsi="Times New Roman" w:cs="Times New Roman"/>
          <w:color w:val="000000"/>
          <w:sz w:val="24"/>
          <w:szCs w:val="24"/>
        </w:rPr>
      </w:pPr>
      <w:r w:rsidRPr="00215667">
        <w:rPr>
          <w:rFonts w:ascii="Times New Roman" w:eastAsia="Calibri" w:hAnsi="Times New Roman" w:cs="Times New Roman"/>
          <w:sz w:val="24"/>
          <w:szCs w:val="24"/>
        </w:rPr>
        <w:t xml:space="preserve">Според </w:t>
      </w:r>
      <w:r w:rsidRPr="00191E87">
        <w:rPr>
          <w:rFonts w:ascii="Times New Roman" w:eastAsia="Calibri" w:hAnsi="Times New Roman" w:cs="Times New Roman"/>
          <w:i/>
          <w:iCs/>
          <w:color w:val="000000"/>
          <w:sz w:val="24"/>
          <w:szCs w:val="24"/>
        </w:rPr>
        <w:t>Kruskal-Wallis ANOVA</w:t>
      </w:r>
      <w:r w:rsidRPr="00215667">
        <w:rPr>
          <w:rFonts w:ascii="Times New Roman" w:eastAsia="Times New Roman" w:hAnsi="Times New Roman" w:cs="Times New Roman"/>
          <w:color w:val="000000"/>
          <w:sz w:val="24"/>
          <w:szCs w:val="24"/>
        </w:rPr>
        <w:t xml:space="preserve"> тестот разлик</w:t>
      </w:r>
      <w:r w:rsidR="00191E87">
        <w:rPr>
          <w:rFonts w:ascii="Times New Roman" w:eastAsia="Times New Roman" w:hAnsi="Times New Roman" w:cs="Times New Roman"/>
          <w:color w:val="000000"/>
          <w:sz w:val="24"/>
          <w:szCs w:val="24"/>
        </w:rPr>
        <w:t>ата</w:t>
      </w:r>
      <w:r w:rsidRPr="00215667">
        <w:rPr>
          <w:rFonts w:ascii="Times New Roman" w:eastAsia="Times New Roman" w:hAnsi="Times New Roman" w:cs="Times New Roman"/>
          <w:color w:val="000000"/>
          <w:sz w:val="24"/>
          <w:szCs w:val="24"/>
        </w:rPr>
        <w:t xml:space="preserve"> помеѓу просечните вредности е несигнификантна за p</w:t>
      </w:r>
      <w:r w:rsidR="00191E87">
        <w:rPr>
          <w:rFonts w:ascii="Times New Roman" w:eastAsia="Times New Roman" w:hAnsi="Times New Roman" w:cs="Times New Roman"/>
          <w:color w:val="000000"/>
          <w:sz w:val="24"/>
          <w:szCs w:val="24"/>
        </w:rPr>
        <w:t xml:space="preserve"> </w:t>
      </w:r>
      <w:r w:rsidRPr="00215667">
        <w:rPr>
          <w:rFonts w:ascii="Times New Roman" w:eastAsia="Times New Roman" w:hAnsi="Times New Roman" w:cs="Times New Roman"/>
          <w:color w:val="000000"/>
          <w:sz w:val="24"/>
          <w:szCs w:val="24"/>
        </w:rPr>
        <w:t>&gt;</w:t>
      </w:r>
      <w:r w:rsidR="00191E87">
        <w:rPr>
          <w:rFonts w:ascii="Times New Roman" w:eastAsia="Times New Roman" w:hAnsi="Times New Roman" w:cs="Times New Roman"/>
          <w:color w:val="000000"/>
          <w:sz w:val="24"/>
          <w:szCs w:val="24"/>
        </w:rPr>
        <w:t xml:space="preserve"> </w:t>
      </w:r>
      <w:r w:rsidRPr="00215667">
        <w:rPr>
          <w:rFonts w:ascii="Times New Roman" w:eastAsia="Times New Roman" w:hAnsi="Times New Roman" w:cs="Times New Roman"/>
          <w:color w:val="000000"/>
          <w:sz w:val="24"/>
          <w:szCs w:val="24"/>
        </w:rPr>
        <w:t>.05 (</w:t>
      </w:r>
      <w:r w:rsidRPr="00191E87">
        <w:rPr>
          <w:rFonts w:ascii="Times New Roman" w:eastAsia="Calibri" w:hAnsi="Times New Roman" w:cs="Times New Roman"/>
          <w:i/>
          <w:iCs/>
          <w:color w:val="000000"/>
          <w:sz w:val="24"/>
          <w:szCs w:val="24"/>
        </w:rPr>
        <w:t>Kruskal-Wallis test</w:t>
      </w:r>
      <w:r w:rsidRPr="00215667">
        <w:rPr>
          <w:rFonts w:ascii="Times New Roman" w:eastAsia="Calibri" w:hAnsi="Times New Roman" w:cs="Times New Roman"/>
          <w:color w:val="000000"/>
          <w:sz w:val="24"/>
          <w:szCs w:val="24"/>
        </w:rPr>
        <w:t>: H (2, N</w:t>
      </w:r>
      <w:r w:rsidR="00191E87">
        <w:rPr>
          <w:rFonts w:ascii="Times New Roman" w:eastAsia="Calibri" w:hAnsi="Times New Roman" w:cs="Times New Roman"/>
          <w:color w:val="000000"/>
          <w:sz w:val="24"/>
          <w:szCs w:val="24"/>
        </w:rPr>
        <w:t xml:space="preserve"> </w:t>
      </w:r>
      <w:r w:rsidRPr="00215667">
        <w:rPr>
          <w:rFonts w:ascii="Times New Roman" w:eastAsia="Calibri" w:hAnsi="Times New Roman" w:cs="Times New Roman"/>
          <w:color w:val="000000"/>
          <w:sz w:val="24"/>
          <w:szCs w:val="24"/>
        </w:rPr>
        <w:t>= 64) =</w:t>
      </w:r>
      <w:r w:rsidR="00191E87">
        <w:rPr>
          <w:rFonts w:ascii="Times New Roman" w:eastAsia="Calibri" w:hAnsi="Times New Roman" w:cs="Times New Roman"/>
          <w:color w:val="000000"/>
          <w:sz w:val="24"/>
          <w:szCs w:val="24"/>
        </w:rPr>
        <w:t xml:space="preserve"> </w:t>
      </w:r>
      <w:r w:rsidRPr="00215667">
        <w:rPr>
          <w:rFonts w:ascii="Times New Roman" w:eastAsia="Calibri" w:hAnsi="Times New Roman" w:cs="Times New Roman"/>
          <w:sz w:val="24"/>
          <w:szCs w:val="24"/>
        </w:rPr>
        <w:t>3.327649</w:t>
      </w:r>
      <w:r w:rsidR="00191E87">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p =</w:t>
      </w:r>
      <w:r w:rsidR="00191E87">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.1894</w:t>
      </w:r>
      <w:r w:rsidRPr="00215667">
        <w:rPr>
          <w:rFonts w:ascii="Times New Roman" w:eastAsia="Times New Roman" w:hAnsi="Times New Roman" w:cs="Times New Roman"/>
          <w:color w:val="000000"/>
          <w:sz w:val="24"/>
          <w:szCs w:val="24"/>
        </w:rPr>
        <w:t>).</w:t>
      </w:r>
    </w:p>
    <w:p w14:paraId="732A2850" w14:textId="0FB43808" w:rsidR="00412474" w:rsidRPr="00215667" w:rsidRDefault="00412474" w:rsidP="00412474">
      <w:pPr>
        <w:spacing w:after="120" w:line="360" w:lineRule="auto"/>
        <w:ind w:firstLine="720"/>
        <w:jc w:val="both"/>
        <w:rPr>
          <w:rFonts w:ascii="Times New Roman" w:eastAsia="Calibri" w:hAnsi="Times New Roman" w:cs="Times New Roman"/>
          <w:sz w:val="24"/>
          <w:szCs w:val="24"/>
        </w:rPr>
      </w:pPr>
      <w:r w:rsidRPr="00215667">
        <w:rPr>
          <w:rFonts w:ascii="Times New Roman" w:eastAsia="Times New Roman" w:hAnsi="Times New Roman" w:cs="Times New Roman"/>
          <w:color w:val="000000"/>
          <w:sz w:val="24"/>
          <w:szCs w:val="24"/>
        </w:rPr>
        <w:t xml:space="preserve"> </w:t>
      </w:r>
      <w:r w:rsidRPr="00215667">
        <w:rPr>
          <w:rFonts w:ascii="Times New Roman" w:eastAsia="Calibri" w:hAnsi="Times New Roman" w:cs="Times New Roman"/>
          <w:sz w:val="24"/>
          <w:szCs w:val="24"/>
        </w:rPr>
        <w:t xml:space="preserve">Просечната вредност на </w:t>
      </w:r>
      <w:r w:rsidR="00191E87">
        <w:rPr>
          <w:rFonts w:ascii="Times New Roman" w:eastAsia="Times New Roman" w:hAnsi="Times New Roman" w:cs="Times New Roman"/>
          <w:bCs/>
          <w:color w:val="000000"/>
          <w:sz w:val="24"/>
          <w:szCs w:val="24"/>
        </w:rPr>
        <w:t>ристоцетин</w:t>
      </w:r>
      <w:r w:rsidRPr="00215667">
        <w:rPr>
          <w:rFonts w:ascii="Times New Roman" w:eastAsia="Times New Roman" w:hAnsi="Times New Roman" w:cs="Times New Roman"/>
          <w:bCs/>
          <w:color w:val="000000"/>
          <w:sz w:val="24"/>
          <w:szCs w:val="24"/>
        </w:rPr>
        <w:t xml:space="preserve"> кај пациентите кај кои не се регистрира крвавење изнесува 69.4</w:t>
      </w:r>
      <w:r w:rsidR="00191E8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9.1, во ранг од 58 до 83.</w:t>
      </w:r>
      <w:r w:rsidRPr="00215667">
        <w:rPr>
          <w:rFonts w:ascii="Times New Roman" w:eastAsia="Calibri" w:hAnsi="Times New Roman" w:cs="Times New Roman"/>
          <w:sz w:val="24"/>
          <w:szCs w:val="24"/>
        </w:rPr>
        <w:t xml:space="preserve"> Просечната вредност на </w:t>
      </w:r>
      <w:r w:rsidR="00191E87">
        <w:rPr>
          <w:rFonts w:ascii="Times New Roman" w:eastAsia="Times New Roman" w:hAnsi="Times New Roman" w:cs="Times New Roman"/>
          <w:bCs/>
          <w:color w:val="000000"/>
          <w:sz w:val="24"/>
          <w:szCs w:val="24"/>
        </w:rPr>
        <w:t>ристоцетин</w:t>
      </w:r>
      <w:r w:rsidR="00191E87" w:rsidRPr="0021566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кај присуство на сукрвица во плунка е понизок и изнесува 60.2 ± 14.5, во ранг од 23 до 86. Вредноста на </w:t>
      </w:r>
      <w:r w:rsidR="00191E87">
        <w:rPr>
          <w:rFonts w:ascii="Times New Roman" w:eastAsia="Times New Roman" w:hAnsi="Times New Roman" w:cs="Times New Roman"/>
          <w:bCs/>
          <w:color w:val="000000"/>
          <w:sz w:val="24"/>
          <w:szCs w:val="24"/>
        </w:rPr>
        <w:t>ристоцетин</w:t>
      </w:r>
      <w:r w:rsidR="00191E87" w:rsidRPr="0021566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кај лесен интензитет на крвавење изнесува 63.0</w:t>
      </w:r>
      <w:r w:rsidR="00191E8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191E8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2.8, во ранг од 61 до 65</w:t>
      </w:r>
      <w:r w:rsidR="00191E8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(табела бр</w:t>
      </w:r>
      <w:r w:rsidR="00191E87">
        <w:rPr>
          <w:rFonts w:ascii="Times New Roman" w:eastAsia="Times New Roman" w:hAnsi="Times New Roman" w:cs="Times New Roman"/>
          <w:bCs/>
          <w:color w:val="000000"/>
          <w:sz w:val="24"/>
          <w:szCs w:val="24"/>
        </w:rPr>
        <w:t>.</w:t>
      </w:r>
      <w:r w:rsidRPr="00215667">
        <w:rPr>
          <w:rFonts w:ascii="Times New Roman" w:eastAsia="Times New Roman" w:hAnsi="Times New Roman" w:cs="Times New Roman"/>
          <w:bCs/>
          <w:color w:val="000000"/>
          <w:sz w:val="24"/>
          <w:szCs w:val="24"/>
        </w:rPr>
        <w:t xml:space="preserve"> 13)</w:t>
      </w:r>
      <w:r w:rsidR="00191E87">
        <w:rPr>
          <w:rFonts w:ascii="Times New Roman" w:eastAsia="Times New Roman" w:hAnsi="Times New Roman" w:cs="Times New Roman"/>
          <w:bCs/>
          <w:color w:val="000000"/>
          <w:sz w:val="24"/>
          <w:szCs w:val="24"/>
        </w:rPr>
        <w:t>.</w:t>
      </w:r>
    </w:p>
    <w:p w14:paraId="33598ABC" w14:textId="6A0E94F1" w:rsidR="00412474" w:rsidRPr="00215667" w:rsidRDefault="00412474" w:rsidP="00412474">
      <w:pPr>
        <w:autoSpaceDE w:val="0"/>
        <w:autoSpaceDN w:val="0"/>
        <w:adjustRightInd w:val="0"/>
        <w:spacing w:after="120" w:line="360" w:lineRule="auto"/>
        <w:ind w:firstLine="720"/>
        <w:jc w:val="both"/>
        <w:rPr>
          <w:rFonts w:ascii="Times New Roman" w:eastAsia="Calibri" w:hAnsi="Times New Roman" w:cs="Times New Roman"/>
          <w:color w:val="000000"/>
          <w:sz w:val="24"/>
          <w:szCs w:val="24"/>
        </w:rPr>
      </w:pPr>
      <w:r w:rsidRPr="00215667">
        <w:rPr>
          <w:rFonts w:ascii="Times New Roman" w:eastAsia="Calibri" w:hAnsi="Times New Roman" w:cs="Times New Roman"/>
          <w:sz w:val="24"/>
          <w:szCs w:val="24"/>
        </w:rPr>
        <w:t xml:space="preserve">Според </w:t>
      </w:r>
      <w:r w:rsidRPr="00191E87">
        <w:rPr>
          <w:rFonts w:ascii="Times New Roman" w:eastAsia="Calibri" w:hAnsi="Times New Roman" w:cs="Times New Roman"/>
          <w:i/>
          <w:iCs/>
          <w:color w:val="000000"/>
          <w:sz w:val="24"/>
          <w:szCs w:val="24"/>
        </w:rPr>
        <w:t>Kruskal-Wallis ANOVA</w:t>
      </w:r>
      <w:r w:rsidRPr="00215667">
        <w:rPr>
          <w:rFonts w:ascii="Times New Roman" w:eastAsia="Times New Roman" w:hAnsi="Times New Roman" w:cs="Times New Roman"/>
          <w:color w:val="000000"/>
          <w:sz w:val="24"/>
          <w:szCs w:val="24"/>
        </w:rPr>
        <w:t xml:space="preserve"> тестот разлик</w:t>
      </w:r>
      <w:r w:rsidR="00191E87">
        <w:rPr>
          <w:rFonts w:ascii="Times New Roman" w:eastAsia="Times New Roman" w:hAnsi="Times New Roman" w:cs="Times New Roman"/>
          <w:color w:val="000000"/>
          <w:sz w:val="24"/>
          <w:szCs w:val="24"/>
        </w:rPr>
        <w:t xml:space="preserve">ата </w:t>
      </w:r>
      <w:r w:rsidRPr="00215667">
        <w:rPr>
          <w:rFonts w:ascii="Times New Roman" w:eastAsia="Times New Roman" w:hAnsi="Times New Roman" w:cs="Times New Roman"/>
          <w:color w:val="000000"/>
          <w:sz w:val="24"/>
          <w:szCs w:val="24"/>
        </w:rPr>
        <w:t xml:space="preserve">помеѓу просечните вредности на </w:t>
      </w:r>
      <w:r w:rsidR="00191E87">
        <w:rPr>
          <w:rFonts w:ascii="Times New Roman" w:eastAsia="Times New Roman" w:hAnsi="Times New Roman" w:cs="Times New Roman"/>
          <w:bCs/>
          <w:color w:val="000000"/>
          <w:sz w:val="24"/>
          <w:szCs w:val="24"/>
        </w:rPr>
        <w:t>ристоцетин</w:t>
      </w:r>
      <w:r w:rsidR="00191E87" w:rsidRPr="0021566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color w:val="000000"/>
          <w:sz w:val="24"/>
          <w:szCs w:val="24"/>
        </w:rPr>
        <w:t>е несигнификантна за p</w:t>
      </w:r>
      <w:r w:rsidR="00191E87">
        <w:rPr>
          <w:rFonts w:ascii="Times New Roman" w:eastAsia="Times New Roman" w:hAnsi="Times New Roman" w:cs="Times New Roman"/>
          <w:color w:val="000000"/>
          <w:sz w:val="24"/>
          <w:szCs w:val="24"/>
        </w:rPr>
        <w:t xml:space="preserve"> </w:t>
      </w:r>
      <w:r w:rsidRPr="00215667">
        <w:rPr>
          <w:rFonts w:ascii="Times New Roman" w:eastAsia="Times New Roman" w:hAnsi="Times New Roman" w:cs="Times New Roman"/>
          <w:color w:val="000000"/>
          <w:sz w:val="24"/>
          <w:szCs w:val="24"/>
        </w:rPr>
        <w:t>&gt;</w:t>
      </w:r>
      <w:r w:rsidR="00191E87">
        <w:rPr>
          <w:rFonts w:ascii="Times New Roman" w:eastAsia="Times New Roman" w:hAnsi="Times New Roman" w:cs="Times New Roman"/>
          <w:color w:val="000000"/>
          <w:sz w:val="24"/>
          <w:szCs w:val="24"/>
        </w:rPr>
        <w:t xml:space="preserve"> </w:t>
      </w:r>
      <w:r w:rsidRPr="00215667">
        <w:rPr>
          <w:rFonts w:ascii="Times New Roman" w:eastAsia="Times New Roman" w:hAnsi="Times New Roman" w:cs="Times New Roman"/>
          <w:color w:val="000000"/>
          <w:sz w:val="24"/>
          <w:szCs w:val="24"/>
        </w:rPr>
        <w:t>.05 (</w:t>
      </w:r>
      <w:r w:rsidRPr="00191E87">
        <w:rPr>
          <w:rFonts w:ascii="Times New Roman" w:eastAsia="Calibri" w:hAnsi="Times New Roman" w:cs="Times New Roman"/>
          <w:i/>
          <w:iCs/>
          <w:color w:val="000000"/>
          <w:sz w:val="24"/>
          <w:szCs w:val="24"/>
        </w:rPr>
        <w:t>Kruskal-Wallis test</w:t>
      </w:r>
      <w:r w:rsidRPr="00215667">
        <w:rPr>
          <w:rFonts w:ascii="Times New Roman" w:eastAsia="Calibri" w:hAnsi="Times New Roman" w:cs="Times New Roman"/>
          <w:color w:val="000000"/>
          <w:sz w:val="24"/>
          <w:szCs w:val="24"/>
        </w:rPr>
        <w:t>: H (2, N</w:t>
      </w:r>
      <w:r w:rsidR="00191E87">
        <w:rPr>
          <w:rFonts w:ascii="Times New Roman" w:eastAsia="Calibri" w:hAnsi="Times New Roman" w:cs="Times New Roman"/>
          <w:color w:val="000000"/>
          <w:sz w:val="24"/>
          <w:szCs w:val="24"/>
        </w:rPr>
        <w:t xml:space="preserve"> </w:t>
      </w:r>
      <w:r w:rsidRPr="00215667">
        <w:rPr>
          <w:rFonts w:ascii="Times New Roman" w:eastAsia="Calibri" w:hAnsi="Times New Roman" w:cs="Times New Roman"/>
          <w:color w:val="000000"/>
          <w:sz w:val="24"/>
          <w:szCs w:val="24"/>
        </w:rPr>
        <w:t>= 64) 2.464484 p =</w:t>
      </w:r>
      <w:r w:rsidR="00191E87">
        <w:rPr>
          <w:rFonts w:ascii="Times New Roman" w:eastAsia="Calibri" w:hAnsi="Times New Roman" w:cs="Times New Roman"/>
          <w:color w:val="000000"/>
          <w:sz w:val="24"/>
          <w:szCs w:val="24"/>
        </w:rPr>
        <w:t xml:space="preserve"> </w:t>
      </w:r>
      <w:r w:rsidRPr="00215667">
        <w:rPr>
          <w:rFonts w:ascii="Times New Roman" w:eastAsia="Calibri" w:hAnsi="Times New Roman" w:cs="Times New Roman"/>
          <w:color w:val="000000"/>
          <w:sz w:val="24"/>
          <w:szCs w:val="24"/>
        </w:rPr>
        <w:t>.2916</w:t>
      </w:r>
      <w:r w:rsidRPr="00215667">
        <w:rPr>
          <w:rFonts w:ascii="Times New Roman" w:eastAsia="Times New Roman" w:hAnsi="Times New Roman" w:cs="Times New Roman"/>
          <w:color w:val="000000"/>
          <w:sz w:val="24"/>
          <w:szCs w:val="24"/>
        </w:rPr>
        <w:t>).</w:t>
      </w:r>
    </w:p>
    <w:p w14:paraId="0D2C29F0" w14:textId="60AC0EB3" w:rsidR="00412474" w:rsidRPr="00215667" w:rsidRDefault="00412474" w:rsidP="00412474">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 xml:space="preserve">Просечната вредност на </w:t>
      </w:r>
      <w:r w:rsidR="00191E87">
        <w:rPr>
          <w:rFonts w:ascii="Times New Roman" w:eastAsia="Times New Roman" w:hAnsi="Times New Roman" w:cs="Times New Roman"/>
          <w:bCs/>
          <w:color w:val="000000"/>
          <w:sz w:val="24"/>
          <w:szCs w:val="24"/>
        </w:rPr>
        <w:t>колаген</w:t>
      </w:r>
      <w:r w:rsidRPr="00215667">
        <w:rPr>
          <w:rFonts w:ascii="Times New Roman" w:eastAsia="Times New Roman" w:hAnsi="Times New Roman" w:cs="Times New Roman"/>
          <w:bCs/>
          <w:color w:val="000000"/>
          <w:sz w:val="24"/>
          <w:szCs w:val="24"/>
        </w:rPr>
        <w:t xml:space="preserve"> кај пациентите кај кои не се регистрира крвавење изнесува 59.0</w:t>
      </w:r>
      <w:r w:rsidR="00191E8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12.1, во ранг од 49 до 86.</w:t>
      </w:r>
      <w:r w:rsidRPr="00215667">
        <w:rPr>
          <w:rFonts w:ascii="Times New Roman" w:eastAsia="Calibri" w:hAnsi="Times New Roman" w:cs="Times New Roman"/>
          <w:sz w:val="24"/>
          <w:szCs w:val="24"/>
        </w:rPr>
        <w:t xml:space="preserve"> Просечната вредност на </w:t>
      </w:r>
      <w:r w:rsidR="00191E87">
        <w:rPr>
          <w:rFonts w:ascii="Times New Roman" w:eastAsia="Times New Roman" w:hAnsi="Times New Roman" w:cs="Times New Roman"/>
          <w:bCs/>
          <w:color w:val="000000"/>
          <w:sz w:val="24"/>
          <w:szCs w:val="24"/>
        </w:rPr>
        <w:t>колаген</w:t>
      </w:r>
      <w:r w:rsidRPr="00215667">
        <w:rPr>
          <w:rFonts w:ascii="Times New Roman" w:eastAsia="Times New Roman" w:hAnsi="Times New Roman" w:cs="Times New Roman"/>
          <w:bCs/>
          <w:color w:val="000000"/>
          <w:sz w:val="24"/>
          <w:szCs w:val="24"/>
        </w:rPr>
        <w:t xml:space="preserve"> кај присуство на сукрвица во плунка според интензитет на крвавење е понизок и изнесува 47.6 ± 15.6, во ранг од 19 до 90. Вредноста на </w:t>
      </w:r>
      <w:r w:rsidR="00191E87">
        <w:rPr>
          <w:rFonts w:ascii="Times New Roman" w:eastAsia="Times New Roman" w:hAnsi="Times New Roman" w:cs="Times New Roman"/>
          <w:bCs/>
          <w:color w:val="000000"/>
          <w:sz w:val="24"/>
          <w:szCs w:val="24"/>
        </w:rPr>
        <w:t>колаген</w:t>
      </w:r>
      <w:r w:rsidRPr="00215667">
        <w:rPr>
          <w:rFonts w:ascii="Times New Roman" w:eastAsia="Times New Roman" w:hAnsi="Times New Roman" w:cs="Times New Roman"/>
          <w:bCs/>
          <w:color w:val="000000"/>
          <w:sz w:val="24"/>
          <w:szCs w:val="24"/>
        </w:rPr>
        <w:t xml:space="preserve"> кај </w:t>
      </w:r>
      <w:r w:rsidRPr="00215667">
        <w:rPr>
          <w:rFonts w:ascii="Times New Roman" w:eastAsia="Times New Roman" w:hAnsi="Times New Roman" w:cs="Times New Roman"/>
          <w:bCs/>
          <w:color w:val="000000"/>
          <w:sz w:val="24"/>
          <w:szCs w:val="24"/>
        </w:rPr>
        <w:lastRenderedPageBreak/>
        <w:t>лесен интензитет на крвавење изнесува 50.0</w:t>
      </w:r>
      <w:r w:rsidR="00191E8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191E8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15.5, во ранг од 39 до 61 (табела бр</w:t>
      </w:r>
      <w:r w:rsidR="00191E87">
        <w:rPr>
          <w:rFonts w:ascii="Times New Roman" w:eastAsia="Times New Roman" w:hAnsi="Times New Roman" w:cs="Times New Roman"/>
          <w:bCs/>
          <w:color w:val="000000"/>
          <w:sz w:val="24"/>
          <w:szCs w:val="24"/>
        </w:rPr>
        <w:t>.</w:t>
      </w:r>
      <w:r w:rsidRPr="00215667">
        <w:rPr>
          <w:rFonts w:ascii="Times New Roman" w:eastAsia="Times New Roman" w:hAnsi="Times New Roman" w:cs="Times New Roman"/>
          <w:bCs/>
          <w:color w:val="000000"/>
          <w:sz w:val="24"/>
          <w:szCs w:val="24"/>
        </w:rPr>
        <w:t xml:space="preserve"> 13)</w:t>
      </w:r>
      <w:r w:rsidR="00191E87">
        <w:rPr>
          <w:rFonts w:ascii="Times New Roman" w:eastAsia="Times New Roman" w:hAnsi="Times New Roman" w:cs="Times New Roman"/>
          <w:bCs/>
          <w:color w:val="000000"/>
          <w:sz w:val="24"/>
          <w:szCs w:val="24"/>
        </w:rPr>
        <w:t>.</w:t>
      </w:r>
    </w:p>
    <w:p w14:paraId="72519548" w14:textId="6B451C8F" w:rsidR="00412474" w:rsidRPr="00215667" w:rsidRDefault="00412474" w:rsidP="00412474">
      <w:pPr>
        <w:autoSpaceDE w:val="0"/>
        <w:autoSpaceDN w:val="0"/>
        <w:adjustRightInd w:val="0"/>
        <w:spacing w:after="120" w:line="360" w:lineRule="auto"/>
        <w:ind w:firstLine="720"/>
        <w:jc w:val="both"/>
        <w:rPr>
          <w:rFonts w:ascii="Times New Roman" w:eastAsia="Times New Roman" w:hAnsi="Times New Roman" w:cs="Times New Roman"/>
          <w:color w:val="000000"/>
          <w:sz w:val="24"/>
          <w:szCs w:val="24"/>
        </w:rPr>
      </w:pPr>
      <w:r w:rsidRPr="00215667">
        <w:rPr>
          <w:rFonts w:ascii="Times New Roman" w:eastAsia="Calibri" w:hAnsi="Times New Roman" w:cs="Times New Roman"/>
          <w:sz w:val="24"/>
          <w:szCs w:val="24"/>
        </w:rPr>
        <w:t xml:space="preserve">Според </w:t>
      </w:r>
      <w:r w:rsidRPr="00191E87">
        <w:rPr>
          <w:rFonts w:ascii="Times New Roman" w:eastAsia="Calibri" w:hAnsi="Times New Roman" w:cs="Times New Roman"/>
          <w:i/>
          <w:iCs/>
          <w:color w:val="000000"/>
          <w:sz w:val="24"/>
          <w:szCs w:val="24"/>
        </w:rPr>
        <w:t>Kruskal-Wallis ANOVA</w:t>
      </w:r>
      <w:r w:rsidRPr="00215667">
        <w:rPr>
          <w:rFonts w:ascii="Times New Roman" w:eastAsia="Times New Roman" w:hAnsi="Times New Roman" w:cs="Times New Roman"/>
          <w:color w:val="000000"/>
          <w:sz w:val="24"/>
          <w:szCs w:val="24"/>
        </w:rPr>
        <w:t xml:space="preserve"> тестот разлик</w:t>
      </w:r>
      <w:r w:rsidR="00191E87">
        <w:rPr>
          <w:rFonts w:ascii="Times New Roman" w:eastAsia="Times New Roman" w:hAnsi="Times New Roman" w:cs="Times New Roman"/>
          <w:color w:val="000000"/>
          <w:sz w:val="24"/>
          <w:szCs w:val="24"/>
        </w:rPr>
        <w:t>ата</w:t>
      </w:r>
      <w:r w:rsidRPr="00215667">
        <w:rPr>
          <w:rFonts w:ascii="Times New Roman" w:eastAsia="Times New Roman" w:hAnsi="Times New Roman" w:cs="Times New Roman"/>
          <w:color w:val="000000"/>
          <w:sz w:val="24"/>
          <w:szCs w:val="24"/>
        </w:rPr>
        <w:t xml:space="preserve"> помеѓу просечните вредности на </w:t>
      </w:r>
      <w:r w:rsidR="00191E87">
        <w:rPr>
          <w:rFonts w:ascii="Times New Roman" w:eastAsia="Times New Roman" w:hAnsi="Times New Roman" w:cs="Times New Roman"/>
          <w:bCs/>
          <w:color w:val="000000"/>
          <w:sz w:val="24"/>
          <w:szCs w:val="24"/>
        </w:rPr>
        <w:t>колаген</w:t>
      </w:r>
      <w:r w:rsidRPr="0021566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color w:val="000000"/>
          <w:sz w:val="24"/>
          <w:szCs w:val="24"/>
        </w:rPr>
        <w:t xml:space="preserve">е </w:t>
      </w:r>
      <w:r w:rsidR="00191E87">
        <w:rPr>
          <w:rFonts w:ascii="Times New Roman" w:eastAsia="Times New Roman" w:hAnsi="Times New Roman" w:cs="Times New Roman"/>
          <w:color w:val="000000"/>
          <w:sz w:val="24"/>
          <w:szCs w:val="24"/>
        </w:rPr>
        <w:t>не</w:t>
      </w:r>
      <w:r w:rsidRPr="00215667">
        <w:rPr>
          <w:rFonts w:ascii="Times New Roman" w:eastAsia="Times New Roman" w:hAnsi="Times New Roman" w:cs="Times New Roman"/>
          <w:color w:val="000000"/>
          <w:sz w:val="24"/>
          <w:szCs w:val="24"/>
        </w:rPr>
        <w:t>сигнификантна за p</w:t>
      </w:r>
      <w:r w:rsidR="00191E87">
        <w:rPr>
          <w:rFonts w:ascii="Times New Roman" w:eastAsia="Times New Roman" w:hAnsi="Times New Roman" w:cs="Times New Roman"/>
          <w:color w:val="000000"/>
          <w:sz w:val="24"/>
          <w:szCs w:val="24"/>
        </w:rPr>
        <w:t xml:space="preserve"> </w:t>
      </w:r>
      <w:r w:rsidRPr="00215667">
        <w:rPr>
          <w:rFonts w:ascii="Times New Roman" w:eastAsia="Times New Roman" w:hAnsi="Times New Roman" w:cs="Times New Roman"/>
          <w:color w:val="000000"/>
          <w:sz w:val="24"/>
          <w:szCs w:val="24"/>
        </w:rPr>
        <w:t>&lt;</w:t>
      </w:r>
      <w:r w:rsidR="00191E87">
        <w:rPr>
          <w:rFonts w:ascii="Times New Roman" w:eastAsia="Times New Roman" w:hAnsi="Times New Roman" w:cs="Times New Roman"/>
          <w:color w:val="000000"/>
          <w:sz w:val="24"/>
          <w:szCs w:val="24"/>
        </w:rPr>
        <w:t xml:space="preserve"> </w:t>
      </w:r>
      <w:r w:rsidRPr="00215667">
        <w:rPr>
          <w:rFonts w:ascii="Times New Roman" w:eastAsia="Times New Roman" w:hAnsi="Times New Roman" w:cs="Times New Roman"/>
          <w:color w:val="000000"/>
          <w:sz w:val="24"/>
          <w:szCs w:val="24"/>
        </w:rPr>
        <w:t>.05 (</w:t>
      </w:r>
      <w:r w:rsidRPr="00191E87">
        <w:rPr>
          <w:rFonts w:ascii="Times New Roman" w:eastAsia="Calibri" w:hAnsi="Times New Roman" w:cs="Times New Roman"/>
          <w:i/>
          <w:iCs/>
          <w:color w:val="000000"/>
          <w:sz w:val="24"/>
          <w:szCs w:val="24"/>
        </w:rPr>
        <w:t>Kruskal-Wallis test</w:t>
      </w:r>
      <w:r w:rsidRPr="00215667">
        <w:rPr>
          <w:rFonts w:ascii="Times New Roman" w:eastAsia="Calibri" w:hAnsi="Times New Roman" w:cs="Times New Roman"/>
          <w:color w:val="000000"/>
          <w:sz w:val="24"/>
          <w:szCs w:val="24"/>
        </w:rPr>
        <w:t>: H (2, N= 64) =</w:t>
      </w:r>
      <w:r w:rsidR="00191E87">
        <w:rPr>
          <w:rFonts w:ascii="Times New Roman" w:eastAsia="Calibri" w:hAnsi="Times New Roman" w:cs="Times New Roman"/>
          <w:color w:val="000000"/>
          <w:sz w:val="24"/>
          <w:szCs w:val="24"/>
        </w:rPr>
        <w:t xml:space="preserve"> </w:t>
      </w:r>
      <w:r w:rsidRPr="00215667">
        <w:rPr>
          <w:rFonts w:ascii="Times New Roman" w:eastAsia="Calibri" w:hAnsi="Times New Roman" w:cs="Times New Roman"/>
          <w:color w:val="000000"/>
          <w:sz w:val="24"/>
          <w:szCs w:val="24"/>
        </w:rPr>
        <w:t>3.779400 p =</w:t>
      </w:r>
      <w:r w:rsidR="00191E87">
        <w:rPr>
          <w:rFonts w:ascii="Times New Roman" w:eastAsia="Calibri" w:hAnsi="Times New Roman" w:cs="Times New Roman"/>
          <w:color w:val="000000"/>
          <w:sz w:val="24"/>
          <w:szCs w:val="24"/>
        </w:rPr>
        <w:t xml:space="preserve"> </w:t>
      </w:r>
      <w:r w:rsidRPr="00215667">
        <w:rPr>
          <w:rFonts w:ascii="Times New Roman" w:eastAsia="Calibri" w:hAnsi="Times New Roman" w:cs="Times New Roman"/>
          <w:color w:val="000000"/>
          <w:sz w:val="24"/>
          <w:szCs w:val="24"/>
        </w:rPr>
        <w:t>.1511</w:t>
      </w:r>
      <w:r w:rsidRPr="00215667">
        <w:rPr>
          <w:rFonts w:ascii="Times New Roman" w:eastAsia="Times New Roman" w:hAnsi="Times New Roman" w:cs="Times New Roman"/>
          <w:color w:val="000000"/>
          <w:sz w:val="24"/>
          <w:szCs w:val="24"/>
        </w:rPr>
        <w:t>).</w:t>
      </w:r>
    </w:p>
    <w:p w14:paraId="1F65E13A" w14:textId="437CEBE5" w:rsidR="00412474" w:rsidRPr="00215667" w:rsidRDefault="00412474" w:rsidP="00191E87">
      <w:pPr>
        <w:spacing w:after="120" w:line="360" w:lineRule="auto"/>
        <w:jc w:val="center"/>
        <w:rPr>
          <w:rFonts w:ascii="Times New Roman" w:eastAsia="Times New Roman" w:hAnsi="Times New Roman" w:cs="Times New Roman"/>
          <w:bCs/>
          <w:color w:val="000000"/>
          <w:sz w:val="24"/>
          <w:szCs w:val="24"/>
        </w:rPr>
      </w:pPr>
      <w:r w:rsidRPr="00215667">
        <w:rPr>
          <w:rFonts w:ascii="Times New Roman" w:eastAsia="Times New Roman" w:hAnsi="Times New Roman" w:cs="Times New Roman"/>
          <w:bCs/>
          <w:color w:val="000000"/>
          <w:sz w:val="24"/>
          <w:szCs w:val="24"/>
        </w:rPr>
        <w:t>Табела бр.</w:t>
      </w:r>
      <w:r w:rsidR="00191E87">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13</w:t>
      </w:r>
      <w:r w:rsidR="00191E87">
        <w:rPr>
          <w:rFonts w:ascii="Times New Roman" w:eastAsia="Times New Roman" w:hAnsi="Times New Roman" w:cs="Times New Roman"/>
          <w:bCs/>
          <w:color w:val="000000"/>
          <w:sz w:val="24"/>
          <w:szCs w:val="24"/>
        </w:rPr>
        <w:t>-</w:t>
      </w:r>
      <w:r w:rsidRPr="00215667">
        <w:rPr>
          <w:rFonts w:ascii="Times New Roman" w:eastAsia="Times New Roman" w:hAnsi="Times New Roman" w:cs="Times New Roman"/>
          <w:bCs/>
          <w:color w:val="000000"/>
          <w:sz w:val="24"/>
          <w:szCs w:val="24"/>
        </w:rPr>
        <w:t xml:space="preserve"> Приказ на просечната вредност на ADP, </w:t>
      </w:r>
      <w:r w:rsidR="00191E87">
        <w:rPr>
          <w:rFonts w:ascii="Times New Roman" w:eastAsia="Times New Roman" w:hAnsi="Times New Roman" w:cs="Times New Roman"/>
          <w:bCs/>
          <w:color w:val="000000"/>
          <w:sz w:val="24"/>
          <w:szCs w:val="24"/>
        </w:rPr>
        <w:t>ристоцетин</w:t>
      </w:r>
      <w:r w:rsidRPr="00215667">
        <w:rPr>
          <w:rFonts w:ascii="Times New Roman" w:eastAsia="Times New Roman" w:hAnsi="Times New Roman" w:cs="Times New Roman"/>
          <w:bCs/>
          <w:color w:val="000000"/>
          <w:sz w:val="24"/>
          <w:szCs w:val="24"/>
        </w:rPr>
        <w:t xml:space="preserve">, </w:t>
      </w:r>
      <w:r w:rsidR="00191E87">
        <w:rPr>
          <w:rFonts w:ascii="Times New Roman" w:eastAsia="Times New Roman" w:hAnsi="Times New Roman" w:cs="Times New Roman"/>
          <w:bCs/>
          <w:color w:val="000000"/>
          <w:sz w:val="24"/>
          <w:szCs w:val="24"/>
        </w:rPr>
        <w:t>колаген</w:t>
      </w:r>
      <w:r w:rsidRPr="00215667">
        <w:rPr>
          <w:rFonts w:ascii="Times New Roman" w:eastAsia="Times New Roman" w:hAnsi="Times New Roman" w:cs="Times New Roman"/>
          <w:bCs/>
          <w:color w:val="000000"/>
          <w:sz w:val="24"/>
          <w:szCs w:val="24"/>
        </w:rPr>
        <w:t xml:space="preserve"> во однос на постекстракциониот интензитет на крвавење, по примена на профилакса со ТХА</w:t>
      </w:r>
    </w:p>
    <w:tbl>
      <w:tblPr>
        <w:tblStyle w:val="TableGrid1"/>
        <w:tblW w:w="9236" w:type="dxa"/>
        <w:jc w:val="center"/>
        <w:tblLook w:val="04A0" w:firstRow="1" w:lastRow="0" w:firstColumn="1" w:lastColumn="0" w:noHBand="0" w:noVBand="1"/>
      </w:tblPr>
      <w:tblGrid>
        <w:gridCol w:w="3641"/>
        <w:gridCol w:w="1010"/>
        <w:gridCol w:w="711"/>
        <w:gridCol w:w="1170"/>
        <w:gridCol w:w="1308"/>
        <w:gridCol w:w="1396"/>
      </w:tblGrid>
      <w:tr w:rsidR="00412474" w:rsidRPr="00215667" w14:paraId="7F80FF42" w14:textId="77777777" w:rsidTr="00191E87">
        <w:trPr>
          <w:trHeight w:val="594"/>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27E3900" w14:textId="77777777" w:rsidR="00412474" w:rsidRPr="00215667" w:rsidRDefault="00412474" w:rsidP="00435E3A">
            <w:pPr>
              <w:jc w:val="cente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
                <w:bCs/>
                <w:color w:val="000000"/>
                <w:sz w:val="24"/>
                <w:szCs w:val="24"/>
              </w:rPr>
              <w:t>Интензитет</w:t>
            </w:r>
            <w:proofErr w:type="spellEnd"/>
            <w:r w:rsidRPr="00215667">
              <w:rPr>
                <w:rFonts w:ascii="Times New Roman" w:eastAsia="Times New Roman" w:hAnsi="Times New Roman" w:cs="Times New Roman"/>
                <w:b/>
                <w:bCs/>
                <w:color w:val="000000"/>
                <w:sz w:val="24"/>
                <w:szCs w:val="24"/>
              </w:rPr>
              <w:t>/ ADP</w:t>
            </w:r>
          </w:p>
        </w:tc>
        <w:tc>
          <w:tcPr>
            <w:tcW w:w="0" w:type="auto"/>
            <w:tcBorders>
              <w:top w:val="single" w:sz="4" w:space="0" w:color="auto"/>
              <w:left w:val="single" w:sz="4" w:space="0" w:color="auto"/>
              <w:bottom w:val="single" w:sz="4" w:space="0" w:color="auto"/>
              <w:right w:val="single" w:sz="4" w:space="0" w:color="auto"/>
            </w:tcBorders>
            <w:noWrap/>
            <w:hideMark/>
          </w:tcPr>
          <w:p w14:paraId="5F5D810D" w14:textId="06EF890A" w:rsidR="00412474" w:rsidRPr="00215667" w:rsidRDefault="00191E87"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П</w:t>
            </w:r>
            <w:proofErr w:type="spellStart"/>
            <w:r w:rsidR="00412474" w:rsidRPr="00215667">
              <w:rPr>
                <w:rFonts w:ascii="Times New Roman" w:eastAsia="Times New Roman" w:hAnsi="Times New Roman" w:cs="Times New Roman"/>
                <w:b/>
                <w:bCs/>
                <w:color w:val="000000"/>
                <w:sz w:val="24"/>
                <w:szCs w:val="24"/>
              </w:rPr>
              <w:t>росек</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212CB793" w14:textId="0C2E39E8" w:rsidR="00412474" w:rsidRPr="00215667" w:rsidRDefault="00191E87"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Б</w:t>
            </w:r>
            <w:proofErr w:type="spellStart"/>
            <w:r w:rsidR="00412474" w:rsidRPr="00215667">
              <w:rPr>
                <w:rFonts w:ascii="Times New Roman" w:eastAsia="Times New Roman" w:hAnsi="Times New Roman" w:cs="Times New Roman"/>
                <w:b/>
                <w:bCs/>
                <w:color w:val="000000"/>
                <w:sz w:val="24"/>
                <w:szCs w:val="24"/>
              </w:rPr>
              <w:t>рој</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4B8B52CD" w14:textId="54C6C017" w:rsidR="00412474" w:rsidRPr="00215667" w:rsidRDefault="00412474" w:rsidP="00435E3A">
            <w:pPr>
              <w:jc w:val="cente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
                <w:bCs/>
                <w:color w:val="000000"/>
                <w:sz w:val="24"/>
                <w:szCs w:val="24"/>
              </w:rPr>
              <w:t>Стд</w:t>
            </w:r>
            <w:proofErr w:type="spellEnd"/>
            <w:r w:rsidRPr="00215667">
              <w:rPr>
                <w:rFonts w:ascii="Times New Roman" w:eastAsia="Times New Roman" w:hAnsi="Times New Roman" w:cs="Times New Roman"/>
                <w:b/>
                <w:bCs/>
                <w:color w:val="000000"/>
                <w:sz w:val="24"/>
                <w:szCs w:val="24"/>
              </w:rPr>
              <w:t>.</w:t>
            </w:r>
            <w:r w:rsidR="00191E87">
              <w:rPr>
                <w:rFonts w:ascii="Times New Roman" w:eastAsia="Times New Roman" w:hAnsi="Times New Roman" w:cs="Times New Roman"/>
                <w:b/>
                <w:bCs/>
                <w:color w:val="000000"/>
                <w:sz w:val="24"/>
                <w:szCs w:val="24"/>
                <w:lang w:val="mk-MK"/>
              </w:rPr>
              <w:t xml:space="preserve"> д</w:t>
            </w:r>
            <w:proofErr w:type="spellStart"/>
            <w:r w:rsidRPr="00215667">
              <w:rPr>
                <w:rFonts w:ascii="Times New Roman" w:eastAsia="Times New Roman" w:hAnsi="Times New Roman" w:cs="Times New Roman"/>
                <w:b/>
                <w:bCs/>
                <w:color w:val="000000"/>
                <w:sz w:val="24"/>
                <w:szCs w:val="24"/>
              </w:rPr>
              <w:t>ев</w:t>
            </w:r>
            <w:proofErr w:type="spellEnd"/>
            <w:r w:rsidRPr="00215667">
              <w:rPr>
                <w:rFonts w:ascii="Times New Roman" w:eastAsia="Times New Roman" w:hAnsi="Times New Roman" w:cs="Times New Roman"/>
                <w:b/>
                <w:bCs/>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noWrap/>
            <w:hideMark/>
          </w:tcPr>
          <w:p w14:paraId="3AF4587E" w14:textId="6A6D454B" w:rsidR="00412474" w:rsidRPr="00215667" w:rsidRDefault="00191E87"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М</w:t>
            </w:r>
            <w:proofErr w:type="spellStart"/>
            <w:r w:rsidR="00412474" w:rsidRPr="00215667">
              <w:rPr>
                <w:rFonts w:ascii="Times New Roman" w:eastAsia="Times New Roman" w:hAnsi="Times New Roman" w:cs="Times New Roman"/>
                <w:b/>
                <w:bCs/>
                <w:color w:val="000000"/>
                <w:sz w:val="24"/>
                <w:szCs w:val="24"/>
              </w:rPr>
              <w:t>инимум</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4AF3A154" w14:textId="4293E500" w:rsidR="00412474" w:rsidRPr="00215667" w:rsidRDefault="00191E87"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М</w:t>
            </w:r>
            <w:proofErr w:type="spellStart"/>
            <w:r w:rsidR="00412474" w:rsidRPr="00215667">
              <w:rPr>
                <w:rFonts w:ascii="Times New Roman" w:eastAsia="Times New Roman" w:hAnsi="Times New Roman" w:cs="Times New Roman"/>
                <w:b/>
                <w:bCs/>
                <w:color w:val="000000"/>
                <w:sz w:val="24"/>
                <w:szCs w:val="24"/>
              </w:rPr>
              <w:t>аксимум</w:t>
            </w:r>
            <w:proofErr w:type="spellEnd"/>
          </w:p>
        </w:tc>
      </w:tr>
      <w:tr w:rsidR="00412474" w:rsidRPr="00215667" w14:paraId="354B6E66" w14:textId="77777777" w:rsidTr="00191E87">
        <w:trPr>
          <w:trHeight w:val="302"/>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2CD8ED3"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нема</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2ECF444"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43.5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63B6B7"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7652E13"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3.46410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A54D18"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38.0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38B626B"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49.0</w:t>
            </w:r>
          </w:p>
        </w:tc>
      </w:tr>
      <w:tr w:rsidR="00412474" w:rsidRPr="00215667" w14:paraId="04EB8E07" w14:textId="77777777" w:rsidTr="00191E87">
        <w:trPr>
          <w:trHeight w:val="594"/>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9D71C7E" w14:textId="4F67CE5C" w:rsidR="00412474" w:rsidRPr="00215667" w:rsidRDefault="00191E87"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присуство</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сукрвица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во</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плунка</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C6CD4A8"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35.6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627046D"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1E1A9CF"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14.01563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93C265F"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398B885"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60.0</w:t>
            </w:r>
          </w:p>
        </w:tc>
      </w:tr>
      <w:tr w:rsidR="00412474" w:rsidRPr="00215667" w14:paraId="7EDF314B" w14:textId="77777777" w:rsidTr="00191E87">
        <w:trPr>
          <w:trHeight w:val="302"/>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BB44F80"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лесен</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F5ABABE"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45.0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6BACB50"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169010"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5.65685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A15AAE"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41.0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42086C6"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49.0</w:t>
            </w:r>
          </w:p>
        </w:tc>
      </w:tr>
      <w:tr w:rsidR="00412474" w:rsidRPr="00215667" w14:paraId="7E33FD3B" w14:textId="77777777" w:rsidTr="00191E87">
        <w:trPr>
          <w:trHeight w:val="302"/>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3730281" w14:textId="7374905D" w:rsidR="00412474" w:rsidRPr="00191E87" w:rsidRDefault="00191E87" w:rsidP="00435E3A">
            <w:pPr>
              <w:rPr>
                <w:rFonts w:ascii="Times New Roman" w:eastAsia="Times New Roman" w:hAnsi="Times New Roman" w:cs="Times New Roman"/>
                <w:b/>
                <w:bCs/>
                <w:sz w:val="24"/>
                <w:szCs w:val="24"/>
                <w:lang w:val="mk-MK"/>
              </w:rPr>
            </w:pPr>
            <w:r>
              <w:rPr>
                <w:rFonts w:ascii="Times New Roman" w:eastAsia="Times New Roman" w:hAnsi="Times New Roman" w:cs="Times New Roman"/>
                <w:b/>
                <w:bCs/>
                <w:color w:val="000000"/>
                <w:sz w:val="24"/>
                <w:szCs w:val="24"/>
                <w:lang w:val="mk-MK"/>
              </w:rPr>
              <w:t>Ристоцетин</w:t>
            </w:r>
          </w:p>
        </w:tc>
      </w:tr>
      <w:tr w:rsidR="00412474" w:rsidRPr="00215667" w14:paraId="3DC8E51A" w14:textId="77777777" w:rsidTr="00191E87">
        <w:trPr>
          <w:trHeight w:val="291"/>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B86AFA1"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нема</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0C7C3E"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69.4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F073EAD"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3FC38C1"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9.10161</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E1A3003"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58.0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DB0AC25"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83.0</w:t>
            </w:r>
          </w:p>
        </w:tc>
      </w:tr>
      <w:tr w:rsidR="00412474" w:rsidRPr="00215667" w14:paraId="090F5365" w14:textId="77777777" w:rsidTr="00191E87">
        <w:trPr>
          <w:trHeight w:val="605"/>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F09F23B" w14:textId="173EDD7C" w:rsidR="00412474" w:rsidRPr="00215667" w:rsidRDefault="00191E87"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присуство</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сукрвица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во</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плунка</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B9EAED5"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60.2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1A5DC59"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3031A4C"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14.55164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914B8E3"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23.0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B05D027"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86.0</w:t>
            </w:r>
          </w:p>
        </w:tc>
      </w:tr>
      <w:tr w:rsidR="00412474" w:rsidRPr="00215667" w14:paraId="150A55A0" w14:textId="77777777" w:rsidTr="00191E87">
        <w:trPr>
          <w:trHeight w:val="291"/>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BFEFA65"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лесен</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FD8D113"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63.0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BD9C4AE"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1C5B2DF1"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2.82843</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0FE2B39"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61.0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CD1E25"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65.0</w:t>
            </w:r>
          </w:p>
        </w:tc>
      </w:tr>
      <w:tr w:rsidR="00412474" w:rsidRPr="00215667" w14:paraId="792AE550" w14:textId="77777777" w:rsidTr="00191E87">
        <w:trPr>
          <w:trHeight w:val="302"/>
          <w:jc w:val="center"/>
        </w:trPr>
        <w:tc>
          <w:tcPr>
            <w:tcW w:w="0" w:type="auto"/>
            <w:gridSpan w:val="6"/>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88388FB" w14:textId="1E2D23BF" w:rsidR="00412474" w:rsidRPr="00191E87" w:rsidRDefault="00191E87" w:rsidP="00435E3A">
            <w:pPr>
              <w:rPr>
                <w:rFonts w:ascii="Times New Roman" w:eastAsia="Times New Roman" w:hAnsi="Times New Roman" w:cs="Times New Roman"/>
                <w:b/>
                <w:bCs/>
                <w:sz w:val="24"/>
                <w:szCs w:val="24"/>
                <w:lang w:val="mk-MK"/>
              </w:rPr>
            </w:pPr>
            <w:r>
              <w:rPr>
                <w:rFonts w:ascii="Times New Roman" w:eastAsia="Times New Roman" w:hAnsi="Times New Roman" w:cs="Times New Roman"/>
                <w:b/>
                <w:bCs/>
                <w:color w:val="000000"/>
                <w:sz w:val="24"/>
                <w:szCs w:val="24"/>
                <w:lang w:val="mk-MK"/>
              </w:rPr>
              <w:t>Колаген</w:t>
            </w:r>
          </w:p>
        </w:tc>
      </w:tr>
      <w:tr w:rsidR="00412474" w:rsidRPr="00215667" w14:paraId="260FC7AE" w14:textId="77777777" w:rsidTr="00191E87">
        <w:trPr>
          <w:trHeight w:val="594"/>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DAC2FFC"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нема</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B9D566"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59.0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13C97D3"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8</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C995776"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12.08305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1BD3397"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49.0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2710D15"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86.0</w:t>
            </w:r>
          </w:p>
        </w:tc>
      </w:tr>
      <w:tr w:rsidR="00412474" w:rsidRPr="00215667" w14:paraId="4C9576A4" w14:textId="77777777" w:rsidTr="00191E87">
        <w:trPr>
          <w:trHeight w:val="605"/>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66C2B03" w14:textId="3D95AA18" w:rsidR="00412474" w:rsidRPr="00215667" w:rsidRDefault="00191E87"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присуство</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сукрвица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во</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плунка</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EBAF2E6"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47.6</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25052F1C"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54</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2ECF892"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15.63670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808EA1B"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19.0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3909EB52"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90.0</w:t>
            </w:r>
          </w:p>
        </w:tc>
      </w:tr>
      <w:tr w:rsidR="00412474" w:rsidRPr="00215667" w14:paraId="75377FFD" w14:textId="77777777" w:rsidTr="00191E87">
        <w:trPr>
          <w:trHeight w:val="594"/>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CF540DB" w14:textId="77777777"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лесен</w:t>
            </w:r>
            <w:proofErr w:type="spellEnd"/>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07C5CBC8"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50.0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4A27704D"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660C2019"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15.55635</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7A384F06"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39.0</w:t>
            </w:r>
          </w:p>
        </w:tc>
        <w:tc>
          <w:tcPr>
            <w:tcW w:w="0" w:type="auto"/>
            <w:tcBorders>
              <w:top w:val="single" w:sz="4" w:space="0" w:color="auto"/>
              <w:left w:val="single" w:sz="4" w:space="0" w:color="auto"/>
              <w:bottom w:val="single" w:sz="4" w:space="0" w:color="auto"/>
              <w:right w:val="single" w:sz="4" w:space="0" w:color="auto"/>
            </w:tcBorders>
            <w:noWrap/>
            <w:vAlign w:val="center"/>
            <w:hideMark/>
          </w:tcPr>
          <w:p w14:paraId="5D3C8141" w14:textId="77777777" w:rsidR="00412474" w:rsidRPr="00215667" w:rsidRDefault="00412474" w:rsidP="00435E3A">
            <w:pPr>
              <w:jc w:val="center"/>
              <w:rPr>
                <w:rFonts w:ascii="Times New Roman" w:hAnsi="Times New Roman" w:cs="Times New Roman"/>
                <w:sz w:val="24"/>
                <w:szCs w:val="24"/>
              </w:rPr>
            </w:pPr>
            <w:r w:rsidRPr="00215667">
              <w:rPr>
                <w:rFonts w:ascii="Times New Roman" w:hAnsi="Times New Roman" w:cs="Times New Roman"/>
                <w:color w:val="000000"/>
                <w:sz w:val="24"/>
                <w:szCs w:val="24"/>
              </w:rPr>
              <w:t>61.0</w:t>
            </w:r>
          </w:p>
        </w:tc>
      </w:tr>
    </w:tbl>
    <w:p w14:paraId="6D3603E5"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4C40531D" w14:textId="3D60E673" w:rsidR="00412474" w:rsidRPr="00215667" w:rsidRDefault="00412474" w:rsidP="00412474">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Просечното време на крвавење постекстракционо, по профилакса со ТХА кај пациентите изнесува 5.1 ± 5.7 часа, во ранг од 0 до 30 часа. Се регистрира висока стандардна девијација која индиректно зборува за големи варијации на статистичките единици околу просечната вредност. Кај 50</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од пациентите крвавењето е под 4 часа (Me</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4 IQR</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(1-7)</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(табела</w:t>
      </w:r>
      <w:r w:rsidR="00796FC8">
        <w:rPr>
          <w:rFonts w:ascii="Times New Roman" w:eastAsia="Calibri" w:hAnsi="Times New Roman" w:cs="Times New Roman"/>
          <w:sz w:val="24"/>
          <w:szCs w:val="24"/>
        </w:rPr>
        <w:t xml:space="preserve"> бр. 14</w:t>
      </w:r>
      <w:r w:rsidRPr="00215667">
        <w:rPr>
          <w:rFonts w:ascii="Times New Roman" w:eastAsia="Calibri" w:hAnsi="Times New Roman" w:cs="Times New Roman"/>
          <w:sz w:val="24"/>
          <w:szCs w:val="24"/>
        </w:rPr>
        <w:t xml:space="preserve"> и графикон бр</w:t>
      </w:r>
      <w:r w:rsidR="00796FC8">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14)</w:t>
      </w:r>
      <w:r w:rsidR="00796FC8">
        <w:rPr>
          <w:rFonts w:ascii="Times New Roman" w:eastAsia="Calibri" w:hAnsi="Times New Roman" w:cs="Times New Roman"/>
          <w:sz w:val="24"/>
          <w:szCs w:val="24"/>
        </w:rPr>
        <w:t>.</w:t>
      </w:r>
    </w:p>
    <w:p w14:paraId="43181ECB" w14:textId="77777777" w:rsidR="00796FC8" w:rsidRDefault="00796FC8" w:rsidP="00412474">
      <w:pPr>
        <w:spacing w:after="120" w:line="360" w:lineRule="auto"/>
        <w:jc w:val="both"/>
        <w:rPr>
          <w:rFonts w:ascii="Times New Roman" w:eastAsia="Calibri" w:hAnsi="Times New Roman" w:cs="Times New Roman"/>
          <w:sz w:val="24"/>
          <w:szCs w:val="24"/>
        </w:rPr>
      </w:pPr>
    </w:p>
    <w:p w14:paraId="422F422F" w14:textId="77777777" w:rsidR="00796FC8" w:rsidRDefault="00796FC8" w:rsidP="00412474">
      <w:pPr>
        <w:spacing w:after="120" w:line="360" w:lineRule="auto"/>
        <w:jc w:val="both"/>
        <w:rPr>
          <w:rFonts w:ascii="Times New Roman" w:eastAsia="Calibri" w:hAnsi="Times New Roman" w:cs="Times New Roman"/>
          <w:sz w:val="24"/>
          <w:szCs w:val="24"/>
        </w:rPr>
      </w:pPr>
    </w:p>
    <w:p w14:paraId="5AC1612A" w14:textId="08AD57D1" w:rsidR="00412474" w:rsidRPr="00215667" w:rsidRDefault="00412474" w:rsidP="00796FC8">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lastRenderedPageBreak/>
        <w:t>Табела бр.</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14</w:t>
      </w:r>
      <w:r w:rsidR="00796FC8">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просечното време </w:t>
      </w:r>
      <w:r w:rsidR="00796FC8">
        <w:rPr>
          <w:rFonts w:ascii="Times New Roman" w:eastAsia="Calibri" w:hAnsi="Times New Roman" w:cs="Times New Roman"/>
          <w:sz w:val="24"/>
          <w:szCs w:val="24"/>
        </w:rPr>
        <w:t xml:space="preserve">на </w:t>
      </w:r>
      <w:r w:rsidRPr="00215667">
        <w:rPr>
          <w:rFonts w:ascii="Times New Roman" w:eastAsia="Calibri" w:hAnsi="Times New Roman" w:cs="Times New Roman"/>
          <w:sz w:val="24"/>
          <w:szCs w:val="24"/>
        </w:rPr>
        <w:t>крвавење постекстракционо, по примена на ТХА, изразено во часови</w:t>
      </w:r>
    </w:p>
    <w:tbl>
      <w:tblPr>
        <w:tblStyle w:val="TableGrid1"/>
        <w:tblW w:w="0" w:type="auto"/>
        <w:tblLook w:val="04A0" w:firstRow="1" w:lastRow="0" w:firstColumn="1" w:lastColumn="0" w:noHBand="0" w:noVBand="1"/>
      </w:tblPr>
      <w:tblGrid>
        <w:gridCol w:w="709"/>
        <w:gridCol w:w="1008"/>
        <w:gridCol w:w="550"/>
        <w:gridCol w:w="1305"/>
        <w:gridCol w:w="1393"/>
        <w:gridCol w:w="1167"/>
        <w:gridCol w:w="1295"/>
        <w:gridCol w:w="1293"/>
      </w:tblGrid>
      <w:tr w:rsidR="00412474" w:rsidRPr="00215667" w14:paraId="1C0309FF" w14:textId="77777777" w:rsidTr="00435E3A">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7B97C19" w14:textId="370C6B7E" w:rsidR="00412474" w:rsidRPr="00215667" w:rsidRDefault="00796FC8"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Б</w:t>
            </w:r>
            <w:proofErr w:type="spellStart"/>
            <w:r w:rsidR="00412474" w:rsidRPr="00215667">
              <w:rPr>
                <w:rFonts w:ascii="Times New Roman" w:eastAsia="Times New Roman" w:hAnsi="Times New Roman" w:cs="Times New Roman"/>
                <w:b/>
                <w:bCs/>
                <w:color w:val="000000"/>
                <w:sz w:val="24"/>
                <w:szCs w:val="24"/>
              </w:rPr>
              <w:t>рој</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1DA9DE1" w14:textId="64770758" w:rsidR="00412474" w:rsidRPr="00215667" w:rsidRDefault="00796FC8"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П</w:t>
            </w:r>
            <w:proofErr w:type="spellStart"/>
            <w:r w:rsidR="00412474" w:rsidRPr="00215667">
              <w:rPr>
                <w:rFonts w:ascii="Times New Roman" w:eastAsia="Times New Roman" w:hAnsi="Times New Roman" w:cs="Times New Roman"/>
                <w:b/>
                <w:bCs/>
                <w:color w:val="000000"/>
                <w:sz w:val="24"/>
                <w:szCs w:val="24"/>
              </w:rPr>
              <w:t>росек</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AE78F91" w14:textId="77777777" w:rsidR="00412474" w:rsidRPr="00215667" w:rsidRDefault="00412474" w:rsidP="00435E3A">
            <w:pPr>
              <w:jc w:val="cente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
                <w:bCs/>
                <w:color w:val="000000"/>
                <w:sz w:val="24"/>
                <w:szCs w:val="24"/>
              </w:rPr>
              <w:t>Ме</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07B6474" w14:textId="4CB60DF0" w:rsidR="00412474" w:rsidRPr="00215667" w:rsidRDefault="00796FC8"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М</w:t>
            </w:r>
            <w:proofErr w:type="spellStart"/>
            <w:r w:rsidR="00412474" w:rsidRPr="00215667">
              <w:rPr>
                <w:rFonts w:ascii="Times New Roman" w:eastAsia="Times New Roman" w:hAnsi="Times New Roman" w:cs="Times New Roman"/>
                <w:b/>
                <w:bCs/>
                <w:color w:val="000000"/>
                <w:sz w:val="24"/>
                <w:szCs w:val="24"/>
              </w:rPr>
              <w:t>инимум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8C96126" w14:textId="11C32FEC" w:rsidR="00412474" w:rsidRPr="00215667" w:rsidRDefault="00796FC8"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М</w:t>
            </w:r>
            <w:proofErr w:type="spellStart"/>
            <w:r w:rsidR="00412474" w:rsidRPr="00215667">
              <w:rPr>
                <w:rFonts w:ascii="Times New Roman" w:eastAsia="Times New Roman" w:hAnsi="Times New Roman" w:cs="Times New Roman"/>
                <w:b/>
                <w:bCs/>
                <w:color w:val="000000"/>
                <w:sz w:val="24"/>
                <w:szCs w:val="24"/>
              </w:rPr>
              <w:t>аксимум</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0A0D2B0" w14:textId="087CCFB3" w:rsidR="00412474" w:rsidRPr="00215667" w:rsidRDefault="00796FC8" w:rsidP="00435E3A">
            <w:pPr>
              <w:jc w:val="cente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
                <w:bCs/>
                <w:color w:val="000000"/>
                <w:sz w:val="24"/>
                <w:szCs w:val="24"/>
              </w:rPr>
              <w:t>Стд</w:t>
            </w:r>
            <w:proofErr w:type="spellEnd"/>
            <w:r w:rsidRPr="00215667">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z w:val="24"/>
                <w:szCs w:val="24"/>
                <w:lang w:val="mk-MK"/>
              </w:rPr>
              <w:t xml:space="preserve"> д</w:t>
            </w:r>
            <w:proofErr w:type="spellStart"/>
            <w:r w:rsidRPr="00215667">
              <w:rPr>
                <w:rFonts w:ascii="Times New Roman" w:eastAsia="Times New Roman" w:hAnsi="Times New Roman" w:cs="Times New Roman"/>
                <w:b/>
                <w:bCs/>
                <w:color w:val="000000"/>
                <w:sz w:val="24"/>
                <w:szCs w:val="24"/>
              </w:rPr>
              <w:t>ев</w:t>
            </w:r>
            <w:proofErr w:type="spellEnd"/>
            <w:r w:rsidRPr="00215667">
              <w:rPr>
                <w:rFonts w:ascii="Times New Roman" w:eastAsia="Times New Roman" w:hAnsi="Times New Roman" w:cs="Times New Roman"/>
                <w:b/>
                <w:bCs/>
                <w:color w:val="000000"/>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04BF624A" w14:textId="77777777" w:rsidR="00412474" w:rsidRPr="00215667" w:rsidRDefault="00412474" w:rsidP="00435E3A">
            <w:pPr>
              <w:rPr>
                <w:rFonts w:ascii="Times New Roman" w:hAnsi="Times New Roman" w:cs="Times New Roman"/>
                <w:b/>
                <w:sz w:val="24"/>
                <w:szCs w:val="24"/>
              </w:rPr>
            </w:pPr>
            <w:proofErr w:type="spellStart"/>
            <w:r w:rsidRPr="00215667">
              <w:rPr>
                <w:rFonts w:ascii="Times New Roman" w:hAnsi="Times New Roman" w:cs="Times New Roman"/>
                <w:b/>
                <w:color w:val="000000"/>
                <w:sz w:val="24"/>
                <w:szCs w:val="24"/>
              </w:rPr>
              <w:t>Долен</w:t>
            </w:r>
            <w:proofErr w:type="spellEnd"/>
            <w:r w:rsidRPr="00215667">
              <w:rPr>
                <w:rFonts w:ascii="Times New Roman" w:hAnsi="Times New Roman" w:cs="Times New Roman"/>
                <w:b/>
                <w:color w:val="000000"/>
                <w:sz w:val="24"/>
                <w:szCs w:val="24"/>
              </w:rPr>
              <w:t xml:space="preserve"> </w:t>
            </w:r>
            <w:proofErr w:type="spellStart"/>
            <w:r w:rsidRPr="00215667">
              <w:rPr>
                <w:rFonts w:ascii="Times New Roman" w:hAnsi="Times New Roman" w:cs="Times New Roman"/>
                <w:b/>
                <w:color w:val="000000"/>
                <w:sz w:val="24"/>
                <w:szCs w:val="24"/>
              </w:rPr>
              <w:t>квартил</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vAlign w:val="center"/>
            <w:hideMark/>
          </w:tcPr>
          <w:p w14:paraId="3D2A54C6" w14:textId="77777777" w:rsidR="00412474" w:rsidRPr="00215667" w:rsidRDefault="00412474" w:rsidP="00435E3A">
            <w:pPr>
              <w:rPr>
                <w:rFonts w:ascii="Times New Roman" w:hAnsi="Times New Roman" w:cs="Times New Roman"/>
                <w:b/>
                <w:sz w:val="24"/>
                <w:szCs w:val="24"/>
              </w:rPr>
            </w:pPr>
            <w:proofErr w:type="spellStart"/>
            <w:r w:rsidRPr="00215667">
              <w:rPr>
                <w:rFonts w:ascii="Times New Roman" w:hAnsi="Times New Roman" w:cs="Times New Roman"/>
                <w:b/>
                <w:color w:val="000000"/>
                <w:sz w:val="24"/>
                <w:szCs w:val="24"/>
              </w:rPr>
              <w:t>Горен</w:t>
            </w:r>
            <w:proofErr w:type="spellEnd"/>
            <w:r w:rsidRPr="00215667">
              <w:rPr>
                <w:rFonts w:ascii="Times New Roman" w:hAnsi="Times New Roman" w:cs="Times New Roman"/>
                <w:b/>
                <w:color w:val="000000"/>
                <w:sz w:val="24"/>
                <w:szCs w:val="24"/>
              </w:rPr>
              <w:t xml:space="preserve"> </w:t>
            </w:r>
            <w:proofErr w:type="spellStart"/>
            <w:r w:rsidRPr="00215667">
              <w:rPr>
                <w:rFonts w:ascii="Times New Roman" w:hAnsi="Times New Roman" w:cs="Times New Roman"/>
                <w:b/>
                <w:color w:val="000000"/>
                <w:sz w:val="24"/>
                <w:szCs w:val="24"/>
              </w:rPr>
              <w:t>квартил</w:t>
            </w:r>
            <w:proofErr w:type="spellEnd"/>
          </w:p>
        </w:tc>
      </w:tr>
      <w:tr w:rsidR="00412474" w:rsidRPr="00215667" w14:paraId="08FDDC5B" w14:textId="77777777" w:rsidTr="00435E3A">
        <w:tc>
          <w:tcPr>
            <w:tcW w:w="0" w:type="auto"/>
            <w:tcBorders>
              <w:top w:val="single" w:sz="4" w:space="0" w:color="auto"/>
              <w:left w:val="single" w:sz="4" w:space="0" w:color="auto"/>
              <w:bottom w:val="single" w:sz="4" w:space="0" w:color="auto"/>
              <w:right w:val="single" w:sz="4" w:space="0" w:color="auto"/>
            </w:tcBorders>
            <w:noWrap/>
            <w:hideMark/>
          </w:tcPr>
          <w:p w14:paraId="3BA33BDA"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62</w:t>
            </w:r>
          </w:p>
        </w:tc>
        <w:tc>
          <w:tcPr>
            <w:tcW w:w="0" w:type="auto"/>
            <w:tcBorders>
              <w:top w:val="single" w:sz="4" w:space="0" w:color="auto"/>
              <w:left w:val="single" w:sz="4" w:space="0" w:color="auto"/>
              <w:bottom w:val="single" w:sz="4" w:space="0" w:color="auto"/>
              <w:right w:val="single" w:sz="4" w:space="0" w:color="auto"/>
            </w:tcBorders>
            <w:noWrap/>
            <w:hideMark/>
          </w:tcPr>
          <w:p w14:paraId="003BE73A"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5.1</w:t>
            </w:r>
          </w:p>
        </w:tc>
        <w:tc>
          <w:tcPr>
            <w:tcW w:w="0" w:type="auto"/>
            <w:tcBorders>
              <w:top w:val="single" w:sz="4" w:space="0" w:color="auto"/>
              <w:left w:val="single" w:sz="4" w:space="0" w:color="auto"/>
              <w:bottom w:val="single" w:sz="4" w:space="0" w:color="auto"/>
              <w:right w:val="single" w:sz="4" w:space="0" w:color="auto"/>
            </w:tcBorders>
            <w:noWrap/>
            <w:hideMark/>
          </w:tcPr>
          <w:p w14:paraId="1522450F"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4.0</w:t>
            </w:r>
          </w:p>
        </w:tc>
        <w:tc>
          <w:tcPr>
            <w:tcW w:w="0" w:type="auto"/>
            <w:tcBorders>
              <w:top w:val="single" w:sz="4" w:space="0" w:color="auto"/>
              <w:left w:val="single" w:sz="4" w:space="0" w:color="auto"/>
              <w:bottom w:val="single" w:sz="4" w:space="0" w:color="auto"/>
              <w:right w:val="single" w:sz="4" w:space="0" w:color="auto"/>
            </w:tcBorders>
            <w:noWrap/>
            <w:hideMark/>
          </w:tcPr>
          <w:p w14:paraId="5EC011A3"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0</w:t>
            </w:r>
          </w:p>
        </w:tc>
        <w:tc>
          <w:tcPr>
            <w:tcW w:w="0" w:type="auto"/>
            <w:tcBorders>
              <w:top w:val="single" w:sz="4" w:space="0" w:color="auto"/>
              <w:left w:val="single" w:sz="4" w:space="0" w:color="auto"/>
              <w:bottom w:val="single" w:sz="4" w:space="0" w:color="auto"/>
              <w:right w:val="single" w:sz="4" w:space="0" w:color="auto"/>
            </w:tcBorders>
            <w:noWrap/>
            <w:hideMark/>
          </w:tcPr>
          <w:p w14:paraId="09718379"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30.0</w:t>
            </w:r>
          </w:p>
        </w:tc>
        <w:tc>
          <w:tcPr>
            <w:tcW w:w="0" w:type="auto"/>
            <w:tcBorders>
              <w:top w:val="single" w:sz="4" w:space="0" w:color="auto"/>
              <w:left w:val="single" w:sz="4" w:space="0" w:color="auto"/>
              <w:bottom w:val="single" w:sz="4" w:space="0" w:color="auto"/>
              <w:right w:val="single" w:sz="4" w:space="0" w:color="auto"/>
            </w:tcBorders>
            <w:noWrap/>
            <w:hideMark/>
          </w:tcPr>
          <w:p w14:paraId="62CD7C2A"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5.741133</w:t>
            </w:r>
          </w:p>
        </w:tc>
        <w:tc>
          <w:tcPr>
            <w:tcW w:w="0" w:type="auto"/>
            <w:tcBorders>
              <w:top w:val="single" w:sz="4" w:space="0" w:color="auto"/>
              <w:left w:val="single" w:sz="4" w:space="0" w:color="auto"/>
              <w:bottom w:val="single" w:sz="4" w:space="0" w:color="auto"/>
              <w:right w:val="single" w:sz="4" w:space="0" w:color="auto"/>
            </w:tcBorders>
            <w:hideMark/>
          </w:tcPr>
          <w:p w14:paraId="002154D8" w14:textId="77777777" w:rsidR="00412474" w:rsidRPr="00215667" w:rsidRDefault="00412474" w:rsidP="00435E3A">
            <w:pPr>
              <w:jc w:val="center"/>
              <w:rPr>
                <w:rFonts w:ascii="Times New Roman" w:eastAsia="Times New Roman" w:hAnsi="Times New Roman" w:cs="Times New Roman"/>
                <w:color w:val="000000"/>
                <w:sz w:val="24"/>
                <w:szCs w:val="24"/>
              </w:rPr>
            </w:pPr>
            <w:r w:rsidRPr="00215667">
              <w:rPr>
                <w:rFonts w:ascii="Times New Roman" w:eastAsia="Times New Roman" w:hAnsi="Times New Roman" w:cs="Times New Roman"/>
                <w:color w:val="000000"/>
                <w:sz w:val="24"/>
                <w:szCs w:val="24"/>
              </w:rPr>
              <w:t>1.0</w:t>
            </w:r>
          </w:p>
        </w:tc>
        <w:tc>
          <w:tcPr>
            <w:tcW w:w="0" w:type="auto"/>
            <w:tcBorders>
              <w:top w:val="single" w:sz="4" w:space="0" w:color="auto"/>
              <w:left w:val="single" w:sz="4" w:space="0" w:color="auto"/>
              <w:bottom w:val="single" w:sz="4" w:space="0" w:color="auto"/>
              <w:right w:val="single" w:sz="4" w:space="0" w:color="auto"/>
            </w:tcBorders>
            <w:hideMark/>
          </w:tcPr>
          <w:p w14:paraId="19C08011" w14:textId="77777777" w:rsidR="00412474" w:rsidRPr="00215667" w:rsidRDefault="00412474" w:rsidP="00435E3A">
            <w:pPr>
              <w:jc w:val="center"/>
              <w:rPr>
                <w:rFonts w:ascii="Times New Roman" w:eastAsia="Times New Roman" w:hAnsi="Times New Roman" w:cs="Times New Roman"/>
                <w:color w:val="000000"/>
                <w:sz w:val="24"/>
                <w:szCs w:val="24"/>
              </w:rPr>
            </w:pPr>
            <w:r w:rsidRPr="00215667">
              <w:rPr>
                <w:rFonts w:ascii="Times New Roman" w:eastAsia="Times New Roman" w:hAnsi="Times New Roman" w:cs="Times New Roman"/>
                <w:color w:val="000000"/>
                <w:sz w:val="24"/>
                <w:szCs w:val="24"/>
              </w:rPr>
              <w:t>7.0</w:t>
            </w:r>
          </w:p>
        </w:tc>
      </w:tr>
    </w:tbl>
    <w:p w14:paraId="0DFB382E"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79A6ED51" w14:textId="334A64F7" w:rsidR="00412474" w:rsidRPr="00215667" w:rsidRDefault="00412474" w:rsidP="00796FC8">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Графикон бр. 14</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Приказ на просечното време </w:t>
      </w:r>
      <w:r w:rsidR="00796FC8">
        <w:rPr>
          <w:rFonts w:ascii="Times New Roman" w:eastAsia="Calibri" w:hAnsi="Times New Roman" w:cs="Times New Roman"/>
          <w:sz w:val="24"/>
          <w:szCs w:val="24"/>
        </w:rPr>
        <w:t xml:space="preserve">на </w:t>
      </w:r>
      <w:r w:rsidRPr="00215667">
        <w:rPr>
          <w:rFonts w:ascii="Times New Roman" w:eastAsia="Calibri" w:hAnsi="Times New Roman" w:cs="Times New Roman"/>
          <w:sz w:val="24"/>
          <w:szCs w:val="24"/>
        </w:rPr>
        <w:t xml:space="preserve">крвавење постекстракционо, по примена на ТХА, изразено во часови </w:t>
      </w:r>
      <w:r w:rsidR="00796FC8">
        <w:rPr>
          <w:noProof/>
          <w14:ligatures w14:val="standardContextual"/>
        </w:rPr>
        <w:drawing>
          <wp:inline distT="0" distB="0" distL="0" distR="0" wp14:anchorId="48103790" wp14:editId="6F000AAC">
            <wp:extent cx="5400040" cy="2783840"/>
            <wp:effectExtent l="0" t="0" r="0" b="0"/>
            <wp:docPr id="488711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711083" name=""/>
                    <pic:cNvPicPr/>
                  </pic:nvPicPr>
                  <pic:blipFill>
                    <a:blip r:embed="rId37"/>
                    <a:stretch>
                      <a:fillRect/>
                    </a:stretch>
                  </pic:blipFill>
                  <pic:spPr>
                    <a:xfrm>
                      <a:off x="0" y="0"/>
                      <a:ext cx="5400040" cy="2783840"/>
                    </a:xfrm>
                    <a:prstGeom prst="rect">
                      <a:avLst/>
                    </a:prstGeom>
                  </pic:spPr>
                </pic:pic>
              </a:graphicData>
            </a:graphic>
          </wp:inline>
        </w:drawing>
      </w:r>
    </w:p>
    <w:p w14:paraId="43054043" w14:textId="5972936B" w:rsidR="00412474" w:rsidRPr="00215667" w:rsidRDefault="00412474" w:rsidP="00412474">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Разликата помеѓу постекст</w:t>
      </w:r>
      <w:r w:rsidR="00796FC8">
        <w:rPr>
          <w:rFonts w:ascii="Times New Roman" w:eastAsia="Calibri" w:hAnsi="Times New Roman" w:cs="Times New Roman"/>
          <w:sz w:val="24"/>
          <w:szCs w:val="24"/>
        </w:rPr>
        <w:t>р</w:t>
      </w:r>
      <w:r w:rsidRPr="00215667">
        <w:rPr>
          <w:rFonts w:ascii="Times New Roman" w:eastAsia="Calibri" w:hAnsi="Times New Roman" w:cs="Times New Roman"/>
          <w:sz w:val="24"/>
          <w:szCs w:val="24"/>
        </w:rPr>
        <w:t xml:space="preserve">акционото крвавење пред поставување на дијагноза (изразена во часови) </w:t>
      </w:r>
      <w:r w:rsidR="001F2E2D">
        <w:rPr>
          <w:rFonts w:ascii="Times New Roman" w:eastAsia="Calibri" w:hAnsi="Times New Roman" w:cs="Times New Roman"/>
          <w:sz w:val="24"/>
          <w:szCs w:val="24"/>
        </w:rPr>
        <w:t>версус</w:t>
      </w:r>
      <w:r w:rsidRPr="00215667">
        <w:rPr>
          <w:rFonts w:ascii="Times New Roman" w:eastAsia="Calibri" w:hAnsi="Times New Roman" w:cs="Times New Roman"/>
          <w:sz w:val="24"/>
          <w:szCs w:val="24"/>
        </w:rPr>
        <w:t xml:space="preserve"> крвавењето постекстракционо,</w:t>
      </w:r>
      <w:r w:rsidRPr="00215667">
        <w:rPr>
          <w:rFonts w:ascii="Times New Roman" w:hAnsi="Times New Roman" w:cs="Times New Roman"/>
          <w:sz w:val="24"/>
          <w:szCs w:val="24"/>
        </w:rPr>
        <w:t xml:space="preserve"> </w:t>
      </w:r>
      <w:r w:rsidRPr="00215667">
        <w:rPr>
          <w:rFonts w:ascii="Times New Roman" w:eastAsia="Calibri" w:hAnsi="Times New Roman" w:cs="Times New Roman"/>
          <w:sz w:val="24"/>
          <w:szCs w:val="24"/>
        </w:rPr>
        <w:t>по аплицирање на ТХА е статистички сигнификантно за p</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&lt;</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.05 (p</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color w:val="FF0000"/>
          <w:sz w:val="24"/>
          <w:szCs w:val="24"/>
        </w:rPr>
        <w:t>=</w:t>
      </w:r>
      <w:r w:rsidR="00796FC8">
        <w:rPr>
          <w:rFonts w:ascii="Times New Roman" w:eastAsia="Calibri" w:hAnsi="Times New Roman" w:cs="Times New Roman"/>
          <w:color w:val="FF0000"/>
          <w:sz w:val="24"/>
          <w:szCs w:val="24"/>
        </w:rPr>
        <w:t xml:space="preserve"> </w:t>
      </w:r>
      <w:r w:rsidRPr="00215667">
        <w:rPr>
          <w:rFonts w:ascii="Times New Roman" w:eastAsia="Calibri" w:hAnsi="Times New Roman" w:cs="Times New Roman"/>
          <w:color w:val="FF0000"/>
          <w:sz w:val="24"/>
          <w:szCs w:val="24"/>
        </w:rPr>
        <w:t>.000000</w:t>
      </w:r>
      <w:r w:rsidRPr="00215667">
        <w:rPr>
          <w:rFonts w:ascii="Times New Roman" w:eastAsia="Calibri" w:hAnsi="Times New Roman" w:cs="Times New Roman"/>
          <w:sz w:val="24"/>
          <w:szCs w:val="24"/>
        </w:rPr>
        <w:t>) (табела</w:t>
      </w:r>
      <w:r w:rsidR="00796FC8">
        <w:rPr>
          <w:rFonts w:ascii="Times New Roman" w:eastAsia="Calibri" w:hAnsi="Times New Roman" w:cs="Times New Roman"/>
          <w:sz w:val="24"/>
          <w:szCs w:val="24"/>
        </w:rPr>
        <w:t xml:space="preserve"> бр. 15</w:t>
      </w:r>
      <w:r w:rsidRPr="00215667">
        <w:rPr>
          <w:rFonts w:ascii="Times New Roman" w:eastAsia="Calibri" w:hAnsi="Times New Roman" w:cs="Times New Roman"/>
          <w:sz w:val="24"/>
          <w:szCs w:val="24"/>
        </w:rPr>
        <w:t xml:space="preserve"> и графикон бр</w:t>
      </w:r>
      <w:r w:rsidR="00796FC8">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15).</w:t>
      </w:r>
    </w:p>
    <w:p w14:paraId="3B7F28C0" w14:textId="4088906E" w:rsidR="00412474" w:rsidRPr="00215667" w:rsidRDefault="00412474" w:rsidP="00796FC8">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 15</w:t>
      </w:r>
      <w:r w:rsidR="00796FC8">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w:t>
      </w:r>
      <w:r w:rsidRPr="00215667">
        <w:rPr>
          <w:rFonts w:ascii="Times New Roman" w:eastAsia="Calibri" w:hAnsi="Times New Roman" w:cs="Times New Roman"/>
          <w:color w:val="000000"/>
          <w:sz w:val="24"/>
          <w:szCs w:val="24"/>
        </w:rPr>
        <w:t>T</w:t>
      </w:r>
      <w:r w:rsidRPr="00796FC8">
        <w:rPr>
          <w:rFonts w:ascii="Times New Roman" w:eastAsia="Calibri" w:hAnsi="Times New Roman" w:cs="Times New Roman"/>
          <w:i/>
          <w:iCs/>
          <w:color w:val="000000"/>
          <w:sz w:val="24"/>
          <w:szCs w:val="24"/>
        </w:rPr>
        <w:t>-test for Dependent Samples</w:t>
      </w:r>
      <w:r w:rsidRPr="00215667">
        <w:rPr>
          <w:rFonts w:ascii="Times New Roman" w:eastAsia="Calibri" w:hAnsi="Times New Roman" w:cs="Times New Roman"/>
          <w:color w:val="000000"/>
          <w:sz w:val="24"/>
          <w:szCs w:val="24"/>
        </w:rPr>
        <w:t xml:space="preserve"> помеѓу време на крвавење пред поставување на дијагнозата </w:t>
      </w:r>
      <w:r w:rsidR="001F2E2D">
        <w:rPr>
          <w:rFonts w:ascii="Times New Roman" w:eastAsia="Calibri" w:hAnsi="Times New Roman" w:cs="Times New Roman"/>
          <w:color w:val="000000"/>
          <w:sz w:val="24"/>
          <w:szCs w:val="24"/>
        </w:rPr>
        <w:t>версус</w:t>
      </w:r>
      <w:r w:rsidRPr="00215667">
        <w:rPr>
          <w:rFonts w:ascii="Times New Roman" w:eastAsia="Calibri" w:hAnsi="Times New Roman" w:cs="Times New Roman"/>
          <w:color w:val="000000"/>
          <w:sz w:val="24"/>
          <w:szCs w:val="24"/>
        </w:rPr>
        <w:t xml:space="preserve"> по примена на профилакса со ТХА</w:t>
      </w:r>
    </w:p>
    <w:tbl>
      <w:tblPr>
        <w:tblStyle w:val="TableGrid1"/>
        <w:tblW w:w="10809" w:type="dxa"/>
        <w:tblInd w:w="-459" w:type="dxa"/>
        <w:tblLayout w:type="fixed"/>
        <w:tblLook w:val="04A0" w:firstRow="1" w:lastRow="0" w:firstColumn="1" w:lastColumn="0" w:noHBand="0" w:noVBand="1"/>
      </w:tblPr>
      <w:tblGrid>
        <w:gridCol w:w="2014"/>
        <w:gridCol w:w="785"/>
        <w:gridCol w:w="1058"/>
        <w:gridCol w:w="426"/>
        <w:gridCol w:w="993"/>
        <w:gridCol w:w="993"/>
        <w:gridCol w:w="993"/>
        <w:gridCol w:w="426"/>
        <w:gridCol w:w="1135"/>
        <w:gridCol w:w="993"/>
        <w:gridCol w:w="993"/>
      </w:tblGrid>
      <w:tr w:rsidR="00412474" w:rsidRPr="00796FC8" w14:paraId="0E3D94D0" w14:textId="77777777" w:rsidTr="00796FC8">
        <w:trPr>
          <w:trHeight w:val="310"/>
        </w:trPr>
        <w:tc>
          <w:tcPr>
            <w:tcW w:w="2014"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84B227F" w14:textId="4FBEC72B" w:rsidR="00412474" w:rsidRPr="00796FC8" w:rsidRDefault="00412474" w:rsidP="00435E3A">
            <w:pPr>
              <w:rPr>
                <w:rFonts w:ascii="Times New Roman" w:eastAsia="Times New Roman" w:hAnsi="Times New Roman" w:cs="Times New Roman"/>
                <w:b/>
                <w:sz w:val="18"/>
                <w:szCs w:val="18"/>
              </w:rPr>
            </w:pPr>
            <w:r w:rsidRPr="00796FC8">
              <w:rPr>
                <w:rFonts w:ascii="Times New Roman" w:eastAsia="Times New Roman" w:hAnsi="Times New Roman" w:cs="Times New Roman"/>
                <w:b/>
                <w:sz w:val="18"/>
                <w:szCs w:val="18"/>
              </w:rPr>
              <w:t xml:space="preserve">Време </w:t>
            </w:r>
            <w:proofErr w:type="spellStart"/>
            <w:r w:rsidRPr="00796FC8">
              <w:rPr>
                <w:rFonts w:ascii="Times New Roman" w:eastAsia="Times New Roman" w:hAnsi="Times New Roman" w:cs="Times New Roman"/>
                <w:b/>
                <w:sz w:val="18"/>
                <w:szCs w:val="18"/>
              </w:rPr>
              <w:t>на</w:t>
            </w:r>
            <w:proofErr w:type="spellEnd"/>
            <w:r w:rsidRPr="00796FC8">
              <w:rPr>
                <w:rFonts w:ascii="Times New Roman" w:eastAsia="Times New Roman" w:hAnsi="Times New Roman" w:cs="Times New Roman"/>
                <w:b/>
                <w:sz w:val="18"/>
                <w:szCs w:val="18"/>
              </w:rPr>
              <w:t xml:space="preserve"> </w:t>
            </w:r>
            <w:proofErr w:type="spellStart"/>
            <w:r w:rsidR="00EC49EB" w:rsidRPr="00796FC8">
              <w:rPr>
                <w:rFonts w:ascii="Times New Roman" w:eastAsia="Times New Roman" w:hAnsi="Times New Roman" w:cs="Times New Roman"/>
                <w:b/>
                <w:sz w:val="18"/>
                <w:szCs w:val="18"/>
              </w:rPr>
              <w:t>крвавење</w:t>
            </w:r>
            <w:proofErr w:type="spellEnd"/>
          </w:p>
        </w:tc>
        <w:tc>
          <w:tcPr>
            <w:tcW w:w="785"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5772653" w14:textId="77777777" w:rsidR="00412474" w:rsidRPr="00796FC8" w:rsidRDefault="00412474" w:rsidP="00435E3A">
            <w:pPr>
              <w:jc w:val="center"/>
              <w:rPr>
                <w:rFonts w:ascii="Times New Roman" w:eastAsia="Times New Roman" w:hAnsi="Times New Roman" w:cs="Times New Roman"/>
                <w:b/>
                <w:bCs/>
                <w:sz w:val="18"/>
                <w:szCs w:val="18"/>
              </w:rPr>
            </w:pPr>
            <w:r w:rsidRPr="00796FC8">
              <w:rPr>
                <w:rFonts w:ascii="Times New Roman" w:eastAsia="Times New Roman" w:hAnsi="Times New Roman" w:cs="Times New Roman"/>
                <w:b/>
                <w:bCs/>
                <w:color w:val="000000"/>
                <w:sz w:val="18"/>
                <w:szCs w:val="18"/>
              </w:rPr>
              <w:t>Mean</w:t>
            </w:r>
          </w:p>
        </w:tc>
        <w:tc>
          <w:tcPr>
            <w:tcW w:w="105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705FCDF" w14:textId="77777777" w:rsidR="00412474" w:rsidRPr="00796FC8" w:rsidRDefault="00412474" w:rsidP="00435E3A">
            <w:pPr>
              <w:jc w:val="center"/>
              <w:rPr>
                <w:rFonts w:ascii="Times New Roman" w:eastAsia="Times New Roman" w:hAnsi="Times New Roman" w:cs="Times New Roman"/>
                <w:b/>
                <w:bCs/>
                <w:sz w:val="18"/>
                <w:szCs w:val="18"/>
              </w:rPr>
            </w:pPr>
            <w:proofErr w:type="spellStart"/>
            <w:r w:rsidRPr="00796FC8">
              <w:rPr>
                <w:rFonts w:ascii="Times New Roman" w:eastAsia="Times New Roman" w:hAnsi="Times New Roman" w:cs="Times New Roman"/>
                <w:b/>
                <w:bCs/>
                <w:color w:val="000000"/>
                <w:sz w:val="18"/>
                <w:szCs w:val="18"/>
              </w:rPr>
              <w:t>Std.Dv</w:t>
            </w:r>
            <w:proofErr w:type="spellEnd"/>
            <w:r w:rsidRPr="00796FC8">
              <w:rPr>
                <w:rFonts w:ascii="Times New Roman" w:eastAsia="Times New Roman" w:hAnsi="Times New Roman" w:cs="Times New Roman"/>
                <w:b/>
                <w:bCs/>
                <w:color w:val="000000"/>
                <w:sz w:val="18"/>
                <w:szCs w:val="18"/>
              </w:rPr>
              <w:t>.</w:t>
            </w:r>
          </w:p>
        </w:tc>
        <w:tc>
          <w:tcPr>
            <w:tcW w:w="426"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BC2ABC3" w14:textId="77777777" w:rsidR="00412474" w:rsidRPr="00796FC8" w:rsidRDefault="00412474" w:rsidP="00435E3A">
            <w:pPr>
              <w:jc w:val="center"/>
              <w:rPr>
                <w:rFonts w:ascii="Times New Roman" w:eastAsia="Times New Roman" w:hAnsi="Times New Roman" w:cs="Times New Roman"/>
                <w:b/>
                <w:bCs/>
                <w:sz w:val="18"/>
                <w:szCs w:val="18"/>
              </w:rPr>
            </w:pPr>
            <w:r w:rsidRPr="00796FC8">
              <w:rPr>
                <w:rFonts w:ascii="Times New Roman" w:eastAsia="Times New Roman" w:hAnsi="Times New Roman" w:cs="Times New Roman"/>
                <w:b/>
                <w:bCs/>
                <w:color w:val="000000"/>
                <w:sz w:val="18"/>
                <w:szCs w:val="18"/>
              </w:rPr>
              <w:t>N</w:t>
            </w:r>
          </w:p>
        </w:tc>
        <w:tc>
          <w:tcPr>
            <w:tcW w:w="993"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6442CE2" w14:textId="77777777" w:rsidR="00412474" w:rsidRPr="00796FC8" w:rsidRDefault="00412474" w:rsidP="00435E3A">
            <w:pPr>
              <w:jc w:val="center"/>
              <w:rPr>
                <w:rFonts w:ascii="Times New Roman" w:eastAsia="Times New Roman" w:hAnsi="Times New Roman" w:cs="Times New Roman"/>
                <w:b/>
                <w:bCs/>
                <w:sz w:val="18"/>
                <w:szCs w:val="18"/>
              </w:rPr>
            </w:pPr>
            <w:r w:rsidRPr="00796FC8">
              <w:rPr>
                <w:rFonts w:ascii="Times New Roman" w:eastAsia="Times New Roman" w:hAnsi="Times New Roman" w:cs="Times New Roman"/>
                <w:b/>
                <w:bCs/>
                <w:color w:val="000000"/>
                <w:sz w:val="18"/>
                <w:szCs w:val="18"/>
              </w:rPr>
              <w:t>Diff.</w:t>
            </w:r>
          </w:p>
        </w:tc>
        <w:tc>
          <w:tcPr>
            <w:tcW w:w="993"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07ABA2A" w14:textId="77777777" w:rsidR="00412474" w:rsidRPr="00796FC8" w:rsidRDefault="00412474" w:rsidP="00435E3A">
            <w:pPr>
              <w:jc w:val="center"/>
              <w:rPr>
                <w:rFonts w:ascii="Times New Roman" w:eastAsia="Times New Roman" w:hAnsi="Times New Roman" w:cs="Times New Roman"/>
                <w:b/>
                <w:bCs/>
                <w:color w:val="000000"/>
                <w:sz w:val="18"/>
                <w:szCs w:val="18"/>
              </w:rPr>
            </w:pPr>
            <w:proofErr w:type="spellStart"/>
            <w:r w:rsidRPr="00796FC8">
              <w:rPr>
                <w:rFonts w:ascii="Times New Roman" w:eastAsia="Times New Roman" w:hAnsi="Times New Roman" w:cs="Times New Roman"/>
                <w:b/>
                <w:bCs/>
                <w:color w:val="000000"/>
                <w:sz w:val="18"/>
                <w:szCs w:val="18"/>
              </w:rPr>
              <w:t>Std.Dv</w:t>
            </w:r>
            <w:proofErr w:type="spellEnd"/>
            <w:r w:rsidRPr="00796FC8">
              <w:rPr>
                <w:rFonts w:ascii="Times New Roman" w:eastAsia="Times New Roman" w:hAnsi="Times New Roman" w:cs="Times New Roman"/>
                <w:b/>
                <w:bCs/>
                <w:color w:val="000000"/>
                <w:sz w:val="18"/>
                <w:szCs w:val="18"/>
              </w:rPr>
              <w:t xml:space="preserve">. </w:t>
            </w:r>
          </w:p>
          <w:p w14:paraId="4F448B7D" w14:textId="77777777" w:rsidR="00412474" w:rsidRPr="00796FC8" w:rsidRDefault="00412474" w:rsidP="00435E3A">
            <w:pPr>
              <w:jc w:val="center"/>
              <w:rPr>
                <w:rFonts w:ascii="Times New Roman" w:eastAsia="Times New Roman" w:hAnsi="Times New Roman" w:cs="Times New Roman"/>
                <w:b/>
                <w:bCs/>
                <w:sz w:val="18"/>
                <w:szCs w:val="18"/>
              </w:rPr>
            </w:pPr>
            <w:r w:rsidRPr="00796FC8">
              <w:rPr>
                <w:rFonts w:ascii="Times New Roman" w:eastAsia="Times New Roman" w:hAnsi="Times New Roman" w:cs="Times New Roman"/>
                <w:b/>
                <w:bCs/>
                <w:color w:val="000000"/>
                <w:sz w:val="18"/>
                <w:szCs w:val="18"/>
              </w:rPr>
              <w:t>- Diff.</w:t>
            </w:r>
          </w:p>
        </w:tc>
        <w:tc>
          <w:tcPr>
            <w:tcW w:w="993"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3A81706" w14:textId="77777777" w:rsidR="00412474" w:rsidRPr="00796FC8" w:rsidRDefault="00412474" w:rsidP="00435E3A">
            <w:pPr>
              <w:jc w:val="center"/>
              <w:rPr>
                <w:rFonts w:ascii="Times New Roman" w:eastAsia="Times New Roman" w:hAnsi="Times New Roman" w:cs="Times New Roman"/>
                <w:b/>
                <w:bCs/>
                <w:sz w:val="18"/>
                <w:szCs w:val="18"/>
              </w:rPr>
            </w:pPr>
            <w:r w:rsidRPr="00796FC8">
              <w:rPr>
                <w:rFonts w:ascii="Times New Roman" w:eastAsia="Times New Roman" w:hAnsi="Times New Roman" w:cs="Times New Roman"/>
                <w:b/>
                <w:bCs/>
                <w:color w:val="000000"/>
                <w:sz w:val="18"/>
                <w:szCs w:val="18"/>
              </w:rPr>
              <w:t>t</w:t>
            </w:r>
          </w:p>
        </w:tc>
        <w:tc>
          <w:tcPr>
            <w:tcW w:w="426"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2880823" w14:textId="77777777" w:rsidR="00412474" w:rsidRPr="00796FC8" w:rsidRDefault="00412474" w:rsidP="00435E3A">
            <w:pPr>
              <w:jc w:val="center"/>
              <w:rPr>
                <w:rFonts w:ascii="Times New Roman" w:eastAsia="Times New Roman" w:hAnsi="Times New Roman" w:cs="Times New Roman"/>
                <w:b/>
                <w:bCs/>
                <w:sz w:val="18"/>
                <w:szCs w:val="18"/>
              </w:rPr>
            </w:pPr>
            <w:proofErr w:type="spellStart"/>
            <w:r w:rsidRPr="00796FC8">
              <w:rPr>
                <w:rFonts w:ascii="Times New Roman" w:eastAsia="Times New Roman" w:hAnsi="Times New Roman" w:cs="Times New Roman"/>
                <w:b/>
                <w:bCs/>
                <w:color w:val="000000"/>
                <w:sz w:val="18"/>
                <w:szCs w:val="18"/>
              </w:rPr>
              <w:t>df</w:t>
            </w:r>
            <w:proofErr w:type="spellEnd"/>
          </w:p>
        </w:tc>
        <w:tc>
          <w:tcPr>
            <w:tcW w:w="1135"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7AD0115" w14:textId="77777777" w:rsidR="00412474" w:rsidRPr="00796FC8" w:rsidRDefault="00412474" w:rsidP="00435E3A">
            <w:pPr>
              <w:jc w:val="center"/>
              <w:rPr>
                <w:rFonts w:ascii="Times New Roman" w:eastAsia="Times New Roman" w:hAnsi="Times New Roman" w:cs="Times New Roman"/>
                <w:b/>
                <w:bCs/>
                <w:sz w:val="18"/>
                <w:szCs w:val="18"/>
              </w:rPr>
            </w:pPr>
            <w:r w:rsidRPr="00796FC8">
              <w:rPr>
                <w:rFonts w:ascii="Times New Roman" w:eastAsia="Times New Roman" w:hAnsi="Times New Roman" w:cs="Times New Roman"/>
                <w:b/>
                <w:bCs/>
                <w:color w:val="000000"/>
                <w:sz w:val="18"/>
                <w:szCs w:val="18"/>
              </w:rPr>
              <w:t>p</w:t>
            </w:r>
          </w:p>
        </w:tc>
        <w:tc>
          <w:tcPr>
            <w:tcW w:w="993"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30F385B" w14:textId="77777777" w:rsidR="00412474" w:rsidRPr="00796FC8" w:rsidRDefault="00412474" w:rsidP="00435E3A">
            <w:pPr>
              <w:rPr>
                <w:rFonts w:ascii="Times New Roman" w:eastAsia="Times New Roman" w:hAnsi="Times New Roman" w:cs="Times New Roman"/>
                <w:b/>
                <w:bCs/>
                <w:color w:val="000000"/>
                <w:sz w:val="18"/>
                <w:szCs w:val="18"/>
              </w:rPr>
            </w:pPr>
            <w:proofErr w:type="spellStart"/>
            <w:r w:rsidRPr="00796FC8">
              <w:rPr>
                <w:rFonts w:ascii="Times New Roman" w:eastAsia="Times New Roman" w:hAnsi="Times New Roman" w:cs="Times New Roman"/>
                <w:b/>
                <w:bCs/>
                <w:color w:val="000000"/>
                <w:sz w:val="18"/>
                <w:szCs w:val="18"/>
              </w:rPr>
              <w:t>Confiden</w:t>
            </w:r>
            <w:proofErr w:type="spellEnd"/>
            <w:r w:rsidRPr="00796FC8">
              <w:rPr>
                <w:rFonts w:ascii="Times New Roman" w:eastAsia="Times New Roman" w:hAnsi="Times New Roman" w:cs="Times New Roman"/>
                <w:b/>
                <w:bCs/>
                <w:color w:val="000000"/>
                <w:sz w:val="18"/>
                <w:szCs w:val="18"/>
              </w:rPr>
              <w:t>.</w:t>
            </w:r>
          </w:p>
          <w:p w14:paraId="69F1B799" w14:textId="77777777" w:rsidR="00412474" w:rsidRPr="00796FC8" w:rsidRDefault="00412474" w:rsidP="00435E3A">
            <w:pPr>
              <w:rPr>
                <w:rFonts w:ascii="Times New Roman" w:eastAsia="Times New Roman" w:hAnsi="Times New Roman" w:cs="Times New Roman"/>
                <w:b/>
                <w:bCs/>
                <w:sz w:val="18"/>
                <w:szCs w:val="18"/>
              </w:rPr>
            </w:pPr>
            <w:r w:rsidRPr="00796FC8">
              <w:rPr>
                <w:rFonts w:ascii="Times New Roman" w:eastAsia="Times New Roman" w:hAnsi="Times New Roman" w:cs="Times New Roman"/>
                <w:b/>
                <w:bCs/>
                <w:color w:val="000000"/>
                <w:sz w:val="18"/>
                <w:szCs w:val="18"/>
              </w:rPr>
              <w:t>-95.000%</w:t>
            </w:r>
          </w:p>
        </w:tc>
        <w:tc>
          <w:tcPr>
            <w:tcW w:w="993"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91D5FCA" w14:textId="77777777" w:rsidR="00412474" w:rsidRPr="00796FC8" w:rsidRDefault="00412474" w:rsidP="00435E3A">
            <w:pPr>
              <w:rPr>
                <w:rFonts w:ascii="Times New Roman" w:eastAsia="Times New Roman" w:hAnsi="Times New Roman" w:cs="Times New Roman"/>
                <w:b/>
                <w:bCs/>
                <w:color w:val="000000"/>
                <w:sz w:val="18"/>
                <w:szCs w:val="18"/>
              </w:rPr>
            </w:pPr>
            <w:proofErr w:type="spellStart"/>
            <w:r w:rsidRPr="00796FC8">
              <w:rPr>
                <w:rFonts w:ascii="Times New Roman" w:eastAsia="Times New Roman" w:hAnsi="Times New Roman" w:cs="Times New Roman"/>
                <w:b/>
                <w:bCs/>
                <w:color w:val="000000"/>
                <w:sz w:val="18"/>
                <w:szCs w:val="18"/>
              </w:rPr>
              <w:t>Confiden</w:t>
            </w:r>
            <w:proofErr w:type="spellEnd"/>
            <w:r w:rsidRPr="00796FC8">
              <w:rPr>
                <w:rFonts w:ascii="Times New Roman" w:eastAsia="Times New Roman" w:hAnsi="Times New Roman" w:cs="Times New Roman"/>
                <w:b/>
                <w:bCs/>
                <w:color w:val="000000"/>
                <w:sz w:val="18"/>
                <w:szCs w:val="18"/>
              </w:rPr>
              <w:t>.</w:t>
            </w:r>
          </w:p>
          <w:p w14:paraId="76F0C835" w14:textId="77777777" w:rsidR="00412474" w:rsidRPr="00796FC8" w:rsidRDefault="00412474" w:rsidP="00435E3A">
            <w:pPr>
              <w:rPr>
                <w:rFonts w:ascii="Times New Roman" w:eastAsia="Times New Roman" w:hAnsi="Times New Roman" w:cs="Times New Roman"/>
                <w:b/>
                <w:bCs/>
                <w:sz w:val="18"/>
                <w:szCs w:val="18"/>
              </w:rPr>
            </w:pPr>
            <w:r w:rsidRPr="00796FC8">
              <w:rPr>
                <w:rFonts w:ascii="Times New Roman" w:eastAsia="Times New Roman" w:hAnsi="Times New Roman" w:cs="Times New Roman"/>
                <w:b/>
                <w:bCs/>
                <w:color w:val="000000"/>
                <w:sz w:val="18"/>
                <w:szCs w:val="18"/>
              </w:rPr>
              <w:t>+95.000%</w:t>
            </w:r>
          </w:p>
        </w:tc>
      </w:tr>
      <w:tr w:rsidR="00412474" w:rsidRPr="00796FC8" w14:paraId="5BE8C575" w14:textId="77777777" w:rsidTr="00796FC8">
        <w:trPr>
          <w:trHeight w:val="351"/>
        </w:trPr>
        <w:tc>
          <w:tcPr>
            <w:tcW w:w="2014"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B82B744" w14:textId="77777777" w:rsidR="00412474" w:rsidRPr="00796FC8" w:rsidRDefault="00412474" w:rsidP="00435E3A">
            <w:pPr>
              <w:rPr>
                <w:rFonts w:ascii="Times New Roman" w:eastAsia="Times New Roman" w:hAnsi="Times New Roman" w:cs="Times New Roman"/>
                <w:b/>
                <w:bCs/>
                <w:sz w:val="20"/>
                <w:szCs w:val="20"/>
              </w:rPr>
            </w:pPr>
            <w:proofErr w:type="spellStart"/>
            <w:r w:rsidRPr="00796FC8">
              <w:rPr>
                <w:rFonts w:ascii="Times New Roman" w:eastAsia="Times New Roman" w:hAnsi="Times New Roman" w:cs="Times New Roman"/>
                <w:b/>
                <w:bCs/>
                <w:color w:val="000000"/>
                <w:sz w:val="20"/>
                <w:szCs w:val="20"/>
              </w:rPr>
              <w:t>предоперативно</w:t>
            </w:r>
            <w:proofErr w:type="spellEnd"/>
          </w:p>
        </w:tc>
        <w:tc>
          <w:tcPr>
            <w:tcW w:w="785" w:type="dxa"/>
            <w:tcBorders>
              <w:top w:val="single" w:sz="4" w:space="0" w:color="auto"/>
              <w:left w:val="single" w:sz="4" w:space="0" w:color="auto"/>
              <w:bottom w:val="single" w:sz="4" w:space="0" w:color="auto"/>
              <w:right w:val="single" w:sz="4" w:space="0" w:color="auto"/>
            </w:tcBorders>
            <w:noWrap/>
            <w:hideMark/>
          </w:tcPr>
          <w:p w14:paraId="10BDA564" w14:textId="77777777" w:rsidR="00412474" w:rsidRPr="00796FC8" w:rsidRDefault="00412474" w:rsidP="00435E3A">
            <w:pPr>
              <w:jc w:val="center"/>
              <w:rPr>
                <w:rFonts w:ascii="Times New Roman" w:eastAsia="Times New Roman" w:hAnsi="Times New Roman" w:cs="Times New Roman"/>
                <w:sz w:val="20"/>
                <w:szCs w:val="20"/>
              </w:rPr>
            </w:pPr>
            <w:r w:rsidRPr="00796FC8">
              <w:rPr>
                <w:rFonts w:ascii="Times New Roman" w:eastAsia="Times New Roman" w:hAnsi="Times New Roman" w:cs="Times New Roman"/>
                <w:color w:val="FF0000"/>
                <w:sz w:val="20"/>
                <w:szCs w:val="20"/>
              </w:rPr>
              <w:t>138.97</w:t>
            </w:r>
          </w:p>
        </w:tc>
        <w:tc>
          <w:tcPr>
            <w:tcW w:w="1058" w:type="dxa"/>
            <w:tcBorders>
              <w:top w:val="single" w:sz="4" w:space="0" w:color="auto"/>
              <w:left w:val="single" w:sz="4" w:space="0" w:color="auto"/>
              <w:bottom w:val="single" w:sz="4" w:space="0" w:color="auto"/>
              <w:right w:val="single" w:sz="4" w:space="0" w:color="auto"/>
            </w:tcBorders>
            <w:noWrap/>
            <w:hideMark/>
          </w:tcPr>
          <w:p w14:paraId="567EA034" w14:textId="77777777" w:rsidR="00412474" w:rsidRPr="00796FC8" w:rsidRDefault="00412474" w:rsidP="00435E3A">
            <w:pPr>
              <w:jc w:val="center"/>
              <w:rPr>
                <w:rFonts w:ascii="Times New Roman" w:eastAsia="Times New Roman" w:hAnsi="Times New Roman" w:cs="Times New Roman"/>
                <w:sz w:val="20"/>
                <w:szCs w:val="20"/>
              </w:rPr>
            </w:pPr>
            <w:r w:rsidRPr="00796FC8">
              <w:rPr>
                <w:rFonts w:ascii="Times New Roman" w:eastAsia="Times New Roman" w:hAnsi="Times New Roman" w:cs="Times New Roman"/>
                <w:color w:val="FF0000"/>
                <w:sz w:val="20"/>
                <w:szCs w:val="20"/>
              </w:rPr>
              <w:t>94.52677</w:t>
            </w:r>
          </w:p>
        </w:tc>
        <w:tc>
          <w:tcPr>
            <w:tcW w:w="426" w:type="dxa"/>
            <w:tcBorders>
              <w:top w:val="single" w:sz="4" w:space="0" w:color="auto"/>
              <w:left w:val="single" w:sz="4" w:space="0" w:color="auto"/>
              <w:bottom w:val="single" w:sz="4" w:space="0" w:color="auto"/>
              <w:right w:val="single" w:sz="4" w:space="0" w:color="auto"/>
            </w:tcBorders>
            <w:noWrap/>
            <w:hideMark/>
          </w:tcPr>
          <w:p w14:paraId="52D4D18B" w14:textId="77777777" w:rsidR="00412474" w:rsidRPr="00796FC8" w:rsidRDefault="00412474" w:rsidP="00435E3A">
            <w:pPr>
              <w:spacing w:line="256" w:lineRule="auto"/>
              <w:rPr>
                <w:rFonts w:ascii="Times New Roman" w:eastAsia="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noWrap/>
            <w:hideMark/>
          </w:tcPr>
          <w:p w14:paraId="4977957E" w14:textId="77777777" w:rsidR="00412474" w:rsidRPr="00796FC8" w:rsidRDefault="00412474" w:rsidP="00435E3A">
            <w:pP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noWrap/>
            <w:hideMark/>
          </w:tcPr>
          <w:p w14:paraId="0BAECE01" w14:textId="77777777" w:rsidR="00412474" w:rsidRPr="00796FC8" w:rsidRDefault="00412474" w:rsidP="00435E3A">
            <w:pP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noWrap/>
            <w:hideMark/>
          </w:tcPr>
          <w:p w14:paraId="4C21BDED" w14:textId="77777777" w:rsidR="00412474" w:rsidRPr="00796FC8" w:rsidRDefault="00412474" w:rsidP="00435E3A">
            <w:pPr>
              <w:rPr>
                <w:rFonts w:ascii="Times New Roman" w:hAnsi="Times New Roman" w:cs="Times New Roman"/>
                <w:sz w:val="20"/>
                <w:szCs w:val="20"/>
              </w:rPr>
            </w:pPr>
          </w:p>
        </w:tc>
        <w:tc>
          <w:tcPr>
            <w:tcW w:w="426" w:type="dxa"/>
            <w:tcBorders>
              <w:top w:val="single" w:sz="4" w:space="0" w:color="auto"/>
              <w:left w:val="single" w:sz="4" w:space="0" w:color="auto"/>
              <w:bottom w:val="single" w:sz="4" w:space="0" w:color="auto"/>
              <w:right w:val="single" w:sz="4" w:space="0" w:color="auto"/>
            </w:tcBorders>
            <w:noWrap/>
            <w:hideMark/>
          </w:tcPr>
          <w:p w14:paraId="45800477" w14:textId="77777777" w:rsidR="00412474" w:rsidRPr="00796FC8" w:rsidRDefault="00412474" w:rsidP="00435E3A">
            <w:pPr>
              <w:rPr>
                <w:rFonts w:ascii="Times New Roman" w:hAnsi="Times New Roman" w:cs="Times New Roman"/>
                <w:sz w:val="20"/>
                <w:szCs w:val="20"/>
              </w:rPr>
            </w:pPr>
          </w:p>
        </w:tc>
        <w:tc>
          <w:tcPr>
            <w:tcW w:w="1135" w:type="dxa"/>
            <w:tcBorders>
              <w:top w:val="single" w:sz="4" w:space="0" w:color="auto"/>
              <w:left w:val="single" w:sz="4" w:space="0" w:color="auto"/>
              <w:bottom w:val="single" w:sz="4" w:space="0" w:color="auto"/>
              <w:right w:val="single" w:sz="4" w:space="0" w:color="auto"/>
            </w:tcBorders>
            <w:noWrap/>
            <w:hideMark/>
          </w:tcPr>
          <w:p w14:paraId="5B381B20" w14:textId="77777777" w:rsidR="00412474" w:rsidRPr="00796FC8" w:rsidRDefault="00412474" w:rsidP="00435E3A">
            <w:pP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noWrap/>
            <w:hideMark/>
          </w:tcPr>
          <w:p w14:paraId="127588EC" w14:textId="77777777" w:rsidR="00412474" w:rsidRPr="00796FC8" w:rsidRDefault="00412474" w:rsidP="00435E3A">
            <w:pPr>
              <w:rPr>
                <w:rFonts w:ascii="Times New Roman" w:hAnsi="Times New Roman" w:cs="Times New Roman"/>
                <w:sz w:val="20"/>
                <w:szCs w:val="20"/>
              </w:rPr>
            </w:pPr>
          </w:p>
        </w:tc>
        <w:tc>
          <w:tcPr>
            <w:tcW w:w="993" w:type="dxa"/>
            <w:tcBorders>
              <w:top w:val="single" w:sz="4" w:space="0" w:color="auto"/>
              <w:left w:val="single" w:sz="4" w:space="0" w:color="auto"/>
              <w:bottom w:val="single" w:sz="4" w:space="0" w:color="auto"/>
              <w:right w:val="single" w:sz="4" w:space="0" w:color="auto"/>
            </w:tcBorders>
            <w:noWrap/>
            <w:hideMark/>
          </w:tcPr>
          <w:p w14:paraId="42128799" w14:textId="77777777" w:rsidR="00412474" w:rsidRPr="00796FC8" w:rsidRDefault="00412474" w:rsidP="00435E3A">
            <w:pPr>
              <w:rPr>
                <w:rFonts w:ascii="Times New Roman" w:hAnsi="Times New Roman" w:cs="Times New Roman"/>
                <w:sz w:val="20"/>
                <w:szCs w:val="20"/>
              </w:rPr>
            </w:pPr>
          </w:p>
        </w:tc>
      </w:tr>
      <w:tr w:rsidR="00412474" w:rsidRPr="00796FC8" w14:paraId="1FFE9C28" w14:textId="77777777" w:rsidTr="00796FC8">
        <w:trPr>
          <w:trHeight w:val="166"/>
        </w:trPr>
        <w:tc>
          <w:tcPr>
            <w:tcW w:w="2014"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0BEC0148" w14:textId="77777777" w:rsidR="00412474" w:rsidRPr="00796FC8" w:rsidRDefault="00412474" w:rsidP="00435E3A">
            <w:pPr>
              <w:rPr>
                <w:rFonts w:ascii="Times New Roman" w:eastAsia="Times New Roman" w:hAnsi="Times New Roman" w:cs="Times New Roman"/>
                <w:b/>
                <w:bCs/>
                <w:sz w:val="20"/>
                <w:szCs w:val="20"/>
              </w:rPr>
            </w:pPr>
            <w:proofErr w:type="spellStart"/>
            <w:r w:rsidRPr="00796FC8">
              <w:rPr>
                <w:rFonts w:ascii="Times New Roman" w:eastAsia="Times New Roman" w:hAnsi="Times New Roman" w:cs="Times New Roman"/>
                <w:b/>
                <w:bCs/>
                <w:color w:val="000000"/>
                <w:sz w:val="20"/>
                <w:szCs w:val="20"/>
              </w:rPr>
              <w:t>постекстракционо</w:t>
            </w:r>
            <w:proofErr w:type="spellEnd"/>
          </w:p>
        </w:tc>
        <w:tc>
          <w:tcPr>
            <w:tcW w:w="785" w:type="dxa"/>
            <w:tcBorders>
              <w:top w:val="single" w:sz="4" w:space="0" w:color="auto"/>
              <w:left w:val="single" w:sz="4" w:space="0" w:color="auto"/>
              <w:bottom w:val="single" w:sz="4" w:space="0" w:color="auto"/>
              <w:right w:val="single" w:sz="4" w:space="0" w:color="auto"/>
            </w:tcBorders>
            <w:noWrap/>
            <w:hideMark/>
          </w:tcPr>
          <w:p w14:paraId="77F9F095" w14:textId="77777777" w:rsidR="00412474" w:rsidRPr="00796FC8" w:rsidRDefault="00412474" w:rsidP="00435E3A">
            <w:pPr>
              <w:jc w:val="center"/>
              <w:rPr>
                <w:rFonts w:ascii="Times New Roman" w:eastAsia="Times New Roman" w:hAnsi="Times New Roman" w:cs="Times New Roman"/>
                <w:sz w:val="20"/>
                <w:szCs w:val="20"/>
              </w:rPr>
            </w:pPr>
            <w:r w:rsidRPr="00796FC8">
              <w:rPr>
                <w:rFonts w:ascii="Times New Roman" w:eastAsia="Times New Roman" w:hAnsi="Times New Roman" w:cs="Times New Roman"/>
                <w:color w:val="FF0000"/>
                <w:sz w:val="20"/>
                <w:szCs w:val="20"/>
              </w:rPr>
              <w:t>5.1</w:t>
            </w:r>
          </w:p>
        </w:tc>
        <w:tc>
          <w:tcPr>
            <w:tcW w:w="1058" w:type="dxa"/>
            <w:tcBorders>
              <w:top w:val="single" w:sz="4" w:space="0" w:color="auto"/>
              <w:left w:val="single" w:sz="4" w:space="0" w:color="auto"/>
              <w:bottom w:val="single" w:sz="4" w:space="0" w:color="auto"/>
              <w:right w:val="single" w:sz="4" w:space="0" w:color="auto"/>
            </w:tcBorders>
            <w:noWrap/>
            <w:hideMark/>
          </w:tcPr>
          <w:p w14:paraId="4A8F84A1" w14:textId="77777777" w:rsidR="00412474" w:rsidRPr="00796FC8" w:rsidRDefault="00412474" w:rsidP="00435E3A">
            <w:pPr>
              <w:jc w:val="center"/>
              <w:rPr>
                <w:rFonts w:ascii="Times New Roman" w:eastAsia="Times New Roman" w:hAnsi="Times New Roman" w:cs="Times New Roman"/>
                <w:sz w:val="20"/>
                <w:szCs w:val="20"/>
              </w:rPr>
            </w:pPr>
            <w:r w:rsidRPr="00796FC8">
              <w:rPr>
                <w:rFonts w:ascii="Times New Roman" w:eastAsia="Times New Roman" w:hAnsi="Times New Roman" w:cs="Times New Roman"/>
                <w:color w:val="FF0000"/>
                <w:sz w:val="20"/>
                <w:szCs w:val="20"/>
              </w:rPr>
              <w:t>5.74113</w:t>
            </w:r>
          </w:p>
        </w:tc>
        <w:tc>
          <w:tcPr>
            <w:tcW w:w="426" w:type="dxa"/>
            <w:tcBorders>
              <w:top w:val="single" w:sz="4" w:space="0" w:color="auto"/>
              <w:left w:val="single" w:sz="4" w:space="0" w:color="auto"/>
              <w:bottom w:val="single" w:sz="4" w:space="0" w:color="auto"/>
              <w:right w:val="single" w:sz="4" w:space="0" w:color="auto"/>
            </w:tcBorders>
            <w:noWrap/>
            <w:hideMark/>
          </w:tcPr>
          <w:p w14:paraId="7EE0021B" w14:textId="77777777" w:rsidR="00412474" w:rsidRPr="00796FC8" w:rsidRDefault="00412474" w:rsidP="00435E3A">
            <w:pPr>
              <w:jc w:val="center"/>
              <w:rPr>
                <w:rFonts w:ascii="Times New Roman" w:eastAsia="Times New Roman" w:hAnsi="Times New Roman" w:cs="Times New Roman"/>
                <w:sz w:val="20"/>
                <w:szCs w:val="20"/>
              </w:rPr>
            </w:pPr>
            <w:r w:rsidRPr="00796FC8">
              <w:rPr>
                <w:rFonts w:ascii="Times New Roman" w:eastAsia="Times New Roman" w:hAnsi="Times New Roman" w:cs="Times New Roman"/>
                <w:color w:val="FF0000"/>
                <w:sz w:val="20"/>
                <w:szCs w:val="20"/>
              </w:rPr>
              <w:t>62</w:t>
            </w:r>
          </w:p>
        </w:tc>
        <w:tc>
          <w:tcPr>
            <w:tcW w:w="993" w:type="dxa"/>
            <w:tcBorders>
              <w:top w:val="single" w:sz="4" w:space="0" w:color="auto"/>
              <w:left w:val="single" w:sz="4" w:space="0" w:color="auto"/>
              <w:bottom w:val="single" w:sz="4" w:space="0" w:color="auto"/>
              <w:right w:val="single" w:sz="4" w:space="0" w:color="auto"/>
            </w:tcBorders>
            <w:noWrap/>
            <w:hideMark/>
          </w:tcPr>
          <w:p w14:paraId="72BDBC0B" w14:textId="77777777" w:rsidR="00412474" w:rsidRPr="00796FC8" w:rsidRDefault="00412474" w:rsidP="00435E3A">
            <w:pPr>
              <w:jc w:val="center"/>
              <w:rPr>
                <w:rFonts w:ascii="Times New Roman" w:eastAsia="Times New Roman" w:hAnsi="Times New Roman" w:cs="Times New Roman"/>
                <w:sz w:val="20"/>
                <w:szCs w:val="20"/>
              </w:rPr>
            </w:pPr>
            <w:r w:rsidRPr="00796FC8">
              <w:rPr>
                <w:rFonts w:ascii="Times New Roman" w:eastAsia="Times New Roman" w:hAnsi="Times New Roman" w:cs="Times New Roman"/>
                <w:color w:val="FF0000"/>
                <w:sz w:val="20"/>
                <w:szCs w:val="20"/>
              </w:rPr>
              <w:t>133.8871</w:t>
            </w:r>
          </w:p>
        </w:tc>
        <w:tc>
          <w:tcPr>
            <w:tcW w:w="993" w:type="dxa"/>
            <w:tcBorders>
              <w:top w:val="single" w:sz="4" w:space="0" w:color="auto"/>
              <w:left w:val="single" w:sz="4" w:space="0" w:color="auto"/>
              <w:bottom w:val="single" w:sz="4" w:space="0" w:color="auto"/>
              <w:right w:val="single" w:sz="4" w:space="0" w:color="auto"/>
            </w:tcBorders>
            <w:noWrap/>
            <w:hideMark/>
          </w:tcPr>
          <w:p w14:paraId="73E3E3F6" w14:textId="77777777" w:rsidR="00412474" w:rsidRPr="00796FC8" w:rsidRDefault="00412474" w:rsidP="00435E3A">
            <w:pPr>
              <w:jc w:val="center"/>
              <w:rPr>
                <w:rFonts w:ascii="Times New Roman" w:eastAsia="Times New Roman" w:hAnsi="Times New Roman" w:cs="Times New Roman"/>
                <w:sz w:val="20"/>
                <w:szCs w:val="20"/>
              </w:rPr>
            </w:pPr>
            <w:r w:rsidRPr="00796FC8">
              <w:rPr>
                <w:rFonts w:ascii="Times New Roman" w:eastAsia="Times New Roman" w:hAnsi="Times New Roman" w:cs="Times New Roman"/>
                <w:color w:val="FF0000"/>
                <w:sz w:val="20"/>
                <w:szCs w:val="20"/>
              </w:rPr>
              <w:t>93.00293</w:t>
            </w:r>
          </w:p>
        </w:tc>
        <w:tc>
          <w:tcPr>
            <w:tcW w:w="993" w:type="dxa"/>
            <w:tcBorders>
              <w:top w:val="single" w:sz="4" w:space="0" w:color="auto"/>
              <w:left w:val="single" w:sz="4" w:space="0" w:color="auto"/>
              <w:bottom w:val="single" w:sz="4" w:space="0" w:color="auto"/>
              <w:right w:val="single" w:sz="4" w:space="0" w:color="auto"/>
            </w:tcBorders>
            <w:noWrap/>
            <w:hideMark/>
          </w:tcPr>
          <w:p w14:paraId="08AD38DA" w14:textId="77777777" w:rsidR="00412474" w:rsidRPr="00796FC8" w:rsidRDefault="00412474" w:rsidP="00435E3A">
            <w:pPr>
              <w:jc w:val="center"/>
              <w:rPr>
                <w:rFonts w:ascii="Times New Roman" w:eastAsia="Times New Roman" w:hAnsi="Times New Roman" w:cs="Times New Roman"/>
                <w:sz w:val="20"/>
                <w:szCs w:val="20"/>
              </w:rPr>
            </w:pPr>
            <w:r w:rsidRPr="00796FC8">
              <w:rPr>
                <w:rFonts w:ascii="Times New Roman" w:eastAsia="Times New Roman" w:hAnsi="Times New Roman" w:cs="Times New Roman"/>
                <w:color w:val="FF0000"/>
                <w:sz w:val="20"/>
                <w:szCs w:val="20"/>
              </w:rPr>
              <w:t>11.33543</w:t>
            </w:r>
          </w:p>
        </w:tc>
        <w:tc>
          <w:tcPr>
            <w:tcW w:w="426" w:type="dxa"/>
            <w:tcBorders>
              <w:top w:val="single" w:sz="4" w:space="0" w:color="auto"/>
              <w:left w:val="single" w:sz="4" w:space="0" w:color="auto"/>
              <w:bottom w:val="single" w:sz="4" w:space="0" w:color="auto"/>
              <w:right w:val="single" w:sz="4" w:space="0" w:color="auto"/>
            </w:tcBorders>
            <w:noWrap/>
            <w:hideMark/>
          </w:tcPr>
          <w:p w14:paraId="786AA6A2" w14:textId="77777777" w:rsidR="00412474" w:rsidRPr="00796FC8" w:rsidRDefault="00412474" w:rsidP="00435E3A">
            <w:pPr>
              <w:jc w:val="center"/>
              <w:rPr>
                <w:rFonts w:ascii="Times New Roman" w:eastAsia="Times New Roman" w:hAnsi="Times New Roman" w:cs="Times New Roman"/>
                <w:sz w:val="20"/>
                <w:szCs w:val="20"/>
              </w:rPr>
            </w:pPr>
            <w:r w:rsidRPr="00796FC8">
              <w:rPr>
                <w:rFonts w:ascii="Times New Roman" w:eastAsia="Times New Roman" w:hAnsi="Times New Roman" w:cs="Times New Roman"/>
                <w:color w:val="FF0000"/>
                <w:sz w:val="20"/>
                <w:szCs w:val="20"/>
              </w:rPr>
              <w:t>61</w:t>
            </w:r>
          </w:p>
        </w:tc>
        <w:tc>
          <w:tcPr>
            <w:tcW w:w="1135" w:type="dxa"/>
            <w:tcBorders>
              <w:top w:val="single" w:sz="4" w:space="0" w:color="auto"/>
              <w:left w:val="single" w:sz="4" w:space="0" w:color="auto"/>
              <w:bottom w:val="single" w:sz="4" w:space="0" w:color="auto"/>
              <w:right w:val="single" w:sz="4" w:space="0" w:color="auto"/>
            </w:tcBorders>
            <w:noWrap/>
            <w:hideMark/>
          </w:tcPr>
          <w:p w14:paraId="2E8791D5" w14:textId="77777777" w:rsidR="00412474" w:rsidRPr="00796FC8" w:rsidRDefault="00412474" w:rsidP="00435E3A">
            <w:pPr>
              <w:jc w:val="center"/>
              <w:rPr>
                <w:rFonts w:ascii="Times New Roman" w:eastAsia="Times New Roman" w:hAnsi="Times New Roman" w:cs="Times New Roman"/>
                <w:sz w:val="20"/>
                <w:szCs w:val="20"/>
              </w:rPr>
            </w:pPr>
            <w:r w:rsidRPr="00796FC8">
              <w:rPr>
                <w:rFonts w:ascii="Times New Roman" w:eastAsia="Times New Roman" w:hAnsi="Times New Roman" w:cs="Times New Roman"/>
                <w:color w:val="FF0000"/>
                <w:sz w:val="20"/>
                <w:szCs w:val="20"/>
              </w:rPr>
              <w:t>0.000000</w:t>
            </w:r>
          </w:p>
        </w:tc>
        <w:tc>
          <w:tcPr>
            <w:tcW w:w="993" w:type="dxa"/>
            <w:tcBorders>
              <w:top w:val="single" w:sz="4" w:space="0" w:color="auto"/>
              <w:left w:val="single" w:sz="4" w:space="0" w:color="auto"/>
              <w:bottom w:val="single" w:sz="4" w:space="0" w:color="auto"/>
              <w:right w:val="single" w:sz="4" w:space="0" w:color="auto"/>
            </w:tcBorders>
            <w:noWrap/>
            <w:hideMark/>
          </w:tcPr>
          <w:p w14:paraId="21F27152" w14:textId="77777777" w:rsidR="00412474" w:rsidRPr="00796FC8" w:rsidRDefault="00412474" w:rsidP="00435E3A">
            <w:pPr>
              <w:rPr>
                <w:rFonts w:ascii="Times New Roman" w:eastAsia="Times New Roman" w:hAnsi="Times New Roman" w:cs="Times New Roman"/>
                <w:sz w:val="20"/>
                <w:szCs w:val="20"/>
              </w:rPr>
            </w:pPr>
            <w:r w:rsidRPr="00796FC8">
              <w:rPr>
                <w:rFonts w:ascii="Times New Roman" w:eastAsia="Times New Roman" w:hAnsi="Times New Roman" w:cs="Times New Roman"/>
                <w:color w:val="FF0000"/>
                <w:sz w:val="20"/>
                <w:szCs w:val="20"/>
              </w:rPr>
              <w:t>110.2688</w:t>
            </w:r>
          </w:p>
        </w:tc>
        <w:tc>
          <w:tcPr>
            <w:tcW w:w="993" w:type="dxa"/>
            <w:tcBorders>
              <w:top w:val="single" w:sz="4" w:space="0" w:color="auto"/>
              <w:left w:val="single" w:sz="4" w:space="0" w:color="auto"/>
              <w:bottom w:val="single" w:sz="4" w:space="0" w:color="auto"/>
              <w:right w:val="single" w:sz="4" w:space="0" w:color="auto"/>
            </w:tcBorders>
            <w:noWrap/>
            <w:hideMark/>
          </w:tcPr>
          <w:p w14:paraId="6CF22191" w14:textId="77777777" w:rsidR="00412474" w:rsidRPr="00796FC8" w:rsidRDefault="00412474" w:rsidP="00435E3A">
            <w:pPr>
              <w:rPr>
                <w:rFonts w:ascii="Times New Roman" w:eastAsia="Times New Roman" w:hAnsi="Times New Roman" w:cs="Times New Roman"/>
                <w:sz w:val="20"/>
                <w:szCs w:val="20"/>
              </w:rPr>
            </w:pPr>
            <w:r w:rsidRPr="00796FC8">
              <w:rPr>
                <w:rFonts w:ascii="Times New Roman" w:eastAsia="Times New Roman" w:hAnsi="Times New Roman" w:cs="Times New Roman"/>
                <w:color w:val="FF0000"/>
                <w:sz w:val="20"/>
                <w:szCs w:val="20"/>
              </w:rPr>
              <w:t>157.5054</w:t>
            </w:r>
          </w:p>
        </w:tc>
      </w:tr>
    </w:tbl>
    <w:p w14:paraId="05B97457"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0C36CC3B" w14:textId="77777777" w:rsidR="00796FC8" w:rsidRDefault="00796FC8" w:rsidP="00412474">
      <w:pPr>
        <w:spacing w:after="120" w:line="360" w:lineRule="auto"/>
        <w:jc w:val="both"/>
        <w:rPr>
          <w:rFonts w:ascii="Times New Roman" w:eastAsia="Calibri" w:hAnsi="Times New Roman" w:cs="Times New Roman"/>
          <w:sz w:val="24"/>
          <w:szCs w:val="24"/>
        </w:rPr>
      </w:pPr>
    </w:p>
    <w:p w14:paraId="6B84D236" w14:textId="3DCC51B4" w:rsidR="00796FC8" w:rsidRDefault="00412474" w:rsidP="00796FC8">
      <w:pPr>
        <w:spacing w:after="120" w:line="360" w:lineRule="auto"/>
        <w:jc w:val="center"/>
        <w:rPr>
          <w:rFonts w:ascii="Times New Roman" w:eastAsia="Calibri" w:hAnsi="Times New Roman" w:cs="Times New Roman"/>
          <w:color w:val="000000"/>
          <w:sz w:val="24"/>
          <w:szCs w:val="24"/>
        </w:rPr>
      </w:pPr>
      <w:r w:rsidRPr="00215667">
        <w:rPr>
          <w:rFonts w:ascii="Times New Roman" w:eastAsia="Calibri" w:hAnsi="Times New Roman" w:cs="Times New Roman"/>
          <w:sz w:val="24"/>
          <w:szCs w:val="24"/>
        </w:rPr>
        <w:lastRenderedPageBreak/>
        <w:t>Графикон бр.</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15</w:t>
      </w:r>
      <w:r w:rsidR="00796FC8">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w:t>
      </w:r>
      <w:r w:rsidRPr="00215667">
        <w:rPr>
          <w:rFonts w:ascii="Times New Roman" w:eastAsia="Calibri" w:hAnsi="Times New Roman" w:cs="Times New Roman"/>
          <w:color w:val="000000"/>
          <w:sz w:val="24"/>
          <w:szCs w:val="24"/>
        </w:rPr>
        <w:t xml:space="preserve">просечното време на </w:t>
      </w:r>
      <w:r w:rsidR="00EC49EB" w:rsidRPr="00215667">
        <w:rPr>
          <w:rFonts w:ascii="Times New Roman" w:eastAsia="Calibri" w:hAnsi="Times New Roman" w:cs="Times New Roman"/>
          <w:color w:val="000000"/>
          <w:sz w:val="24"/>
          <w:szCs w:val="24"/>
        </w:rPr>
        <w:t>крвавење</w:t>
      </w:r>
      <w:r w:rsidRPr="00215667">
        <w:rPr>
          <w:rFonts w:ascii="Times New Roman" w:eastAsia="Calibri" w:hAnsi="Times New Roman" w:cs="Times New Roman"/>
          <w:color w:val="000000"/>
          <w:sz w:val="24"/>
          <w:szCs w:val="24"/>
        </w:rPr>
        <w:t xml:space="preserve"> помеѓу време на крвавење пред поставување на дијагнозата </w:t>
      </w:r>
      <w:r w:rsidR="001F2E2D">
        <w:rPr>
          <w:rFonts w:ascii="Times New Roman" w:eastAsia="Calibri" w:hAnsi="Times New Roman" w:cs="Times New Roman"/>
          <w:color w:val="000000"/>
          <w:sz w:val="24"/>
          <w:szCs w:val="24"/>
        </w:rPr>
        <w:t>версус</w:t>
      </w:r>
      <w:r w:rsidRPr="00215667">
        <w:rPr>
          <w:rFonts w:ascii="Times New Roman" w:eastAsia="Calibri" w:hAnsi="Times New Roman" w:cs="Times New Roman"/>
          <w:color w:val="000000"/>
          <w:sz w:val="24"/>
          <w:szCs w:val="24"/>
        </w:rPr>
        <w:t xml:space="preserve"> по примена на профилакса со ТХА </w:t>
      </w:r>
    </w:p>
    <w:p w14:paraId="3BB5057C" w14:textId="5E238FE3" w:rsidR="00796FC8" w:rsidRDefault="00796FC8" w:rsidP="00796FC8">
      <w:pPr>
        <w:spacing w:after="120" w:line="360" w:lineRule="auto"/>
        <w:jc w:val="center"/>
        <w:rPr>
          <w:rFonts w:ascii="Times New Roman" w:eastAsia="Calibri" w:hAnsi="Times New Roman" w:cs="Times New Roman"/>
          <w:noProof/>
          <w:sz w:val="24"/>
          <w:szCs w:val="24"/>
          <w14:ligatures w14:val="standardContextual"/>
        </w:rPr>
      </w:pPr>
      <w:r>
        <w:rPr>
          <w:noProof/>
          <w14:ligatures w14:val="standardContextual"/>
        </w:rPr>
        <w:drawing>
          <wp:inline distT="0" distB="0" distL="0" distR="0" wp14:anchorId="1553D86D" wp14:editId="021239D0">
            <wp:extent cx="5400040" cy="2512060"/>
            <wp:effectExtent l="0" t="0" r="0" b="2540"/>
            <wp:docPr id="8810510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51075" name=""/>
                    <pic:cNvPicPr/>
                  </pic:nvPicPr>
                  <pic:blipFill>
                    <a:blip r:embed="rId38"/>
                    <a:stretch>
                      <a:fillRect/>
                    </a:stretch>
                  </pic:blipFill>
                  <pic:spPr>
                    <a:xfrm>
                      <a:off x="0" y="0"/>
                      <a:ext cx="5400040" cy="2512060"/>
                    </a:xfrm>
                    <a:prstGeom prst="rect">
                      <a:avLst/>
                    </a:prstGeom>
                  </pic:spPr>
                </pic:pic>
              </a:graphicData>
            </a:graphic>
          </wp:inline>
        </w:drawing>
      </w:r>
    </w:p>
    <w:p w14:paraId="36B0DDDC" w14:textId="185C13F6" w:rsidR="00412474" w:rsidRPr="00215667" w:rsidRDefault="00412474" w:rsidP="00796FC8">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Резултатите од анализата на р</w:t>
      </w:r>
      <w:r w:rsidR="00796FC8">
        <w:rPr>
          <w:rFonts w:ascii="Times New Roman" w:eastAsia="Calibri" w:hAnsi="Times New Roman" w:cs="Times New Roman"/>
          <w:sz w:val="24"/>
          <w:szCs w:val="24"/>
        </w:rPr>
        <w:t>и</w:t>
      </w:r>
      <w:r w:rsidRPr="00215667">
        <w:rPr>
          <w:rFonts w:ascii="Times New Roman" w:eastAsia="Calibri" w:hAnsi="Times New Roman" w:cs="Times New Roman"/>
          <w:sz w:val="24"/>
          <w:szCs w:val="24"/>
        </w:rPr>
        <w:t>зикот од PEB во однос на локализацијата и екстензивноста на денталниот третман, покажаа дека кај 46.9</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од пациентите се изведени дентоалвеоларни процедури, кај 29.7</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едноставни екстракции на заб во максила и 23.4</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 едноставни екстракции на заб во мандибула. Процентуалната разлика е сигнификантна помеѓу дентоалвеоларната хирургија </w:t>
      </w:r>
      <w:r w:rsidR="001F2E2D">
        <w:rPr>
          <w:rFonts w:ascii="Times New Roman" w:eastAsia="Calibri" w:hAnsi="Times New Roman" w:cs="Times New Roman"/>
          <w:sz w:val="24"/>
          <w:szCs w:val="24"/>
        </w:rPr>
        <w:t>версус</w:t>
      </w:r>
      <w:r w:rsidRPr="00215667">
        <w:rPr>
          <w:rFonts w:ascii="Times New Roman" w:eastAsia="Calibri" w:hAnsi="Times New Roman" w:cs="Times New Roman"/>
          <w:sz w:val="24"/>
          <w:szCs w:val="24"/>
        </w:rPr>
        <w:t xml:space="preserve"> едноставна екстракција на заб во мандибула и </w:t>
      </w:r>
      <w:r w:rsidR="001F2E2D">
        <w:rPr>
          <w:rFonts w:ascii="Times New Roman" w:eastAsia="Calibri" w:hAnsi="Times New Roman" w:cs="Times New Roman"/>
          <w:sz w:val="24"/>
          <w:szCs w:val="24"/>
        </w:rPr>
        <w:t>версус</w:t>
      </w:r>
      <w:r w:rsidRPr="00215667">
        <w:rPr>
          <w:rFonts w:ascii="Times New Roman" w:eastAsia="Calibri" w:hAnsi="Times New Roman" w:cs="Times New Roman"/>
          <w:sz w:val="24"/>
          <w:szCs w:val="24"/>
        </w:rPr>
        <w:t xml:space="preserve"> едноставна екстракција на заб во максила за p</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&lt;</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.05 (</w:t>
      </w:r>
      <w:r w:rsidRPr="00796FC8">
        <w:rPr>
          <w:rFonts w:ascii="Times New Roman" w:eastAsia="Calibri" w:hAnsi="Times New Roman" w:cs="Times New Roman"/>
          <w:i/>
          <w:iCs/>
          <w:sz w:val="24"/>
          <w:szCs w:val="24"/>
        </w:rPr>
        <w:t>Difference test</w:t>
      </w:r>
      <w:r w:rsidRPr="00215667">
        <w:rPr>
          <w:rFonts w:ascii="Times New Roman" w:eastAsia="Calibri" w:hAnsi="Times New Roman" w:cs="Times New Roman"/>
          <w:sz w:val="24"/>
          <w:szCs w:val="24"/>
        </w:rPr>
        <w:t>, p</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Pr="00215667">
        <w:rPr>
          <w:rFonts w:ascii="Times New Roman" w:eastAsia="Calibri" w:hAnsi="Times New Roman" w:cs="Times New Roman"/>
          <w:color w:val="FF0000"/>
          <w:sz w:val="24"/>
          <w:szCs w:val="24"/>
        </w:rPr>
        <w:t>0054</w:t>
      </w:r>
      <w:r w:rsidRPr="00215667">
        <w:rPr>
          <w:rFonts w:ascii="Times New Roman" w:eastAsia="Calibri" w:hAnsi="Times New Roman" w:cs="Times New Roman"/>
          <w:sz w:val="24"/>
          <w:szCs w:val="24"/>
        </w:rPr>
        <w:t>, p</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color w:val="FF0000"/>
          <w:sz w:val="24"/>
          <w:szCs w:val="24"/>
        </w:rPr>
        <w:t>.0453</w:t>
      </w:r>
      <w:r w:rsidRPr="00215667">
        <w:rPr>
          <w:rFonts w:ascii="Times New Roman" w:eastAsia="Calibri" w:hAnsi="Times New Roman" w:cs="Times New Roman"/>
          <w:sz w:val="24"/>
          <w:szCs w:val="24"/>
        </w:rPr>
        <w:t>), oстанатите процентуални разлики се несигнификантни (табела</w:t>
      </w:r>
      <w:r w:rsidR="00796FC8">
        <w:rPr>
          <w:rFonts w:ascii="Times New Roman" w:eastAsia="Calibri" w:hAnsi="Times New Roman" w:cs="Times New Roman"/>
          <w:sz w:val="24"/>
          <w:szCs w:val="24"/>
        </w:rPr>
        <w:t xml:space="preserve"> бр. 16</w:t>
      </w:r>
      <w:r w:rsidRPr="00215667">
        <w:rPr>
          <w:rFonts w:ascii="Times New Roman" w:eastAsia="Calibri" w:hAnsi="Times New Roman" w:cs="Times New Roman"/>
          <w:sz w:val="24"/>
          <w:szCs w:val="24"/>
        </w:rPr>
        <w:t xml:space="preserve"> и графикон бр</w:t>
      </w:r>
      <w:r w:rsidR="00796FC8">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16).</w:t>
      </w:r>
    </w:p>
    <w:p w14:paraId="3A3C19DD" w14:textId="40B7A9D4" w:rsidR="00412474" w:rsidRPr="00215667" w:rsidRDefault="00412474" w:rsidP="00796FC8">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w:t>
      </w:r>
      <w:r w:rsidR="00796F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16</w:t>
      </w:r>
      <w:r w:rsidR="00796FC8">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изведени интервенции според локализација и екстензивноста на третманот (дентоалвеоларни хируршки процедури)</w:t>
      </w:r>
    </w:p>
    <w:tbl>
      <w:tblPr>
        <w:tblStyle w:val="TableGrid1"/>
        <w:tblW w:w="8926" w:type="dxa"/>
        <w:tblLook w:val="04A0" w:firstRow="1" w:lastRow="0" w:firstColumn="1" w:lastColumn="0" w:noHBand="0" w:noVBand="1"/>
      </w:tblPr>
      <w:tblGrid>
        <w:gridCol w:w="6232"/>
        <w:gridCol w:w="1418"/>
        <w:gridCol w:w="1276"/>
      </w:tblGrid>
      <w:tr w:rsidR="00412474" w:rsidRPr="00215667" w14:paraId="0C808479" w14:textId="77777777" w:rsidTr="00435E3A">
        <w:tc>
          <w:tcPr>
            <w:tcW w:w="6232"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EB8FE11" w14:textId="1A148B9F" w:rsidR="00412474" w:rsidRPr="00215667" w:rsidRDefault="00796FC8" w:rsidP="00435E3A">
            <w:pPr>
              <w:rPr>
                <w:rFonts w:ascii="Times New Roman" w:eastAsia="Times New Roman" w:hAnsi="Times New Roman" w:cs="Times New Roman"/>
                <w:b/>
                <w:sz w:val="24"/>
                <w:szCs w:val="24"/>
              </w:rPr>
            </w:pPr>
            <w:r>
              <w:rPr>
                <w:rFonts w:ascii="Times New Roman" w:eastAsia="Times New Roman" w:hAnsi="Times New Roman" w:cs="Times New Roman"/>
                <w:b/>
                <w:sz w:val="24"/>
                <w:szCs w:val="24"/>
                <w:lang w:val="mk-MK"/>
              </w:rPr>
              <w:t>Е</w:t>
            </w:r>
            <w:proofErr w:type="spellStart"/>
            <w:r w:rsidR="00412474" w:rsidRPr="00215667">
              <w:rPr>
                <w:rFonts w:ascii="Times New Roman" w:eastAsia="Times New Roman" w:hAnsi="Times New Roman" w:cs="Times New Roman"/>
                <w:b/>
                <w:sz w:val="24"/>
                <w:szCs w:val="24"/>
              </w:rPr>
              <w:t>кстракција</w:t>
            </w:r>
            <w:proofErr w:type="spellEnd"/>
          </w:p>
        </w:tc>
        <w:tc>
          <w:tcPr>
            <w:tcW w:w="141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09F7904C" w14:textId="3C47CDCA" w:rsidR="00412474" w:rsidRPr="00215667" w:rsidRDefault="00796FC8"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Б</w:t>
            </w:r>
            <w:proofErr w:type="spellStart"/>
            <w:r w:rsidR="00412474" w:rsidRPr="00215667">
              <w:rPr>
                <w:rFonts w:ascii="Times New Roman" w:eastAsia="Times New Roman" w:hAnsi="Times New Roman" w:cs="Times New Roman"/>
                <w:b/>
                <w:bCs/>
                <w:color w:val="000000"/>
                <w:sz w:val="24"/>
                <w:szCs w:val="24"/>
              </w:rPr>
              <w:t>рој</w:t>
            </w:r>
            <w:proofErr w:type="spellEnd"/>
          </w:p>
        </w:tc>
        <w:tc>
          <w:tcPr>
            <w:tcW w:w="1276"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96756F9"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w:t>
            </w:r>
          </w:p>
        </w:tc>
      </w:tr>
      <w:tr w:rsidR="00412474" w:rsidRPr="00215667" w14:paraId="0E28ABB1" w14:textId="77777777" w:rsidTr="00435E3A">
        <w:tc>
          <w:tcPr>
            <w:tcW w:w="6232"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966CCBB" w14:textId="77777777" w:rsidR="00412474" w:rsidRPr="00215667" w:rsidRDefault="00412474" w:rsidP="00435E3A">
            <w:pPr>
              <w:rPr>
                <w:rFonts w:ascii="Times New Roman" w:eastAsia="Times New Roman" w:hAnsi="Times New Roman" w:cs="Times New Roman"/>
                <w:bCs/>
                <w:sz w:val="24"/>
                <w:szCs w:val="24"/>
              </w:rPr>
            </w:pPr>
            <w:proofErr w:type="spellStart"/>
            <w:r w:rsidRPr="00215667">
              <w:rPr>
                <w:rFonts w:ascii="Times New Roman" w:eastAsia="Times New Roman" w:hAnsi="Times New Roman" w:cs="Times New Roman"/>
                <w:bCs/>
                <w:color w:val="000000"/>
                <w:sz w:val="24"/>
                <w:szCs w:val="24"/>
              </w:rPr>
              <w:t>Дентоалвеоларни</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хируршки</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процедури</w:t>
            </w:r>
            <w:proofErr w:type="spellEnd"/>
          </w:p>
        </w:tc>
        <w:tc>
          <w:tcPr>
            <w:tcW w:w="1418" w:type="dxa"/>
            <w:tcBorders>
              <w:top w:val="single" w:sz="4" w:space="0" w:color="auto"/>
              <w:left w:val="single" w:sz="4" w:space="0" w:color="auto"/>
              <w:bottom w:val="single" w:sz="4" w:space="0" w:color="auto"/>
              <w:right w:val="single" w:sz="4" w:space="0" w:color="auto"/>
            </w:tcBorders>
            <w:noWrap/>
            <w:hideMark/>
          </w:tcPr>
          <w:p w14:paraId="37C8F34E"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30</w:t>
            </w:r>
          </w:p>
        </w:tc>
        <w:tc>
          <w:tcPr>
            <w:tcW w:w="1276" w:type="dxa"/>
            <w:tcBorders>
              <w:top w:val="single" w:sz="4" w:space="0" w:color="auto"/>
              <w:left w:val="single" w:sz="4" w:space="0" w:color="auto"/>
              <w:bottom w:val="single" w:sz="4" w:space="0" w:color="auto"/>
              <w:right w:val="single" w:sz="4" w:space="0" w:color="auto"/>
            </w:tcBorders>
            <w:noWrap/>
            <w:hideMark/>
          </w:tcPr>
          <w:p w14:paraId="332ADB37"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46.9</w:t>
            </w:r>
          </w:p>
        </w:tc>
      </w:tr>
      <w:tr w:rsidR="00412474" w:rsidRPr="00215667" w14:paraId="2CB9AD21" w14:textId="77777777" w:rsidTr="00435E3A">
        <w:tc>
          <w:tcPr>
            <w:tcW w:w="6232"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94F6F8E" w14:textId="2B90E32E" w:rsidR="00412474" w:rsidRPr="00215667" w:rsidRDefault="00412474" w:rsidP="00435E3A">
            <w:pPr>
              <w:rPr>
                <w:rFonts w:ascii="Times New Roman" w:eastAsia="Times New Roman" w:hAnsi="Times New Roman" w:cs="Times New Roman"/>
                <w:bCs/>
                <w:sz w:val="24"/>
                <w:szCs w:val="24"/>
              </w:rPr>
            </w:pPr>
            <w:proofErr w:type="spellStart"/>
            <w:r w:rsidRPr="00215667">
              <w:rPr>
                <w:rFonts w:ascii="Times New Roman" w:eastAsia="Times New Roman" w:hAnsi="Times New Roman" w:cs="Times New Roman"/>
                <w:bCs/>
                <w:color w:val="000000"/>
                <w:sz w:val="24"/>
                <w:szCs w:val="24"/>
              </w:rPr>
              <w:t>Едноставна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екстракција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заб</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во</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максила</w:t>
            </w:r>
            <w:proofErr w:type="spellEnd"/>
          </w:p>
        </w:tc>
        <w:tc>
          <w:tcPr>
            <w:tcW w:w="1418" w:type="dxa"/>
            <w:tcBorders>
              <w:top w:val="single" w:sz="4" w:space="0" w:color="auto"/>
              <w:left w:val="single" w:sz="4" w:space="0" w:color="auto"/>
              <w:bottom w:val="single" w:sz="4" w:space="0" w:color="auto"/>
              <w:right w:val="single" w:sz="4" w:space="0" w:color="auto"/>
            </w:tcBorders>
            <w:noWrap/>
            <w:hideMark/>
          </w:tcPr>
          <w:p w14:paraId="077774A7"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19</w:t>
            </w:r>
          </w:p>
        </w:tc>
        <w:tc>
          <w:tcPr>
            <w:tcW w:w="1276" w:type="dxa"/>
            <w:tcBorders>
              <w:top w:val="single" w:sz="4" w:space="0" w:color="auto"/>
              <w:left w:val="single" w:sz="4" w:space="0" w:color="auto"/>
              <w:bottom w:val="single" w:sz="4" w:space="0" w:color="auto"/>
              <w:right w:val="single" w:sz="4" w:space="0" w:color="auto"/>
            </w:tcBorders>
            <w:noWrap/>
            <w:hideMark/>
          </w:tcPr>
          <w:p w14:paraId="0CC2EAE3"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29.7</w:t>
            </w:r>
          </w:p>
        </w:tc>
      </w:tr>
      <w:tr w:rsidR="00412474" w:rsidRPr="00215667" w14:paraId="3EF5375B" w14:textId="77777777" w:rsidTr="00435E3A">
        <w:tc>
          <w:tcPr>
            <w:tcW w:w="6232"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A339A56" w14:textId="70682A15" w:rsidR="00412474" w:rsidRPr="00215667" w:rsidRDefault="00412474" w:rsidP="00435E3A">
            <w:pPr>
              <w:rPr>
                <w:rFonts w:ascii="Times New Roman" w:eastAsia="Times New Roman" w:hAnsi="Times New Roman" w:cs="Times New Roman"/>
                <w:bCs/>
                <w:color w:val="000000"/>
                <w:sz w:val="24"/>
                <w:szCs w:val="24"/>
              </w:rPr>
            </w:pPr>
            <w:proofErr w:type="spellStart"/>
            <w:r w:rsidRPr="00215667">
              <w:rPr>
                <w:rFonts w:ascii="Times New Roman" w:eastAsia="Times New Roman" w:hAnsi="Times New Roman" w:cs="Times New Roman"/>
                <w:bCs/>
                <w:color w:val="000000"/>
                <w:sz w:val="24"/>
                <w:szCs w:val="24"/>
              </w:rPr>
              <w:t>Едноставна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екстракција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заб</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во</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мандибула</w:t>
            </w:r>
            <w:proofErr w:type="spellEnd"/>
          </w:p>
        </w:tc>
        <w:tc>
          <w:tcPr>
            <w:tcW w:w="1418" w:type="dxa"/>
            <w:tcBorders>
              <w:top w:val="single" w:sz="4" w:space="0" w:color="auto"/>
              <w:left w:val="single" w:sz="4" w:space="0" w:color="auto"/>
              <w:bottom w:val="single" w:sz="4" w:space="0" w:color="auto"/>
              <w:right w:val="single" w:sz="4" w:space="0" w:color="auto"/>
            </w:tcBorders>
            <w:noWrap/>
            <w:hideMark/>
          </w:tcPr>
          <w:p w14:paraId="58B4BCCB"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15</w:t>
            </w:r>
          </w:p>
        </w:tc>
        <w:tc>
          <w:tcPr>
            <w:tcW w:w="1276" w:type="dxa"/>
            <w:tcBorders>
              <w:top w:val="single" w:sz="4" w:space="0" w:color="auto"/>
              <w:left w:val="single" w:sz="4" w:space="0" w:color="auto"/>
              <w:bottom w:val="single" w:sz="4" w:space="0" w:color="auto"/>
              <w:right w:val="single" w:sz="4" w:space="0" w:color="auto"/>
            </w:tcBorders>
            <w:noWrap/>
            <w:hideMark/>
          </w:tcPr>
          <w:p w14:paraId="28BB92A3"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23.4</w:t>
            </w:r>
          </w:p>
        </w:tc>
      </w:tr>
    </w:tbl>
    <w:p w14:paraId="6059641D"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544D6862" w14:textId="77777777" w:rsidR="00796FC8" w:rsidRDefault="00796FC8" w:rsidP="00412474">
      <w:pPr>
        <w:spacing w:after="120" w:line="360" w:lineRule="auto"/>
        <w:jc w:val="both"/>
        <w:rPr>
          <w:rFonts w:ascii="Times New Roman" w:eastAsia="Calibri" w:hAnsi="Times New Roman" w:cs="Times New Roman"/>
          <w:sz w:val="24"/>
          <w:szCs w:val="24"/>
        </w:rPr>
      </w:pPr>
    </w:p>
    <w:p w14:paraId="7B39743E" w14:textId="77777777" w:rsidR="00796FC8" w:rsidRDefault="00796FC8" w:rsidP="00412474">
      <w:pPr>
        <w:spacing w:after="120" w:line="360" w:lineRule="auto"/>
        <w:jc w:val="both"/>
        <w:rPr>
          <w:rFonts w:ascii="Times New Roman" w:eastAsia="Calibri" w:hAnsi="Times New Roman" w:cs="Times New Roman"/>
          <w:sz w:val="24"/>
          <w:szCs w:val="24"/>
        </w:rPr>
      </w:pPr>
    </w:p>
    <w:p w14:paraId="76FDD2E6" w14:textId="77777777" w:rsidR="00796FC8" w:rsidRDefault="00796FC8" w:rsidP="00412474">
      <w:pPr>
        <w:spacing w:after="120" w:line="360" w:lineRule="auto"/>
        <w:jc w:val="both"/>
        <w:rPr>
          <w:rFonts w:ascii="Times New Roman" w:eastAsia="Calibri" w:hAnsi="Times New Roman" w:cs="Times New Roman"/>
          <w:sz w:val="24"/>
          <w:szCs w:val="24"/>
        </w:rPr>
      </w:pPr>
    </w:p>
    <w:p w14:paraId="6062A65E" w14:textId="05E4A71F" w:rsidR="00412474" w:rsidRPr="00215667" w:rsidRDefault="00412474" w:rsidP="00796FC8">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lastRenderedPageBreak/>
        <w:t>Графикон бр. 16</w:t>
      </w:r>
      <w:r w:rsidR="00796FC8">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локализација на оперативната екстракција</w:t>
      </w:r>
    </w:p>
    <w:p w14:paraId="43954B53" w14:textId="77777777" w:rsidR="00412474" w:rsidRPr="00215667" w:rsidRDefault="00412474" w:rsidP="00412474">
      <w:pPr>
        <w:spacing w:after="120" w:line="360" w:lineRule="auto"/>
        <w:jc w:val="both"/>
        <w:rPr>
          <w:rFonts w:ascii="Times New Roman" w:eastAsia="Calibri" w:hAnsi="Times New Roman" w:cs="Times New Roman"/>
          <w:sz w:val="24"/>
          <w:szCs w:val="24"/>
        </w:rPr>
      </w:pPr>
      <w:r w:rsidRPr="00215667">
        <w:rPr>
          <w:rFonts w:ascii="Times New Roman" w:eastAsia="Calibri" w:hAnsi="Times New Roman" w:cs="Times New Roman"/>
          <w:noProof/>
          <w:sz w:val="24"/>
          <w:szCs w:val="24"/>
          <w:lang w:val="en-US"/>
        </w:rPr>
        <w:drawing>
          <wp:inline distT="0" distB="0" distL="0" distR="0" wp14:anchorId="332C22D5" wp14:editId="3F410D89">
            <wp:extent cx="5495925" cy="2343150"/>
            <wp:effectExtent l="0" t="0" r="9525" b="0"/>
            <wp:docPr id="19"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51778D90" w14:textId="0B424CD5" w:rsidR="00412474" w:rsidRPr="00215667" w:rsidRDefault="00412474" w:rsidP="009048C8">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Анализата на резултатите за инциденцата на појава на PEB во однос на  локализацијата на изведените хируршки интервенции, покажа дека се регистрира сигнификантна</w:t>
      </w:r>
      <w:r w:rsidR="009048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поврзаност/асоцијација помеѓу инциденцата на појава на постектракционо </w:t>
      </w:r>
      <w:r w:rsidR="00EC49EB" w:rsidRPr="00215667">
        <w:rPr>
          <w:rFonts w:ascii="Times New Roman" w:eastAsia="Calibri" w:hAnsi="Times New Roman" w:cs="Times New Roman"/>
          <w:sz w:val="24"/>
          <w:szCs w:val="24"/>
        </w:rPr>
        <w:t>крвавење</w:t>
      </w:r>
      <w:r w:rsidRPr="00215667">
        <w:rPr>
          <w:rFonts w:ascii="Times New Roman" w:eastAsia="Calibri" w:hAnsi="Times New Roman" w:cs="Times New Roman"/>
          <w:sz w:val="24"/>
          <w:szCs w:val="24"/>
        </w:rPr>
        <w:t xml:space="preserve"> и локализација на екстракцијата (Chi Square, = 9.39950, df</w:t>
      </w:r>
      <w:r w:rsidR="009048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9048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2, p</w:t>
      </w:r>
      <w:r w:rsidR="009048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9048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Pr="00215667">
        <w:rPr>
          <w:rFonts w:ascii="Times New Roman" w:eastAsia="Calibri" w:hAnsi="Times New Roman" w:cs="Times New Roman"/>
          <w:color w:val="FF0000"/>
          <w:sz w:val="24"/>
          <w:szCs w:val="24"/>
        </w:rPr>
        <w:t>009098</w:t>
      </w:r>
      <w:r w:rsidRPr="00215667">
        <w:rPr>
          <w:rFonts w:ascii="Times New Roman" w:eastAsia="Calibri" w:hAnsi="Times New Roman" w:cs="Times New Roman"/>
          <w:sz w:val="24"/>
          <w:szCs w:val="24"/>
        </w:rPr>
        <w:t>).(табела бр</w:t>
      </w:r>
      <w:r w:rsidR="009048C8">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17).</w:t>
      </w:r>
    </w:p>
    <w:p w14:paraId="727EA20E" w14:textId="6CAA7BB4" w:rsidR="00412474" w:rsidRPr="00215667" w:rsidRDefault="00412474" w:rsidP="009048C8">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w:t>
      </w:r>
      <w:r w:rsidR="009048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17</w:t>
      </w:r>
      <w:r w:rsidR="009048C8">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Табела на контингенција на дистрибуција на PEB во однос на локализацијата и екстензивност на изведените хируршки интервенции</w:t>
      </w:r>
    </w:p>
    <w:tbl>
      <w:tblPr>
        <w:tblStyle w:val="TableGrid1"/>
        <w:tblW w:w="8920" w:type="dxa"/>
        <w:tblLayout w:type="fixed"/>
        <w:tblLook w:val="04A0" w:firstRow="1" w:lastRow="0" w:firstColumn="1" w:lastColumn="0" w:noHBand="0" w:noVBand="1"/>
      </w:tblPr>
      <w:tblGrid>
        <w:gridCol w:w="1555"/>
        <w:gridCol w:w="2268"/>
        <w:gridCol w:w="1984"/>
        <w:gridCol w:w="1843"/>
        <w:gridCol w:w="1270"/>
      </w:tblGrid>
      <w:tr w:rsidR="00412474" w:rsidRPr="00215667" w14:paraId="78A3DBF9" w14:textId="77777777" w:rsidTr="00435E3A">
        <w:trPr>
          <w:trHeight w:val="274"/>
        </w:trPr>
        <w:tc>
          <w:tcPr>
            <w:tcW w:w="1555"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F1BDDA1"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sz w:val="24"/>
                <w:szCs w:val="24"/>
              </w:rPr>
              <w:t xml:space="preserve">PEB </w:t>
            </w:r>
            <w:proofErr w:type="spellStart"/>
            <w:r w:rsidRPr="00215667">
              <w:rPr>
                <w:rFonts w:ascii="Times New Roman" w:eastAsia="Times New Roman" w:hAnsi="Times New Roman" w:cs="Times New Roman"/>
                <w:b/>
                <w:bCs/>
                <w:sz w:val="24"/>
                <w:szCs w:val="24"/>
              </w:rPr>
              <w:t>крвавење</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E1CA9A6" w14:textId="77777777" w:rsidR="00412474" w:rsidRPr="00215667" w:rsidRDefault="00412474" w:rsidP="00435E3A">
            <w:pPr>
              <w:jc w:val="cente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
                <w:bCs/>
                <w:sz w:val="24"/>
                <w:szCs w:val="24"/>
              </w:rPr>
              <w:t>Дентоалвеоларна</w:t>
            </w:r>
            <w:proofErr w:type="spellEnd"/>
            <w:r w:rsidRPr="00215667">
              <w:rPr>
                <w:rFonts w:ascii="Times New Roman" w:eastAsia="Times New Roman" w:hAnsi="Times New Roman" w:cs="Times New Roman"/>
                <w:b/>
                <w:bCs/>
                <w:sz w:val="24"/>
                <w:szCs w:val="24"/>
              </w:rPr>
              <w:t xml:space="preserve"> </w:t>
            </w:r>
            <w:proofErr w:type="spellStart"/>
            <w:r w:rsidRPr="00215667">
              <w:rPr>
                <w:rFonts w:ascii="Times New Roman" w:eastAsia="Times New Roman" w:hAnsi="Times New Roman" w:cs="Times New Roman"/>
                <w:b/>
                <w:bCs/>
                <w:sz w:val="24"/>
                <w:szCs w:val="24"/>
              </w:rPr>
              <w:t>хирургија</w:t>
            </w:r>
            <w:proofErr w:type="spellEnd"/>
          </w:p>
        </w:tc>
        <w:tc>
          <w:tcPr>
            <w:tcW w:w="1984"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CA52164" w14:textId="572110D1"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sz w:val="24"/>
                <w:szCs w:val="24"/>
              </w:rPr>
              <w:t xml:space="preserve"> </w:t>
            </w:r>
            <w:r w:rsidR="009048C8">
              <w:rPr>
                <w:rFonts w:ascii="Times New Roman" w:eastAsia="Times New Roman" w:hAnsi="Times New Roman" w:cs="Times New Roman"/>
                <w:b/>
                <w:bCs/>
                <w:sz w:val="24"/>
                <w:szCs w:val="24"/>
                <w:lang w:val="mk-MK"/>
              </w:rPr>
              <w:t>Е</w:t>
            </w:r>
            <w:proofErr w:type="spellStart"/>
            <w:r w:rsidRPr="00215667">
              <w:rPr>
                <w:rFonts w:ascii="Times New Roman" w:eastAsia="Times New Roman" w:hAnsi="Times New Roman" w:cs="Times New Roman"/>
                <w:b/>
                <w:bCs/>
                <w:sz w:val="24"/>
                <w:szCs w:val="24"/>
              </w:rPr>
              <w:t>кстракција</w:t>
            </w:r>
            <w:proofErr w:type="spellEnd"/>
            <w:r w:rsidRPr="00215667">
              <w:rPr>
                <w:rFonts w:ascii="Times New Roman" w:eastAsia="Times New Roman" w:hAnsi="Times New Roman" w:cs="Times New Roman"/>
                <w:b/>
                <w:bCs/>
                <w:sz w:val="24"/>
                <w:szCs w:val="24"/>
              </w:rPr>
              <w:t xml:space="preserve"> </w:t>
            </w:r>
            <w:proofErr w:type="spellStart"/>
            <w:r w:rsidRPr="00215667">
              <w:rPr>
                <w:rFonts w:ascii="Times New Roman" w:eastAsia="Times New Roman" w:hAnsi="Times New Roman" w:cs="Times New Roman"/>
                <w:b/>
                <w:bCs/>
                <w:sz w:val="24"/>
                <w:szCs w:val="24"/>
              </w:rPr>
              <w:t>на</w:t>
            </w:r>
            <w:proofErr w:type="spellEnd"/>
            <w:r w:rsidRPr="00215667">
              <w:rPr>
                <w:rFonts w:ascii="Times New Roman" w:eastAsia="Times New Roman" w:hAnsi="Times New Roman" w:cs="Times New Roman"/>
                <w:b/>
                <w:bCs/>
                <w:sz w:val="24"/>
                <w:szCs w:val="24"/>
              </w:rPr>
              <w:t xml:space="preserve"> </w:t>
            </w:r>
            <w:proofErr w:type="spellStart"/>
            <w:r w:rsidRPr="00215667">
              <w:rPr>
                <w:rFonts w:ascii="Times New Roman" w:eastAsia="Times New Roman" w:hAnsi="Times New Roman" w:cs="Times New Roman"/>
                <w:b/>
                <w:bCs/>
                <w:sz w:val="24"/>
                <w:szCs w:val="24"/>
              </w:rPr>
              <w:t>заб</w:t>
            </w:r>
            <w:proofErr w:type="spellEnd"/>
            <w:r w:rsidRPr="00215667">
              <w:rPr>
                <w:rFonts w:ascii="Times New Roman" w:eastAsia="Times New Roman" w:hAnsi="Times New Roman" w:cs="Times New Roman"/>
                <w:b/>
                <w:bCs/>
                <w:sz w:val="24"/>
                <w:szCs w:val="24"/>
              </w:rPr>
              <w:t xml:space="preserve"> </w:t>
            </w:r>
            <w:proofErr w:type="spellStart"/>
            <w:r w:rsidRPr="00215667">
              <w:rPr>
                <w:rFonts w:ascii="Times New Roman" w:eastAsia="Times New Roman" w:hAnsi="Times New Roman" w:cs="Times New Roman"/>
                <w:b/>
                <w:bCs/>
                <w:sz w:val="24"/>
                <w:szCs w:val="24"/>
              </w:rPr>
              <w:t>во</w:t>
            </w:r>
            <w:proofErr w:type="spellEnd"/>
            <w:r w:rsidRPr="00215667">
              <w:rPr>
                <w:rFonts w:ascii="Times New Roman" w:eastAsia="Times New Roman" w:hAnsi="Times New Roman" w:cs="Times New Roman"/>
                <w:b/>
                <w:bCs/>
                <w:sz w:val="24"/>
                <w:szCs w:val="24"/>
              </w:rPr>
              <w:t xml:space="preserve"> </w:t>
            </w:r>
            <w:proofErr w:type="spellStart"/>
            <w:r w:rsidRPr="00215667">
              <w:rPr>
                <w:rFonts w:ascii="Times New Roman" w:eastAsia="Times New Roman" w:hAnsi="Times New Roman" w:cs="Times New Roman"/>
                <w:b/>
                <w:bCs/>
                <w:sz w:val="24"/>
                <w:szCs w:val="24"/>
              </w:rPr>
              <w:t>мандибула</w:t>
            </w:r>
            <w:proofErr w:type="spellEnd"/>
          </w:p>
        </w:tc>
        <w:tc>
          <w:tcPr>
            <w:tcW w:w="1843"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5FEDC3D" w14:textId="49E1C570" w:rsidR="00412474" w:rsidRPr="00215667" w:rsidRDefault="009048C8"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mk-MK"/>
              </w:rPr>
              <w:t>Е</w:t>
            </w:r>
            <w:proofErr w:type="spellStart"/>
            <w:r w:rsidR="00412474" w:rsidRPr="00215667">
              <w:rPr>
                <w:rFonts w:ascii="Times New Roman" w:eastAsia="Times New Roman" w:hAnsi="Times New Roman" w:cs="Times New Roman"/>
                <w:b/>
                <w:bCs/>
                <w:sz w:val="24"/>
                <w:szCs w:val="24"/>
              </w:rPr>
              <w:t>кстракција</w:t>
            </w:r>
            <w:proofErr w:type="spellEnd"/>
            <w:r w:rsidR="00412474" w:rsidRPr="00215667">
              <w:rPr>
                <w:rFonts w:ascii="Times New Roman" w:eastAsia="Times New Roman" w:hAnsi="Times New Roman" w:cs="Times New Roman"/>
                <w:b/>
                <w:bCs/>
                <w:sz w:val="24"/>
                <w:szCs w:val="24"/>
              </w:rPr>
              <w:t xml:space="preserve"> </w:t>
            </w:r>
            <w:proofErr w:type="spellStart"/>
            <w:r w:rsidR="00412474" w:rsidRPr="00215667">
              <w:rPr>
                <w:rFonts w:ascii="Times New Roman" w:eastAsia="Times New Roman" w:hAnsi="Times New Roman" w:cs="Times New Roman"/>
                <w:b/>
                <w:bCs/>
                <w:sz w:val="24"/>
                <w:szCs w:val="24"/>
              </w:rPr>
              <w:t>на</w:t>
            </w:r>
            <w:proofErr w:type="spellEnd"/>
            <w:r w:rsidR="00412474" w:rsidRPr="00215667">
              <w:rPr>
                <w:rFonts w:ascii="Times New Roman" w:eastAsia="Times New Roman" w:hAnsi="Times New Roman" w:cs="Times New Roman"/>
                <w:b/>
                <w:bCs/>
                <w:sz w:val="24"/>
                <w:szCs w:val="24"/>
              </w:rPr>
              <w:t xml:space="preserve"> </w:t>
            </w:r>
            <w:proofErr w:type="spellStart"/>
            <w:r w:rsidR="00412474" w:rsidRPr="00215667">
              <w:rPr>
                <w:rFonts w:ascii="Times New Roman" w:eastAsia="Times New Roman" w:hAnsi="Times New Roman" w:cs="Times New Roman"/>
                <w:b/>
                <w:bCs/>
                <w:sz w:val="24"/>
                <w:szCs w:val="24"/>
              </w:rPr>
              <w:t>заб</w:t>
            </w:r>
            <w:proofErr w:type="spellEnd"/>
            <w:r w:rsidR="00412474" w:rsidRPr="00215667">
              <w:rPr>
                <w:rFonts w:ascii="Times New Roman" w:eastAsia="Times New Roman" w:hAnsi="Times New Roman" w:cs="Times New Roman"/>
                <w:b/>
                <w:bCs/>
                <w:sz w:val="24"/>
                <w:szCs w:val="24"/>
              </w:rPr>
              <w:t xml:space="preserve"> </w:t>
            </w:r>
            <w:proofErr w:type="spellStart"/>
            <w:r w:rsidR="00412474" w:rsidRPr="00215667">
              <w:rPr>
                <w:rFonts w:ascii="Times New Roman" w:eastAsia="Times New Roman" w:hAnsi="Times New Roman" w:cs="Times New Roman"/>
                <w:b/>
                <w:bCs/>
                <w:sz w:val="24"/>
                <w:szCs w:val="24"/>
              </w:rPr>
              <w:t>во</w:t>
            </w:r>
            <w:proofErr w:type="spellEnd"/>
            <w:r w:rsidR="00412474" w:rsidRPr="00215667">
              <w:rPr>
                <w:rFonts w:ascii="Times New Roman" w:eastAsia="Times New Roman" w:hAnsi="Times New Roman" w:cs="Times New Roman"/>
                <w:b/>
                <w:bCs/>
                <w:sz w:val="24"/>
                <w:szCs w:val="24"/>
              </w:rPr>
              <w:t xml:space="preserve"> </w:t>
            </w:r>
            <w:proofErr w:type="spellStart"/>
            <w:r w:rsidR="00412474" w:rsidRPr="00215667">
              <w:rPr>
                <w:rFonts w:ascii="Times New Roman" w:eastAsia="Times New Roman" w:hAnsi="Times New Roman" w:cs="Times New Roman"/>
                <w:b/>
                <w:bCs/>
                <w:sz w:val="24"/>
                <w:szCs w:val="24"/>
              </w:rPr>
              <w:t>максила</w:t>
            </w:r>
            <w:proofErr w:type="spellEnd"/>
          </w:p>
        </w:tc>
        <w:tc>
          <w:tcPr>
            <w:tcW w:w="1270"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D53BAA4" w14:textId="77777777" w:rsidR="00412474" w:rsidRPr="00215667" w:rsidRDefault="00412474" w:rsidP="00435E3A">
            <w:pPr>
              <w:jc w:val="center"/>
              <w:rPr>
                <w:rFonts w:ascii="Times New Roman" w:eastAsia="Times New Roman" w:hAnsi="Times New Roman" w:cs="Times New Roman"/>
                <w:b/>
                <w:bCs/>
                <w:sz w:val="24"/>
                <w:szCs w:val="24"/>
              </w:rPr>
            </w:pPr>
          </w:p>
          <w:p w14:paraId="402C2568" w14:textId="0463CDB7" w:rsidR="00412474" w:rsidRPr="00215667" w:rsidRDefault="009048C8"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mk-MK"/>
              </w:rPr>
              <w:t>В</w:t>
            </w:r>
            <w:proofErr w:type="spellStart"/>
            <w:r w:rsidR="00412474" w:rsidRPr="00215667">
              <w:rPr>
                <w:rFonts w:ascii="Times New Roman" w:eastAsia="Times New Roman" w:hAnsi="Times New Roman" w:cs="Times New Roman"/>
                <w:b/>
                <w:bCs/>
                <w:sz w:val="24"/>
                <w:szCs w:val="24"/>
              </w:rPr>
              <w:t>купно</w:t>
            </w:r>
            <w:proofErr w:type="spellEnd"/>
          </w:p>
        </w:tc>
      </w:tr>
      <w:tr w:rsidR="00412474" w:rsidRPr="00215667" w14:paraId="31E99E33" w14:textId="77777777" w:rsidTr="00435E3A">
        <w:trPr>
          <w:trHeight w:val="260"/>
        </w:trPr>
        <w:tc>
          <w:tcPr>
            <w:tcW w:w="1555"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13ACD74" w14:textId="77777777" w:rsidR="00412474" w:rsidRPr="00215667" w:rsidRDefault="00412474" w:rsidP="00435E3A">
            <w:pPr>
              <w:rPr>
                <w:rFonts w:ascii="Times New Roman" w:eastAsia="Times New Roman" w:hAnsi="Times New Roman" w:cs="Times New Roman"/>
                <w:sz w:val="24"/>
                <w:szCs w:val="24"/>
              </w:rPr>
            </w:pPr>
            <w:proofErr w:type="spellStart"/>
            <w:r w:rsidRPr="00215667">
              <w:rPr>
                <w:rFonts w:ascii="Times New Roman" w:eastAsia="Times New Roman" w:hAnsi="Times New Roman" w:cs="Times New Roman"/>
                <w:sz w:val="24"/>
                <w:szCs w:val="24"/>
              </w:rPr>
              <w:t>нема</w:t>
            </w:r>
            <w:proofErr w:type="spellEnd"/>
          </w:p>
        </w:tc>
        <w:tc>
          <w:tcPr>
            <w:tcW w:w="2268" w:type="dxa"/>
            <w:tcBorders>
              <w:top w:val="single" w:sz="4" w:space="0" w:color="auto"/>
              <w:left w:val="single" w:sz="4" w:space="0" w:color="auto"/>
              <w:bottom w:val="single" w:sz="4" w:space="0" w:color="auto"/>
              <w:right w:val="single" w:sz="4" w:space="0" w:color="auto"/>
            </w:tcBorders>
            <w:noWrap/>
            <w:hideMark/>
          </w:tcPr>
          <w:p w14:paraId="07E8A77F"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2</w:t>
            </w:r>
          </w:p>
        </w:tc>
        <w:tc>
          <w:tcPr>
            <w:tcW w:w="1984" w:type="dxa"/>
            <w:tcBorders>
              <w:top w:val="single" w:sz="4" w:space="0" w:color="auto"/>
              <w:left w:val="single" w:sz="4" w:space="0" w:color="auto"/>
              <w:bottom w:val="single" w:sz="4" w:space="0" w:color="auto"/>
              <w:right w:val="single" w:sz="4" w:space="0" w:color="auto"/>
            </w:tcBorders>
            <w:noWrap/>
            <w:hideMark/>
          </w:tcPr>
          <w:p w14:paraId="036E6A23"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0</w:t>
            </w:r>
          </w:p>
        </w:tc>
        <w:tc>
          <w:tcPr>
            <w:tcW w:w="1843" w:type="dxa"/>
            <w:tcBorders>
              <w:top w:val="single" w:sz="4" w:space="0" w:color="auto"/>
              <w:left w:val="single" w:sz="4" w:space="0" w:color="auto"/>
              <w:bottom w:val="single" w:sz="4" w:space="0" w:color="auto"/>
              <w:right w:val="single" w:sz="4" w:space="0" w:color="auto"/>
            </w:tcBorders>
            <w:noWrap/>
            <w:hideMark/>
          </w:tcPr>
          <w:p w14:paraId="3DEA80A1"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6</w:t>
            </w:r>
          </w:p>
        </w:tc>
        <w:tc>
          <w:tcPr>
            <w:tcW w:w="1270" w:type="dxa"/>
            <w:tcBorders>
              <w:top w:val="single" w:sz="4" w:space="0" w:color="auto"/>
              <w:left w:val="single" w:sz="4" w:space="0" w:color="auto"/>
              <w:bottom w:val="single" w:sz="4" w:space="0" w:color="auto"/>
              <w:right w:val="single" w:sz="4" w:space="0" w:color="auto"/>
            </w:tcBorders>
            <w:noWrap/>
            <w:hideMark/>
          </w:tcPr>
          <w:p w14:paraId="68557801"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8</w:t>
            </w:r>
          </w:p>
        </w:tc>
      </w:tr>
      <w:tr w:rsidR="00412474" w:rsidRPr="00215667" w14:paraId="50CD31AE" w14:textId="77777777" w:rsidTr="00435E3A">
        <w:trPr>
          <w:trHeight w:val="274"/>
        </w:trPr>
        <w:tc>
          <w:tcPr>
            <w:tcW w:w="1555"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A66CA37" w14:textId="77777777" w:rsidR="00412474" w:rsidRPr="00215667" w:rsidRDefault="00412474" w:rsidP="00435E3A">
            <w:pPr>
              <w:rPr>
                <w:rFonts w:ascii="Times New Roman" w:eastAsia="Times New Roman" w:hAnsi="Times New Roman" w:cs="Times New Roman"/>
                <w:sz w:val="24"/>
                <w:szCs w:val="24"/>
              </w:rPr>
            </w:pPr>
            <w:proofErr w:type="spellStart"/>
            <w:r w:rsidRPr="00215667">
              <w:rPr>
                <w:rFonts w:ascii="Times New Roman" w:eastAsia="Times New Roman" w:hAnsi="Times New Roman" w:cs="Times New Roman"/>
                <w:sz w:val="24"/>
                <w:szCs w:val="24"/>
              </w:rPr>
              <w:t>има</w:t>
            </w:r>
            <w:proofErr w:type="spellEnd"/>
          </w:p>
        </w:tc>
        <w:tc>
          <w:tcPr>
            <w:tcW w:w="2268" w:type="dxa"/>
            <w:tcBorders>
              <w:top w:val="single" w:sz="4" w:space="0" w:color="auto"/>
              <w:left w:val="single" w:sz="4" w:space="0" w:color="auto"/>
              <w:bottom w:val="single" w:sz="4" w:space="0" w:color="auto"/>
              <w:right w:val="single" w:sz="4" w:space="0" w:color="auto"/>
            </w:tcBorders>
            <w:noWrap/>
            <w:hideMark/>
          </w:tcPr>
          <w:p w14:paraId="046888F5"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28</w:t>
            </w:r>
          </w:p>
        </w:tc>
        <w:tc>
          <w:tcPr>
            <w:tcW w:w="1984" w:type="dxa"/>
            <w:tcBorders>
              <w:top w:val="single" w:sz="4" w:space="0" w:color="auto"/>
              <w:left w:val="single" w:sz="4" w:space="0" w:color="auto"/>
              <w:bottom w:val="single" w:sz="4" w:space="0" w:color="auto"/>
              <w:right w:val="single" w:sz="4" w:space="0" w:color="auto"/>
            </w:tcBorders>
            <w:noWrap/>
            <w:hideMark/>
          </w:tcPr>
          <w:p w14:paraId="395AE4D6"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15</w:t>
            </w:r>
          </w:p>
        </w:tc>
        <w:tc>
          <w:tcPr>
            <w:tcW w:w="1843" w:type="dxa"/>
            <w:tcBorders>
              <w:top w:val="single" w:sz="4" w:space="0" w:color="auto"/>
              <w:left w:val="single" w:sz="4" w:space="0" w:color="auto"/>
              <w:bottom w:val="single" w:sz="4" w:space="0" w:color="auto"/>
              <w:right w:val="single" w:sz="4" w:space="0" w:color="auto"/>
            </w:tcBorders>
            <w:noWrap/>
            <w:hideMark/>
          </w:tcPr>
          <w:p w14:paraId="6F09CAAB"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13</w:t>
            </w:r>
          </w:p>
        </w:tc>
        <w:tc>
          <w:tcPr>
            <w:tcW w:w="1270" w:type="dxa"/>
            <w:tcBorders>
              <w:top w:val="single" w:sz="4" w:space="0" w:color="auto"/>
              <w:left w:val="single" w:sz="4" w:space="0" w:color="auto"/>
              <w:bottom w:val="single" w:sz="4" w:space="0" w:color="auto"/>
              <w:right w:val="single" w:sz="4" w:space="0" w:color="auto"/>
            </w:tcBorders>
            <w:noWrap/>
            <w:hideMark/>
          </w:tcPr>
          <w:p w14:paraId="65B0F5A9"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56</w:t>
            </w:r>
          </w:p>
        </w:tc>
      </w:tr>
      <w:tr w:rsidR="00412474" w:rsidRPr="00215667" w14:paraId="3BA0236A" w14:textId="77777777" w:rsidTr="00435E3A">
        <w:trPr>
          <w:trHeight w:val="274"/>
        </w:trPr>
        <w:tc>
          <w:tcPr>
            <w:tcW w:w="1555"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AF7BF84" w14:textId="77777777" w:rsidR="00412474" w:rsidRPr="00215667" w:rsidRDefault="00412474" w:rsidP="00435E3A">
            <w:pPr>
              <w:rPr>
                <w:rFonts w:ascii="Times New Roman" w:eastAsia="Times New Roman" w:hAnsi="Times New Roman" w:cs="Times New Roman"/>
                <w:sz w:val="24"/>
                <w:szCs w:val="24"/>
              </w:rPr>
            </w:pPr>
            <w:proofErr w:type="spellStart"/>
            <w:r w:rsidRPr="00215667">
              <w:rPr>
                <w:rFonts w:ascii="Times New Roman" w:eastAsia="Times New Roman" w:hAnsi="Times New Roman" w:cs="Times New Roman"/>
                <w:sz w:val="24"/>
                <w:szCs w:val="24"/>
              </w:rPr>
              <w:t>вкупно</w:t>
            </w:r>
            <w:proofErr w:type="spellEnd"/>
          </w:p>
        </w:tc>
        <w:tc>
          <w:tcPr>
            <w:tcW w:w="2268" w:type="dxa"/>
            <w:tcBorders>
              <w:top w:val="single" w:sz="4" w:space="0" w:color="auto"/>
              <w:left w:val="single" w:sz="4" w:space="0" w:color="auto"/>
              <w:bottom w:val="single" w:sz="4" w:space="0" w:color="auto"/>
              <w:right w:val="single" w:sz="4" w:space="0" w:color="auto"/>
            </w:tcBorders>
            <w:noWrap/>
            <w:hideMark/>
          </w:tcPr>
          <w:p w14:paraId="3D7B2CF4"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30</w:t>
            </w:r>
          </w:p>
        </w:tc>
        <w:tc>
          <w:tcPr>
            <w:tcW w:w="1984" w:type="dxa"/>
            <w:tcBorders>
              <w:top w:val="single" w:sz="4" w:space="0" w:color="auto"/>
              <w:left w:val="single" w:sz="4" w:space="0" w:color="auto"/>
              <w:bottom w:val="single" w:sz="4" w:space="0" w:color="auto"/>
              <w:right w:val="single" w:sz="4" w:space="0" w:color="auto"/>
            </w:tcBorders>
            <w:noWrap/>
            <w:hideMark/>
          </w:tcPr>
          <w:p w14:paraId="39786C2D"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15</w:t>
            </w:r>
          </w:p>
        </w:tc>
        <w:tc>
          <w:tcPr>
            <w:tcW w:w="1843" w:type="dxa"/>
            <w:tcBorders>
              <w:top w:val="single" w:sz="4" w:space="0" w:color="auto"/>
              <w:left w:val="single" w:sz="4" w:space="0" w:color="auto"/>
              <w:bottom w:val="single" w:sz="4" w:space="0" w:color="auto"/>
              <w:right w:val="single" w:sz="4" w:space="0" w:color="auto"/>
            </w:tcBorders>
            <w:noWrap/>
            <w:hideMark/>
          </w:tcPr>
          <w:p w14:paraId="5BDAC486"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19</w:t>
            </w:r>
          </w:p>
        </w:tc>
        <w:tc>
          <w:tcPr>
            <w:tcW w:w="1270" w:type="dxa"/>
            <w:tcBorders>
              <w:top w:val="single" w:sz="4" w:space="0" w:color="auto"/>
              <w:left w:val="single" w:sz="4" w:space="0" w:color="auto"/>
              <w:bottom w:val="single" w:sz="4" w:space="0" w:color="auto"/>
              <w:right w:val="single" w:sz="4" w:space="0" w:color="auto"/>
            </w:tcBorders>
            <w:noWrap/>
            <w:hideMark/>
          </w:tcPr>
          <w:p w14:paraId="72B24223"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64</w:t>
            </w:r>
          </w:p>
        </w:tc>
      </w:tr>
    </w:tbl>
    <w:p w14:paraId="281112F7" w14:textId="77777777" w:rsidR="009048C8" w:rsidRDefault="009048C8" w:rsidP="009048C8">
      <w:pPr>
        <w:spacing w:after="120" w:line="360" w:lineRule="auto"/>
        <w:ind w:firstLine="720"/>
        <w:jc w:val="both"/>
        <w:rPr>
          <w:rFonts w:ascii="Times New Roman" w:eastAsia="Calibri" w:hAnsi="Times New Roman" w:cs="Times New Roman"/>
          <w:sz w:val="24"/>
          <w:szCs w:val="24"/>
        </w:rPr>
      </w:pPr>
    </w:p>
    <w:p w14:paraId="67E905FE" w14:textId="6E6F7D61" w:rsidR="00412474" w:rsidRPr="00215667" w:rsidRDefault="00412474" w:rsidP="009048C8">
      <w:pPr>
        <w:spacing w:after="120" w:line="360" w:lineRule="auto"/>
        <w:ind w:firstLine="720"/>
        <w:jc w:val="both"/>
        <w:rPr>
          <w:rFonts w:ascii="Times New Roman" w:eastAsia="Calibri" w:hAnsi="Times New Roman" w:cs="Times New Roman"/>
          <w:sz w:val="24"/>
          <w:szCs w:val="24"/>
        </w:rPr>
      </w:pPr>
      <w:r w:rsidRPr="00215667">
        <w:rPr>
          <w:rFonts w:ascii="Times New Roman" w:eastAsia="Calibri" w:hAnsi="Times New Roman" w:cs="Times New Roman"/>
          <w:sz w:val="24"/>
          <w:szCs w:val="24"/>
        </w:rPr>
        <w:t>Постекстракцион</w:t>
      </w:r>
      <w:r w:rsidR="009048C8">
        <w:rPr>
          <w:rFonts w:ascii="Times New Roman" w:eastAsia="Calibri" w:hAnsi="Times New Roman" w:cs="Times New Roman"/>
          <w:sz w:val="24"/>
          <w:szCs w:val="24"/>
        </w:rPr>
        <w:t>ото</w:t>
      </w:r>
      <w:r w:rsidRPr="00215667">
        <w:rPr>
          <w:rFonts w:ascii="Times New Roman" w:eastAsia="Calibri" w:hAnsi="Times New Roman" w:cs="Times New Roman"/>
          <w:sz w:val="24"/>
          <w:szCs w:val="24"/>
        </w:rPr>
        <w:t xml:space="preserve"> крвавења (PEB) од мандибула трае во просек 5.0</w:t>
      </w:r>
      <w:r w:rsidR="009048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9048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5.9 часа, при изведување на дентоалевеоларната хируршк</w:t>
      </w:r>
      <w:r w:rsidR="009048C8">
        <w:rPr>
          <w:rFonts w:ascii="Times New Roman" w:eastAsia="Calibri" w:hAnsi="Times New Roman" w:cs="Times New Roman"/>
          <w:sz w:val="24"/>
          <w:szCs w:val="24"/>
        </w:rPr>
        <w:t>а</w:t>
      </w:r>
      <w:r w:rsidRPr="00215667">
        <w:rPr>
          <w:rFonts w:ascii="Times New Roman" w:eastAsia="Calibri" w:hAnsi="Times New Roman" w:cs="Times New Roman"/>
          <w:sz w:val="24"/>
          <w:szCs w:val="24"/>
        </w:rPr>
        <w:t xml:space="preserve"> интервенци</w:t>
      </w:r>
      <w:r w:rsidR="009048C8">
        <w:rPr>
          <w:rFonts w:ascii="Times New Roman" w:eastAsia="Calibri" w:hAnsi="Times New Roman" w:cs="Times New Roman"/>
          <w:sz w:val="24"/>
          <w:szCs w:val="24"/>
        </w:rPr>
        <w:t>ја</w:t>
      </w:r>
      <w:r w:rsidRPr="00215667">
        <w:rPr>
          <w:rFonts w:ascii="Times New Roman" w:eastAsia="Calibri" w:hAnsi="Times New Roman" w:cs="Times New Roman"/>
          <w:sz w:val="24"/>
          <w:szCs w:val="24"/>
        </w:rPr>
        <w:t xml:space="preserve"> трае 6.7</w:t>
      </w:r>
      <w:r w:rsidR="009048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9048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2.7 </w:t>
      </w:r>
      <w:r w:rsidR="009048C8">
        <w:rPr>
          <w:rFonts w:ascii="Times New Roman" w:eastAsia="Calibri" w:hAnsi="Times New Roman" w:cs="Times New Roman"/>
          <w:sz w:val="24"/>
          <w:szCs w:val="24"/>
        </w:rPr>
        <w:t xml:space="preserve">часа </w:t>
      </w:r>
      <w:r w:rsidRPr="00215667">
        <w:rPr>
          <w:rFonts w:ascii="Times New Roman" w:eastAsia="Calibri" w:hAnsi="Times New Roman" w:cs="Times New Roman"/>
          <w:sz w:val="24"/>
          <w:szCs w:val="24"/>
        </w:rPr>
        <w:t>и PEB од максила трае во просек 3.9</w:t>
      </w:r>
      <w:r w:rsidR="009048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9048C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7.1</w:t>
      </w:r>
      <w:r w:rsidR="009048C8">
        <w:rPr>
          <w:rFonts w:ascii="Times New Roman" w:eastAsia="Calibri" w:hAnsi="Times New Roman" w:cs="Times New Roman"/>
          <w:sz w:val="24"/>
          <w:szCs w:val="24"/>
        </w:rPr>
        <w:t xml:space="preserve"> часа</w:t>
      </w:r>
      <w:r w:rsidRPr="00215667">
        <w:rPr>
          <w:rFonts w:ascii="Times New Roman" w:eastAsia="Calibri" w:hAnsi="Times New Roman" w:cs="Times New Roman"/>
          <w:color w:val="000000"/>
          <w:sz w:val="24"/>
          <w:szCs w:val="24"/>
        </w:rPr>
        <w:t xml:space="preserve"> (табела </w:t>
      </w:r>
      <w:r w:rsidR="009048C8">
        <w:rPr>
          <w:rFonts w:ascii="Times New Roman" w:eastAsia="Calibri" w:hAnsi="Times New Roman" w:cs="Times New Roman"/>
          <w:color w:val="000000"/>
          <w:sz w:val="24"/>
          <w:szCs w:val="24"/>
        </w:rPr>
        <w:t xml:space="preserve">бр. 18 </w:t>
      </w:r>
      <w:r w:rsidRPr="00215667">
        <w:rPr>
          <w:rFonts w:ascii="Times New Roman" w:eastAsia="Calibri" w:hAnsi="Times New Roman" w:cs="Times New Roman"/>
          <w:color w:val="000000"/>
          <w:sz w:val="24"/>
          <w:szCs w:val="24"/>
        </w:rPr>
        <w:t>и графикон бр</w:t>
      </w:r>
      <w:r w:rsidR="009048C8">
        <w:rPr>
          <w:rFonts w:ascii="Times New Roman" w:eastAsia="Calibri" w:hAnsi="Times New Roman" w:cs="Times New Roman"/>
          <w:color w:val="000000"/>
          <w:sz w:val="24"/>
          <w:szCs w:val="24"/>
        </w:rPr>
        <w:t xml:space="preserve">. </w:t>
      </w:r>
      <w:r w:rsidRPr="00215667">
        <w:rPr>
          <w:rFonts w:ascii="Times New Roman" w:eastAsia="Calibri" w:hAnsi="Times New Roman" w:cs="Times New Roman"/>
          <w:color w:val="000000"/>
          <w:sz w:val="24"/>
          <w:szCs w:val="24"/>
        </w:rPr>
        <w:t>18)</w:t>
      </w:r>
      <w:r w:rsidR="009048C8">
        <w:rPr>
          <w:rFonts w:ascii="Times New Roman" w:eastAsia="Calibri" w:hAnsi="Times New Roman" w:cs="Times New Roman"/>
          <w:color w:val="000000"/>
          <w:sz w:val="24"/>
          <w:szCs w:val="24"/>
        </w:rPr>
        <w:t>.</w:t>
      </w:r>
    </w:p>
    <w:p w14:paraId="7197E0A6" w14:textId="7321518E" w:rsidR="00412474" w:rsidRPr="00215667" w:rsidRDefault="00412474" w:rsidP="009048C8">
      <w:pPr>
        <w:spacing w:after="120" w:line="360" w:lineRule="auto"/>
        <w:ind w:firstLine="720"/>
        <w:jc w:val="both"/>
        <w:rPr>
          <w:rFonts w:ascii="Times New Roman" w:eastAsia="Calibri" w:hAnsi="Times New Roman" w:cs="Times New Roman"/>
          <w:sz w:val="24"/>
          <w:szCs w:val="24"/>
        </w:rPr>
      </w:pPr>
      <w:r w:rsidRPr="00CA2056">
        <w:rPr>
          <w:rFonts w:ascii="Times New Roman" w:eastAsia="Calibri" w:hAnsi="Times New Roman" w:cs="Times New Roman"/>
          <w:sz w:val="24"/>
          <w:szCs w:val="24"/>
        </w:rPr>
        <w:t>Разликата во времетраењето на постекстракционото крвавење (PEB) во однос на локализацијата на хируршката интервенција е сигнификантно подолго при изведување на дентоалвеоларните хируршки интервенции во однос на</w:t>
      </w:r>
      <w:r w:rsidRPr="00215667">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lastRenderedPageBreak/>
        <w:t>едноставнита екстракција на заб во мандибула или максила (</w:t>
      </w:r>
      <w:r w:rsidRPr="00CA2056">
        <w:rPr>
          <w:rFonts w:ascii="Times New Roman" w:eastAsia="Calibri" w:hAnsi="Times New Roman" w:cs="Times New Roman"/>
          <w:i/>
          <w:iCs/>
          <w:color w:val="000000"/>
          <w:sz w:val="24"/>
          <w:szCs w:val="24"/>
        </w:rPr>
        <w:t>Kruskal-Wallis test</w:t>
      </w:r>
      <w:r w:rsidRPr="00215667">
        <w:rPr>
          <w:rFonts w:ascii="Times New Roman" w:eastAsia="Calibri" w:hAnsi="Times New Roman" w:cs="Times New Roman"/>
          <w:color w:val="000000"/>
          <w:sz w:val="24"/>
          <w:szCs w:val="24"/>
        </w:rPr>
        <w:t>: H (2, N</w:t>
      </w:r>
      <w:r w:rsidR="00CA2056">
        <w:rPr>
          <w:rFonts w:ascii="Times New Roman" w:eastAsia="Calibri" w:hAnsi="Times New Roman" w:cs="Times New Roman"/>
          <w:color w:val="000000"/>
          <w:sz w:val="24"/>
          <w:szCs w:val="24"/>
        </w:rPr>
        <w:t xml:space="preserve"> </w:t>
      </w:r>
      <w:r w:rsidRPr="00215667">
        <w:rPr>
          <w:rFonts w:ascii="Times New Roman" w:eastAsia="Calibri" w:hAnsi="Times New Roman" w:cs="Times New Roman"/>
          <w:color w:val="000000"/>
          <w:sz w:val="24"/>
          <w:szCs w:val="24"/>
        </w:rPr>
        <w:t>= 62) =</w:t>
      </w:r>
      <w:r w:rsidR="00CA2056">
        <w:rPr>
          <w:rFonts w:ascii="Times New Roman" w:eastAsia="Calibri" w:hAnsi="Times New Roman" w:cs="Times New Roman"/>
          <w:color w:val="000000"/>
          <w:sz w:val="24"/>
          <w:szCs w:val="24"/>
        </w:rPr>
        <w:t xml:space="preserve"> </w:t>
      </w:r>
      <w:r w:rsidRPr="00215667">
        <w:rPr>
          <w:rFonts w:ascii="Times New Roman" w:eastAsia="Calibri" w:hAnsi="Times New Roman" w:cs="Times New Roman"/>
          <w:color w:val="000000"/>
          <w:sz w:val="24"/>
          <w:szCs w:val="24"/>
        </w:rPr>
        <w:t xml:space="preserve">11.48415 </w:t>
      </w:r>
      <w:r w:rsidRPr="00215667">
        <w:rPr>
          <w:rFonts w:ascii="Times New Roman" w:eastAsia="Calibri" w:hAnsi="Times New Roman" w:cs="Times New Roman"/>
          <w:sz w:val="24"/>
          <w:szCs w:val="24"/>
        </w:rPr>
        <w:t>p =</w:t>
      </w:r>
      <w:r w:rsidR="00CA2056">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.0032</w:t>
      </w:r>
      <w:r w:rsidRPr="00215667">
        <w:rPr>
          <w:rFonts w:ascii="Times New Roman" w:eastAsia="Calibri" w:hAnsi="Times New Roman" w:cs="Times New Roman"/>
          <w:color w:val="000000"/>
          <w:sz w:val="24"/>
          <w:szCs w:val="24"/>
        </w:rPr>
        <w:t xml:space="preserve">). </w:t>
      </w:r>
    </w:p>
    <w:p w14:paraId="6A92386A" w14:textId="018BF07A" w:rsidR="00412474" w:rsidRPr="00215667" w:rsidRDefault="00412474" w:rsidP="00CA2056">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w:t>
      </w:r>
      <w:r w:rsidR="00CA2056">
        <w:rPr>
          <w:rFonts w:ascii="Times New Roman" w:eastAsia="Calibri" w:hAnsi="Times New Roman" w:cs="Times New Roman"/>
          <w:sz w:val="24"/>
          <w:szCs w:val="24"/>
          <w:lang w:val="en-US"/>
        </w:rPr>
        <w:t xml:space="preserve"> </w:t>
      </w:r>
      <w:r w:rsidRPr="00215667">
        <w:rPr>
          <w:rFonts w:ascii="Times New Roman" w:eastAsia="Calibri" w:hAnsi="Times New Roman" w:cs="Times New Roman"/>
          <w:sz w:val="24"/>
          <w:szCs w:val="24"/>
        </w:rPr>
        <w:t>18</w:t>
      </w:r>
      <w:r w:rsidR="00CA2056">
        <w:rPr>
          <w:rFonts w:ascii="Times New Roman" w:eastAsia="Calibri" w:hAnsi="Times New Roman" w:cs="Times New Roman"/>
          <w:sz w:val="24"/>
          <w:szCs w:val="24"/>
          <w:lang w:val="en-US"/>
        </w:rPr>
        <w:t>-</w:t>
      </w:r>
      <w:r w:rsidRPr="00215667">
        <w:rPr>
          <w:rFonts w:ascii="Times New Roman" w:eastAsia="Calibri" w:hAnsi="Times New Roman" w:cs="Times New Roman"/>
          <w:sz w:val="24"/>
          <w:szCs w:val="24"/>
        </w:rPr>
        <w:t xml:space="preserve"> Приказ на времето на крвавење (PEB) во однос на локализацијата и екстензивноста на изведените хируршки интервенции</w:t>
      </w:r>
    </w:p>
    <w:tbl>
      <w:tblPr>
        <w:tblStyle w:val="TableGrid1"/>
        <w:tblW w:w="8885" w:type="dxa"/>
        <w:jc w:val="center"/>
        <w:tblLook w:val="04A0" w:firstRow="1" w:lastRow="0" w:firstColumn="1" w:lastColumn="0" w:noHBand="0" w:noVBand="1"/>
      </w:tblPr>
      <w:tblGrid>
        <w:gridCol w:w="3119"/>
        <w:gridCol w:w="1134"/>
        <w:gridCol w:w="760"/>
        <w:gridCol w:w="1417"/>
        <w:gridCol w:w="1134"/>
        <w:gridCol w:w="1321"/>
      </w:tblGrid>
      <w:tr w:rsidR="00412474" w:rsidRPr="00215667" w14:paraId="1D4F6288" w14:textId="77777777" w:rsidTr="00CA2056">
        <w:trPr>
          <w:trHeight w:val="253"/>
          <w:jc w:val="center"/>
        </w:trPr>
        <w:tc>
          <w:tcPr>
            <w:tcW w:w="3119"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068B1AF2" w14:textId="77777777" w:rsidR="00412474" w:rsidRPr="00215667" w:rsidRDefault="00412474" w:rsidP="00435E3A">
            <w:pPr>
              <w:rPr>
                <w:rFonts w:ascii="Times New Roman" w:eastAsia="Times New Roman" w:hAnsi="Times New Roman" w:cs="Times New Roman"/>
                <w:b/>
                <w:sz w:val="24"/>
                <w:szCs w:val="24"/>
              </w:rPr>
            </w:pPr>
            <w:proofErr w:type="spellStart"/>
            <w:r w:rsidRPr="00215667">
              <w:rPr>
                <w:rFonts w:ascii="Times New Roman" w:eastAsia="Times New Roman" w:hAnsi="Times New Roman" w:cs="Times New Roman"/>
                <w:b/>
                <w:sz w:val="24"/>
                <w:szCs w:val="24"/>
              </w:rPr>
              <w:t>Екстракција</w:t>
            </w:r>
            <w:proofErr w:type="spellEnd"/>
            <w:r w:rsidRPr="00215667">
              <w:rPr>
                <w:rFonts w:ascii="Times New Roman" w:eastAsia="Times New Roman" w:hAnsi="Times New Roman" w:cs="Times New Roman"/>
                <w:b/>
                <w:sz w:val="24"/>
                <w:szCs w:val="24"/>
              </w:rPr>
              <w:t xml:space="preserve">/ </w:t>
            </w:r>
            <w:proofErr w:type="spellStart"/>
            <w:r w:rsidRPr="00215667">
              <w:rPr>
                <w:rFonts w:ascii="Times New Roman" w:eastAsia="Times New Roman" w:hAnsi="Times New Roman" w:cs="Times New Roman"/>
                <w:b/>
                <w:sz w:val="24"/>
                <w:szCs w:val="24"/>
              </w:rPr>
              <w:t>дентоалвеоларна</w:t>
            </w:r>
            <w:proofErr w:type="spellEnd"/>
            <w:r w:rsidRPr="00215667">
              <w:rPr>
                <w:rFonts w:ascii="Times New Roman" w:eastAsia="Times New Roman" w:hAnsi="Times New Roman" w:cs="Times New Roman"/>
                <w:b/>
                <w:sz w:val="24"/>
                <w:szCs w:val="24"/>
              </w:rPr>
              <w:t xml:space="preserve"> </w:t>
            </w:r>
            <w:proofErr w:type="spellStart"/>
            <w:r w:rsidRPr="00215667">
              <w:rPr>
                <w:rFonts w:ascii="Times New Roman" w:eastAsia="Times New Roman" w:hAnsi="Times New Roman" w:cs="Times New Roman"/>
                <w:b/>
                <w:sz w:val="24"/>
                <w:szCs w:val="24"/>
              </w:rPr>
              <w:t>хирургија</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19560A0" w14:textId="70460D9D" w:rsidR="00412474" w:rsidRPr="00215667" w:rsidRDefault="00CA2056"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П</w:t>
            </w:r>
            <w:proofErr w:type="spellStart"/>
            <w:r w:rsidR="00412474" w:rsidRPr="00215667">
              <w:rPr>
                <w:rFonts w:ascii="Times New Roman" w:eastAsia="Times New Roman" w:hAnsi="Times New Roman" w:cs="Times New Roman"/>
                <w:b/>
                <w:bCs/>
                <w:color w:val="000000"/>
                <w:sz w:val="24"/>
                <w:szCs w:val="24"/>
              </w:rPr>
              <w:t>росек</w:t>
            </w:r>
            <w:proofErr w:type="spellEnd"/>
          </w:p>
        </w:tc>
        <w:tc>
          <w:tcPr>
            <w:tcW w:w="760"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AA8A221" w14:textId="75C1AD1C" w:rsidR="00412474" w:rsidRPr="00215667" w:rsidRDefault="00CA2056"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Б</w:t>
            </w:r>
            <w:proofErr w:type="spellStart"/>
            <w:r w:rsidR="00412474" w:rsidRPr="00215667">
              <w:rPr>
                <w:rFonts w:ascii="Times New Roman" w:eastAsia="Times New Roman" w:hAnsi="Times New Roman" w:cs="Times New Roman"/>
                <w:b/>
                <w:bCs/>
                <w:color w:val="000000"/>
                <w:sz w:val="24"/>
                <w:szCs w:val="24"/>
              </w:rPr>
              <w:t>рој</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260BB2F" w14:textId="38219089" w:rsidR="00412474" w:rsidRPr="00215667" w:rsidRDefault="00412474" w:rsidP="00435E3A">
            <w:pPr>
              <w:jc w:val="cente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
                <w:bCs/>
                <w:color w:val="000000"/>
                <w:sz w:val="24"/>
                <w:szCs w:val="24"/>
              </w:rPr>
              <w:t>Стд</w:t>
            </w:r>
            <w:proofErr w:type="spellEnd"/>
            <w:r w:rsidRPr="00215667">
              <w:rPr>
                <w:rFonts w:ascii="Times New Roman" w:eastAsia="Times New Roman" w:hAnsi="Times New Roman" w:cs="Times New Roman"/>
                <w:b/>
                <w:bCs/>
                <w:color w:val="000000"/>
                <w:sz w:val="24"/>
                <w:szCs w:val="24"/>
              </w:rPr>
              <w:t>.</w:t>
            </w:r>
            <w:r w:rsidR="00CA2056">
              <w:rPr>
                <w:rFonts w:ascii="Times New Roman" w:eastAsia="Times New Roman" w:hAnsi="Times New Roman" w:cs="Times New Roman"/>
                <w:b/>
                <w:bCs/>
                <w:color w:val="000000"/>
                <w:sz w:val="24"/>
                <w:szCs w:val="24"/>
                <w:lang w:val="mk-MK"/>
              </w:rPr>
              <w:t xml:space="preserve"> д</w:t>
            </w:r>
            <w:proofErr w:type="spellStart"/>
            <w:r w:rsidRPr="00215667">
              <w:rPr>
                <w:rFonts w:ascii="Times New Roman" w:eastAsia="Times New Roman" w:hAnsi="Times New Roman" w:cs="Times New Roman"/>
                <w:b/>
                <w:bCs/>
                <w:color w:val="000000"/>
                <w:sz w:val="24"/>
                <w:szCs w:val="24"/>
              </w:rPr>
              <w:t>ев</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3F9C2D4"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Min.</w:t>
            </w:r>
          </w:p>
        </w:tc>
        <w:tc>
          <w:tcPr>
            <w:tcW w:w="1321"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FB4272A"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Max.</w:t>
            </w:r>
          </w:p>
        </w:tc>
      </w:tr>
      <w:tr w:rsidR="00412474" w:rsidRPr="00215667" w14:paraId="69B9A18A" w14:textId="77777777" w:rsidTr="00CA2056">
        <w:trPr>
          <w:trHeight w:val="253"/>
          <w:jc w:val="center"/>
        </w:trPr>
        <w:tc>
          <w:tcPr>
            <w:tcW w:w="3119"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0983C0F1" w14:textId="75241B71" w:rsidR="00412474" w:rsidRPr="00215667" w:rsidRDefault="00CA2056" w:rsidP="00435E3A">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mk-MK"/>
              </w:rPr>
              <w:t>е</w:t>
            </w:r>
            <w:proofErr w:type="spellStart"/>
            <w:r w:rsidR="00412474" w:rsidRPr="00215667">
              <w:rPr>
                <w:rFonts w:ascii="Times New Roman" w:eastAsia="Times New Roman" w:hAnsi="Times New Roman" w:cs="Times New Roman"/>
                <w:bCs/>
                <w:sz w:val="24"/>
                <w:szCs w:val="24"/>
              </w:rPr>
              <w:t>кстракција</w:t>
            </w:r>
            <w:proofErr w:type="spellEnd"/>
            <w:r w:rsidR="00412474" w:rsidRPr="00215667">
              <w:rPr>
                <w:rFonts w:ascii="Times New Roman" w:eastAsia="Times New Roman" w:hAnsi="Times New Roman" w:cs="Times New Roman"/>
                <w:bCs/>
                <w:sz w:val="24"/>
                <w:szCs w:val="24"/>
              </w:rPr>
              <w:t xml:space="preserve"> </w:t>
            </w:r>
            <w:proofErr w:type="spellStart"/>
            <w:r w:rsidR="00412474" w:rsidRPr="00215667">
              <w:rPr>
                <w:rFonts w:ascii="Times New Roman" w:eastAsia="Times New Roman" w:hAnsi="Times New Roman" w:cs="Times New Roman"/>
                <w:bCs/>
                <w:sz w:val="24"/>
                <w:szCs w:val="24"/>
              </w:rPr>
              <w:t>на</w:t>
            </w:r>
            <w:proofErr w:type="spellEnd"/>
            <w:r w:rsidR="00412474" w:rsidRPr="00215667">
              <w:rPr>
                <w:rFonts w:ascii="Times New Roman" w:eastAsia="Times New Roman" w:hAnsi="Times New Roman" w:cs="Times New Roman"/>
                <w:bCs/>
                <w:sz w:val="24"/>
                <w:szCs w:val="24"/>
              </w:rPr>
              <w:t xml:space="preserve"> </w:t>
            </w:r>
            <w:proofErr w:type="spellStart"/>
            <w:r w:rsidR="00412474" w:rsidRPr="00215667">
              <w:rPr>
                <w:rFonts w:ascii="Times New Roman" w:eastAsia="Times New Roman" w:hAnsi="Times New Roman" w:cs="Times New Roman"/>
                <w:bCs/>
                <w:sz w:val="24"/>
                <w:szCs w:val="24"/>
              </w:rPr>
              <w:t>заб</w:t>
            </w:r>
            <w:proofErr w:type="spellEnd"/>
            <w:r w:rsidR="00412474" w:rsidRPr="00215667">
              <w:rPr>
                <w:rFonts w:ascii="Times New Roman" w:eastAsia="Times New Roman" w:hAnsi="Times New Roman" w:cs="Times New Roman"/>
                <w:bCs/>
                <w:sz w:val="24"/>
                <w:szCs w:val="24"/>
              </w:rPr>
              <w:t xml:space="preserve"> </w:t>
            </w:r>
            <w:proofErr w:type="spellStart"/>
            <w:r w:rsidR="00412474" w:rsidRPr="00215667">
              <w:rPr>
                <w:rFonts w:ascii="Times New Roman" w:eastAsia="Times New Roman" w:hAnsi="Times New Roman" w:cs="Times New Roman"/>
                <w:bCs/>
                <w:sz w:val="24"/>
                <w:szCs w:val="24"/>
              </w:rPr>
              <w:t>во</w:t>
            </w:r>
            <w:proofErr w:type="spellEnd"/>
            <w:r w:rsidR="00412474" w:rsidRPr="00215667">
              <w:rPr>
                <w:rFonts w:ascii="Times New Roman" w:eastAsia="Times New Roman" w:hAnsi="Times New Roman" w:cs="Times New Roman"/>
                <w:bCs/>
                <w:sz w:val="24"/>
                <w:szCs w:val="24"/>
              </w:rPr>
              <w:t xml:space="preserve"> </w:t>
            </w:r>
            <w:proofErr w:type="spellStart"/>
            <w:r w:rsidR="00412474" w:rsidRPr="00215667">
              <w:rPr>
                <w:rFonts w:ascii="Times New Roman" w:eastAsia="Times New Roman" w:hAnsi="Times New Roman" w:cs="Times New Roman"/>
                <w:bCs/>
                <w:sz w:val="24"/>
                <w:szCs w:val="24"/>
              </w:rPr>
              <w:t>мандибула</w:t>
            </w:r>
            <w:proofErr w:type="spellEnd"/>
          </w:p>
        </w:tc>
        <w:tc>
          <w:tcPr>
            <w:tcW w:w="1134" w:type="dxa"/>
            <w:tcBorders>
              <w:top w:val="single" w:sz="4" w:space="0" w:color="auto"/>
              <w:left w:val="single" w:sz="4" w:space="0" w:color="auto"/>
              <w:bottom w:val="single" w:sz="4" w:space="0" w:color="auto"/>
              <w:right w:val="single" w:sz="4" w:space="0" w:color="auto"/>
            </w:tcBorders>
            <w:noWrap/>
            <w:hideMark/>
          </w:tcPr>
          <w:p w14:paraId="1E8DA69C"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5.0</w:t>
            </w:r>
          </w:p>
        </w:tc>
        <w:tc>
          <w:tcPr>
            <w:tcW w:w="760" w:type="dxa"/>
            <w:tcBorders>
              <w:top w:val="single" w:sz="4" w:space="0" w:color="auto"/>
              <w:left w:val="single" w:sz="4" w:space="0" w:color="auto"/>
              <w:bottom w:val="single" w:sz="4" w:space="0" w:color="auto"/>
              <w:right w:val="single" w:sz="4" w:space="0" w:color="auto"/>
            </w:tcBorders>
            <w:noWrap/>
            <w:hideMark/>
          </w:tcPr>
          <w:p w14:paraId="3B3D65F8"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29</w:t>
            </w:r>
          </w:p>
        </w:tc>
        <w:tc>
          <w:tcPr>
            <w:tcW w:w="1417" w:type="dxa"/>
            <w:tcBorders>
              <w:top w:val="single" w:sz="4" w:space="0" w:color="auto"/>
              <w:left w:val="single" w:sz="4" w:space="0" w:color="auto"/>
              <w:bottom w:val="single" w:sz="4" w:space="0" w:color="auto"/>
              <w:right w:val="single" w:sz="4" w:space="0" w:color="auto"/>
            </w:tcBorders>
            <w:noWrap/>
            <w:hideMark/>
          </w:tcPr>
          <w:p w14:paraId="3D7DB6E2"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5.916080</w:t>
            </w:r>
          </w:p>
        </w:tc>
        <w:tc>
          <w:tcPr>
            <w:tcW w:w="1134" w:type="dxa"/>
            <w:tcBorders>
              <w:top w:val="single" w:sz="4" w:space="0" w:color="auto"/>
              <w:left w:val="single" w:sz="4" w:space="0" w:color="auto"/>
              <w:bottom w:val="single" w:sz="4" w:space="0" w:color="auto"/>
              <w:right w:val="single" w:sz="4" w:space="0" w:color="auto"/>
            </w:tcBorders>
            <w:noWrap/>
            <w:hideMark/>
          </w:tcPr>
          <w:p w14:paraId="1ADDC323"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0</w:t>
            </w:r>
          </w:p>
        </w:tc>
        <w:tc>
          <w:tcPr>
            <w:tcW w:w="1321" w:type="dxa"/>
            <w:tcBorders>
              <w:top w:val="single" w:sz="4" w:space="0" w:color="auto"/>
              <w:left w:val="single" w:sz="4" w:space="0" w:color="auto"/>
              <w:bottom w:val="single" w:sz="4" w:space="0" w:color="auto"/>
              <w:right w:val="single" w:sz="4" w:space="0" w:color="auto"/>
            </w:tcBorders>
            <w:noWrap/>
            <w:hideMark/>
          </w:tcPr>
          <w:p w14:paraId="4893D0AF"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30.0</w:t>
            </w:r>
          </w:p>
        </w:tc>
      </w:tr>
      <w:tr w:rsidR="00412474" w:rsidRPr="00215667" w14:paraId="2A106806" w14:textId="77777777" w:rsidTr="00CA2056">
        <w:trPr>
          <w:trHeight w:val="240"/>
          <w:jc w:val="center"/>
        </w:trPr>
        <w:tc>
          <w:tcPr>
            <w:tcW w:w="3119"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1770E6A" w14:textId="2C653930" w:rsidR="00412474" w:rsidRPr="00215667" w:rsidRDefault="00CA2056" w:rsidP="00435E3A">
            <w:pPr>
              <w:rPr>
                <w:rFonts w:ascii="Times New Roman" w:eastAsia="Times New Roman" w:hAnsi="Times New Roman" w:cs="Times New Roman"/>
                <w:bCs/>
                <w:color w:val="FF0000"/>
                <w:sz w:val="24"/>
                <w:szCs w:val="24"/>
              </w:rPr>
            </w:pPr>
            <w:r>
              <w:rPr>
                <w:rFonts w:ascii="Times New Roman" w:eastAsia="Times New Roman" w:hAnsi="Times New Roman" w:cs="Times New Roman"/>
                <w:bCs/>
                <w:color w:val="000000"/>
                <w:sz w:val="24"/>
                <w:szCs w:val="24"/>
                <w:lang w:val="mk-MK"/>
              </w:rPr>
              <w:t>д</w:t>
            </w:r>
            <w:proofErr w:type="spellStart"/>
            <w:r w:rsidR="00412474" w:rsidRPr="00215667">
              <w:rPr>
                <w:rFonts w:ascii="Times New Roman" w:eastAsia="Times New Roman" w:hAnsi="Times New Roman" w:cs="Times New Roman"/>
                <w:bCs/>
                <w:color w:val="000000"/>
                <w:sz w:val="24"/>
                <w:szCs w:val="24"/>
              </w:rPr>
              <w:t>ентоалвеоларна</w:t>
            </w:r>
            <w:proofErr w:type="spellEnd"/>
            <w:r w:rsidR="00412474" w:rsidRPr="00215667">
              <w:rPr>
                <w:rFonts w:ascii="Times New Roman" w:eastAsia="Times New Roman" w:hAnsi="Times New Roman" w:cs="Times New Roman"/>
                <w:bCs/>
                <w:color w:val="000000"/>
                <w:sz w:val="24"/>
                <w:szCs w:val="24"/>
              </w:rPr>
              <w:t xml:space="preserve"> </w:t>
            </w:r>
            <w:proofErr w:type="spellStart"/>
            <w:r w:rsidR="00412474" w:rsidRPr="00215667">
              <w:rPr>
                <w:rFonts w:ascii="Times New Roman" w:eastAsia="Times New Roman" w:hAnsi="Times New Roman" w:cs="Times New Roman"/>
                <w:bCs/>
                <w:color w:val="000000"/>
                <w:sz w:val="24"/>
                <w:szCs w:val="24"/>
              </w:rPr>
              <w:t>хирургија</w:t>
            </w:r>
            <w:proofErr w:type="spellEnd"/>
            <w:r w:rsidR="00412474" w:rsidRPr="00215667">
              <w:rPr>
                <w:rFonts w:ascii="Times New Roman" w:eastAsia="Times New Roman" w:hAnsi="Times New Roman" w:cs="Times New Roman"/>
                <w:bCs/>
                <w:color w:val="FF000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1F70C5D6"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6.7</w:t>
            </w:r>
          </w:p>
        </w:tc>
        <w:tc>
          <w:tcPr>
            <w:tcW w:w="760" w:type="dxa"/>
            <w:tcBorders>
              <w:top w:val="single" w:sz="4" w:space="0" w:color="auto"/>
              <w:left w:val="single" w:sz="4" w:space="0" w:color="auto"/>
              <w:bottom w:val="single" w:sz="4" w:space="0" w:color="auto"/>
              <w:right w:val="single" w:sz="4" w:space="0" w:color="auto"/>
            </w:tcBorders>
            <w:noWrap/>
            <w:hideMark/>
          </w:tcPr>
          <w:p w14:paraId="4462679A"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15</w:t>
            </w:r>
          </w:p>
        </w:tc>
        <w:tc>
          <w:tcPr>
            <w:tcW w:w="1417" w:type="dxa"/>
            <w:tcBorders>
              <w:top w:val="single" w:sz="4" w:space="0" w:color="auto"/>
              <w:left w:val="single" w:sz="4" w:space="0" w:color="auto"/>
              <w:bottom w:val="single" w:sz="4" w:space="0" w:color="auto"/>
              <w:right w:val="single" w:sz="4" w:space="0" w:color="auto"/>
            </w:tcBorders>
            <w:noWrap/>
            <w:hideMark/>
          </w:tcPr>
          <w:p w14:paraId="0E2D5604"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2.716791</w:t>
            </w:r>
          </w:p>
        </w:tc>
        <w:tc>
          <w:tcPr>
            <w:tcW w:w="1134" w:type="dxa"/>
            <w:tcBorders>
              <w:top w:val="single" w:sz="4" w:space="0" w:color="auto"/>
              <w:left w:val="single" w:sz="4" w:space="0" w:color="auto"/>
              <w:bottom w:val="single" w:sz="4" w:space="0" w:color="auto"/>
              <w:right w:val="single" w:sz="4" w:space="0" w:color="auto"/>
            </w:tcBorders>
            <w:noWrap/>
            <w:hideMark/>
          </w:tcPr>
          <w:p w14:paraId="7C498D79"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2.0</w:t>
            </w:r>
          </w:p>
        </w:tc>
        <w:tc>
          <w:tcPr>
            <w:tcW w:w="1321" w:type="dxa"/>
            <w:tcBorders>
              <w:top w:val="single" w:sz="4" w:space="0" w:color="auto"/>
              <w:left w:val="single" w:sz="4" w:space="0" w:color="auto"/>
              <w:bottom w:val="single" w:sz="4" w:space="0" w:color="auto"/>
              <w:right w:val="single" w:sz="4" w:space="0" w:color="auto"/>
            </w:tcBorders>
            <w:noWrap/>
            <w:hideMark/>
          </w:tcPr>
          <w:p w14:paraId="2CC559BD"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12.0</w:t>
            </w:r>
          </w:p>
        </w:tc>
      </w:tr>
      <w:tr w:rsidR="00412474" w:rsidRPr="00215667" w14:paraId="746FA30C" w14:textId="77777777" w:rsidTr="00CA2056">
        <w:trPr>
          <w:trHeight w:val="253"/>
          <w:jc w:val="center"/>
        </w:trPr>
        <w:tc>
          <w:tcPr>
            <w:tcW w:w="3119"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2738924" w14:textId="057F78C6" w:rsidR="00412474" w:rsidRPr="00215667" w:rsidRDefault="00CA2056" w:rsidP="00435E3A">
            <w:pPr>
              <w:rPr>
                <w:rFonts w:ascii="Times New Roman" w:eastAsia="Times New Roman" w:hAnsi="Times New Roman" w:cs="Times New Roman"/>
                <w:bCs/>
                <w:color w:val="FF0000"/>
                <w:sz w:val="24"/>
                <w:szCs w:val="24"/>
              </w:rPr>
            </w:pPr>
            <w:r>
              <w:rPr>
                <w:rFonts w:ascii="Times New Roman" w:eastAsia="Times New Roman" w:hAnsi="Times New Roman" w:cs="Times New Roman"/>
                <w:bCs/>
                <w:sz w:val="24"/>
                <w:szCs w:val="24"/>
                <w:lang w:val="mk-MK"/>
              </w:rPr>
              <w:t>е</w:t>
            </w:r>
            <w:proofErr w:type="spellStart"/>
            <w:r w:rsidR="00412474" w:rsidRPr="00215667">
              <w:rPr>
                <w:rFonts w:ascii="Times New Roman" w:eastAsia="Times New Roman" w:hAnsi="Times New Roman" w:cs="Times New Roman"/>
                <w:bCs/>
                <w:sz w:val="24"/>
                <w:szCs w:val="24"/>
              </w:rPr>
              <w:t>кстракција</w:t>
            </w:r>
            <w:proofErr w:type="spellEnd"/>
            <w:r w:rsidR="00412474" w:rsidRPr="00215667">
              <w:rPr>
                <w:rFonts w:ascii="Times New Roman" w:eastAsia="Times New Roman" w:hAnsi="Times New Roman" w:cs="Times New Roman"/>
                <w:bCs/>
                <w:sz w:val="24"/>
                <w:szCs w:val="24"/>
              </w:rPr>
              <w:t xml:space="preserve"> </w:t>
            </w:r>
            <w:proofErr w:type="spellStart"/>
            <w:r w:rsidR="00412474" w:rsidRPr="00215667">
              <w:rPr>
                <w:rFonts w:ascii="Times New Roman" w:eastAsia="Times New Roman" w:hAnsi="Times New Roman" w:cs="Times New Roman"/>
                <w:bCs/>
                <w:sz w:val="24"/>
                <w:szCs w:val="24"/>
              </w:rPr>
              <w:t>на</w:t>
            </w:r>
            <w:proofErr w:type="spellEnd"/>
            <w:r w:rsidR="00412474" w:rsidRPr="00215667">
              <w:rPr>
                <w:rFonts w:ascii="Times New Roman" w:eastAsia="Times New Roman" w:hAnsi="Times New Roman" w:cs="Times New Roman"/>
                <w:bCs/>
                <w:sz w:val="24"/>
                <w:szCs w:val="24"/>
              </w:rPr>
              <w:t xml:space="preserve"> </w:t>
            </w:r>
            <w:proofErr w:type="spellStart"/>
            <w:r w:rsidR="00412474" w:rsidRPr="00215667">
              <w:rPr>
                <w:rFonts w:ascii="Times New Roman" w:eastAsia="Times New Roman" w:hAnsi="Times New Roman" w:cs="Times New Roman"/>
                <w:bCs/>
                <w:sz w:val="24"/>
                <w:szCs w:val="24"/>
              </w:rPr>
              <w:t>заб</w:t>
            </w:r>
            <w:proofErr w:type="spellEnd"/>
            <w:r w:rsidR="00412474" w:rsidRPr="00215667">
              <w:rPr>
                <w:rFonts w:ascii="Times New Roman" w:eastAsia="Times New Roman" w:hAnsi="Times New Roman" w:cs="Times New Roman"/>
                <w:bCs/>
                <w:sz w:val="24"/>
                <w:szCs w:val="24"/>
              </w:rPr>
              <w:t xml:space="preserve"> </w:t>
            </w:r>
            <w:proofErr w:type="spellStart"/>
            <w:r w:rsidR="00412474" w:rsidRPr="00215667">
              <w:rPr>
                <w:rFonts w:ascii="Times New Roman" w:eastAsia="Times New Roman" w:hAnsi="Times New Roman" w:cs="Times New Roman"/>
                <w:bCs/>
                <w:sz w:val="24"/>
                <w:szCs w:val="24"/>
              </w:rPr>
              <w:t>во</w:t>
            </w:r>
            <w:proofErr w:type="spellEnd"/>
            <w:r w:rsidR="00412474" w:rsidRPr="00215667">
              <w:rPr>
                <w:rFonts w:ascii="Times New Roman" w:eastAsia="Times New Roman" w:hAnsi="Times New Roman" w:cs="Times New Roman"/>
                <w:bCs/>
                <w:sz w:val="24"/>
                <w:szCs w:val="24"/>
              </w:rPr>
              <w:t xml:space="preserve"> </w:t>
            </w:r>
            <w:proofErr w:type="spellStart"/>
            <w:r w:rsidR="00412474" w:rsidRPr="00215667">
              <w:rPr>
                <w:rFonts w:ascii="Times New Roman" w:eastAsia="Times New Roman" w:hAnsi="Times New Roman" w:cs="Times New Roman"/>
                <w:bCs/>
                <w:sz w:val="24"/>
                <w:szCs w:val="24"/>
              </w:rPr>
              <w:t>максила</w:t>
            </w:r>
            <w:proofErr w:type="spellEnd"/>
          </w:p>
        </w:tc>
        <w:tc>
          <w:tcPr>
            <w:tcW w:w="1134" w:type="dxa"/>
            <w:tcBorders>
              <w:top w:val="single" w:sz="4" w:space="0" w:color="auto"/>
              <w:left w:val="single" w:sz="4" w:space="0" w:color="auto"/>
              <w:bottom w:val="single" w:sz="4" w:space="0" w:color="auto"/>
              <w:right w:val="single" w:sz="4" w:space="0" w:color="auto"/>
            </w:tcBorders>
            <w:noWrap/>
            <w:hideMark/>
          </w:tcPr>
          <w:p w14:paraId="3561178D"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3.9</w:t>
            </w:r>
          </w:p>
        </w:tc>
        <w:tc>
          <w:tcPr>
            <w:tcW w:w="760" w:type="dxa"/>
            <w:tcBorders>
              <w:top w:val="single" w:sz="4" w:space="0" w:color="auto"/>
              <w:left w:val="single" w:sz="4" w:space="0" w:color="auto"/>
              <w:bottom w:val="single" w:sz="4" w:space="0" w:color="auto"/>
              <w:right w:val="single" w:sz="4" w:space="0" w:color="auto"/>
            </w:tcBorders>
            <w:noWrap/>
            <w:hideMark/>
          </w:tcPr>
          <w:p w14:paraId="68D13E28"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18</w:t>
            </w:r>
          </w:p>
        </w:tc>
        <w:tc>
          <w:tcPr>
            <w:tcW w:w="1417" w:type="dxa"/>
            <w:tcBorders>
              <w:top w:val="single" w:sz="4" w:space="0" w:color="auto"/>
              <w:left w:val="single" w:sz="4" w:space="0" w:color="auto"/>
              <w:bottom w:val="single" w:sz="4" w:space="0" w:color="auto"/>
              <w:right w:val="single" w:sz="4" w:space="0" w:color="auto"/>
            </w:tcBorders>
            <w:noWrap/>
            <w:hideMark/>
          </w:tcPr>
          <w:p w14:paraId="3E4A7EBD"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7.128145</w:t>
            </w:r>
          </w:p>
        </w:tc>
        <w:tc>
          <w:tcPr>
            <w:tcW w:w="1134" w:type="dxa"/>
            <w:tcBorders>
              <w:top w:val="single" w:sz="4" w:space="0" w:color="auto"/>
              <w:left w:val="single" w:sz="4" w:space="0" w:color="auto"/>
              <w:bottom w:val="single" w:sz="4" w:space="0" w:color="auto"/>
              <w:right w:val="single" w:sz="4" w:space="0" w:color="auto"/>
            </w:tcBorders>
            <w:noWrap/>
            <w:hideMark/>
          </w:tcPr>
          <w:p w14:paraId="4AECFC50"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0</w:t>
            </w:r>
          </w:p>
        </w:tc>
        <w:tc>
          <w:tcPr>
            <w:tcW w:w="1321" w:type="dxa"/>
            <w:tcBorders>
              <w:top w:val="single" w:sz="4" w:space="0" w:color="auto"/>
              <w:left w:val="single" w:sz="4" w:space="0" w:color="auto"/>
              <w:bottom w:val="single" w:sz="4" w:space="0" w:color="auto"/>
              <w:right w:val="single" w:sz="4" w:space="0" w:color="auto"/>
            </w:tcBorders>
            <w:noWrap/>
            <w:hideMark/>
          </w:tcPr>
          <w:p w14:paraId="0098793C"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30.0</w:t>
            </w:r>
          </w:p>
        </w:tc>
      </w:tr>
    </w:tbl>
    <w:p w14:paraId="79CF02A9"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1DDA7E8A" w14:textId="250FF1E8" w:rsidR="00412474" w:rsidRPr="00215667" w:rsidRDefault="00412474" w:rsidP="00CA2056">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Графикон бр.</w:t>
      </w:r>
      <w:r w:rsidR="00CA2056">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18</w:t>
      </w:r>
      <w:r w:rsidR="00CA2056">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времето на крвавење (PEB) во однос на  локализацијата и екстензивност</w:t>
      </w:r>
      <w:r w:rsidR="00CA2056">
        <w:rPr>
          <w:rFonts w:ascii="Times New Roman" w:eastAsia="Calibri" w:hAnsi="Times New Roman" w:cs="Times New Roman"/>
          <w:sz w:val="24"/>
          <w:szCs w:val="24"/>
        </w:rPr>
        <w:t>а</w:t>
      </w:r>
      <w:r w:rsidRPr="00215667">
        <w:rPr>
          <w:rFonts w:ascii="Times New Roman" w:eastAsia="Calibri" w:hAnsi="Times New Roman" w:cs="Times New Roman"/>
          <w:sz w:val="24"/>
          <w:szCs w:val="24"/>
        </w:rPr>
        <w:t xml:space="preserve"> на изведен</w:t>
      </w:r>
      <w:r w:rsidR="00CA2056">
        <w:rPr>
          <w:rFonts w:ascii="Times New Roman" w:eastAsia="Calibri" w:hAnsi="Times New Roman" w:cs="Times New Roman"/>
          <w:sz w:val="24"/>
          <w:szCs w:val="24"/>
        </w:rPr>
        <w:t>ите</w:t>
      </w:r>
      <w:r w:rsidRPr="00215667">
        <w:rPr>
          <w:rFonts w:ascii="Times New Roman" w:eastAsia="Calibri" w:hAnsi="Times New Roman" w:cs="Times New Roman"/>
          <w:sz w:val="24"/>
          <w:szCs w:val="24"/>
        </w:rPr>
        <w:t xml:space="preserve"> хируршки интервенции</w:t>
      </w:r>
    </w:p>
    <w:p w14:paraId="6235341F" w14:textId="77777777" w:rsidR="00412474" w:rsidRPr="00215667" w:rsidRDefault="00412474" w:rsidP="00412474">
      <w:pPr>
        <w:spacing w:after="120" w:line="360" w:lineRule="auto"/>
        <w:jc w:val="both"/>
        <w:rPr>
          <w:rFonts w:ascii="Times New Roman" w:eastAsia="Calibri" w:hAnsi="Times New Roman" w:cs="Times New Roman"/>
          <w:color w:val="FF0000"/>
          <w:sz w:val="24"/>
          <w:szCs w:val="24"/>
        </w:rPr>
      </w:pPr>
      <w:r w:rsidRPr="00215667">
        <w:rPr>
          <w:rFonts w:ascii="Times New Roman" w:eastAsia="Calibri" w:hAnsi="Times New Roman" w:cs="Times New Roman"/>
          <w:noProof/>
          <w:color w:val="FF0000"/>
          <w:sz w:val="24"/>
          <w:szCs w:val="24"/>
          <w:lang w:val="en-US"/>
        </w:rPr>
        <w:drawing>
          <wp:inline distT="0" distB="0" distL="0" distR="0" wp14:anchorId="3DB11789" wp14:editId="248956BC">
            <wp:extent cx="5580847" cy="2471643"/>
            <wp:effectExtent l="0" t="0" r="1270" b="5080"/>
            <wp:docPr id="269462387" name="Picture 1" descr="A graph with line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462387" name="Picture 1" descr="A graph with lines and text&#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22977" cy="2490302"/>
                    </a:xfrm>
                    <a:prstGeom prst="rect">
                      <a:avLst/>
                    </a:prstGeom>
                    <a:noFill/>
                  </pic:spPr>
                </pic:pic>
              </a:graphicData>
            </a:graphic>
          </wp:inline>
        </w:drawing>
      </w:r>
    </w:p>
    <w:p w14:paraId="42BB2AD4" w14:textId="77777777" w:rsidR="00CA2056" w:rsidRDefault="00CA2056" w:rsidP="00CA2056">
      <w:pPr>
        <w:spacing w:after="120" w:line="360" w:lineRule="auto"/>
        <w:ind w:firstLine="720"/>
        <w:jc w:val="both"/>
        <w:rPr>
          <w:rFonts w:ascii="Times New Roman" w:eastAsia="Calibri" w:hAnsi="Times New Roman" w:cs="Times New Roman"/>
          <w:sz w:val="24"/>
          <w:szCs w:val="24"/>
        </w:rPr>
      </w:pPr>
    </w:p>
    <w:p w14:paraId="3921E61A" w14:textId="232D599C" w:rsidR="00412474" w:rsidRPr="00215667" w:rsidRDefault="00CA2056" w:rsidP="00CA2056">
      <w:pPr>
        <w:spacing w:after="120" w:line="360" w:lineRule="auto"/>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П</w:t>
      </w:r>
      <w:r w:rsidRPr="00215667">
        <w:rPr>
          <w:rFonts w:ascii="Times New Roman" w:eastAsia="Calibri" w:hAnsi="Times New Roman" w:cs="Times New Roman"/>
          <w:sz w:val="24"/>
          <w:szCs w:val="24"/>
        </w:rPr>
        <w:t xml:space="preserve">ациентите добро ја поднесуваат </w:t>
      </w:r>
      <w:r>
        <w:rPr>
          <w:rFonts w:ascii="Times New Roman" w:eastAsia="Calibri" w:hAnsi="Times New Roman" w:cs="Times New Roman"/>
          <w:sz w:val="24"/>
          <w:szCs w:val="24"/>
        </w:rPr>
        <w:t>а</w:t>
      </w:r>
      <w:r w:rsidR="00412474" w:rsidRPr="00215667">
        <w:rPr>
          <w:rFonts w:ascii="Times New Roman" w:eastAsia="Calibri" w:hAnsi="Times New Roman" w:cs="Times New Roman"/>
          <w:sz w:val="24"/>
          <w:szCs w:val="24"/>
        </w:rPr>
        <w:t>пликацијата на ТХА во профилактичка цел. Несакани ефекти се јавуваат кај тројца (4.7</w:t>
      </w:r>
      <w:r>
        <w:rPr>
          <w:rFonts w:ascii="Times New Roman" w:eastAsia="Calibri" w:hAnsi="Times New Roman" w:cs="Times New Roman"/>
          <w:sz w:val="24"/>
          <w:szCs w:val="24"/>
        </w:rPr>
        <w:t xml:space="preserve"> </w:t>
      </w:r>
      <w:r w:rsidR="00412474" w:rsidRPr="00215667">
        <w:rPr>
          <w:rFonts w:ascii="Times New Roman" w:eastAsia="Calibri" w:hAnsi="Times New Roman" w:cs="Times New Roman"/>
          <w:sz w:val="24"/>
          <w:szCs w:val="24"/>
        </w:rPr>
        <w:t>%) од пациентите, и тоа кај двајца (3.1</w:t>
      </w:r>
      <w:r>
        <w:rPr>
          <w:rFonts w:ascii="Times New Roman" w:eastAsia="Calibri" w:hAnsi="Times New Roman" w:cs="Times New Roman"/>
          <w:sz w:val="24"/>
          <w:szCs w:val="24"/>
        </w:rPr>
        <w:t xml:space="preserve"> </w:t>
      </w:r>
      <w:r w:rsidR="00412474" w:rsidRPr="00215667">
        <w:rPr>
          <w:rFonts w:ascii="Times New Roman" w:eastAsia="Calibri" w:hAnsi="Times New Roman" w:cs="Times New Roman"/>
          <w:sz w:val="24"/>
          <w:szCs w:val="24"/>
        </w:rPr>
        <w:t>%) се регистрира гадење и кај еден (1.6</w:t>
      </w:r>
      <w:r>
        <w:rPr>
          <w:rFonts w:ascii="Times New Roman" w:eastAsia="Calibri" w:hAnsi="Times New Roman" w:cs="Times New Roman"/>
          <w:sz w:val="24"/>
          <w:szCs w:val="24"/>
        </w:rPr>
        <w:t xml:space="preserve"> </w:t>
      </w:r>
      <w:r w:rsidR="00412474" w:rsidRPr="00215667">
        <w:rPr>
          <w:rFonts w:ascii="Times New Roman" w:eastAsia="Calibri" w:hAnsi="Times New Roman" w:cs="Times New Roman"/>
          <w:sz w:val="24"/>
          <w:szCs w:val="24"/>
        </w:rPr>
        <w:t>%) вртоглавица. Процентуалната разлика помеѓу немањето на несакани ефекти (95.3</w:t>
      </w:r>
      <w:r>
        <w:rPr>
          <w:rFonts w:ascii="Times New Roman" w:eastAsia="Calibri" w:hAnsi="Times New Roman" w:cs="Times New Roman"/>
          <w:sz w:val="24"/>
          <w:szCs w:val="24"/>
        </w:rPr>
        <w:t xml:space="preserve"> </w:t>
      </w:r>
      <w:r w:rsidR="00412474" w:rsidRPr="00215667">
        <w:rPr>
          <w:rFonts w:ascii="Times New Roman" w:eastAsia="Calibri" w:hAnsi="Times New Roman" w:cs="Times New Roman"/>
          <w:sz w:val="24"/>
          <w:szCs w:val="24"/>
        </w:rPr>
        <w:t xml:space="preserve">%) </w:t>
      </w:r>
      <w:r w:rsidR="001F2E2D">
        <w:rPr>
          <w:rFonts w:ascii="Times New Roman" w:eastAsia="Calibri" w:hAnsi="Times New Roman" w:cs="Times New Roman"/>
          <w:sz w:val="24"/>
          <w:szCs w:val="24"/>
        </w:rPr>
        <w:t>версус</w:t>
      </w:r>
      <w:r w:rsidR="00412474" w:rsidRPr="00215667">
        <w:rPr>
          <w:rFonts w:ascii="Times New Roman" w:eastAsia="Calibri" w:hAnsi="Times New Roman" w:cs="Times New Roman"/>
          <w:sz w:val="24"/>
          <w:szCs w:val="24"/>
        </w:rPr>
        <w:t xml:space="preserve"> појавата на несакани ефекти е сигнификантна за p</w:t>
      </w:r>
      <w:r>
        <w:rPr>
          <w:rFonts w:ascii="Times New Roman" w:eastAsia="Calibri" w:hAnsi="Times New Roman" w:cs="Times New Roman"/>
          <w:sz w:val="24"/>
          <w:szCs w:val="24"/>
        </w:rPr>
        <w:t xml:space="preserve"> </w:t>
      </w:r>
      <w:r w:rsidR="00412474" w:rsidRPr="00215667">
        <w:rPr>
          <w:rFonts w:ascii="Times New Roman" w:eastAsia="Calibri" w:hAnsi="Times New Roman" w:cs="Times New Roman"/>
          <w:sz w:val="24"/>
          <w:szCs w:val="24"/>
        </w:rPr>
        <w:t>&lt;</w:t>
      </w:r>
      <w:r>
        <w:rPr>
          <w:rFonts w:ascii="Times New Roman" w:eastAsia="Calibri" w:hAnsi="Times New Roman" w:cs="Times New Roman"/>
          <w:sz w:val="24"/>
          <w:szCs w:val="24"/>
        </w:rPr>
        <w:t xml:space="preserve"> </w:t>
      </w:r>
      <w:r w:rsidR="00412474" w:rsidRPr="00215667">
        <w:rPr>
          <w:rFonts w:ascii="Times New Roman" w:eastAsia="Calibri" w:hAnsi="Times New Roman" w:cs="Times New Roman"/>
          <w:sz w:val="24"/>
          <w:szCs w:val="24"/>
        </w:rPr>
        <w:t>.05 (</w:t>
      </w:r>
      <w:r w:rsidR="00412474" w:rsidRPr="00CA2056">
        <w:rPr>
          <w:rFonts w:ascii="Times New Roman" w:eastAsia="Calibri" w:hAnsi="Times New Roman" w:cs="Times New Roman"/>
          <w:i/>
          <w:iCs/>
          <w:sz w:val="24"/>
          <w:szCs w:val="24"/>
        </w:rPr>
        <w:t>Difference test</w:t>
      </w:r>
      <w:r w:rsidR="00412474" w:rsidRPr="00215667">
        <w:rPr>
          <w:rFonts w:ascii="Times New Roman" w:eastAsia="Calibri" w:hAnsi="Times New Roman" w:cs="Times New Roman"/>
          <w:sz w:val="24"/>
          <w:szCs w:val="24"/>
        </w:rPr>
        <w:t>, p</w:t>
      </w:r>
      <w:r>
        <w:rPr>
          <w:rFonts w:ascii="Times New Roman" w:eastAsia="Calibri" w:hAnsi="Times New Roman" w:cs="Times New Roman"/>
          <w:sz w:val="24"/>
          <w:szCs w:val="24"/>
        </w:rPr>
        <w:t xml:space="preserve"> </w:t>
      </w:r>
      <w:r w:rsidR="00412474" w:rsidRPr="00215667">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412474" w:rsidRPr="00215667">
        <w:rPr>
          <w:rFonts w:ascii="Times New Roman" w:eastAsia="Calibri" w:hAnsi="Times New Roman" w:cs="Times New Roman"/>
          <w:sz w:val="24"/>
          <w:szCs w:val="24"/>
        </w:rPr>
        <w:t>.</w:t>
      </w:r>
      <w:r w:rsidR="00412474" w:rsidRPr="00215667">
        <w:rPr>
          <w:rFonts w:ascii="Times New Roman" w:eastAsia="Calibri" w:hAnsi="Times New Roman" w:cs="Times New Roman"/>
          <w:color w:val="FF0000"/>
          <w:sz w:val="24"/>
          <w:szCs w:val="24"/>
        </w:rPr>
        <w:t>0000</w:t>
      </w:r>
      <w:r w:rsidR="00412474" w:rsidRPr="00215667">
        <w:rPr>
          <w:rFonts w:ascii="Times New Roman" w:eastAsia="Calibri" w:hAnsi="Times New Roman" w:cs="Times New Roman"/>
          <w:sz w:val="24"/>
          <w:szCs w:val="24"/>
        </w:rPr>
        <w:t>) (табела</w:t>
      </w:r>
      <w:r>
        <w:rPr>
          <w:rFonts w:ascii="Times New Roman" w:eastAsia="Calibri" w:hAnsi="Times New Roman" w:cs="Times New Roman"/>
          <w:sz w:val="24"/>
          <w:szCs w:val="24"/>
        </w:rPr>
        <w:t xml:space="preserve"> бр. 19</w:t>
      </w:r>
      <w:r w:rsidR="00412474" w:rsidRPr="00215667">
        <w:rPr>
          <w:rFonts w:ascii="Times New Roman" w:eastAsia="Calibri" w:hAnsi="Times New Roman" w:cs="Times New Roman"/>
          <w:sz w:val="24"/>
          <w:szCs w:val="24"/>
        </w:rPr>
        <w:t xml:space="preserve"> и графикон бр</w:t>
      </w:r>
      <w:r>
        <w:rPr>
          <w:rFonts w:ascii="Times New Roman" w:eastAsia="Calibri" w:hAnsi="Times New Roman" w:cs="Times New Roman"/>
          <w:sz w:val="24"/>
          <w:szCs w:val="24"/>
        </w:rPr>
        <w:t>.</w:t>
      </w:r>
      <w:r w:rsidR="00412474" w:rsidRPr="00215667">
        <w:rPr>
          <w:rFonts w:ascii="Times New Roman" w:eastAsia="Calibri" w:hAnsi="Times New Roman" w:cs="Times New Roman"/>
          <w:sz w:val="24"/>
          <w:szCs w:val="24"/>
        </w:rPr>
        <w:t xml:space="preserve"> 19). </w:t>
      </w:r>
    </w:p>
    <w:p w14:paraId="607A9BFF" w14:textId="77777777" w:rsidR="00CA2056" w:rsidRDefault="00CA2056" w:rsidP="00412474">
      <w:pPr>
        <w:spacing w:after="120" w:line="360" w:lineRule="auto"/>
        <w:jc w:val="both"/>
        <w:rPr>
          <w:rFonts w:ascii="Times New Roman" w:eastAsia="Calibri" w:hAnsi="Times New Roman" w:cs="Times New Roman"/>
          <w:sz w:val="24"/>
          <w:szCs w:val="24"/>
        </w:rPr>
      </w:pPr>
    </w:p>
    <w:p w14:paraId="64853382" w14:textId="7C2BAC90" w:rsidR="00412474" w:rsidRPr="00215667" w:rsidRDefault="00412474" w:rsidP="00CA2056">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lastRenderedPageBreak/>
        <w:t>Табела бр. 19</w:t>
      </w:r>
      <w:r w:rsidR="00CA2056">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несакани ефекти при интравенска апликација на ТХА</w:t>
      </w:r>
    </w:p>
    <w:tbl>
      <w:tblPr>
        <w:tblStyle w:val="TableGrid1"/>
        <w:tblW w:w="8926" w:type="dxa"/>
        <w:jc w:val="center"/>
        <w:tblLook w:val="04A0" w:firstRow="1" w:lastRow="0" w:firstColumn="1" w:lastColumn="0" w:noHBand="0" w:noVBand="1"/>
      </w:tblPr>
      <w:tblGrid>
        <w:gridCol w:w="6658"/>
        <w:gridCol w:w="1134"/>
        <w:gridCol w:w="1134"/>
      </w:tblGrid>
      <w:tr w:rsidR="00412474" w:rsidRPr="00215667" w14:paraId="10BF5F5D" w14:textId="77777777" w:rsidTr="00CA2056">
        <w:trPr>
          <w:jc w:val="center"/>
        </w:trPr>
        <w:tc>
          <w:tcPr>
            <w:tcW w:w="665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515E7AD" w14:textId="344C2212" w:rsidR="00412474" w:rsidRPr="00215667" w:rsidRDefault="00CA2056" w:rsidP="00435E3A">
            <w:pPr>
              <w:rPr>
                <w:rFonts w:ascii="Times New Roman" w:eastAsia="Times New Roman" w:hAnsi="Times New Roman" w:cs="Times New Roman"/>
                <w:b/>
                <w:sz w:val="24"/>
                <w:szCs w:val="24"/>
              </w:rPr>
            </w:pPr>
            <w:r>
              <w:rPr>
                <w:rFonts w:ascii="Times New Roman" w:hAnsi="Times New Roman" w:cs="Times New Roman"/>
                <w:b/>
                <w:sz w:val="24"/>
                <w:szCs w:val="24"/>
                <w:lang w:val="mk-MK"/>
              </w:rPr>
              <w:t>Н</w:t>
            </w:r>
            <w:proofErr w:type="spellStart"/>
            <w:r w:rsidR="00412474" w:rsidRPr="00215667">
              <w:rPr>
                <w:rFonts w:ascii="Times New Roman" w:hAnsi="Times New Roman" w:cs="Times New Roman"/>
                <w:b/>
                <w:sz w:val="24"/>
                <w:szCs w:val="24"/>
              </w:rPr>
              <w:t>есакани</w:t>
            </w:r>
            <w:proofErr w:type="spellEnd"/>
            <w:r w:rsidR="00412474" w:rsidRPr="00215667">
              <w:rPr>
                <w:rFonts w:ascii="Times New Roman" w:hAnsi="Times New Roman" w:cs="Times New Roman"/>
                <w:b/>
                <w:sz w:val="24"/>
                <w:szCs w:val="24"/>
              </w:rPr>
              <w:t xml:space="preserve"> </w:t>
            </w:r>
            <w:proofErr w:type="spellStart"/>
            <w:r w:rsidR="00412474" w:rsidRPr="00215667">
              <w:rPr>
                <w:rFonts w:ascii="Times New Roman" w:hAnsi="Times New Roman" w:cs="Times New Roman"/>
                <w:b/>
                <w:sz w:val="24"/>
                <w:szCs w:val="24"/>
              </w:rPr>
              <w:t>ефекти</w:t>
            </w:r>
            <w:proofErr w:type="spellEnd"/>
            <w:r w:rsidR="00412474" w:rsidRPr="00215667">
              <w:rPr>
                <w:rFonts w:ascii="Times New Roman" w:hAnsi="Times New Roman" w:cs="Times New Roman"/>
                <w:b/>
                <w:sz w:val="24"/>
                <w:szCs w:val="24"/>
              </w:rPr>
              <w:t xml:space="preserve"> </w:t>
            </w:r>
            <w:proofErr w:type="spellStart"/>
            <w:r w:rsidR="00412474" w:rsidRPr="00215667">
              <w:rPr>
                <w:rFonts w:ascii="Times New Roman" w:hAnsi="Times New Roman" w:cs="Times New Roman"/>
                <w:b/>
                <w:sz w:val="24"/>
                <w:szCs w:val="24"/>
              </w:rPr>
              <w:t>при</w:t>
            </w:r>
            <w:proofErr w:type="spellEnd"/>
            <w:r w:rsidR="00412474" w:rsidRPr="00215667">
              <w:rPr>
                <w:rFonts w:ascii="Times New Roman" w:hAnsi="Times New Roman" w:cs="Times New Roman"/>
                <w:b/>
                <w:sz w:val="24"/>
                <w:szCs w:val="24"/>
              </w:rPr>
              <w:t xml:space="preserve"> </w:t>
            </w:r>
            <w:proofErr w:type="spellStart"/>
            <w:r w:rsidR="00412474" w:rsidRPr="00215667">
              <w:rPr>
                <w:rFonts w:ascii="Times New Roman" w:hAnsi="Times New Roman" w:cs="Times New Roman"/>
                <w:b/>
                <w:sz w:val="24"/>
                <w:szCs w:val="24"/>
              </w:rPr>
              <w:t>и.в</w:t>
            </w:r>
            <w:proofErr w:type="spellEnd"/>
            <w:r w:rsidR="00412474" w:rsidRPr="00215667">
              <w:rPr>
                <w:rFonts w:ascii="Times New Roman" w:hAnsi="Times New Roman" w:cs="Times New Roman"/>
                <w:b/>
                <w:sz w:val="24"/>
                <w:szCs w:val="24"/>
              </w:rPr>
              <w:t xml:space="preserve">. </w:t>
            </w:r>
            <w:proofErr w:type="spellStart"/>
            <w:r w:rsidR="00412474" w:rsidRPr="00215667">
              <w:rPr>
                <w:rFonts w:ascii="Times New Roman" w:hAnsi="Times New Roman" w:cs="Times New Roman"/>
                <w:b/>
                <w:sz w:val="24"/>
                <w:szCs w:val="24"/>
              </w:rPr>
              <w:t>апликација</w:t>
            </w:r>
            <w:proofErr w:type="spellEnd"/>
            <w:r w:rsidR="00412474" w:rsidRPr="00215667">
              <w:rPr>
                <w:rFonts w:ascii="Times New Roman" w:hAnsi="Times New Roman" w:cs="Times New Roman"/>
                <w:b/>
                <w:sz w:val="24"/>
                <w:szCs w:val="24"/>
              </w:rPr>
              <w:t xml:space="preserve"> </w:t>
            </w:r>
            <w:proofErr w:type="spellStart"/>
            <w:r w:rsidR="00412474" w:rsidRPr="00215667">
              <w:rPr>
                <w:rFonts w:ascii="Times New Roman" w:hAnsi="Times New Roman" w:cs="Times New Roman"/>
                <w:b/>
                <w:sz w:val="24"/>
                <w:szCs w:val="24"/>
              </w:rPr>
              <w:t>на</w:t>
            </w:r>
            <w:proofErr w:type="spellEnd"/>
            <w:r w:rsidR="00412474" w:rsidRPr="00215667">
              <w:rPr>
                <w:rFonts w:ascii="Times New Roman" w:hAnsi="Times New Roman" w:cs="Times New Roman"/>
                <w:b/>
                <w:sz w:val="24"/>
                <w:szCs w:val="24"/>
              </w:rPr>
              <w:t xml:space="preserve"> ТХА</w:t>
            </w:r>
          </w:p>
        </w:tc>
        <w:tc>
          <w:tcPr>
            <w:tcW w:w="1134"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465D5CE" w14:textId="2AEB32BC" w:rsidR="00412474" w:rsidRPr="00215667" w:rsidRDefault="00CA2056"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Б</w:t>
            </w:r>
            <w:proofErr w:type="spellStart"/>
            <w:r w:rsidR="00412474" w:rsidRPr="00215667">
              <w:rPr>
                <w:rFonts w:ascii="Times New Roman" w:eastAsia="Times New Roman" w:hAnsi="Times New Roman" w:cs="Times New Roman"/>
                <w:b/>
                <w:bCs/>
                <w:color w:val="000000"/>
                <w:sz w:val="24"/>
                <w:szCs w:val="24"/>
              </w:rPr>
              <w:t>рој</w:t>
            </w:r>
            <w:proofErr w:type="spellEnd"/>
          </w:p>
        </w:tc>
        <w:tc>
          <w:tcPr>
            <w:tcW w:w="1134"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1C80047"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w:t>
            </w:r>
          </w:p>
        </w:tc>
      </w:tr>
      <w:tr w:rsidR="00412474" w:rsidRPr="00215667" w14:paraId="17A22CE2" w14:textId="77777777" w:rsidTr="00CA2056">
        <w:trPr>
          <w:jc w:val="center"/>
        </w:trPr>
        <w:tc>
          <w:tcPr>
            <w:tcW w:w="665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8BA35C6" w14:textId="77777777" w:rsidR="00412474" w:rsidRPr="00215667" w:rsidRDefault="00412474" w:rsidP="00435E3A">
            <w:pPr>
              <w:rPr>
                <w:rFonts w:ascii="Times New Roman" w:eastAsia="Times New Roman" w:hAnsi="Times New Roman" w:cs="Times New Roman"/>
                <w:bCs/>
                <w:sz w:val="24"/>
                <w:szCs w:val="24"/>
              </w:rPr>
            </w:pPr>
            <w:proofErr w:type="spellStart"/>
            <w:r w:rsidRPr="00215667">
              <w:rPr>
                <w:rFonts w:ascii="Times New Roman" w:eastAsia="Times New Roman" w:hAnsi="Times New Roman" w:cs="Times New Roman"/>
                <w:bCs/>
                <w:color w:val="000000"/>
                <w:sz w:val="24"/>
                <w:szCs w:val="24"/>
              </w:rPr>
              <w:t>нема</w:t>
            </w:r>
            <w:proofErr w:type="spellEnd"/>
          </w:p>
        </w:tc>
        <w:tc>
          <w:tcPr>
            <w:tcW w:w="1134" w:type="dxa"/>
            <w:tcBorders>
              <w:top w:val="single" w:sz="4" w:space="0" w:color="auto"/>
              <w:left w:val="single" w:sz="4" w:space="0" w:color="auto"/>
              <w:bottom w:val="single" w:sz="4" w:space="0" w:color="auto"/>
              <w:right w:val="single" w:sz="4" w:space="0" w:color="auto"/>
            </w:tcBorders>
            <w:noWrap/>
            <w:hideMark/>
          </w:tcPr>
          <w:p w14:paraId="3AADAF3E"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61</w:t>
            </w:r>
          </w:p>
        </w:tc>
        <w:tc>
          <w:tcPr>
            <w:tcW w:w="1134" w:type="dxa"/>
            <w:tcBorders>
              <w:top w:val="single" w:sz="4" w:space="0" w:color="auto"/>
              <w:left w:val="single" w:sz="4" w:space="0" w:color="auto"/>
              <w:bottom w:val="single" w:sz="4" w:space="0" w:color="auto"/>
              <w:right w:val="single" w:sz="4" w:space="0" w:color="auto"/>
            </w:tcBorders>
            <w:noWrap/>
            <w:hideMark/>
          </w:tcPr>
          <w:p w14:paraId="3428ADD9"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95.3</w:t>
            </w:r>
          </w:p>
        </w:tc>
      </w:tr>
      <w:tr w:rsidR="00412474" w:rsidRPr="00215667" w14:paraId="6130D0FC" w14:textId="77777777" w:rsidTr="00CA2056">
        <w:trPr>
          <w:jc w:val="center"/>
        </w:trPr>
        <w:tc>
          <w:tcPr>
            <w:tcW w:w="665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3A0A5C7" w14:textId="77777777" w:rsidR="00412474" w:rsidRPr="00215667" w:rsidRDefault="00412474" w:rsidP="00435E3A">
            <w:pPr>
              <w:rPr>
                <w:rFonts w:ascii="Times New Roman" w:eastAsia="Times New Roman" w:hAnsi="Times New Roman" w:cs="Times New Roman"/>
                <w:bCs/>
                <w:sz w:val="24"/>
                <w:szCs w:val="24"/>
              </w:rPr>
            </w:pPr>
            <w:proofErr w:type="spellStart"/>
            <w:r w:rsidRPr="00215667">
              <w:rPr>
                <w:rFonts w:ascii="Times New Roman" w:eastAsia="Times New Roman" w:hAnsi="Times New Roman" w:cs="Times New Roman"/>
                <w:bCs/>
                <w:color w:val="000000"/>
                <w:sz w:val="24"/>
                <w:szCs w:val="24"/>
              </w:rPr>
              <w:t>гадење</w:t>
            </w:r>
            <w:proofErr w:type="spellEnd"/>
          </w:p>
        </w:tc>
        <w:tc>
          <w:tcPr>
            <w:tcW w:w="1134" w:type="dxa"/>
            <w:tcBorders>
              <w:top w:val="single" w:sz="4" w:space="0" w:color="auto"/>
              <w:left w:val="single" w:sz="4" w:space="0" w:color="auto"/>
              <w:bottom w:val="single" w:sz="4" w:space="0" w:color="auto"/>
              <w:right w:val="single" w:sz="4" w:space="0" w:color="auto"/>
            </w:tcBorders>
            <w:noWrap/>
            <w:hideMark/>
          </w:tcPr>
          <w:p w14:paraId="0504AEAB"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w:t>
            </w:r>
          </w:p>
        </w:tc>
        <w:tc>
          <w:tcPr>
            <w:tcW w:w="1134" w:type="dxa"/>
            <w:tcBorders>
              <w:top w:val="single" w:sz="4" w:space="0" w:color="auto"/>
              <w:left w:val="single" w:sz="4" w:space="0" w:color="auto"/>
              <w:bottom w:val="single" w:sz="4" w:space="0" w:color="auto"/>
              <w:right w:val="single" w:sz="4" w:space="0" w:color="auto"/>
            </w:tcBorders>
            <w:noWrap/>
            <w:hideMark/>
          </w:tcPr>
          <w:p w14:paraId="1FAD94C3"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3.1</w:t>
            </w:r>
          </w:p>
        </w:tc>
      </w:tr>
      <w:tr w:rsidR="00412474" w:rsidRPr="00215667" w14:paraId="2493A4B6" w14:textId="77777777" w:rsidTr="00CA2056">
        <w:trPr>
          <w:jc w:val="center"/>
        </w:trPr>
        <w:tc>
          <w:tcPr>
            <w:tcW w:w="665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8CE2CB7" w14:textId="77777777" w:rsidR="00412474" w:rsidRPr="00215667" w:rsidRDefault="00412474" w:rsidP="00435E3A">
            <w:pPr>
              <w:rPr>
                <w:rFonts w:ascii="Times New Roman" w:eastAsia="Times New Roman" w:hAnsi="Times New Roman" w:cs="Times New Roman"/>
                <w:bCs/>
                <w:sz w:val="24"/>
                <w:szCs w:val="24"/>
              </w:rPr>
            </w:pPr>
            <w:proofErr w:type="spellStart"/>
            <w:r w:rsidRPr="00215667">
              <w:rPr>
                <w:rFonts w:ascii="Times New Roman" w:eastAsia="Times New Roman" w:hAnsi="Times New Roman" w:cs="Times New Roman"/>
                <w:bCs/>
                <w:color w:val="000000"/>
                <w:sz w:val="24"/>
                <w:szCs w:val="24"/>
              </w:rPr>
              <w:t>вртоглавица</w:t>
            </w:r>
            <w:proofErr w:type="spellEnd"/>
            <w:r w:rsidRPr="00215667">
              <w:rPr>
                <w:rFonts w:ascii="Times New Roman" w:eastAsia="Times New Roman" w:hAnsi="Times New Roman" w:cs="Times New Roman"/>
                <w:bCs/>
                <w:color w:val="000000"/>
                <w:sz w:val="24"/>
                <w:szCs w:val="24"/>
              </w:rPr>
              <w:t xml:space="preserve"> </w:t>
            </w:r>
          </w:p>
        </w:tc>
        <w:tc>
          <w:tcPr>
            <w:tcW w:w="1134" w:type="dxa"/>
            <w:tcBorders>
              <w:top w:val="single" w:sz="4" w:space="0" w:color="auto"/>
              <w:left w:val="single" w:sz="4" w:space="0" w:color="auto"/>
              <w:bottom w:val="single" w:sz="4" w:space="0" w:color="auto"/>
              <w:right w:val="single" w:sz="4" w:space="0" w:color="auto"/>
            </w:tcBorders>
            <w:noWrap/>
            <w:hideMark/>
          </w:tcPr>
          <w:p w14:paraId="089621CE"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w:t>
            </w:r>
          </w:p>
        </w:tc>
        <w:tc>
          <w:tcPr>
            <w:tcW w:w="1134" w:type="dxa"/>
            <w:tcBorders>
              <w:top w:val="single" w:sz="4" w:space="0" w:color="auto"/>
              <w:left w:val="single" w:sz="4" w:space="0" w:color="auto"/>
              <w:bottom w:val="single" w:sz="4" w:space="0" w:color="auto"/>
              <w:right w:val="single" w:sz="4" w:space="0" w:color="auto"/>
            </w:tcBorders>
            <w:noWrap/>
            <w:hideMark/>
          </w:tcPr>
          <w:p w14:paraId="029B8D98"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1.6</w:t>
            </w:r>
          </w:p>
        </w:tc>
      </w:tr>
    </w:tbl>
    <w:p w14:paraId="4F229F34"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54FC9DD2" w14:textId="5DE071A5" w:rsidR="00412474" w:rsidRPr="00215667" w:rsidRDefault="00412474" w:rsidP="00CA2056">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Графикон бр. 19</w:t>
      </w:r>
      <w:r w:rsidR="00CA2056">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несакани ефекти при интравенска апликација на ТХА</w:t>
      </w:r>
    </w:p>
    <w:p w14:paraId="7A3F5BB9" w14:textId="77777777" w:rsidR="00412474" w:rsidRPr="00215667" w:rsidRDefault="00412474" w:rsidP="00CA2056">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noProof/>
          <w:sz w:val="24"/>
          <w:szCs w:val="24"/>
          <w:lang w:val="en-US"/>
        </w:rPr>
        <w:drawing>
          <wp:inline distT="0" distB="0" distL="0" distR="0" wp14:anchorId="43A4A7D7" wp14:editId="1EC7C856">
            <wp:extent cx="4924425" cy="2562225"/>
            <wp:effectExtent l="0" t="0" r="9525" b="9525"/>
            <wp:docPr id="2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BAED1A0"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2CACC5E9" w14:textId="0E2391A0" w:rsidR="00412474" w:rsidRPr="00215667" w:rsidRDefault="00412474" w:rsidP="00CA2056">
      <w:pPr>
        <w:spacing w:after="120" w:line="360" w:lineRule="auto"/>
        <w:ind w:firstLine="720"/>
        <w:jc w:val="both"/>
        <w:rPr>
          <w:rFonts w:ascii="Times New Roman" w:eastAsia="Times New Roman" w:hAnsi="Times New Roman" w:cs="Times New Roman"/>
          <w:bCs/>
          <w:sz w:val="24"/>
          <w:szCs w:val="24"/>
        </w:rPr>
      </w:pPr>
      <w:r w:rsidRPr="00215667">
        <w:rPr>
          <w:rFonts w:ascii="Times New Roman" w:eastAsia="Times New Roman" w:hAnsi="Times New Roman" w:cs="Times New Roman"/>
          <w:bCs/>
          <w:sz w:val="24"/>
          <w:szCs w:val="24"/>
        </w:rPr>
        <w:t>Кај 98.4</w:t>
      </w:r>
      <w:r w:rsidR="00CA205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со употребата на локалните хемостатски процедури т.е. локална  апликација на газа натопена со ТХА и шиење на рана постекстракционо, се постигнува комплетна хемостаза, за еден пациент недостасуваат податоци.</w:t>
      </w:r>
    </w:p>
    <w:p w14:paraId="7B314CF0" w14:textId="37EAD554" w:rsidR="00412474" w:rsidRPr="00215667" w:rsidRDefault="00412474" w:rsidP="00CA2056">
      <w:pPr>
        <w:spacing w:after="120" w:line="360" w:lineRule="auto"/>
        <w:ind w:firstLine="720"/>
        <w:jc w:val="both"/>
        <w:rPr>
          <w:rFonts w:ascii="Times New Roman" w:eastAsia="Calibri" w:hAnsi="Times New Roman" w:cs="Times New Roman"/>
          <w:sz w:val="24"/>
          <w:szCs w:val="24"/>
        </w:rPr>
      </w:pPr>
      <w:r w:rsidRPr="00215667">
        <w:rPr>
          <w:rFonts w:ascii="Times New Roman" w:eastAsia="Times New Roman" w:hAnsi="Times New Roman" w:cs="Times New Roman"/>
          <w:bCs/>
          <w:sz w:val="24"/>
          <w:szCs w:val="24"/>
        </w:rPr>
        <w:t>Кај сите пациенти пре</w:t>
      </w:r>
      <w:r w:rsidR="00CA2056">
        <w:rPr>
          <w:rFonts w:ascii="Times New Roman" w:eastAsia="Times New Roman" w:hAnsi="Times New Roman" w:cs="Times New Roman"/>
          <w:bCs/>
          <w:sz w:val="24"/>
          <w:szCs w:val="24"/>
        </w:rPr>
        <w:t>т</w:t>
      </w:r>
      <w:r w:rsidRPr="00215667">
        <w:rPr>
          <w:rFonts w:ascii="Times New Roman" w:eastAsia="Times New Roman" w:hAnsi="Times New Roman" w:cs="Times New Roman"/>
          <w:bCs/>
          <w:sz w:val="24"/>
          <w:szCs w:val="24"/>
        </w:rPr>
        <w:t>ходи профилактичен третман со ТХА и тоа кај 63 (98.4</w:t>
      </w:r>
      <w:r w:rsidR="00CA205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од пациенти. Апликацијата на ТХА е од 1 до 1,5</w:t>
      </w:r>
      <w:r w:rsidR="00CA205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г. На 23 (35.9</w:t>
      </w:r>
      <w:r w:rsidR="00CA205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пациенти им е дадено 1</w:t>
      </w:r>
      <w:r w:rsidR="00CA205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г., кај 26.5</w:t>
      </w:r>
      <w:r w:rsidR="00CA205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(17) од пациентите примале 1,5</w:t>
      </w:r>
      <w:r w:rsidR="00CA205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г., 21.9</w:t>
      </w:r>
      <w:r w:rsidR="00CA205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(14) примале 2 x 1,5</w:t>
      </w:r>
      <w:r w:rsidR="00CA205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г. и 9 (14.1</w:t>
      </w:r>
      <w:r w:rsidR="00CA205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примале 2 x 1</w:t>
      </w:r>
      <w:r w:rsidR="00CA205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xml:space="preserve">г. (табела </w:t>
      </w:r>
      <w:r w:rsidR="00CA2056">
        <w:rPr>
          <w:rFonts w:ascii="Times New Roman" w:eastAsia="Times New Roman" w:hAnsi="Times New Roman" w:cs="Times New Roman"/>
          <w:bCs/>
          <w:sz w:val="24"/>
          <w:szCs w:val="24"/>
        </w:rPr>
        <w:t xml:space="preserve">бр. 20 </w:t>
      </w:r>
      <w:r w:rsidRPr="00215667">
        <w:rPr>
          <w:rFonts w:ascii="Times New Roman" w:eastAsia="Times New Roman" w:hAnsi="Times New Roman" w:cs="Times New Roman"/>
          <w:bCs/>
          <w:sz w:val="24"/>
          <w:szCs w:val="24"/>
        </w:rPr>
        <w:t>и графикон бр</w:t>
      </w:r>
      <w:r w:rsidR="00CA2056">
        <w:rPr>
          <w:rFonts w:ascii="Times New Roman" w:eastAsia="Times New Roman" w:hAnsi="Times New Roman" w:cs="Times New Roman"/>
          <w:bCs/>
          <w:sz w:val="24"/>
          <w:szCs w:val="24"/>
        </w:rPr>
        <w:t>.</w:t>
      </w:r>
      <w:r w:rsidRPr="00215667">
        <w:rPr>
          <w:rFonts w:ascii="Times New Roman" w:eastAsia="Times New Roman" w:hAnsi="Times New Roman" w:cs="Times New Roman"/>
          <w:bCs/>
          <w:sz w:val="24"/>
          <w:szCs w:val="24"/>
        </w:rPr>
        <w:t xml:space="preserve"> 20). Само кај 4 пациенти (2,56</w:t>
      </w:r>
      <w:r w:rsidR="00CA2056">
        <w:rPr>
          <w:rFonts w:ascii="Times New Roman" w:eastAsia="Times New Roman" w:hAnsi="Times New Roman" w:cs="Times New Roman"/>
          <w:bCs/>
          <w:sz w:val="24"/>
          <w:szCs w:val="24"/>
        </w:rPr>
        <w:t xml:space="preserve"> </w:t>
      </w:r>
      <w:r w:rsidRPr="00215667">
        <w:rPr>
          <w:rFonts w:ascii="Times New Roman" w:eastAsia="Times New Roman" w:hAnsi="Times New Roman" w:cs="Times New Roman"/>
          <w:bCs/>
          <w:sz w:val="24"/>
          <w:szCs w:val="24"/>
        </w:rPr>
        <w:t>%), е повторена дозата по 8 часа, поради постоење на лесно крвавење од местото на интервенцијата.</w:t>
      </w:r>
    </w:p>
    <w:p w14:paraId="15B2DB09" w14:textId="77777777" w:rsidR="00CA2056" w:rsidRDefault="00CA2056" w:rsidP="00CA2056">
      <w:pPr>
        <w:spacing w:after="120" w:line="360" w:lineRule="auto"/>
        <w:jc w:val="center"/>
        <w:rPr>
          <w:rFonts w:ascii="Times New Roman" w:eastAsia="Calibri" w:hAnsi="Times New Roman" w:cs="Times New Roman"/>
          <w:sz w:val="24"/>
          <w:szCs w:val="24"/>
        </w:rPr>
      </w:pPr>
    </w:p>
    <w:p w14:paraId="006211F7" w14:textId="77777777" w:rsidR="00CA2056" w:rsidRDefault="00CA2056" w:rsidP="00CA2056">
      <w:pPr>
        <w:spacing w:after="120" w:line="360" w:lineRule="auto"/>
        <w:jc w:val="center"/>
        <w:rPr>
          <w:rFonts w:ascii="Times New Roman" w:eastAsia="Calibri" w:hAnsi="Times New Roman" w:cs="Times New Roman"/>
          <w:sz w:val="24"/>
          <w:szCs w:val="24"/>
        </w:rPr>
      </w:pPr>
    </w:p>
    <w:p w14:paraId="4175A46F" w14:textId="77777777" w:rsidR="00CA2056" w:rsidRDefault="00CA2056" w:rsidP="00CA2056">
      <w:pPr>
        <w:spacing w:after="120" w:line="360" w:lineRule="auto"/>
        <w:jc w:val="center"/>
        <w:rPr>
          <w:rFonts w:ascii="Times New Roman" w:eastAsia="Calibri" w:hAnsi="Times New Roman" w:cs="Times New Roman"/>
          <w:sz w:val="24"/>
          <w:szCs w:val="24"/>
        </w:rPr>
      </w:pPr>
    </w:p>
    <w:p w14:paraId="2D619677" w14:textId="4D57EEEC" w:rsidR="00412474" w:rsidRPr="00215667" w:rsidRDefault="00412474" w:rsidP="00CA2056">
      <w:pPr>
        <w:spacing w:after="120" w:line="360" w:lineRule="auto"/>
        <w:jc w:val="center"/>
        <w:rPr>
          <w:rFonts w:ascii="Times New Roman" w:eastAsia="Times New Roman" w:hAnsi="Times New Roman" w:cs="Times New Roman"/>
          <w:bCs/>
          <w:sz w:val="24"/>
          <w:szCs w:val="24"/>
        </w:rPr>
      </w:pPr>
      <w:r w:rsidRPr="00215667">
        <w:rPr>
          <w:rFonts w:ascii="Times New Roman" w:eastAsia="Calibri" w:hAnsi="Times New Roman" w:cs="Times New Roman"/>
          <w:sz w:val="24"/>
          <w:szCs w:val="24"/>
        </w:rPr>
        <w:lastRenderedPageBreak/>
        <w:t>Табела бр.</w:t>
      </w:r>
      <w:r w:rsidR="00CA2056">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20</w:t>
      </w:r>
      <w:r w:rsidR="00CA2056">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еднократно предоперативна </w:t>
      </w:r>
      <w:r w:rsidRPr="00215667">
        <w:rPr>
          <w:rFonts w:ascii="Times New Roman" w:eastAsia="Times New Roman" w:hAnsi="Times New Roman" w:cs="Times New Roman"/>
          <w:sz w:val="24"/>
          <w:szCs w:val="24"/>
        </w:rPr>
        <w:t xml:space="preserve">примена </w:t>
      </w:r>
      <w:r w:rsidRPr="00215667">
        <w:rPr>
          <w:rFonts w:ascii="Times New Roman" w:eastAsia="Times New Roman" w:hAnsi="Times New Roman" w:cs="Times New Roman"/>
          <w:bCs/>
          <w:sz w:val="24"/>
          <w:szCs w:val="24"/>
        </w:rPr>
        <w:t>ТХА (во грамови) и потреба од повторување на дозата на ТХА по 8 часа</w:t>
      </w:r>
    </w:p>
    <w:tbl>
      <w:tblPr>
        <w:tblStyle w:val="TableGrid1"/>
        <w:tblW w:w="0" w:type="auto"/>
        <w:jc w:val="center"/>
        <w:tblLook w:val="04A0" w:firstRow="1" w:lastRow="0" w:firstColumn="1" w:lastColumn="0" w:noHBand="0" w:noVBand="1"/>
      </w:tblPr>
      <w:tblGrid>
        <w:gridCol w:w="5401"/>
        <w:gridCol w:w="709"/>
        <w:gridCol w:w="636"/>
      </w:tblGrid>
      <w:tr w:rsidR="00412474" w:rsidRPr="00215667" w14:paraId="7D8D5D77" w14:textId="77777777" w:rsidTr="009E10D8">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3D60FB3" w14:textId="2F9FA99F" w:rsidR="00412474" w:rsidRPr="00215667" w:rsidRDefault="00412474" w:rsidP="00435E3A">
            <w:pPr>
              <w:jc w:val="center"/>
              <w:rPr>
                <w:rFonts w:ascii="Times New Roman" w:eastAsia="Times New Roman" w:hAnsi="Times New Roman" w:cs="Times New Roman"/>
                <w:b/>
                <w:sz w:val="24"/>
                <w:szCs w:val="24"/>
              </w:rPr>
            </w:pPr>
            <w:proofErr w:type="spellStart"/>
            <w:r w:rsidRPr="00215667">
              <w:rPr>
                <w:rFonts w:ascii="Times New Roman" w:eastAsia="Times New Roman" w:hAnsi="Times New Roman" w:cs="Times New Roman"/>
                <w:b/>
                <w:sz w:val="24"/>
                <w:szCs w:val="24"/>
              </w:rPr>
              <w:t>Доза</w:t>
            </w:r>
            <w:proofErr w:type="spellEnd"/>
            <w:r w:rsidRPr="00215667">
              <w:rPr>
                <w:rFonts w:ascii="Times New Roman" w:eastAsia="Times New Roman" w:hAnsi="Times New Roman" w:cs="Times New Roman"/>
                <w:b/>
                <w:sz w:val="24"/>
                <w:szCs w:val="24"/>
              </w:rPr>
              <w:t xml:space="preserve"> </w:t>
            </w:r>
            <w:proofErr w:type="spellStart"/>
            <w:r w:rsidRPr="00215667">
              <w:rPr>
                <w:rFonts w:ascii="Times New Roman" w:eastAsia="Times New Roman" w:hAnsi="Times New Roman" w:cs="Times New Roman"/>
                <w:b/>
                <w:sz w:val="24"/>
                <w:szCs w:val="24"/>
              </w:rPr>
              <w:t>на</w:t>
            </w:r>
            <w:proofErr w:type="spellEnd"/>
            <w:r w:rsidRPr="00215667">
              <w:rPr>
                <w:rFonts w:ascii="Times New Roman" w:eastAsia="Times New Roman" w:hAnsi="Times New Roman" w:cs="Times New Roman"/>
                <w:b/>
                <w:sz w:val="24"/>
                <w:szCs w:val="24"/>
              </w:rPr>
              <w:t xml:space="preserve"> </w:t>
            </w:r>
            <w:r w:rsidRPr="00215667">
              <w:rPr>
                <w:rFonts w:ascii="Times New Roman" w:eastAsia="Times New Roman" w:hAnsi="Times New Roman" w:cs="Times New Roman"/>
                <w:b/>
                <w:bCs/>
                <w:sz w:val="24"/>
                <w:szCs w:val="24"/>
              </w:rPr>
              <w:t xml:space="preserve">ТХА </w:t>
            </w:r>
            <w:proofErr w:type="spellStart"/>
            <w:r w:rsidRPr="00215667">
              <w:rPr>
                <w:rFonts w:ascii="Times New Roman" w:eastAsia="Times New Roman" w:hAnsi="Times New Roman" w:cs="Times New Roman"/>
                <w:b/>
                <w:bCs/>
                <w:sz w:val="24"/>
                <w:szCs w:val="24"/>
              </w:rPr>
              <w:t>во</w:t>
            </w:r>
            <w:proofErr w:type="spellEnd"/>
            <w:r w:rsidRPr="00215667">
              <w:rPr>
                <w:rFonts w:ascii="Times New Roman" w:eastAsia="Times New Roman" w:hAnsi="Times New Roman" w:cs="Times New Roman"/>
                <w:b/>
                <w:bCs/>
                <w:sz w:val="24"/>
                <w:szCs w:val="24"/>
              </w:rPr>
              <w:t xml:space="preserve"> г</w:t>
            </w:r>
            <w:r w:rsidR="009E10D8">
              <w:rPr>
                <w:rFonts w:ascii="Times New Roman" w:eastAsia="Times New Roman" w:hAnsi="Times New Roman" w:cs="Times New Roman"/>
                <w:b/>
                <w:bCs/>
                <w:sz w:val="24"/>
                <w:szCs w:val="24"/>
                <w:lang w:val="mk-MK"/>
              </w:rPr>
              <w:t>рамови</w:t>
            </w:r>
            <w:r w:rsidRPr="00215667">
              <w:rPr>
                <w:rFonts w:ascii="Times New Roman" w:eastAsia="Times New Roman" w:hAnsi="Times New Roman" w:cs="Times New Roman"/>
                <w:b/>
                <w:bCs/>
                <w:sz w:val="24"/>
                <w:szCs w:val="24"/>
              </w:rPr>
              <w:t xml:space="preserve"> </w:t>
            </w:r>
            <w:proofErr w:type="spellStart"/>
            <w:r w:rsidRPr="00215667">
              <w:rPr>
                <w:rFonts w:ascii="Times New Roman" w:eastAsia="Times New Roman" w:hAnsi="Times New Roman" w:cs="Times New Roman"/>
                <w:b/>
                <w:bCs/>
                <w:sz w:val="24"/>
                <w:szCs w:val="24"/>
              </w:rPr>
              <w:t>за</w:t>
            </w:r>
            <w:proofErr w:type="spellEnd"/>
            <w:r w:rsidRPr="00215667">
              <w:rPr>
                <w:rFonts w:ascii="Times New Roman" w:eastAsia="Times New Roman" w:hAnsi="Times New Roman" w:cs="Times New Roman"/>
                <w:b/>
                <w:bCs/>
                <w:sz w:val="24"/>
                <w:szCs w:val="24"/>
              </w:rPr>
              <w:t xml:space="preserve"> </w:t>
            </w:r>
            <w:proofErr w:type="spellStart"/>
            <w:r w:rsidRPr="00215667">
              <w:rPr>
                <w:rFonts w:ascii="Times New Roman" w:eastAsia="Times New Roman" w:hAnsi="Times New Roman" w:cs="Times New Roman"/>
                <w:b/>
                <w:bCs/>
                <w:sz w:val="24"/>
                <w:szCs w:val="24"/>
              </w:rPr>
              <w:t>профилактична</w:t>
            </w:r>
            <w:proofErr w:type="spellEnd"/>
            <w:r w:rsidRPr="00215667">
              <w:rPr>
                <w:rFonts w:ascii="Times New Roman" w:eastAsia="Times New Roman" w:hAnsi="Times New Roman" w:cs="Times New Roman"/>
                <w:b/>
                <w:bCs/>
                <w:sz w:val="24"/>
                <w:szCs w:val="24"/>
              </w:rPr>
              <w:t xml:space="preserve"> </w:t>
            </w:r>
            <w:proofErr w:type="spellStart"/>
            <w:r w:rsidRPr="00215667">
              <w:rPr>
                <w:rFonts w:ascii="Times New Roman" w:eastAsia="Times New Roman" w:hAnsi="Times New Roman" w:cs="Times New Roman"/>
                <w:b/>
                <w:bCs/>
                <w:sz w:val="24"/>
                <w:szCs w:val="24"/>
              </w:rPr>
              <w:t>цел</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6250FE9" w14:textId="3C8F4A7C" w:rsidR="00412474" w:rsidRPr="00215667" w:rsidRDefault="009E10D8" w:rsidP="00435E3A">
            <w:pPr>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Б</w:t>
            </w:r>
            <w:proofErr w:type="spellStart"/>
            <w:r w:rsidR="00412474" w:rsidRPr="00215667">
              <w:rPr>
                <w:rFonts w:ascii="Times New Roman" w:eastAsia="Times New Roman" w:hAnsi="Times New Roman" w:cs="Times New Roman"/>
                <w:b/>
                <w:bCs/>
                <w:color w:val="000000"/>
                <w:sz w:val="24"/>
                <w:szCs w:val="24"/>
              </w:rPr>
              <w:t>рој</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6E014DE"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w:t>
            </w:r>
          </w:p>
        </w:tc>
      </w:tr>
      <w:tr w:rsidR="00412474" w:rsidRPr="00215667" w14:paraId="7BB00DEA" w14:textId="77777777" w:rsidTr="009E10D8">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3478FBF" w14:textId="77777777" w:rsidR="00412474" w:rsidRPr="00215667" w:rsidRDefault="00412474" w:rsidP="00435E3A">
            <w:pPr>
              <w:rPr>
                <w:rFonts w:ascii="Times New Roman" w:eastAsia="Times New Roman" w:hAnsi="Times New Roman" w:cs="Times New Roman"/>
                <w:bCs/>
                <w:sz w:val="24"/>
                <w:szCs w:val="24"/>
              </w:rPr>
            </w:pPr>
            <w:r w:rsidRPr="00215667">
              <w:rPr>
                <w:rFonts w:ascii="Times New Roman" w:eastAsia="Times New Roman" w:hAnsi="Times New Roman" w:cs="Times New Roman"/>
                <w:bCs/>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noWrap/>
            <w:hideMark/>
          </w:tcPr>
          <w:p w14:paraId="5B62736B"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23</w:t>
            </w:r>
          </w:p>
        </w:tc>
        <w:tc>
          <w:tcPr>
            <w:tcW w:w="0" w:type="auto"/>
            <w:tcBorders>
              <w:top w:val="single" w:sz="4" w:space="0" w:color="auto"/>
              <w:left w:val="single" w:sz="4" w:space="0" w:color="auto"/>
              <w:bottom w:val="single" w:sz="4" w:space="0" w:color="auto"/>
              <w:right w:val="single" w:sz="4" w:space="0" w:color="auto"/>
            </w:tcBorders>
            <w:noWrap/>
            <w:hideMark/>
          </w:tcPr>
          <w:p w14:paraId="6AF2B253"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35.9</w:t>
            </w:r>
          </w:p>
        </w:tc>
      </w:tr>
      <w:tr w:rsidR="00412474" w:rsidRPr="00215667" w14:paraId="1BDB82D5" w14:textId="77777777" w:rsidTr="009E10D8">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C12BC46" w14:textId="77777777" w:rsidR="00412474" w:rsidRPr="00215667" w:rsidRDefault="00412474" w:rsidP="00435E3A">
            <w:pPr>
              <w:rPr>
                <w:rFonts w:ascii="Times New Roman" w:eastAsia="Times New Roman" w:hAnsi="Times New Roman" w:cs="Times New Roman"/>
                <w:bCs/>
                <w:sz w:val="24"/>
                <w:szCs w:val="24"/>
              </w:rPr>
            </w:pPr>
            <w:r w:rsidRPr="00215667">
              <w:rPr>
                <w:rFonts w:ascii="Times New Roman" w:eastAsia="Times New Roman" w:hAnsi="Times New Roman" w:cs="Times New Roman"/>
                <w:bCs/>
                <w:color w:val="000000"/>
                <w:sz w:val="24"/>
                <w:szCs w:val="24"/>
              </w:rPr>
              <w:t>1.5</w:t>
            </w:r>
          </w:p>
        </w:tc>
        <w:tc>
          <w:tcPr>
            <w:tcW w:w="0" w:type="auto"/>
            <w:tcBorders>
              <w:top w:val="single" w:sz="4" w:space="0" w:color="auto"/>
              <w:left w:val="single" w:sz="4" w:space="0" w:color="auto"/>
              <w:bottom w:val="single" w:sz="4" w:space="0" w:color="auto"/>
              <w:right w:val="single" w:sz="4" w:space="0" w:color="auto"/>
            </w:tcBorders>
            <w:noWrap/>
            <w:hideMark/>
          </w:tcPr>
          <w:p w14:paraId="65CDA36B"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17</w:t>
            </w:r>
          </w:p>
        </w:tc>
        <w:tc>
          <w:tcPr>
            <w:tcW w:w="0" w:type="auto"/>
            <w:tcBorders>
              <w:top w:val="single" w:sz="4" w:space="0" w:color="auto"/>
              <w:left w:val="single" w:sz="4" w:space="0" w:color="auto"/>
              <w:bottom w:val="single" w:sz="4" w:space="0" w:color="auto"/>
              <w:right w:val="single" w:sz="4" w:space="0" w:color="auto"/>
            </w:tcBorders>
            <w:noWrap/>
            <w:hideMark/>
          </w:tcPr>
          <w:p w14:paraId="1D031F7B"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26.5</w:t>
            </w:r>
          </w:p>
        </w:tc>
      </w:tr>
      <w:tr w:rsidR="00412474" w:rsidRPr="00215667" w14:paraId="76928A4A" w14:textId="77777777" w:rsidTr="009E10D8">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F36F45A" w14:textId="77777777" w:rsidR="00412474" w:rsidRPr="00215667" w:rsidRDefault="00412474" w:rsidP="00435E3A">
            <w:pPr>
              <w:rPr>
                <w:rFonts w:ascii="Times New Roman" w:eastAsia="Times New Roman" w:hAnsi="Times New Roman" w:cs="Times New Roman"/>
                <w:bCs/>
                <w:sz w:val="24"/>
                <w:szCs w:val="24"/>
              </w:rPr>
            </w:pPr>
            <w:r w:rsidRPr="00215667">
              <w:rPr>
                <w:rFonts w:ascii="Times New Roman" w:eastAsia="Times New Roman" w:hAnsi="Times New Roman" w:cs="Times New Roman"/>
                <w:bCs/>
                <w:color w:val="000000"/>
                <w:sz w:val="24"/>
                <w:szCs w:val="24"/>
              </w:rPr>
              <w:t xml:space="preserve">1.5       x      </w:t>
            </w:r>
            <w:r w:rsidRPr="00215667">
              <w:rPr>
                <w:rFonts w:ascii="Times New Roman" w:eastAsia="Times New Roman" w:hAnsi="Times New Roman" w:cs="Times New Roman"/>
                <w:b/>
                <w:bCs/>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noWrap/>
            <w:hideMark/>
          </w:tcPr>
          <w:p w14:paraId="0A490BC5"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14</w:t>
            </w:r>
          </w:p>
        </w:tc>
        <w:tc>
          <w:tcPr>
            <w:tcW w:w="0" w:type="auto"/>
            <w:tcBorders>
              <w:top w:val="single" w:sz="4" w:space="0" w:color="auto"/>
              <w:left w:val="single" w:sz="4" w:space="0" w:color="auto"/>
              <w:bottom w:val="single" w:sz="4" w:space="0" w:color="auto"/>
              <w:right w:val="single" w:sz="4" w:space="0" w:color="auto"/>
            </w:tcBorders>
            <w:noWrap/>
            <w:hideMark/>
          </w:tcPr>
          <w:p w14:paraId="2F554DB3"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21.9</w:t>
            </w:r>
          </w:p>
        </w:tc>
      </w:tr>
      <w:tr w:rsidR="00412474" w:rsidRPr="00215667" w14:paraId="62575305" w14:textId="77777777" w:rsidTr="009E10D8">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ED036E9" w14:textId="77777777" w:rsidR="00412474" w:rsidRPr="00215667" w:rsidRDefault="00412474" w:rsidP="00435E3A">
            <w:pPr>
              <w:rPr>
                <w:rFonts w:ascii="Times New Roman" w:eastAsia="Times New Roman" w:hAnsi="Times New Roman" w:cs="Times New Roman"/>
                <w:bCs/>
                <w:sz w:val="24"/>
                <w:szCs w:val="24"/>
              </w:rPr>
            </w:pPr>
            <w:r w:rsidRPr="00215667">
              <w:rPr>
                <w:rFonts w:ascii="Times New Roman" w:eastAsia="Times New Roman" w:hAnsi="Times New Roman" w:cs="Times New Roman"/>
                <w:bCs/>
                <w:color w:val="000000"/>
                <w:sz w:val="24"/>
                <w:szCs w:val="24"/>
              </w:rPr>
              <w:t xml:space="preserve">1          x      </w:t>
            </w:r>
            <w:r w:rsidRPr="00215667">
              <w:rPr>
                <w:rFonts w:ascii="Times New Roman" w:eastAsia="Times New Roman" w:hAnsi="Times New Roman" w:cs="Times New Roman"/>
                <w:b/>
                <w:bCs/>
                <w:color w:val="000000"/>
                <w:sz w:val="24"/>
                <w:szCs w:val="24"/>
              </w:rPr>
              <w:t>2</w:t>
            </w:r>
          </w:p>
        </w:tc>
        <w:tc>
          <w:tcPr>
            <w:tcW w:w="0" w:type="auto"/>
            <w:tcBorders>
              <w:top w:val="single" w:sz="4" w:space="0" w:color="auto"/>
              <w:left w:val="single" w:sz="4" w:space="0" w:color="auto"/>
              <w:bottom w:val="single" w:sz="4" w:space="0" w:color="auto"/>
              <w:right w:val="single" w:sz="4" w:space="0" w:color="auto"/>
            </w:tcBorders>
            <w:noWrap/>
            <w:hideMark/>
          </w:tcPr>
          <w:p w14:paraId="44D7766A"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9</w:t>
            </w:r>
          </w:p>
        </w:tc>
        <w:tc>
          <w:tcPr>
            <w:tcW w:w="0" w:type="auto"/>
            <w:tcBorders>
              <w:top w:val="single" w:sz="4" w:space="0" w:color="auto"/>
              <w:left w:val="single" w:sz="4" w:space="0" w:color="auto"/>
              <w:bottom w:val="single" w:sz="4" w:space="0" w:color="auto"/>
              <w:right w:val="single" w:sz="4" w:space="0" w:color="auto"/>
            </w:tcBorders>
            <w:noWrap/>
            <w:hideMark/>
          </w:tcPr>
          <w:p w14:paraId="18E69E65"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14.1</w:t>
            </w:r>
          </w:p>
        </w:tc>
      </w:tr>
      <w:tr w:rsidR="00412474" w:rsidRPr="00215667" w14:paraId="0B42525A" w14:textId="77777777" w:rsidTr="009E10D8">
        <w:trPr>
          <w:jc w:val="center"/>
        </w:trPr>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4B18C7D9" w14:textId="77777777" w:rsidR="00412474" w:rsidRPr="00215667" w:rsidRDefault="00412474" w:rsidP="00435E3A">
            <w:pPr>
              <w:rPr>
                <w:rFonts w:ascii="Times New Roman" w:eastAsia="Times New Roman" w:hAnsi="Times New Roman" w:cs="Times New Roman"/>
                <w:bCs/>
                <w:sz w:val="24"/>
                <w:szCs w:val="24"/>
              </w:rPr>
            </w:pPr>
            <w:proofErr w:type="spellStart"/>
            <w:r w:rsidRPr="00215667">
              <w:rPr>
                <w:rFonts w:ascii="Times New Roman" w:eastAsia="Times New Roman" w:hAnsi="Times New Roman" w:cs="Times New Roman"/>
                <w:bCs/>
                <w:color w:val="000000"/>
                <w:sz w:val="24"/>
                <w:szCs w:val="24"/>
              </w:rPr>
              <w:t>недостасува</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10B7B24B"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w:t>
            </w:r>
          </w:p>
        </w:tc>
        <w:tc>
          <w:tcPr>
            <w:tcW w:w="0" w:type="auto"/>
            <w:tcBorders>
              <w:top w:val="single" w:sz="4" w:space="0" w:color="auto"/>
              <w:left w:val="single" w:sz="4" w:space="0" w:color="auto"/>
              <w:bottom w:val="single" w:sz="4" w:space="0" w:color="auto"/>
              <w:right w:val="single" w:sz="4" w:space="0" w:color="auto"/>
            </w:tcBorders>
            <w:noWrap/>
            <w:hideMark/>
          </w:tcPr>
          <w:p w14:paraId="723F8E48"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1.6</w:t>
            </w:r>
          </w:p>
        </w:tc>
      </w:tr>
    </w:tbl>
    <w:p w14:paraId="0A5DF348"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514AC78E" w14:textId="31D5B6D0" w:rsidR="00412474" w:rsidRPr="00215667" w:rsidRDefault="00412474" w:rsidP="009E10D8">
      <w:pPr>
        <w:spacing w:after="120" w:line="360" w:lineRule="auto"/>
        <w:jc w:val="center"/>
        <w:rPr>
          <w:rFonts w:ascii="Times New Roman" w:eastAsia="Times New Roman" w:hAnsi="Times New Roman" w:cs="Times New Roman"/>
          <w:bCs/>
          <w:sz w:val="24"/>
          <w:szCs w:val="24"/>
        </w:rPr>
      </w:pPr>
      <w:r w:rsidRPr="00215667">
        <w:rPr>
          <w:rFonts w:ascii="Times New Roman" w:eastAsia="Calibri" w:hAnsi="Times New Roman" w:cs="Times New Roman"/>
          <w:sz w:val="24"/>
          <w:szCs w:val="24"/>
        </w:rPr>
        <w:t>Графикон бр.</w:t>
      </w:r>
      <w:r w:rsidR="009E10D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20</w:t>
      </w:r>
      <w:r w:rsidR="009E10D8">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еднократно предоперативна </w:t>
      </w:r>
      <w:r w:rsidRPr="00215667">
        <w:rPr>
          <w:rFonts w:ascii="Times New Roman" w:eastAsia="Times New Roman" w:hAnsi="Times New Roman" w:cs="Times New Roman"/>
          <w:sz w:val="24"/>
          <w:szCs w:val="24"/>
        </w:rPr>
        <w:t xml:space="preserve">примена </w:t>
      </w:r>
      <w:r w:rsidRPr="00215667">
        <w:rPr>
          <w:rFonts w:ascii="Times New Roman" w:eastAsia="Times New Roman" w:hAnsi="Times New Roman" w:cs="Times New Roman"/>
          <w:bCs/>
          <w:sz w:val="24"/>
          <w:szCs w:val="24"/>
        </w:rPr>
        <w:t>ТХА (во грамови) и потреба од повторување на дозата на ТХА по 8 часа</w:t>
      </w:r>
    </w:p>
    <w:p w14:paraId="3CD6677B" w14:textId="77777777" w:rsidR="00412474" w:rsidRPr="00215667" w:rsidRDefault="00412474" w:rsidP="009E10D8">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noProof/>
          <w:sz w:val="24"/>
          <w:szCs w:val="24"/>
          <w:lang w:val="en-US"/>
        </w:rPr>
        <w:drawing>
          <wp:inline distT="0" distB="0" distL="0" distR="0" wp14:anchorId="715D4DED" wp14:editId="23837044">
            <wp:extent cx="4219575" cy="2428875"/>
            <wp:effectExtent l="0" t="0" r="9525" b="9525"/>
            <wp:docPr id="2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3324CD8F" w14:textId="77777777" w:rsidR="009E10D8" w:rsidRDefault="009E10D8" w:rsidP="00412474">
      <w:pPr>
        <w:spacing w:after="120" w:line="360" w:lineRule="auto"/>
        <w:ind w:firstLine="720"/>
        <w:jc w:val="both"/>
        <w:rPr>
          <w:rFonts w:ascii="Times New Roman" w:eastAsia="Times New Roman" w:hAnsi="Times New Roman" w:cs="Times New Roman"/>
          <w:bCs/>
          <w:color w:val="000000"/>
          <w:sz w:val="24"/>
          <w:szCs w:val="24"/>
        </w:rPr>
      </w:pPr>
    </w:p>
    <w:p w14:paraId="57AB2855" w14:textId="7A8FB593" w:rsidR="00412474" w:rsidRDefault="00412474" w:rsidP="009E10D8">
      <w:pPr>
        <w:spacing w:after="120" w:line="360" w:lineRule="auto"/>
        <w:ind w:firstLine="720"/>
        <w:jc w:val="both"/>
        <w:rPr>
          <w:rFonts w:ascii="Times New Roman" w:eastAsia="Calibri" w:hAnsi="Times New Roman" w:cs="Times New Roman"/>
          <w:sz w:val="24"/>
          <w:szCs w:val="24"/>
        </w:rPr>
      </w:pPr>
      <w:r w:rsidRPr="00215667">
        <w:rPr>
          <w:rFonts w:ascii="Times New Roman" w:eastAsia="Times New Roman" w:hAnsi="Times New Roman" w:cs="Times New Roman"/>
          <w:bCs/>
          <w:color w:val="000000"/>
          <w:sz w:val="24"/>
          <w:szCs w:val="24"/>
        </w:rPr>
        <w:t xml:space="preserve">Резултатите од анализите во односот на </w:t>
      </w:r>
      <w:bookmarkStart w:id="38" w:name="_Hlk184890901"/>
      <w:r w:rsidRPr="00215667">
        <w:rPr>
          <w:rFonts w:ascii="Times New Roman" w:eastAsia="Times New Roman" w:hAnsi="Times New Roman" w:cs="Times New Roman"/>
          <w:bCs/>
          <w:color w:val="000000"/>
          <w:sz w:val="24"/>
          <w:szCs w:val="24"/>
        </w:rPr>
        <w:t xml:space="preserve">приказот на корелациите помеѓу вредностите на ADP, </w:t>
      </w:r>
      <w:r w:rsidR="009E10D8">
        <w:rPr>
          <w:rFonts w:ascii="Times New Roman" w:eastAsia="Times New Roman" w:hAnsi="Times New Roman" w:cs="Times New Roman"/>
          <w:bCs/>
          <w:color w:val="000000"/>
          <w:sz w:val="24"/>
          <w:szCs w:val="24"/>
        </w:rPr>
        <w:t>ристоцетин</w:t>
      </w:r>
      <w:r w:rsidRPr="00215667">
        <w:rPr>
          <w:rFonts w:ascii="Times New Roman" w:eastAsia="Times New Roman" w:hAnsi="Times New Roman" w:cs="Times New Roman"/>
          <w:bCs/>
          <w:color w:val="000000"/>
          <w:sz w:val="24"/>
          <w:szCs w:val="24"/>
        </w:rPr>
        <w:t xml:space="preserve">, </w:t>
      </w:r>
      <w:r w:rsidR="009E10D8">
        <w:rPr>
          <w:rFonts w:ascii="Times New Roman" w:eastAsia="Times New Roman" w:hAnsi="Times New Roman" w:cs="Times New Roman"/>
          <w:bCs/>
          <w:color w:val="000000"/>
          <w:sz w:val="24"/>
          <w:szCs w:val="24"/>
        </w:rPr>
        <w:t>колаген</w:t>
      </w:r>
      <w:r w:rsidRPr="00215667">
        <w:rPr>
          <w:rFonts w:ascii="Times New Roman" w:eastAsia="Times New Roman" w:hAnsi="Times New Roman" w:cs="Times New Roman"/>
          <w:bCs/>
          <w:color w:val="000000"/>
          <w:sz w:val="24"/>
          <w:szCs w:val="24"/>
        </w:rPr>
        <w:t>, PT при постекстракционо крвавење и потребата е повторна интравенска апликација на ТХА (втора доза постоперативно, по 8 часа)</w:t>
      </w:r>
      <w:bookmarkEnd w:id="38"/>
      <w:r w:rsidRPr="00215667">
        <w:rPr>
          <w:rFonts w:ascii="Times New Roman" w:eastAsia="Times New Roman" w:hAnsi="Times New Roman" w:cs="Times New Roman"/>
          <w:bCs/>
          <w:color w:val="000000"/>
          <w:sz w:val="24"/>
          <w:szCs w:val="24"/>
        </w:rPr>
        <w:t xml:space="preserve"> покажаа дека</w:t>
      </w:r>
      <w:r w:rsidR="009E10D8">
        <w:rPr>
          <w:rFonts w:ascii="Times New Roman" w:eastAsia="Times New Roman" w:hAnsi="Times New Roman" w:cs="Times New Roman"/>
          <w:bCs/>
          <w:color w:val="000000"/>
          <w:sz w:val="24"/>
          <w:szCs w:val="24"/>
        </w:rPr>
        <w:t xml:space="preserve"> е р</w:t>
      </w:r>
      <w:r w:rsidRPr="00215667">
        <w:rPr>
          <w:rFonts w:ascii="Times New Roman" w:eastAsia="Calibri" w:hAnsi="Times New Roman" w:cs="Times New Roman"/>
          <w:sz w:val="24"/>
          <w:szCs w:val="24"/>
        </w:rPr>
        <w:t xml:space="preserve">егистрирана умерена негативна (индиректна ) сигнификантна корелација помеѓу вредностите на ADP и бројот на апликации на </w:t>
      </w:r>
      <w:r w:rsidR="00F00F01">
        <w:rPr>
          <w:rFonts w:ascii="Times New Roman" w:eastAsia="Calibri" w:hAnsi="Times New Roman" w:cs="Times New Roman"/>
          <w:sz w:val="24"/>
          <w:szCs w:val="24"/>
        </w:rPr>
        <w:t>транексамична</w:t>
      </w:r>
      <w:r w:rsidRPr="00215667">
        <w:rPr>
          <w:rFonts w:ascii="Times New Roman" w:eastAsia="Calibri" w:hAnsi="Times New Roman" w:cs="Times New Roman"/>
          <w:sz w:val="24"/>
          <w:szCs w:val="24"/>
        </w:rPr>
        <w:t xml:space="preserve"> киселина, т.е. потребата од повторна апликацијаа на ТХА (r</w:t>
      </w:r>
      <w:r w:rsidR="009E10D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9E10D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3039, p</w:t>
      </w:r>
      <w:r w:rsidR="009E10D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w:t>
      </w:r>
      <w:r w:rsidR="009E10D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.015) (табела </w:t>
      </w:r>
      <w:r w:rsidR="009E10D8">
        <w:rPr>
          <w:rFonts w:ascii="Times New Roman" w:eastAsia="Calibri" w:hAnsi="Times New Roman" w:cs="Times New Roman"/>
          <w:sz w:val="24"/>
          <w:szCs w:val="24"/>
        </w:rPr>
        <w:t xml:space="preserve">бр. 21а </w:t>
      </w:r>
      <w:r w:rsidRPr="00215667">
        <w:rPr>
          <w:rFonts w:ascii="Times New Roman" w:eastAsia="Calibri" w:hAnsi="Times New Roman" w:cs="Times New Roman"/>
          <w:sz w:val="24"/>
          <w:szCs w:val="24"/>
        </w:rPr>
        <w:t>и графикон број 21а)</w:t>
      </w:r>
      <w:r w:rsidR="009E10D8">
        <w:rPr>
          <w:rFonts w:ascii="Times New Roman" w:eastAsia="Calibri" w:hAnsi="Times New Roman" w:cs="Times New Roman"/>
          <w:sz w:val="24"/>
          <w:szCs w:val="24"/>
        </w:rPr>
        <w:t>.</w:t>
      </w:r>
    </w:p>
    <w:p w14:paraId="18FEA874" w14:textId="77777777" w:rsidR="009E10D8" w:rsidRDefault="009E10D8" w:rsidP="009E10D8">
      <w:pPr>
        <w:spacing w:after="120" w:line="360" w:lineRule="auto"/>
        <w:ind w:firstLine="720"/>
        <w:jc w:val="both"/>
        <w:rPr>
          <w:rFonts w:ascii="Times New Roman" w:eastAsia="Calibri" w:hAnsi="Times New Roman" w:cs="Times New Roman"/>
          <w:sz w:val="24"/>
          <w:szCs w:val="24"/>
        </w:rPr>
      </w:pPr>
    </w:p>
    <w:p w14:paraId="6A1DDA8C" w14:textId="77777777" w:rsidR="009E10D8" w:rsidRPr="00215667" w:rsidRDefault="009E10D8" w:rsidP="009E10D8">
      <w:pPr>
        <w:spacing w:after="120" w:line="360" w:lineRule="auto"/>
        <w:ind w:firstLine="720"/>
        <w:jc w:val="both"/>
        <w:rPr>
          <w:rFonts w:ascii="Times New Roman" w:eastAsia="Calibri" w:hAnsi="Times New Roman" w:cs="Times New Roman"/>
          <w:sz w:val="24"/>
          <w:szCs w:val="24"/>
        </w:rPr>
      </w:pPr>
    </w:p>
    <w:p w14:paraId="5C373079" w14:textId="078BDD93" w:rsidR="00412474" w:rsidRPr="00215667" w:rsidRDefault="00412474" w:rsidP="009E10D8">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lastRenderedPageBreak/>
        <w:t>Табела бр. 21а</w:t>
      </w:r>
      <w:r w:rsidR="009E10D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Приказ на корелациите помеѓу вредноста на ADP и бројот на апликации на </w:t>
      </w:r>
      <w:r w:rsidR="00F00F01">
        <w:rPr>
          <w:rFonts w:ascii="Times New Roman" w:eastAsia="Calibri" w:hAnsi="Times New Roman" w:cs="Times New Roman"/>
          <w:sz w:val="24"/>
          <w:szCs w:val="24"/>
        </w:rPr>
        <w:t>транексамична</w:t>
      </w:r>
      <w:r w:rsidRPr="00215667">
        <w:rPr>
          <w:rFonts w:ascii="Times New Roman" w:eastAsia="Calibri" w:hAnsi="Times New Roman" w:cs="Times New Roman"/>
          <w:sz w:val="24"/>
          <w:szCs w:val="24"/>
        </w:rPr>
        <w:t xml:space="preserve"> киселина постекстракционо</w:t>
      </w:r>
    </w:p>
    <w:tbl>
      <w:tblPr>
        <w:tblStyle w:val="TableGrid1"/>
        <w:tblW w:w="8926" w:type="dxa"/>
        <w:jc w:val="center"/>
        <w:tblLook w:val="04A0" w:firstRow="1" w:lastRow="0" w:firstColumn="1" w:lastColumn="0" w:noHBand="0" w:noVBand="1"/>
      </w:tblPr>
      <w:tblGrid>
        <w:gridCol w:w="1015"/>
        <w:gridCol w:w="7911"/>
      </w:tblGrid>
      <w:tr w:rsidR="00412474" w:rsidRPr="00215667" w14:paraId="328ED540" w14:textId="77777777" w:rsidTr="009E10D8">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4C4B8BDD" w14:textId="77777777" w:rsidR="00412474" w:rsidRPr="00215667" w:rsidRDefault="00412474" w:rsidP="00435E3A">
            <w:pPr>
              <w:spacing w:line="256" w:lineRule="auto"/>
              <w:rPr>
                <w:rFonts w:ascii="Times New Roman" w:hAnsi="Times New Roman" w:cs="Times New Roman"/>
                <w:sz w:val="24"/>
                <w:szCs w:val="24"/>
              </w:rPr>
            </w:pPr>
          </w:p>
        </w:tc>
        <w:tc>
          <w:tcPr>
            <w:tcW w:w="7911" w:type="dxa"/>
            <w:tcBorders>
              <w:top w:val="single" w:sz="4" w:space="0" w:color="auto"/>
              <w:left w:val="single" w:sz="4" w:space="0" w:color="auto"/>
              <w:bottom w:val="single" w:sz="4" w:space="0" w:color="auto"/>
              <w:right w:val="single" w:sz="4" w:space="0" w:color="auto"/>
            </w:tcBorders>
            <w:noWrap/>
            <w:hideMark/>
          </w:tcPr>
          <w:p w14:paraId="09418B6F" w14:textId="0F54098F" w:rsidR="00412474" w:rsidRPr="00215667" w:rsidRDefault="00412474" w:rsidP="009E10D8">
            <w:pPr>
              <w:jc w:val="center"/>
              <w:rPr>
                <w:rFonts w:ascii="Times New Roman" w:eastAsia="Times New Roman" w:hAnsi="Times New Roman" w:cs="Times New Roman"/>
                <w:bCs/>
                <w:sz w:val="24"/>
                <w:szCs w:val="24"/>
              </w:rPr>
            </w:pPr>
            <w:proofErr w:type="spellStart"/>
            <w:r w:rsidRPr="00215667">
              <w:rPr>
                <w:rFonts w:ascii="Times New Roman" w:eastAsia="Times New Roman" w:hAnsi="Times New Roman" w:cs="Times New Roman"/>
                <w:bCs/>
                <w:color w:val="000000"/>
                <w:sz w:val="24"/>
                <w:szCs w:val="24"/>
              </w:rPr>
              <w:t>Бројот</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апликации</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ТХА и </w:t>
            </w:r>
            <w:proofErr w:type="spellStart"/>
            <w:r w:rsidRPr="00215667">
              <w:rPr>
                <w:rFonts w:ascii="Times New Roman" w:eastAsia="Times New Roman" w:hAnsi="Times New Roman" w:cs="Times New Roman"/>
                <w:bCs/>
                <w:color w:val="000000"/>
                <w:sz w:val="24"/>
                <w:szCs w:val="24"/>
              </w:rPr>
              <w:t>потреба</w:t>
            </w:r>
            <w:proofErr w:type="spellEnd"/>
            <w:r w:rsidR="009E10D8">
              <w:rPr>
                <w:rFonts w:ascii="Times New Roman" w:eastAsia="Times New Roman" w:hAnsi="Times New Roman" w:cs="Times New Roman"/>
                <w:bCs/>
                <w:color w:val="000000"/>
                <w:sz w:val="24"/>
                <w:szCs w:val="24"/>
                <w:lang w:val="mk-MK"/>
              </w:rPr>
              <w:t>та</w:t>
            </w:r>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од</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повторување</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дозата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постоперативно</w:t>
            </w:r>
            <w:proofErr w:type="spellEnd"/>
            <w:r w:rsidRPr="00215667">
              <w:rPr>
                <w:rFonts w:ascii="Times New Roman" w:eastAsia="Times New Roman" w:hAnsi="Times New Roman" w:cs="Times New Roman"/>
                <w:bCs/>
                <w:color w:val="000000"/>
                <w:sz w:val="24"/>
                <w:szCs w:val="24"/>
              </w:rPr>
              <w:t>/</w:t>
            </w:r>
            <w:proofErr w:type="spellStart"/>
            <w:r w:rsidRPr="00215667">
              <w:rPr>
                <w:rFonts w:ascii="Times New Roman" w:eastAsia="Times New Roman" w:hAnsi="Times New Roman" w:cs="Times New Roman"/>
                <w:bCs/>
                <w:color w:val="000000"/>
                <w:sz w:val="24"/>
                <w:szCs w:val="24"/>
              </w:rPr>
              <w:t>постекстракционо</w:t>
            </w:r>
            <w:proofErr w:type="spellEnd"/>
          </w:p>
        </w:tc>
      </w:tr>
      <w:tr w:rsidR="00412474" w:rsidRPr="00215667" w14:paraId="7DF86CD1" w14:textId="77777777" w:rsidTr="009E10D8">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2C97CD5F" w14:textId="77777777" w:rsidR="00412474" w:rsidRPr="00215667" w:rsidRDefault="00412474" w:rsidP="00435E3A">
            <w:pPr>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 xml:space="preserve">ADP </w:t>
            </w:r>
          </w:p>
        </w:tc>
        <w:tc>
          <w:tcPr>
            <w:tcW w:w="7911" w:type="dxa"/>
            <w:tcBorders>
              <w:top w:val="single" w:sz="4" w:space="0" w:color="auto"/>
              <w:left w:val="single" w:sz="4" w:space="0" w:color="auto"/>
              <w:bottom w:val="single" w:sz="4" w:space="0" w:color="auto"/>
              <w:right w:val="single" w:sz="4" w:space="0" w:color="auto"/>
            </w:tcBorders>
            <w:noWrap/>
            <w:hideMark/>
          </w:tcPr>
          <w:p w14:paraId="56AE762C"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                                       -.3039</w:t>
            </w:r>
          </w:p>
        </w:tc>
      </w:tr>
      <w:tr w:rsidR="00412474" w:rsidRPr="00215667" w14:paraId="75ACC10F" w14:textId="77777777" w:rsidTr="009E10D8">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3E739147" w14:textId="77777777" w:rsidR="00412474" w:rsidRPr="00215667" w:rsidRDefault="00412474" w:rsidP="00435E3A">
            <w:pPr>
              <w:spacing w:line="256" w:lineRule="auto"/>
              <w:rPr>
                <w:rFonts w:ascii="Times New Roman" w:eastAsia="Times New Roman" w:hAnsi="Times New Roman" w:cs="Times New Roman"/>
                <w:sz w:val="24"/>
                <w:szCs w:val="24"/>
              </w:rPr>
            </w:pPr>
          </w:p>
        </w:tc>
        <w:tc>
          <w:tcPr>
            <w:tcW w:w="7911" w:type="dxa"/>
            <w:tcBorders>
              <w:top w:val="single" w:sz="4" w:space="0" w:color="auto"/>
              <w:left w:val="single" w:sz="4" w:space="0" w:color="auto"/>
              <w:bottom w:val="single" w:sz="4" w:space="0" w:color="auto"/>
              <w:right w:val="single" w:sz="4" w:space="0" w:color="auto"/>
            </w:tcBorders>
            <w:noWrap/>
            <w:hideMark/>
          </w:tcPr>
          <w:p w14:paraId="7299144D" w14:textId="77777777" w:rsidR="00412474" w:rsidRPr="00215667" w:rsidRDefault="00412474" w:rsidP="00435E3A">
            <w:pP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                                        p=.015</w:t>
            </w:r>
          </w:p>
        </w:tc>
      </w:tr>
    </w:tbl>
    <w:p w14:paraId="7F775CA6"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212A446B" w14:textId="01589492" w:rsidR="00412474" w:rsidRPr="00215667" w:rsidRDefault="00412474" w:rsidP="009E10D8">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Графикон бр. 21а</w:t>
      </w:r>
      <w:r w:rsidR="009E10D8">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еднократно предоперативна примена ТХА (во грамови) и потреба од повторување на дозата на ТХА по 8 часа, во однос на вредностите на ADP.</w:t>
      </w:r>
    </w:p>
    <w:p w14:paraId="33D2CCA0" w14:textId="09B288D4" w:rsidR="00412474" w:rsidRPr="00215667" w:rsidRDefault="009E10D8" w:rsidP="00412474">
      <w:pPr>
        <w:spacing w:after="120" w:line="360" w:lineRule="auto"/>
        <w:jc w:val="both"/>
        <w:rPr>
          <w:rFonts w:ascii="Times New Roman" w:eastAsia="Times New Roman" w:hAnsi="Times New Roman" w:cs="Times New Roman"/>
          <w:bCs/>
          <w:color w:val="000000"/>
          <w:sz w:val="24"/>
          <w:szCs w:val="24"/>
        </w:rPr>
      </w:pPr>
      <w:r>
        <w:rPr>
          <w:noProof/>
          <w14:ligatures w14:val="standardContextual"/>
        </w:rPr>
        <w:drawing>
          <wp:inline distT="0" distB="0" distL="0" distR="0" wp14:anchorId="2137E30B" wp14:editId="3988756E">
            <wp:extent cx="5400040" cy="2154555"/>
            <wp:effectExtent l="0" t="0" r="0" b="0"/>
            <wp:docPr id="1518635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35812" name=""/>
                    <pic:cNvPicPr/>
                  </pic:nvPicPr>
                  <pic:blipFill>
                    <a:blip r:embed="rId43"/>
                    <a:stretch>
                      <a:fillRect/>
                    </a:stretch>
                  </pic:blipFill>
                  <pic:spPr>
                    <a:xfrm>
                      <a:off x="0" y="0"/>
                      <a:ext cx="5400040" cy="2154555"/>
                    </a:xfrm>
                    <a:prstGeom prst="rect">
                      <a:avLst/>
                    </a:prstGeom>
                  </pic:spPr>
                </pic:pic>
              </a:graphicData>
            </a:graphic>
          </wp:inline>
        </w:drawing>
      </w:r>
    </w:p>
    <w:p w14:paraId="3900DE22" w14:textId="6EEB3C4A" w:rsidR="00412474" w:rsidRPr="00215667" w:rsidRDefault="00412474" w:rsidP="009E10D8">
      <w:pPr>
        <w:spacing w:after="120" w:line="360" w:lineRule="auto"/>
        <w:ind w:firstLine="720"/>
        <w:jc w:val="both"/>
        <w:rPr>
          <w:rFonts w:ascii="Times New Roman" w:eastAsia="Times New Roman" w:hAnsi="Times New Roman" w:cs="Times New Roman"/>
          <w:bCs/>
          <w:color w:val="000000"/>
          <w:sz w:val="24"/>
          <w:szCs w:val="24"/>
        </w:rPr>
      </w:pPr>
      <w:r w:rsidRPr="00215667">
        <w:rPr>
          <w:rFonts w:ascii="Times New Roman" w:eastAsia="Times New Roman" w:hAnsi="Times New Roman" w:cs="Times New Roman"/>
          <w:bCs/>
          <w:color w:val="000000"/>
          <w:sz w:val="24"/>
          <w:szCs w:val="24"/>
        </w:rPr>
        <w:t>Се регистрира умерена негативна (индиректна) сигнификантна корелација</w:t>
      </w:r>
      <w:r w:rsidR="009E10D8">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помеѓу вредностите на </w:t>
      </w:r>
      <w:r w:rsidR="009E10D8">
        <w:rPr>
          <w:rFonts w:ascii="Times New Roman" w:eastAsia="Times New Roman" w:hAnsi="Times New Roman" w:cs="Times New Roman"/>
          <w:bCs/>
          <w:color w:val="000000"/>
          <w:sz w:val="24"/>
          <w:szCs w:val="24"/>
        </w:rPr>
        <w:t>ристоцетин</w:t>
      </w:r>
      <w:r w:rsidRPr="00215667">
        <w:rPr>
          <w:rFonts w:ascii="Times New Roman" w:eastAsia="Times New Roman" w:hAnsi="Times New Roman" w:cs="Times New Roman"/>
          <w:bCs/>
          <w:color w:val="000000"/>
          <w:sz w:val="24"/>
          <w:szCs w:val="24"/>
        </w:rPr>
        <w:t xml:space="preserve"> и потребата од повторување на дозата на ТХА постоперативно (r</w:t>
      </w:r>
      <w:r w:rsidR="009E10D8">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9E10D8">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3178, p</w:t>
      </w:r>
      <w:r w:rsidR="009E10D8">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FF0000"/>
          <w:sz w:val="24"/>
          <w:szCs w:val="24"/>
        </w:rPr>
        <w:t>=</w:t>
      </w:r>
      <w:r w:rsidR="009E10D8">
        <w:rPr>
          <w:rFonts w:ascii="Times New Roman" w:eastAsia="Times New Roman" w:hAnsi="Times New Roman" w:cs="Times New Roman"/>
          <w:bCs/>
          <w:color w:val="FF0000"/>
          <w:sz w:val="24"/>
          <w:szCs w:val="24"/>
        </w:rPr>
        <w:t xml:space="preserve"> </w:t>
      </w:r>
      <w:r w:rsidRPr="00215667">
        <w:rPr>
          <w:rFonts w:ascii="Times New Roman" w:eastAsia="Times New Roman" w:hAnsi="Times New Roman" w:cs="Times New Roman"/>
          <w:bCs/>
          <w:color w:val="FF0000"/>
          <w:sz w:val="24"/>
          <w:szCs w:val="24"/>
        </w:rPr>
        <w:t>.011</w:t>
      </w:r>
      <w:r w:rsidRPr="00215667">
        <w:rPr>
          <w:rFonts w:ascii="Times New Roman" w:eastAsia="Times New Roman" w:hAnsi="Times New Roman" w:cs="Times New Roman"/>
          <w:bCs/>
          <w:color w:val="000000"/>
          <w:sz w:val="24"/>
          <w:szCs w:val="24"/>
        </w:rPr>
        <w:t xml:space="preserve">) (табела </w:t>
      </w:r>
      <w:r w:rsidR="009E10D8">
        <w:rPr>
          <w:rFonts w:ascii="Times New Roman" w:eastAsia="Times New Roman" w:hAnsi="Times New Roman" w:cs="Times New Roman"/>
          <w:bCs/>
          <w:color w:val="000000"/>
          <w:sz w:val="24"/>
          <w:szCs w:val="24"/>
        </w:rPr>
        <w:t xml:space="preserve">бр. 21б </w:t>
      </w:r>
      <w:r w:rsidRPr="00215667">
        <w:rPr>
          <w:rFonts w:ascii="Times New Roman" w:eastAsia="Times New Roman" w:hAnsi="Times New Roman" w:cs="Times New Roman"/>
          <w:bCs/>
          <w:color w:val="000000"/>
          <w:sz w:val="24"/>
          <w:szCs w:val="24"/>
        </w:rPr>
        <w:t>и графикон број 21б)</w:t>
      </w:r>
      <w:r w:rsidR="009E10D8">
        <w:rPr>
          <w:rFonts w:ascii="Times New Roman" w:eastAsia="Times New Roman" w:hAnsi="Times New Roman" w:cs="Times New Roman"/>
          <w:bCs/>
          <w:color w:val="000000"/>
          <w:sz w:val="24"/>
          <w:szCs w:val="24"/>
        </w:rPr>
        <w:t>.</w:t>
      </w:r>
    </w:p>
    <w:p w14:paraId="2577E7A2" w14:textId="77777777" w:rsidR="00B85F1E" w:rsidRDefault="00B85F1E" w:rsidP="009E10D8">
      <w:pPr>
        <w:spacing w:after="120" w:line="360" w:lineRule="auto"/>
        <w:jc w:val="center"/>
        <w:rPr>
          <w:rFonts w:ascii="Times New Roman" w:eastAsia="Calibri" w:hAnsi="Times New Roman" w:cs="Times New Roman"/>
          <w:sz w:val="24"/>
          <w:szCs w:val="24"/>
        </w:rPr>
      </w:pPr>
    </w:p>
    <w:p w14:paraId="7156872E" w14:textId="3181137B" w:rsidR="00412474" w:rsidRPr="00215667" w:rsidRDefault="00412474" w:rsidP="009E10D8">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w:t>
      </w:r>
      <w:r w:rsidR="009E10D8">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21б</w:t>
      </w:r>
      <w:r w:rsidR="009E10D8">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корелациите помеѓу вредноста на </w:t>
      </w:r>
      <w:r w:rsidR="009E10D8">
        <w:rPr>
          <w:rFonts w:ascii="Times New Roman" w:eastAsia="Times New Roman" w:hAnsi="Times New Roman" w:cs="Times New Roman"/>
          <w:bCs/>
          <w:color w:val="000000"/>
          <w:sz w:val="24"/>
          <w:szCs w:val="24"/>
        </w:rPr>
        <w:t>ристоцетин</w:t>
      </w:r>
      <w:r w:rsidR="009E10D8" w:rsidRPr="00215667">
        <w:rPr>
          <w:rFonts w:ascii="Times New Roman" w:eastAsia="Times New Roman" w:hAnsi="Times New Roman" w:cs="Times New Roman"/>
          <w:bCs/>
          <w:color w:val="000000"/>
          <w:sz w:val="24"/>
          <w:szCs w:val="24"/>
        </w:rPr>
        <w:t xml:space="preserve"> </w:t>
      </w:r>
      <w:r w:rsidRPr="00215667">
        <w:rPr>
          <w:rFonts w:ascii="Times New Roman" w:eastAsia="Calibri" w:hAnsi="Times New Roman" w:cs="Times New Roman"/>
          <w:sz w:val="24"/>
          <w:szCs w:val="24"/>
        </w:rPr>
        <w:t xml:space="preserve">и бројот на апликации на </w:t>
      </w:r>
      <w:r w:rsidR="00F00F01">
        <w:rPr>
          <w:rFonts w:ascii="Times New Roman" w:eastAsia="Calibri" w:hAnsi="Times New Roman" w:cs="Times New Roman"/>
          <w:sz w:val="24"/>
          <w:szCs w:val="24"/>
        </w:rPr>
        <w:t>транексамична</w:t>
      </w:r>
      <w:r w:rsidRPr="00215667">
        <w:rPr>
          <w:rFonts w:ascii="Times New Roman" w:eastAsia="Calibri" w:hAnsi="Times New Roman" w:cs="Times New Roman"/>
          <w:sz w:val="24"/>
          <w:szCs w:val="24"/>
        </w:rPr>
        <w:t xml:space="preserve"> киселина постекстракционо</w:t>
      </w:r>
    </w:p>
    <w:tbl>
      <w:tblPr>
        <w:tblStyle w:val="TableGrid1"/>
        <w:tblW w:w="8926" w:type="dxa"/>
        <w:jc w:val="center"/>
        <w:tblLook w:val="04A0" w:firstRow="1" w:lastRow="0" w:firstColumn="1" w:lastColumn="0" w:noHBand="0" w:noVBand="1"/>
      </w:tblPr>
      <w:tblGrid>
        <w:gridCol w:w="1485"/>
        <w:gridCol w:w="7452"/>
      </w:tblGrid>
      <w:tr w:rsidR="00412474" w:rsidRPr="00215667" w14:paraId="037F3E67" w14:textId="77777777" w:rsidTr="009E10D8">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1F8CDED5" w14:textId="77777777" w:rsidR="00412474" w:rsidRPr="00215667" w:rsidRDefault="00412474" w:rsidP="00435E3A">
            <w:pPr>
              <w:spacing w:line="256" w:lineRule="auto"/>
              <w:rPr>
                <w:rFonts w:ascii="Times New Roman" w:hAnsi="Times New Roman" w:cs="Times New Roman"/>
                <w:sz w:val="24"/>
                <w:szCs w:val="24"/>
              </w:rPr>
            </w:pPr>
          </w:p>
        </w:tc>
        <w:tc>
          <w:tcPr>
            <w:tcW w:w="7452" w:type="dxa"/>
            <w:tcBorders>
              <w:top w:val="single" w:sz="4" w:space="0" w:color="auto"/>
              <w:left w:val="single" w:sz="4" w:space="0" w:color="auto"/>
              <w:bottom w:val="single" w:sz="4" w:space="0" w:color="auto"/>
              <w:right w:val="single" w:sz="4" w:space="0" w:color="auto"/>
            </w:tcBorders>
            <w:noWrap/>
            <w:hideMark/>
          </w:tcPr>
          <w:p w14:paraId="7A4D533D" w14:textId="77777777" w:rsidR="00412474" w:rsidRPr="00215667" w:rsidRDefault="00412474" w:rsidP="009E10D8">
            <w:pPr>
              <w:jc w:val="center"/>
              <w:rPr>
                <w:rFonts w:ascii="Times New Roman" w:eastAsia="Times New Roman" w:hAnsi="Times New Roman" w:cs="Times New Roman"/>
                <w:bCs/>
                <w:sz w:val="24"/>
                <w:szCs w:val="24"/>
              </w:rPr>
            </w:pPr>
            <w:proofErr w:type="spellStart"/>
            <w:r w:rsidRPr="00215667">
              <w:rPr>
                <w:rFonts w:ascii="Times New Roman" w:eastAsia="Times New Roman" w:hAnsi="Times New Roman" w:cs="Times New Roman"/>
                <w:bCs/>
                <w:color w:val="000000"/>
                <w:sz w:val="24"/>
                <w:szCs w:val="24"/>
              </w:rPr>
              <w:t>Бројот</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апликации</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ТХА и </w:t>
            </w:r>
            <w:proofErr w:type="spellStart"/>
            <w:r w:rsidRPr="00215667">
              <w:rPr>
                <w:rFonts w:ascii="Times New Roman" w:eastAsia="Times New Roman" w:hAnsi="Times New Roman" w:cs="Times New Roman"/>
                <w:bCs/>
                <w:color w:val="000000"/>
                <w:sz w:val="24"/>
                <w:szCs w:val="24"/>
              </w:rPr>
              <w:t>потреба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од</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повторување</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дозата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постоперативно</w:t>
            </w:r>
            <w:proofErr w:type="spellEnd"/>
            <w:r w:rsidRPr="00215667">
              <w:rPr>
                <w:rFonts w:ascii="Times New Roman" w:eastAsia="Times New Roman" w:hAnsi="Times New Roman" w:cs="Times New Roman"/>
                <w:bCs/>
                <w:color w:val="000000"/>
                <w:sz w:val="24"/>
                <w:szCs w:val="24"/>
              </w:rPr>
              <w:t>/</w:t>
            </w:r>
            <w:proofErr w:type="spellStart"/>
            <w:r w:rsidRPr="00215667">
              <w:rPr>
                <w:rFonts w:ascii="Times New Roman" w:eastAsia="Times New Roman" w:hAnsi="Times New Roman" w:cs="Times New Roman"/>
                <w:bCs/>
                <w:color w:val="000000"/>
                <w:sz w:val="24"/>
                <w:szCs w:val="24"/>
              </w:rPr>
              <w:t>постекстракционо</w:t>
            </w:r>
            <w:proofErr w:type="spellEnd"/>
          </w:p>
        </w:tc>
      </w:tr>
      <w:tr w:rsidR="00412474" w:rsidRPr="00215667" w14:paraId="199F2957" w14:textId="77777777" w:rsidTr="009E10D8">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4389B6D5" w14:textId="0D6D1949" w:rsidR="00412474" w:rsidRPr="00215667" w:rsidRDefault="0021755D" w:rsidP="00435E3A">
            <w:pPr>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color w:val="000000"/>
                <w:sz w:val="24"/>
                <w:szCs w:val="24"/>
              </w:rPr>
              <w:t>Ристоцетин</w:t>
            </w:r>
            <w:proofErr w:type="spellEnd"/>
          </w:p>
        </w:tc>
        <w:tc>
          <w:tcPr>
            <w:tcW w:w="7452" w:type="dxa"/>
            <w:tcBorders>
              <w:top w:val="single" w:sz="4" w:space="0" w:color="auto"/>
              <w:left w:val="single" w:sz="4" w:space="0" w:color="auto"/>
              <w:bottom w:val="single" w:sz="4" w:space="0" w:color="auto"/>
              <w:right w:val="single" w:sz="4" w:space="0" w:color="auto"/>
            </w:tcBorders>
            <w:noWrap/>
            <w:vAlign w:val="center"/>
            <w:hideMark/>
          </w:tcPr>
          <w:p w14:paraId="1537D2D0"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-.3178</w:t>
            </w:r>
          </w:p>
        </w:tc>
      </w:tr>
      <w:tr w:rsidR="00412474" w:rsidRPr="00215667" w14:paraId="06C8199C" w14:textId="77777777" w:rsidTr="009E10D8">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0A01B5CA" w14:textId="77777777" w:rsidR="00412474" w:rsidRPr="00215667" w:rsidRDefault="00412474" w:rsidP="00435E3A">
            <w:pPr>
              <w:spacing w:line="256" w:lineRule="auto"/>
              <w:rPr>
                <w:rFonts w:ascii="Times New Roman" w:eastAsia="Times New Roman" w:hAnsi="Times New Roman" w:cs="Times New Roman"/>
                <w:sz w:val="24"/>
                <w:szCs w:val="24"/>
              </w:rPr>
            </w:pPr>
          </w:p>
        </w:tc>
        <w:tc>
          <w:tcPr>
            <w:tcW w:w="7452" w:type="dxa"/>
            <w:tcBorders>
              <w:top w:val="single" w:sz="4" w:space="0" w:color="auto"/>
              <w:left w:val="single" w:sz="4" w:space="0" w:color="auto"/>
              <w:bottom w:val="single" w:sz="4" w:space="0" w:color="auto"/>
              <w:right w:val="single" w:sz="4" w:space="0" w:color="auto"/>
            </w:tcBorders>
            <w:noWrap/>
            <w:vAlign w:val="center"/>
            <w:hideMark/>
          </w:tcPr>
          <w:p w14:paraId="7EA7CF49" w14:textId="397AC129" w:rsidR="00412474" w:rsidRPr="00215667" w:rsidRDefault="00B85F1E"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P</w:t>
            </w:r>
            <w:r>
              <w:rPr>
                <w:rFonts w:ascii="Times New Roman" w:eastAsia="Times New Roman" w:hAnsi="Times New Roman" w:cs="Times New Roman"/>
                <w:sz w:val="24"/>
                <w:szCs w:val="24"/>
                <w:lang w:val="mk-MK"/>
              </w:rPr>
              <w:t xml:space="preserve"> </w:t>
            </w:r>
            <w:r w:rsidR="00412474" w:rsidRPr="00215667">
              <w:rPr>
                <w:rFonts w:ascii="Times New Roman" w:eastAsia="Times New Roman" w:hAnsi="Times New Roman" w:cs="Times New Roman"/>
                <w:sz w:val="24"/>
                <w:szCs w:val="24"/>
              </w:rPr>
              <w:t>=</w:t>
            </w:r>
            <w:r>
              <w:rPr>
                <w:rFonts w:ascii="Times New Roman" w:eastAsia="Times New Roman" w:hAnsi="Times New Roman" w:cs="Times New Roman"/>
                <w:sz w:val="24"/>
                <w:szCs w:val="24"/>
                <w:lang w:val="mk-MK"/>
              </w:rPr>
              <w:t xml:space="preserve"> </w:t>
            </w:r>
            <w:r w:rsidR="00412474" w:rsidRPr="00215667">
              <w:rPr>
                <w:rFonts w:ascii="Times New Roman" w:eastAsia="Times New Roman" w:hAnsi="Times New Roman" w:cs="Times New Roman"/>
                <w:sz w:val="24"/>
                <w:szCs w:val="24"/>
              </w:rPr>
              <w:t>.011</w:t>
            </w:r>
          </w:p>
        </w:tc>
      </w:tr>
    </w:tbl>
    <w:p w14:paraId="458B3356"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7537C7B0" w14:textId="77777777" w:rsidR="00B85F1E" w:rsidRDefault="00B85F1E" w:rsidP="00B85F1E">
      <w:pPr>
        <w:spacing w:after="120" w:line="360" w:lineRule="auto"/>
        <w:jc w:val="center"/>
        <w:rPr>
          <w:rFonts w:ascii="Times New Roman" w:eastAsia="Calibri" w:hAnsi="Times New Roman" w:cs="Times New Roman"/>
          <w:sz w:val="24"/>
          <w:szCs w:val="24"/>
        </w:rPr>
      </w:pPr>
    </w:p>
    <w:p w14:paraId="6A78F63C" w14:textId="77777777" w:rsidR="00B85F1E" w:rsidRDefault="00B85F1E" w:rsidP="00B85F1E">
      <w:pPr>
        <w:spacing w:after="120" w:line="360" w:lineRule="auto"/>
        <w:jc w:val="center"/>
        <w:rPr>
          <w:rFonts w:ascii="Times New Roman" w:eastAsia="Calibri" w:hAnsi="Times New Roman" w:cs="Times New Roman"/>
          <w:sz w:val="24"/>
          <w:szCs w:val="24"/>
        </w:rPr>
      </w:pPr>
    </w:p>
    <w:p w14:paraId="343B2AD7" w14:textId="3F9EA2FB" w:rsidR="00412474" w:rsidRPr="00215667" w:rsidRDefault="00412474" w:rsidP="00B85F1E">
      <w:pPr>
        <w:spacing w:after="120" w:line="360" w:lineRule="auto"/>
        <w:jc w:val="center"/>
        <w:rPr>
          <w:rFonts w:ascii="Times New Roman" w:eastAsia="Times New Roman" w:hAnsi="Times New Roman" w:cs="Times New Roman"/>
          <w:bCs/>
          <w:color w:val="000000"/>
          <w:sz w:val="24"/>
          <w:szCs w:val="24"/>
        </w:rPr>
      </w:pPr>
      <w:r w:rsidRPr="00215667">
        <w:rPr>
          <w:rFonts w:ascii="Times New Roman" w:eastAsia="Calibri" w:hAnsi="Times New Roman" w:cs="Times New Roman"/>
          <w:sz w:val="24"/>
          <w:szCs w:val="24"/>
        </w:rPr>
        <w:lastRenderedPageBreak/>
        <w:t>Графикон бр. 21б</w:t>
      </w:r>
      <w:r w:rsidR="00B85F1E">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еднократно</w:t>
      </w:r>
      <w:r w:rsidR="00B85F1E">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 xml:space="preserve">предоперативна примена </w:t>
      </w:r>
      <w:r w:rsidR="00B85F1E">
        <w:rPr>
          <w:rFonts w:ascii="Times New Roman" w:eastAsia="Calibri" w:hAnsi="Times New Roman" w:cs="Times New Roman"/>
          <w:sz w:val="24"/>
          <w:szCs w:val="24"/>
        </w:rPr>
        <w:t xml:space="preserve">на </w:t>
      </w:r>
      <w:r w:rsidRPr="00215667">
        <w:rPr>
          <w:rFonts w:ascii="Times New Roman" w:eastAsia="Calibri" w:hAnsi="Times New Roman" w:cs="Times New Roman"/>
          <w:sz w:val="24"/>
          <w:szCs w:val="24"/>
        </w:rPr>
        <w:t xml:space="preserve">ТХА (во гр.) и потреба од повторување на дозата на ТХА по 8 часа, во однос на вредностите на  </w:t>
      </w:r>
      <w:r w:rsidR="00B85F1E">
        <w:rPr>
          <w:rFonts w:ascii="Times New Roman" w:eastAsia="Calibri" w:hAnsi="Times New Roman" w:cs="Times New Roman"/>
          <w:sz w:val="24"/>
          <w:szCs w:val="24"/>
        </w:rPr>
        <w:t>ристоцетин</w:t>
      </w:r>
      <w:r w:rsidRPr="00215667">
        <w:rPr>
          <w:rFonts w:ascii="Times New Roman" w:eastAsia="Calibri" w:hAnsi="Times New Roman" w:cs="Times New Roman"/>
          <w:sz w:val="24"/>
          <w:szCs w:val="24"/>
        </w:rPr>
        <w:t xml:space="preserve">  </w:t>
      </w:r>
      <w:r w:rsidR="00B85F1E">
        <w:rPr>
          <w:noProof/>
          <w14:ligatures w14:val="standardContextual"/>
        </w:rPr>
        <w:drawing>
          <wp:inline distT="0" distB="0" distL="0" distR="0" wp14:anchorId="7C84DDEF" wp14:editId="3F73AFB8">
            <wp:extent cx="4813402" cy="1928983"/>
            <wp:effectExtent l="0" t="0" r="6350" b="0"/>
            <wp:docPr id="1865793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93038" name=""/>
                    <pic:cNvPicPr/>
                  </pic:nvPicPr>
                  <pic:blipFill>
                    <a:blip r:embed="rId44"/>
                    <a:stretch>
                      <a:fillRect/>
                    </a:stretch>
                  </pic:blipFill>
                  <pic:spPr>
                    <a:xfrm>
                      <a:off x="0" y="0"/>
                      <a:ext cx="4822330" cy="1932561"/>
                    </a:xfrm>
                    <a:prstGeom prst="rect">
                      <a:avLst/>
                    </a:prstGeom>
                  </pic:spPr>
                </pic:pic>
              </a:graphicData>
            </a:graphic>
          </wp:inline>
        </w:drawing>
      </w:r>
    </w:p>
    <w:p w14:paraId="05908077" w14:textId="6C376B45" w:rsidR="00412474" w:rsidRPr="00215667" w:rsidRDefault="00412474" w:rsidP="00B85F1E">
      <w:pPr>
        <w:spacing w:after="120" w:line="360" w:lineRule="auto"/>
        <w:ind w:firstLine="720"/>
        <w:jc w:val="both"/>
        <w:rPr>
          <w:rFonts w:ascii="Times New Roman" w:eastAsia="Times New Roman" w:hAnsi="Times New Roman" w:cs="Times New Roman"/>
          <w:bCs/>
          <w:color w:val="000000"/>
          <w:sz w:val="24"/>
          <w:szCs w:val="24"/>
        </w:rPr>
      </w:pPr>
      <w:r w:rsidRPr="00215667">
        <w:rPr>
          <w:rFonts w:ascii="Times New Roman" w:eastAsia="Times New Roman" w:hAnsi="Times New Roman" w:cs="Times New Roman"/>
          <w:bCs/>
          <w:color w:val="000000"/>
          <w:sz w:val="24"/>
          <w:szCs w:val="24"/>
        </w:rPr>
        <w:t>Се регистрира умерена негативна (индиректна) сигнификантна корелација помеѓу</w:t>
      </w:r>
      <w:r w:rsidR="00B85F1E">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xml:space="preserve">вредностите на </w:t>
      </w:r>
      <w:r w:rsidR="00B85F1E">
        <w:rPr>
          <w:rFonts w:ascii="Times New Roman" w:eastAsia="Times New Roman" w:hAnsi="Times New Roman" w:cs="Times New Roman"/>
          <w:bCs/>
          <w:color w:val="000000"/>
          <w:sz w:val="24"/>
          <w:szCs w:val="24"/>
        </w:rPr>
        <w:t>колаген</w:t>
      </w:r>
      <w:r w:rsidRPr="00215667">
        <w:rPr>
          <w:rFonts w:ascii="Times New Roman" w:eastAsia="Times New Roman" w:hAnsi="Times New Roman" w:cs="Times New Roman"/>
          <w:bCs/>
          <w:color w:val="000000"/>
          <w:sz w:val="24"/>
          <w:szCs w:val="24"/>
        </w:rPr>
        <w:t xml:space="preserve"> и потребата од повторување на дозата, постоперативно (број на апликации на </w:t>
      </w:r>
      <w:r w:rsidR="00F00F01">
        <w:rPr>
          <w:rFonts w:ascii="Times New Roman" w:eastAsia="Times New Roman" w:hAnsi="Times New Roman" w:cs="Times New Roman"/>
          <w:bCs/>
          <w:color w:val="000000"/>
          <w:sz w:val="24"/>
          <w:szCs w:val="24"/>
        </w:rPr>
        <w:t>транексамична</w:t>
      </w:r>
      <w:r w:rsidRPr="00215667">
        <w:rPr>
          <w:rFonts w:ascii="Times New Roman" w:eastAsia="Times New Roman" w:hAnsi="Times New Roman" w:cs="Times New Roman"/>
          <w:bCs/>
          <w:color w:val="000000"/>
          <w:sz w:val="24"/>
          <w:szCs w:val="24"/>
        </w:rPr>
        <w:t xml:space="preserve"> киселина), (r</w:t>
      </w:r>
      <w:r w:rsidR="00B85F1E">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w:t>
      </w:r>
      <w:r w:rsidR="00B85F1E">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000000"/>
          <w:sz w:val="24"/>
          <w:szCs w:val="24"/>
        </w:rPr>
        <w:t>-. 3706, p</w:t>
      </w:r>
      <w:r w:rsidR="00B85F1E">
        <w:rPr>
          <w:rFonts w:ascii="Times New Roman" w:eastAsia="Times New Roman" w:hAnsi="Times New Roman" w:cs="Times New Roman"/>
          <w:bCs/>
          <w:color w:val="000000"/>
          <w:sz w:val="24"/>
          <w:szCs w:val="24"/>
        </w:rPr>
        <w:t xml:space="preserve"> </w:t>
      </w:r>
      <w:r w:rsidRPr="00215667">
        <w:rPr>
          <w:rFonts w:ascii="Times New Roman" w:eastAsia="Times New Roman" w:hAnsi="Times New Roman" w:cs="Times New Roman"/>
          <w:bCs/>
          <w:color w:val="FF0000"/>
          <w:sz w:val="24"/>
          <w:szCs w:val="24"/>
        </w:rPr>
        <w:t>=</w:t>
      </w:r>
      <w:r w:rsidR="00B85F1E">
        <w:rPr>
          <w:rFonts w:ascii="Times New Roman" w:eastAsia="Times New Roman" w:hAnsi="Times New Roman" w:cs="Times New Roman"/>
          <w:bCs/>
          <w:color w:val="FF0000"/>
          <w:sz w:val="24"/>
          <w:szCs w:val="24"/>
        </w:rPr>
        <w:t xml:space="preserve"> </w:t>
      </w:r>
      <w:r w:rsidRPr="00215667">
        <w:rPr>
          <w:rFonts w:ascii="Times New Roman" w:eastAsia="Times New Roman" w:hAnsi="Times New Roman" w:cs="Times New Roman"/>
          <w:bCs/>
          <w:color w:val="FF0000"/>
          <w:sz w:val="24"/>
          <w:szCs w:val="24"/>
        </w:rPr>
        <w:t>.003</w:t>
      </w:r>
      <w:r w:rsidRPr="00215667">
        <w:rPr>
          <w:rFonts w:ascii="Times New Roman" w:eastAsia="Times New Roman" w:hAnsi="Times New Roman" w:cs="Times New Roman"/>
          <w:bCs/>
          <w:color w:val="000000"/>
          <w:sz w:val="24"/>
          <w:szCs w:val="24"/>
        </w:rPr>
        <w:t xml:space="preserve">) (табела </w:t>
      </w:r>
      <w:r w:rsidR="00B85F1E">
        <w:rPr>
          <w:rFonts w:ascii="Times New Roman" w:eastAsia="Times New Roman" w:hAnsi="Times New Roman" w:cs="Times New Roman"/>
          <w:bCs/>
          <w:color w:val="000000"/>
          <w:sz w:val="24"/>
          <w:szCs w:val="24"/>
        </w:rPr>
        <w:t xml:space="preserve">бр. 21в </w:t>
      </w:r>
      <w:r w:rsidRPr="00215667">
        <w:rPr>
          <w:rFonts w:ascii="Times New Roman" w:eastAsia="Times New Roman" w:hAnsi="Times New Roman" w:cs="Times New Roman"/>
          <w:bCs/>
          <w:color w:val="000000"/>
          <w:sz w:val="24"/>
          <w:szCs w:val="24"/>
        </w:rPr>
        <w:t>и графикон број 21в)</w:t>
      </w:r>
      <w:r w:rsidR="00B85F1E">
        <w:rPr>
          <w:rFonts w:ascii="Times New Roman" w:eastAsia="Times New Roman" w:hAnsi="Times New Roman" w:cs="Times New Roman"/>
          <w:bCs/>
          <w:color w:val="000000"/>
          <w:sz w:val="24"/>
          <w:szCs w:val="24"/>
        </w:rPr>
        <w:t>.</w:t>
      </w:r>
    </w:p>
    <w:p w14:paraId="139D01F7" w14:textId="1CD8EB07" w:rsidR="00412474" w:rsidRPr="00215667" w:rsidRDefault="00412474" w:rsidP="00B85F1E">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w:t>
      </w:r>
      <w:r w:rsidR="00B85F1E">
        <w:rPr>
          <w:rFonts w:ascii="Times New Roman" w:eastAsia="Calibri" w:hAnsi="Times New Roman" w:cs="Times New Roman"/>
          <w:sz w:val="24"/>
          <w:szCs w:val="24"/>
        </w:rPr>
        <w:t xml:space="preserve"> </w:t>
      </w:r>
      <w:r w:rsidRPr="00215667">
        <w:rPr>
          <w:rFonts w:ascii="Times New Roman" w:eastAsia="Calibri" w:hAnsi="Times New Roman" w:cs="Times New Roman"/>
          <w:sz w:val="24"/>
          <w:szCs w:val="24"/>
        </w:rPr>
        <w:t>21в</w:t>
      </w:r>
      <w:r w:rsidR="00B85F1E">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корелациите помеѓу </w:t>
      </w:r>
      <w:r w:rsidR="00B85F1E">
        <w:rPr>
          <w:rFonts w:ascii="Times New Roman" w:eastAsia="Calibri" w:hAnsi="Times New Roman" w:cs="Times New Roman"/>
          <w:sz w:val="24"/>
          <w:szCs w:val="24"/>
        </w:rPr>
        <w:t>колаген</w:t>
      </w:r>
      <w:r w:rsidRPr="00215667">
        <w:rPr>
          <w:rFonts w:ascii="Times New Roman" w:eastAsia="Calibri" w:hAnsi="Times New Roman" w:cs="Times New Roman"/>
          <w:sz w:val="24"/>
          <w:szCs w:val="24"/>
        </w:rPr>
        <w:t xml:space="preserve"> и бројот на апликаци</w:t>
      </w:r>
      <w:r w:rsidR="00B85F1E">
        <w:rPr>
          <w:rFonts w:ascii="Times New Roman" w:eastAsia="Calibri" w:hAnsi="Times New Roman" w:cs="Times New Roman"/>
          <w:sz w:val="24"/>
          <w:szCs w:val="24"/>
        </w:rPr>
        <w:t>и</w:t>
      </w:r>
      <w:r w:rsidRPr="00215667">
        <w:rPr>
          <w:rFonts w:ascii="Times New Roman" w:eastAsia="Calibri" w:hAnsi="Times New Roman" w:cs="Times New Roman"/>
          <w:sz w:val="24"/>
          <w:szCs w:val="24"/>
        </w:rPr>
        <w:t xml:space="preserve"> на </w:t>
      </w:r>
      <w:r w:rsidR="00F00F01">
        <w:rPr>
          <w:rFonts w:ascii="Times New Roman" w:eastAsia="Calibri" w:hAnsi="Times New Roman" w:cs="Times New Roman"/>
          <w:sz w:val="24"/>
          <w:szCs w:val="24"/>
        </w:rPr>
        <w:t>транексамична</w:t>
      </w:r>
      <w:r w:rsidRPr="00215667">
        <w:rPr>
          <w:rFonts w:ascii="Times New Roman" w:eastAsia="Calibri" w:hAnsi="Times New Roman" w:cs="Times New Roman"/>
          <w:sz w:val="24"/>
          <w:szCs w:val="24"/>
        </w:rPr>
        <w:t xml:space="preserve"> киселина</w:t>
      </w:r>
    </w:p>
    <w:tbl>
      <w:tblPr>
        <w:tblStyle w:val="TableGrid1"/>
        <w:tblW w:w="8926" w:type="dxa"/>
        <w:jc w:val="center"/>
        <w:tblLook w:val="04A0" w:firstRow="1" w:lastRow="0" w:firstColumn="1" w:lastColumn="0" w:noHBand="0" w:noVBand="1"/>
      </w:tblPr>
      <w:tblGrid>
        <w:gridCol w:w="1291"/>
        <w:gridCol w:w="7635"/>
      </w:tblGrid>
      <w:tr w:rsidR="00412474" w:rsidRPr="00215667" w14:paraId="67669CE2" w14:textId="77777777" w:rsidTr="00B85F1E">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09612512" w14:textId="77777777" w:rsidR="00412474" w:rsidRPr="00215667" w:rsidRDefault="00412474" w:rsidP="00435E3A">
            <w:pPr>
              <w:spacing w:line="256" w:lineRule="auto"/>
              <w:rPr>
                <w:rFonts w:ascii="Times New Roman" w:hAnsi="Times New Roman" w:cs="Times New Roman"/>
                <w:sz w:val="24"/>
                <w:szCs w:val="24"/>
              </w:rPr>
            </w:pPr>
          </w:p>
        </w:tc>
        <w:tc>
          <w:tcPr>
            <w:tcW w:w="7635" w:type="dxa"/>
            <w:tcBorders>
              <w:top w:val="single" w:sz="4" w:space="0" w:color="auto"/>
              <w:left w:val="single" w:sz="4" w:space="0" w:color="auto"/>
              <w:bottom w:val="single" w:sz="4" w:space="0" w:color="auto"/>
              <w:right w:val="single" w:sz="4" w:space="0" w:color="auto"/>
            </w:tcBorders>
            <w:noWrap/>
            <w:hideMark/>
          </w:tcPr>
          <w:p w14:paraId="6ED7C9D3" w14:textId="77777777" w:rsidR="00412474" w:rsidRPr="00215667" w:rsidRDefault="00412474" w:rsidP="00B85F1E">
            <w:pPr>
              <w:jc w:val="center"/>
              <w:rPr>
                <w:rFonts w:ascii="Times New Roman" w:eastAsia="Times New Roman" w:hAnsi="Times New Roman" w:cs="Times New Roman"/>
                <w:bCs/>
                <w:sz w:val="24"/>
                <w:szCs w:val="24"/>
              </w:rPr>
            </w:pPr>
            <w:proofErr w:type="spellStart"/>
            <w:r w:rsidRPr="00215667">
              <w:rPr>
                <w:rFonts w:ascii="Times New Roman" w:eastAsia="Times New Roman" w:hAnsi="Times New Roman" w:cs="Times New Roman"/>
                <w:bCs/>
                <w:color w:val="000000"/>
                <w:sz w:val="24"/>
                <w:szCs w:val="24"/>
              </w:rPr>
              <w:t>Бројот</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апликации</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ТХА и </w:t>
            </w:r>
            <w:proofErr w:type="spellStart"/>
            <w:r w:rsidRPr="00215667">
              <w:rPr>
                <w:rFonts w:ascii="Times New Roman" w:eastAsia="Times New Roman" w:hAnsi="Times New Roman" w:cs="Times New Roman"/>
                <w:bCs/>
                <w:color w:val="000000"/>
                <w:sz w:val="24"/>
                <w:szCs w:val="24"/>
              </w:rPr>
              <w:t>потреба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од</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повторување</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на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дозата</w:t>
            </w:r>
            <w:proofErr w:type="spellEnd"/>
            <w:r w:rsidRPr="00215667">
              <w:rPr>
                <w:rFonts w:ascii="Times New Roman" w:eastAsia="Times New Roman" w:hAnsi="Times New Roman" w:cs="Times New Roman"/>
                <w:bCs/>
                <w:color w:val="000000"/>
                <w:sz w:val="24"/>
                <w:szCs w:val="24"/>
              </w:rPr>
              <w:t xml:space="preserve"> </w:t>
            </w:r>
            <w:proofErr w:type="spellStart"/>
            <w:r w:rsidRPr="00215667">
              <w:rPr>
                <w:rFonts w:ascii="Times New Roman" w:eastAsia="Times New Roman" w:hAnsi="Times New Roman" w:cs="Times New Roman"/>
                <w:bCs/>
                <w:color w:val="000000"/>
                <w:sz w:val="24"/>
                <w:szCs w:val="24"/>
              </w:rPr>
              <w:t>постоперативно</w:t>
            </w:r>
            <w:proofErr w:type="spellEnd"/>
            <w:r w:rsidRPr="00215667">
              <w:rPr>
                <w:rFonts w:ascii="Times New Roman" w:eastAsia="Times New Roman" w:hAnsi="Times New Roman" w:cs="Times New Roman"/>
                <w:bCs/>
                <w:color w:val="000000"/>
                <w:sz w:val="24"/>
                <w:szCs w:val="24"/>
              </w:rPr>
              <w:t>/</w:t>
            </w:r>
            <w:proofErr w:type="spellStart"/>
            <w:r w:rsidRPr="00215667">
              <w:rPr>
                <w:rFonts w:ascii="Times New Roman" w:eastAsia="Times New Roman" w:hAnsi="Times New Roman" w:cs="Times New Roman"/>
                <w:bCs/>
                <w:color w:val="000000"/>
                <w:sz w:val="24"/>
                <w:szCs w:val="24"/>
              </w:rPr>
              <w:t>постекстракционо</w:t>
            </w:r>
            <w:proofErr w:type="spellEnd"/>
          </w:p>
        </w:tc>
      </w:tr>
      <w:tr w:rsidR="00412474" w:rsidRPr="00215667" w14:paraId="29F96406" w14:textId="77777777" w:rsidTr="00B85F1E">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669D8641" w14:textId="095B25A5" w:rsidR="00412474" w:rsidRPr="00215667" w:rsidRDefault="0021755D" w:rsidP="00435E3A">
            <w:pPr>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color w:val="000000"/>
                <w:sz w:val="24"/>
                <w:szCs w:val="24"/>
              </w:rPr>
              <w:t>Колаген</w:t>
            </w:r>
            <w:proofErr w:type="spellEnd"/>
          </w:p>
        </w:tc>
        <w:tc>
          <w:tcPr>
            <w:tcW w:w="7635" w:type="dxa"/>
            <w:tcBorders>
              <w:top w:val="single" w:sz="4" w:space="0" w:color="auto"/>
              <w:left w:val="single" w:sz="4" w:space="0" w:color="auto"/>
              <w:bottom w:val="single" w:sz="4" w:space="0" w:color="auto"/>
              <w:right w:val="single" w:sz="4" w:space="0" w:color="auto"/>
            </w:tcBorders>
            <w:noWrap/>
            <w:vAlign w:val="center"/>
            <w:hideMark/>
          </w:tcPr>
          <w:p w14:paraId="44346AFE" w14:textId="77777777" w:rsidR="00412474" w:rsidRPr="00215667" w:rsidRDefault="00412474" w:rsidP="00435E3A">
            <w:pPr>
              <w:jc w:val="cente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-.3706</w:t>
            </w:r>
          </w:p>
        </w:tc>
      </w:tr>
      <w:tr w:rsidR="00412474" w:rsidRPr="00215667" w14:paraId="18382A45" w14:textId="77777777" w:rsidTr="00B85F1E">
        <w:trPr>
          <w:jc w:val="center"/>
        </w:trPr>
        <w:tc>
          <w:tcPr>
            <w:tcW w:w="0" w:type="auto"/>
            <w:tcBorders>
              <w:top w:val="single" w:sz="4" w:space="0" w:color="auto"/>
              <w:left w:val="single" w:sz="4" w:space="0" w:color="auto"/>
              <w:bottom w:val="single" w:sz="4" w:space="0" w:color="auto"/>
              <w:right w:val="single" w:sz="4" w:space="0" w:color="auto"/>
            </w:tcBorders>
            <w:noWrap/>
            <w:hideMark/>
          </w:tcPr>
          <w:p w14:paraId="5F7EF42C" w14:textId="77777777" w:rsidR="00412474" w:rsidRPr="00215667" w:rsidRDefault="00412474" w:rsidP="00435E3A">
            <w:pPr>
              <w:spacing w:line="256" w:lineRule="auto"/>
              <w:rPr>
                <w:rFonts w:ascii="Times New Roman" w:eastAsia="Times New Roman" w:hAnsi="Times New Roman" w:cs="Times New Roman"/>
                <w:sz w:val="24"/>
                <w:szCs w:val="24"/>
              </w:rPr>
            </w:pPr>
          </w:p>
        </w:tc>
        <w:tc>
          <w:tcPr>
            <w:tcW w:w="7635" w:type="dxa"/>
            <w:tcBorders>
              <w:top w:val="single" w:sz="4" w:space="0" w:color="auto"/>
              <w:left w:val="single" w:sz="4" w:space="0" w:color="auto"/>
              <w:bottom w:val="single" w:sz="4" w:space="0" w:color="auto"/>
              <w:right w:val="single" w:sz="4" w:space="0" w:color="auto"/>
            </w:tcBorders>
            <w:noWrap/>
            <w:vAlign w:val="center"/>
            <w:hideMark/>
          </w:tcPr>
          <w:p w14:paraId="246A2C74" w14:textId="4B1E43D2" w:rsidR="00412474" w:rsidRPr="00215667" w:rsidRDefault="00B85F1E" w:rsidP="00435E3A">
            <w:pPr>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w:t>
            </w:r>
            <w:r>
              <w:rPr>
                <w:rFonts w:ascii="Times New Roman" w:eastAsia="Times New Roman" w:hAnsi="Times New Roman" w:cs="Times New Roman"/>
                <w:sz w:val="24"/>
                <w:szCs w:val="24"/>
                <w:lang w:val="mk-MK"/>
              </w:rPr>
              <w:t xml:space="preserve"> </w:t>
            </w:r>
            <w:r w:rsidR="00412474" w:rsidRPr="00215667">
              <w:rPr>
                <w:rFonts w:ascii="Times New Roman" w:eastAsia="Times New Roman" w:hAnsi="Times New Roman" w:cs="Times New Roman"/>
                <w:sz w:val="24"/>
                <w:szCs w:val="24"/>
              </w:rPr>
              <w:t>=</w:t>
            </w:r>
            <w:r>
              <w:rPr>
                <w:rFonts w:ascii="Times New Roman" w:eastAsia="Times New Roman" w:hAnsi="Times New Roman" w:cs="Times New Roman"/>
                <w:sz w:val="24"/>
                <w:szCs w:val="24"/>
                <w:lang w:val="mk-MK"/>
              </w:rPr>
              <w:t xml:space="preserve"> </w:t>
            </w:r>
            <w:r w:rsidR="00412474" w:rsidRPr="00215667">
              <w:rPr>
                <w:rFonts w:ascii="Times New Roman" w:eastAsia="Times New Roman" w:hAnsi="Times New Roman" w:cs="Times New Roman"/>
                <w:sz w:val="24"/>
                <w:szCs w:val="24"/>
              </w:rPr>
              <w:t>.003</w:t>
            </w:r>
          </w:p>
        </w:tc>
      </w:tr>
    </w:tbl>
    <w:p w14:paraId="3DBA6186" w14:textId="77777777" w:rsidR="00412474" w:rsidRPr="00215667" w:rsidRDefault="00412474" w:rsidP="00412474">
      <w:pPr>
        <w:spacing w:after="120" w:line="360" w:lineRule="auto"/>
        <w:jc w:val="both"/>
        <w:rPr>
          <w:rFonts w:ascii="Times New Roman" w:eastAsia="Calibri" w:hAnsi="Times New Roman" w:cs="Times New Roman"/>
          <w:sz w:val="24"/>
          <w:szCs w:val="24"/>
        </w:rPr>
      </w:pPr>
    </w:p>
    <w:p w14:paraId="323C1DF5" w14:textId="2A3D2CA7" w:rsidR="00412474" w:rsidRPr="00215667" w:rsidRDefault="00412474" w:rsidP="00B85F1E">
      <w:pPr>
        <w:spacing w:after="120" w:line="360" w:lineRule="auto"/>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Графикон бр. 21в</w:t>
      </w:r>
      <w:r w:rsidR="00B85F1E">
        <w:rPr>
          <w:rFonts w:ascii="Times New Roman" w:eastAsia="Calibri" w:hAnsi="Times New Roman" w:cs="Times New Roman"/>
          <w:sz w:val="24"/>
          <w:szCs w:val="24"/>
        </w:rPr>
        <w:t>-</w:t>
      </w:r>
      <w:r w:rsidRPr="00215667">
        <w:rPr>
          <w:rFonts w:ascii="Times New Roman" w:eastAsia="Calibri" w:hAnsi="Times New Roman" w:cs="Times New Roman"/>
          <w:sz w:val="24"/>
          <w:szCs w:val="24"/>
        </w:rPr>
        <w:t xml:space="preserve"> Приказ на еднократно предоперативна примена </w:t>
      </w:r>
      <w:r w:rsidR="00B85F1E">
        <w:rPr>
          <w:rFonts w:ascii="Times New Roman" w:eastAsia="Calibri" w:hAnsi="Times New Roman" w:cs="Times New Roman"/>
          <w:sz w:val="24"/>
          <w:szCs w:val="24"/>
        </w:rPr>
        <w:t xml:space="preserve">на </w:t>
      </w:r>
      <w:r w:rsidRPr="00215667">
        <w:rPr>
          <w:rFonts w:ascii="Times New Roman" w:eastAsia="Calibri" w:hAnsi="Times New Roman" w:cs="Times New Roman"/>
          <w:sz w:val="24"/>
          <w:szCs w:val="24"/>
        </w:rPr>
        <w:t xml:space="preserve">ТХА (во гр.) и потреба од повторување на дозата на ТХА по 8 часа, во однос на вредностите на  </w:t>
      </w:r>
      <w:r w:rsidR="00B85F1E">
        <w:rPr>
          <w:rFonts w:ascii="Times New Roman" w:eastAsia="Calibri" w:hAnsi="Times New Roman" w:cs="Times New Roman"/>
          <w:sz w:val="24"/>
          <w:szCs w:val="24"/>
        </w:rPr>
        <w:t>колаген</w:t>
      </w:r>
    </w:p>
    <w:p w14:paraId="47561665" w14:textId="6E144C55" w:rsidR="00412474" w:rsidRPr="00215667" w:rsidRDefault="00B85F1E" w:rsidP="00B85F1E">
      <w:pPr>
        <w:spacing w:after="120" w:line="360" w:lineRule="auto"/>
        <w:jc w:val="center"/>
        <w:rPr>
          <w:rFonts w:ascii="Times New Roman" w:eastAsia="Calibri" w:hAnsi="Times New Roman" w:cs="Times New Roman"/>
          <w:sz w:val="24"/>
          <w:szCs w:val="24"/>
        </w:rPr>
      </w:pPr>
      <w:r>
        <w:rPr>
          <w:noProof/>
          <w14:ligatures w14:val="standardContextual"/>
        </w:rPr>
        <w:drawing>
          <wp:inline distT="0" distB="0" distL="0" distR="0" wp14:anchorId="1BC146E0" wp14:editId="1256F608">
            <wp:extent cx="4835347" cy="1926406"/>
            <wp:effectExtent l="0" t="0" r="3810" b="0"/>
            <wp:docPr id="5015655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565546" name=""/>
                    <pic:cNvPicPr/>
                  </pic:nvPicPr>
                  <pic:blipFill>
                    <a:blip r:embed="rId45"/>
                    <a:stretch>
                      <a:fillRect/>
                    </a:stretch>
                  </pic:blipFill>
                  <pic:spPr>
                    <a:xfrm>
                      <a:off x="0" y="0"/>
                      <a:ext cx="4846374" cy="1930799"/>
                    </a:xfrm>
                    <a:prstGeom prst="rect">
                      <a:avLst/>
                    </a:prstGeom>
                  </pic:spPr>
                </pic:pic>
              </a:graphicData>
            </a:graphic>
          </wp:inline>
        </w:drawing>
      </w:r>
    </w:p>
    <w:p w14:paraId="4511E5E4" w14:textId="64D08B74" w:rsidR="00412474" w:rsidRPr="00452BC7" w:rsidRDefault="00452BC7" w:rsidP="00215667">
      <w:pPr>
        <w:pStyle w:val="Heading2"/>
        <w:rPr>
          <w:rFonts w:ascii="Times New Roman" w:eastAsia="Calibri" w:hAnsi="Times New Roman" w:cs="Times New Roman"/>
          <w:b/>
          <w:bCs/>
          <w:color w:val="000000" w:themeColor="text1"/>
          <w:sz w:val="24"/>
          <w:szCs w:val="24"/>
        </w:rPr>
      </w:pPr>
      <w:bookmarkStart w:id="39" w:name="_Toc209005159"/>
      <w:r w:rsidRPr="00452BC7">
        <w:rPr>
          <w:rFonts w:ascii="Times New Roman" w:eastAsia="Calibri" w:hAnsi="Times New Roman" w:cs="Times New Roman"/>
          <w:b/>
          <w:bCs/>
          <w:color w:val="000000" w:themeColor="text1"/>
          <w:sz w:val="24"/>
          <w:szCs w:val="24"/>
        </w:rPr>
        <w:lastRenderedPageBreak/>
        <w:t>Орална антикоагулантна и антиагрегациона терапија</w:t>
      </w:r>
      <w:bookmarkEnd w:id="39"/>
    </w:p>
    <w:p w14:paraId="5AAD33B8" w14:textId="77777777" w:rsidR="00412474" w:rsidRPr="00215667" w:rsidRDefault="00412474" w:rsidP="00412474">
      <w:pPr>
        <w:spacing w:line="240" w:lineRule="auto"/>
        <w:rPr>
          <w:rFonts w:ascii="Times New Roman" w:hAnsi="Times New Roman" w:cs="Times New Roman"/>
          <w:sz w:val="24"/>
          <w:szCs w:val="24"/>
        </w:rPr>
      </w:pPr>
    </w:p>
    <w:p w14:paraId="41A5F628" w14:textId="3F5CAB81" w:rsidR="00412474" w:rsidRPr="00452BC7" w:rsidRDefault="00412474" w:rsidP="00452BC7">
      <w:pPr>
        <w:spacing w:after="120" w:line="360" w:lineRule="auto"/>
        <w:ind w:firstLine="720"/>
        <w:jc w:val="both"/>
        <w:rPr>
          <w:rFonts w:ascii="Times New Roman" w:eastAsia="Times New Roman" w:hAnsi="Times New Roman" w:cs="Times New Roman"/>
          <w:bCs/>
          <w:color w:val="000000"/>
          <w:sz w:val="24"/>
          <w:szCs w:val="24"/>
        </w:rPr>
      </w:pPr>
      <w:r w:rsidRPr="00452BC7">
        <w:rPr>
          <w:rFonts w:ascii="Times New Roman" w:eastAsia="Times New Roman" w:hAnsi="Times New Roman" w:cs="Times New Roman"/>
          <w:bCs/>
          <w:color w:val="000000"/>
          <w:sz w:val="24"/>
          <w:szCs w:val="24"/>
        </w:rPr>
        <w:t>Резултатите од анализата на вкупно 185 пациенти кои ги исполнуваат критериумите на студијата во групата која прима орална антикоагулантна или орална антиагрегациона терапија покажа дека 102 пациенти примале орална антикоагула</w:t>
      </w:r>
      <w:r w:rsidR="00452BC7">
        <w:rPr>
          <w:rFonts w:ascii="Times New Roman" w:eastAsia="Times New Roman" w:hAnsi="Times New Roman" w:cs="Times New Roman"/>
          <w:bCs/>
          <w:color w:val="000000"/>
          <w:sz w:val="24"/>
          <w:szCs w:val="24"/>
        </w:rPr>
        <w:t>н</w:t>
      </w:r>
      <w:r w:rsidRPr="00452BC7">
        <w:rPr>
          <w:rFonts w:ascii="Times New Roman" w:eastAsia="Times New Roman" w:hAnsi="Times New Roman" w:cs="Times New Roman"/>
          <w:bCs/>
          <w:color w:val="000000"/>
          <w:sz w:val="24"/>
          <w:szCs w:val="24"/>
        </w:rPr>
        <w:t>тна терапија од групата на антагонисти на витамин К (аценокумарол – Sintrom) или директни орални антикоагулантни лекови (ривароксабан), а 83 пациенти примале нестероиден инфламаторен лек (ацетилсалицилна киселина – аспирин).</w:t>
      </w:r>
    </w:p>
    <w:p w14:paraId="16E12DFB" w14:textId="5752507A" w:rsidR="00412474" w:rsidRPr="00452BC7" w:rsidRDefault="00412474" w:rsidP="00452BC7">
      <w:pPr>
        <w:spacing w:after="120" w:line="360" w:lineRule="auto"/>
        <w:ind w:firstLine="720"/>
        <w:jc w:val="both"/>
        <w:rPr>
          <w:rFonts w:ascii="Times New Roman" w:eastAsia="Times New Roman" w:hAnsi="Times New Roman" w:cs="Times New Roman"/>
          <w:bCs/>
          <w:color w:val="000000"/>
          <w:sz w:val="24"/>
          <w:szCs w:val="24"/>
        </w:rPr>
      </w:pPr>
      <w:r w:rsidRPr="00452BC7">
        <w:rPr>
          <w:rFonts w:ascii="Times New Roman" w:eastAsia="Times New Roman" w:hAnsi="Times New Roman" w:cs="Times New Roman"/>
          <w:bCs/>
          <w:color w:val="000000"/>
          <w:sz w:val="24"/>
          <w:szCs w:val="24"/>
        </w:rPr>
        <w:t>Според демографските карактеристики, 113 (61</w:t>
      </w:r>
      <w:r w:rsidR="00452BC7">
        <w:rPr>
          <w:rFonts w:ascii="Times New Roman" w:eastAsia="Times New Roman" w:hAnsi="Times New Roman" w:cs="Times New Roman"/>
          <w:bCs/>
          <w:color w:val="000000"/>
          <w:sz w:val="24"/>
          <w:szCs w:val="24"/>
        </w:rPr>
        <w:t xml:space="preserve"> </w:t>
      </w:r>
      <w:r w:rsidRPr="00452BC7">
        <w:rPr>
          <w:rFonts w:ascii="Times New Roman" w:eastAsia="Times New Roman" w:hAnsi="Times New Roman" w:cs="Times New Roman"/>
          <w:bCs/>
          <w:color w:val="000000"/>
          <w:sz w:val="24"/>
          <w:szCs w:val="24"/>
        </w:rPr>
        <w:t>%) од пациентите се припадници на машкиот пол, а 72 (39</w:t>
      </w:r>
      <w:r w:rsidR="00452BC7">
        <w:rPr>
          <w:rFonts w:ascii="Times New Roman" w:eastAsia="Times New Roman" w:hAnsi="Times New Roman" w:cs="Times New Roman"/>
          <w:bCs/>
          <w:color w:val="000000"/>
          <w:sz w:val="24"/>
          <w:szCs w:val="24"/>
        </w:rPr>
        <w:t xml:space="preserve"> </w:t>
      </w:r>
      <w:r w:rsidRPr="00452BC7">
        <w:rPr>
          <w:rFonts w:ascii="Times New Roman" w:eastAsia="Times New Roman" w:hAnsi="Times New Roman" w:cs="Times New Roman"/>
          <w:bCs/>
          <w:color w:val="000000"/>
          <w:sz w:val="24"/>
          <w:szCs w:val="24"/>
        </w:rPr>
        <w:t>%) се од машкиот пол. Процентуалната разлика која се регистрира е сигнификантна за p</w:t>
      </w:r>
      <w:r w:rsidR="00452BC7">
        <w:rPr>
          <w:rFonts w:ascii="Times New Roman" w:eastAsia="Times New Roman" w:hAnsi="Times New Roman" w:cs="Times New Roman"/>
          <w:bCs/>
          <w:color w:val="000000"/>
          <w:sz w:val="24"/>
          <w:szCs w:val="24"/>
        </w:rPr>
        <w:t xml:space="preserve"> </w:t>
      </w:r>
      <w:r w:rsidRPr="00452BC7">
        <w:rPr>
          <w:rFonts w:ascii="Times New Roman" w:eastAsia="Times New Roman" w:hAnsi="Times New Roman" w:cs="Times New Roman"/>
          <w:bCs/>
          <w:color w:val="000000"/>
          <w:sz w:val="24"/>
          <w:szCs w:val="24"/>
        </w:rPr>
        <w:t>&lt;</w:t>
      </w:r>
      <w:r w:rsidR="00452BC7">
        <w:rPr>
          <w:rFonts w:ascii="Times New Roman" w:eastAsia="Times New Roman" w:hAnsi="Times New Roman" w:cs="Times New Roman"/>
          <w:bCs/>
          <w:color w:val="000000"/>
          <w:sz w:val="24"/>
          <w:szCs w:val="24"/>
        </w:rPr>
        <w:t xml:space="preserve"> </w:t>
      </w:r>
      <w:r w:rsidRPr="00452BC7">
        <w:rPr>
          <w:rFonts w:ascii="Times New Roman" w:eastAsia="Times New Roman" w:hAnsi="Times New Roman" w:cs="Times New Roman"/>
          <w:bCs/>
          <w:color w:val="000000"/>
          <w:sz w:val="24"/>
          <w:szCs w:val="24"/>
        </w:rPr>
        <w:t>0.05 (</w:t>
      </w:r>
      <w:r w:rsidRPr="00452BC7">
        <w:rPr>
          <w:rFonts w:ascii="Times New Roman" w:eastAsia="Times New Roman" w:hAnsi="Times New Roman" w:cs="Times New Roman"/>
          <w:bCs/>
          <w:i/>
          <w:iCs/>
          <w:color w:val="000000"/>
          <w:sz w:val="24"/>
          <w:szCs w:val="24"/>
        </w:rPr>
        <w:t>Difference test</w:t>
      </w:r>
      <w:r w:rsidRPr="00452BC7">
        <w:rPr>
          <w:rFonts w:ascii="Times New Roman" w:eastAsia="Times New Roman" w:hAnsi="Times New Roman" w:cs="Times New Roman"/>
          <w:bCs/>
          <w:color w:val="000000"/>
          <w:sz w:val="24"/>
          <w:szCs w:val="24"/>
        </w:rPr>
        <w:t>, p</w:t>
      </w:r>
      <w:r w:rsidR="00452BC7">
        <w:rPr>
          <w:rFonts w:ascii="Times New Roman" w:eastAsia="Times New Roman" w:hAnsi="Times New Roman" w:cs="Times New Roman"/>
          <w:bCs/>
          <w:color w:val="000000"/>
          <w:sz w:val="24"/>
          <w:szCs w:val="24"/>
        </w:rPr>
        <w:t xml:space="preserve"> </w:t>
      </w:r>
      <w:r w:rsidRPr="00452BC7">
        <w:rPr>
          <w:rFonts w:ascii="Times New Roman" w:eastAsia="Times New Roman" w:hAnsi="Times New Roman" w:cs="Times New Roman"/>
          <w:bCs/>
          <w:color w:val="000000"/>
          <w:sz w:val="24"/>
          <w:szCs w:val="24"/>
        </w:rPr>
        <w:t>=</w:t>
      </w:r>
      <w:r w:rsidR="00452BC7">
        <w:rPr>
          <w:rFonts w:ascii="Times New Roman" w:eastAsia="Times New Roman" w:hAnsi="Times New Roman" w:cs="Times New Roman"/>
          <w:bCs/>
          <w:color w:val="000000"/>
          <w:sz w:val="24"/>
          <w:szCs w:val="24"/>
        </w:rPr>
        <w:t xml:space="preserve"> </w:t>
      </w:r>
      <w:r w:rsidRPr="00452BC7">
        <w:rPr>
          <w:rFonts w:ascii="Times New Roman" w:eastAsia="Times New Roman" w:hAnsi="Times New Roman" w:cs="Times New Roman"/>
          <w:bCs/>
          <w:color w:val="000000"/>
          <w:sz w:val="24"/>
          <w:szCs w:val="24"/>
        </w:rPr>
        <w:t xml:space="preserve">.0000), помеѓу женскиот </w:t>
      </w:r>
      <w:r w:rsidR="001F2E2D">
        <w:rPr>
          <w:rFonts w:ascii="Times New Roman" w:eastAsia="Times New Roman" w:hAnsi="Times New Roman" w:cs="Times New Roman"/>
          <w:bCs/>
          <w:color w:val="000000"/>
          <w:sz w:val="24"/>
          <w:szCs w:val="24"/>
        </w:rPr>
        <w:t>версус</w:t>
      </w:r>
      <w:r w:rsidRPr="00452BC7">
        <w:rPr>
          <w:rFonts w:ascii="Times New Roman" w:eastAsia="Times New Roman" w:hAnsi="Times New Roman" w:cs="Times New Roman"/>
          <w:bCs/>
          <w:color w:val="000000"/>
          <w:sz w:val="24"/>
          <w:szCs w:val="24"/>
        </w:rPr>
        <w:t xml:space="preserve"> машкиот пол (табела </w:t>
      </w:r>
      <w:r w:rsidR="00EC49EB" w:rsidRPr="00452BC7">
        <w:rPr>
          <w:rFonts w:ascii="Times New Roman" w:eastAsia="Times New Roman" w:hAnsi="Times New Roman" w:cs="Times New Roman"/>
          <w:bCs/>
          <w:color w:val="000000"/>
          <w:sz w:val="24"/>
          <w:szCs w:val="24"/>
        </w:rPr>
        <w:t>бр. 22</w:t>
      </w:r>
      <w:r w:rsidR="00C70FF0" w:rsidRPr="00452BC7">
        <w:rPr>
          <w:rFonts w:ascii="Times New Roman" w:eastAsia="Times New Roman" w:hAnsi="Times New Roman" w:cs="Times New Roman"/>
          <w:bCs/>
          <w:color w:val="000000"/>
          <w:sz w:val="24"/>
          <w:szCs w:val="24"/>
        </w:rPr>
        <w:t xml:space="preserve"> и графикон бр. 22</w:t>
      </w:r>
      <w:r w:rsidRPr="00452BC7">
        <w:rPr>
          <w:rFonts w:ascii="Times New Roman" w:eastAsia="Times New Roman" w:hAnsi="Times New Roman" w:cs="Times New Roman"/>
          <w:bCs/>
          <w:color w:val="000000"/>
          <w:sz w:val="24"/>
          <w:szCs w:val="24"/>
        </w:rPr>
        <w:t>).</w:t>
      </w:r>
    </w:p>
    <w:p w14:paraId="646756B7" w14:textId="77777777" w:rsidR="00EC49EB" w:rsidRPr="00215667" w:rsidRDefault="00EC49EB" w:rsidP="00EC49EB">
      <w:pPr>
        <w:shd w:val="clear" w:color="auto" w:fill="FFFFFF"/>
        <w:spacing w:after="0" w:line="240" w:lineRule="auto"/>
        <w:ind w:right="-94"/>
        <w:jc w:val="both"/>
        <w:rPr>
          <w:rFonts w:ascii="Times New Roman" w:eastAsia="Calibri" w:hAnsi="Times New Roman" w:cs="Times New Roman"/>
          <w:sz w:val="24"/>
          <w:szCs w:val="24"/>
        </w:rPr>
      </w:pPr>
    </w:p>
    <w:p w14:paraId="57ADBAAB" w14:textId="771C4128" w:rsidR="00412474" w:rsidRDefault="00EC49EB" w:rsidP="00452BC7">
      <w:pPr>
        <w:shd w:val="clear" w:color="auto" w:fill="FFFFFF"/>
        <w:spacing w:after="0" w:line="240" w:lineRule="auto"/>
        <w:ind w:right="-94"/>
        <w:jc w:val="center"/>
        <w:rPr>
          <w:rFonts w:ascii="Times New Roman" w:eastAsia="Calibri" w:hAnsi="Times New Roman" w:cs="Times New Roman"/>
          <w:sz w:val="24"/>
          <w:szCs w:val="24"/>
        </w:rPr>
      </w:pPr>
      <w:r w:rsidRPr="00215667">
        <w:rPr>
          <w:rFonts w:ascii="Times New Roman" w:eastAsia="Calibri" w:hAnsi="Times New Roman" w:cs="Times New Roman"/>
          <w:sz w:val="24"/>
          <w:szCs w:val="24"/>
        </w:rPr>
        <w:t>Табела бр. 22 Дистрибуција на пациентите со OAT според полот</w:t>
      </w:r>
    </w:p>
    <w:p w14:paraId="5FD2FDA7" w14:textId="77777777" w:rsidR="00452BC7" w:rsidRPr="00215667" w:rsidRDefault="00452BC7" w:rsidP="00452BC7">
      <w:pPr>
        <w:shd w:val="clear" w:color="auto" w:fill="FFFFFF"/>
        <w:spacing w:after="0" w:line="240" w:lineRule="auto"/>
        <w:ind w:right="-94"/>
        <w:jc w:val="center"/>
        <w:rPr>
          <w:rFonts w:ascii="Times New Roman" w:eastAsia="Calibri" w:hAnsi="Times New Roman" w:cs="Times New Roman"/>
          <w:sz w:val="24"/>
          <w:szCs w:val="24"/>
        </w:rPr>
      </w:pPr>
    </w:p>
    <w:tbl>
      <w:tblPr>
        <w:tblStyle w:val="TableGrid1"/>
        <w:tblW w:w="8926" w:type="dxa"/>
        <w:jc w:val="center"/>
        <w:tblLayout w:type="fixed"/>
        <w:tblLook w:val="04A0" w:firstRow="1" w:lastRow="0" w:firstColumn="1" w:lastColumn="0" w:noHBand="0" w:noVBand="1"/>
      </w:tblPr>
      <w:tblGrid>
        <w:gridCol w:w="1838"/>
        <w:gridCol w:w="3827"/>
        <w:gridCol w:w="3261"/>
      </w:tblGrid>
      <w:tr w:rsidR="00412474" w:rsidRPr="00215667" w14:paraId="569DC96E" w14:textId="77777777" w:rsidTr="00452BC7">
        <w:trPr>
          <w:jc w:val="center"/>
        </w:trPr>
        <w:tc>
          <w:tcPr>
            <w:tcW w:w="183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EDF0CB6" w14:textId="77777777" w:rsidR="00412474" w:rsidRPr="00215667" w:rsidRDefault="00412474" w:rsidP="00435E3A">
            <w:pPr>
              <w:spacing w:line="240" w:lineRule="auto"/>
              <w:rPr>
                <w:rFonts w:ascii="Times New Roman" w:eastAsia="Times New Roman" w:hAnsi="Times New Roman" w:cs="Times New Roman"/>
                <w:b/>
                <w:sz w:val="24"/>
                <w:szCs w:val="24"/>
              </w:rPr>
            </w:pPr>
            <w:proofErr w:type="spellStart"/>
            <w:r w:rsidRPr="00215667">
              <w:rPr>
                <w:rFonts w:ascii="Times New Roman" w:eastAsia="Times New Roman" w:hAnsi="Times New Roman" w:cs="Times New Roman"/>
                <w:b/>
                <w:sz w:val="24"/>
                <w:szCs w:val="24"/>
              </w:rPr>
              <w:t>Пол</w:t>
            </w:r>
            <w:proofErr w:type="spellEnd"/>
          </w:p>
        </w:tc>
        <w:tc>
          <w:tcPr>
            <w:tcW w:w="3827"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0DF76CC0" w14:textId="5452AE15" w:rsidR="00412474" w:rsidRPr="00215667" w:rsidRDefault="00452BC7" w:rsidP="00435E3A">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Б</w:t>
            </w:r>
            <w:proofErr w:type="spellStart"/>
            <w:r w:rsidR="00412474" w:rsidRPr="00215667">
              <w:rPr>
                <w:rFonts w:ascii="Times New Roman" w:eastAsia="Times New Roman" w:hAnsi="Times New Roman" w:cs="Times New Roman"/>
                <w:b/>
                <w:bCs/>
                <w:color w:val="000000"/>
                <w:sz w:val="24"/>
                <w:szCs w:val="24"/>
              </w:rPr>
              <w:t>рој</w:t>
            </w:r>
            <w:proofErr w:type="spellEnd"/>
          </w:p>
        </w:tc>
        <w:tc>
          <w:tcPr>
            <w:tcW w:w="3261"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6813B1ED" w14:textId="77777777" w:rsidR="00412474" w:rsidRPr="00215667" w:rsidRDefault="00412474" w:rsidP="00435E3A">
            <w:pPr>
              <w:spacing w:line="240" w:lineRule="auto"/>
              <w:jc w:val="center"/>
              <w:rPr>
                <w:rFonts w:ascii="Times New Roman" w:eastAsia="Times New Roman" w:hAnsi="Times New Roman" w:cs="Times New Roman"/>
                <w:b/>
                <w:bCs/>
                <w:sz w:val="24"/>
                <w:szCs w:val="24"/>
              </w:rPr>
            </w:pPr>
            <w:r w:rsidRPr="00215667">
              <w:rPr>
                <w:rFonts w:ascii="Times New Roman" w:eastAsia="Times New Roman" w:hAnsi="Times New Roman" w:cs="Times New Roman"/>
                <w:b/>
                <w:bCs/>
                <w:color w:val="000000"/>
                <w:sz w:val="24"/>
                <w:szCs w:val="24"/>
              </w:rPr>
              <w:t>%</w:t>
            </w:r>
          </w:p>
        </w:tc>
      </w:tr>
      <w:tr w:rsidR="00412474" w:rsidRPr="00215667" w14:paraId="2689D3D2" w14:textId="77777777" w:rsidTr="00452BC7">
        <w:trPr>
          <w:jc w:val="center"/>
        </w:trPr>
        <w:tc>
          <w:tcPr>
            <w:tcW w:w="183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E457638" w14:textId="77777777" w:rsidR="00412474" w:rsidRPr="00215667" w:rsidRDefault="00412474" w:rsidP="00435E3A">
            <w:pPr>
              <w:spacing w:line="240" w:lineRule="auto"/>
              <w:rPr>
                <w:rFonts w:ascii="Times New Roman" w:eastAsia="Times New Roman" w:hAnsi="Times New Roman" w:cs="Times New Roman"/>
                <w:bCs/>
                <w:sz w:val="24"/>
                <w:szCs w:val="24"/>
              </w:rPr>
            </w:pPr>
            <w:proofErr w:type="spellStart"/>
            <w:r w:rsidRPr="00215667">
              <w:rPr>
                <w:rFonts w:ascii="Times New Roman" w:eastAsia="Times New Roman" w:hAnsi="Times New Roman" w:cs="Times New Roman"/>
                <w:bCs/>
                <w:color w:val="000000"/>
                <w:sz w:val="24"/>
                <w:szCs w:val="24"/>
              </w:rPr>
              <w:t>машки</w:t>
            </w:r>
            <w:proofErr w:type="spellEnd"/>
          </w:p>
        </w:tc>
        <w:tc>
          <w:tcPr>
            <w:tcW w:w="3827" w:type="dxa"/>
            <w:tcBorders>
              <w:top w:val="single" w:sz="4" w:space="0" w:color="auto"/>
              <w:left w:val="single" w:sz="4" w:space="0" w:color="auto"/>
              <w:bottom w:val="single" w:sz="4" w:space="0" w:color="auto"/>
              <w:right w:val="single" w:sz="4" w:space="0" w:color="auto"/>
            </w:tcBorders>
            <w:noWrap/>
            <w:hideMark/>
          </w:tcPr>
          <w:p w14:paraId="49D54CD0" w14:textId="77777777" w:rsidR="00412474" w:rsidRPr="00215667" w:rsidRDefault="00412474" w:rsidP="00435E3A">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113</w:t>
            </w:r>
          </w:p>
        </w:tc>
        <w:tc>
          <w:tcPr>
            <w:tcW w:w="3261" w:type="dxa"/>
            <w:tcBorders>
              <w:top w:val="single" w:sz="4" w:space="0" w:color="auto"/>
              <w:left w:val="single" w:sz="4" w:space="0" w:color="auto"/>
              <w:bottom w:val="single" w:sz="4" w:space="0" w:color="auto"/>
              <w:right w:val="single" w:sz="4" w:space="0" w:color="auto"/>
            </w:tcBorders>
            <w:noWrap/>
            <w:hideMark/>
          </w:tcPr>
          <w:p w14:paraId="16F094D1" w14:textId="77777777" w:rsidR="00412474" w:rsidRPr="00215667" w:rsidRDefault="00412474" w:rsidP="00435E3A">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61%</w:t>
            </w:r>
          </w:p>
        </w:tc>
      </w:tr>
      <w:tr w:rsidR="00412474" w:rsidRPr="00215667" w14:paraId="288F1D28" w14:textId="77777777" w:rsidTr="00452BC7">
        <w:trPr>
          <w:jc w:val="center"/>
        </w:trPr>
        <w:tc>
          <w:tcPr>
            <w:tcW w:w="183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108FD41E" w14:textId="77777777" w:rsidR="00412474" w:rsidRPr="00215667" w:rsidRDefault="00412474" w:rsidP="00435E3A">
            <w:pPr>
              <w:spacing w:line="240" w:lineRule="auto"/>
              <w:rPr>
                <w:rFonts w:ascii="Times New Roman" w:eastAsia="Times New Roman" w:hAnsi="Times New Roman" w:cs="Times New Roman"/>
                <w:bCs/>
                <w:sz w:val="24"/>
                <w:szCs w:val="24"/>
              </w:rPr>
            </w:pPr>
            <w:proofErr w:type="spellStart"/>
            <w:r w:rsidRPr="00215667">
              <w:rPr>
                <w:rFonts w:ascii="Times New Roman" w:eastAsia="Times New Roman" w:hAnsi="Times New Roman" w:cs="Times New Roman"/>
                <w:bCs/>
                <w:color w:val="000000"/>
                <w:sz w:val="24"/>
                <w:szCs w:val="24"/>
              </w:rPr>
              <w:t>женски</w:t>
            </w:r>
            <w:proofErr w:type="spellEnd"/>
          </w:p>
        </w:tc>
        <w:tc>
          <w:tcPr>
            <w:tcW w:w="3827" w:type="dxa"/>
            <w:tcBorders>
              <w:top w:val="single" w:sz="4" w:space="0" w:color="auto"/>
              <w:left w:val="single" w:sz="4" w:space="0" w:color="auto"/>
              <w:bottom w:val="single" w:sz="4" w:space="0" w:color="auto"/>
              <w:right w:val="single" w:sz="4" w:space="0" w:color="auto"/>
            </w:tcBorders>
            <w:noWrap/>
            <w:hideMark/>
          </w:tcPr>
          <w:p w14:paraId="78C9388B" w14:textId="77777777" w:rsidR="00412474" w:rsidRPr="00215667" w:rsidRDefault="00412474" w:rsidP="00435E3A">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72</w:t>
            </w:r>
          </w:p>
        </w:tc>
        <w:tc>
          <w:tcPr>
            <w:tcW w:w="3261" w:type="dxa"/>
            <w:tcBorders>
              <w:top w:val="single" w:sz="4" w:space="0" w:color="auto"/>
              <w:left w:val="single" w:sz="4" w:space="0" w:color="auto"/>
              <w:bottom w:val="single" w:sz="4" w:space="0" w:color="auto"/>
              <w:right w:val="single" w:sz="4" w:space="0" w:color="auto"/>
            </w:tcBorders>
            <w:noWrap/>
            <w:hideMark/>
          </w:tcPr>
          <w:p w14:paraId="5A8B2ECC" w14:textId="77777777" w:rsidR="00412474" w:rsidRPr="00215667" w:rsidRDefault="00412474" w:rsidP="00435E3A">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39%</w:t>
            </w:r>
          </w:p>
        </w:tc>
      </w:tr>
    </w:tbl>
    <w:p w14:paraId="5BF922AA" w14:textId="77777777" w:rsidR="00412474" w:rsidRPr="00215667" w:rsidRDefault="00412474" w:rsidP="00412474">
      <w:pPr>
        <w:spacing w:line="240" w:lineRule="auto"/>
        <w:rPr>
          <w:rFonts w:ascii="Times New Roman" w:hAnsi="Times New Roman" w:cs="Times New Roman"/>
          <w:sz w:val="24"/>
          <w:szCs w:val="24"/>
        </w:rPr>
      </w:pPr>
    </w:p>
    <w:p w14:paraId="7FB3B05E" w14:textId="4EDF2F15" w:rsidR="00412474" w:rsidRPr="00452BC7" w:rsidRDefault="00412474" w:rsidP="00452BC7">
      <w:pPr>
        <w:spacing w:after="120" w:line="360" w:lineRule="auto"/>
        <w:ind w:firstLine="720"/>
        <w:jc w:val="both"/>
        <w:rPr>
          <w:rFonts w:ascii="Times New Roman" w:eastAsia="Times New Roman" w:hAnsi="Times New Roman" w:cs="Times New Roman"/>
          <w:bCs/>
          <w:color w:val="000000"/>
          <w:sz w:val="24"/>
          <w:szCs w:val="24"/>
        </w:rPr>
      </w:pPr>
      <w:r w:rsidRPr="00452BC7">
        <w:rPr>
          <w:rFonts w:ascii="Times New Roman" w:eastAsia="Times New Roman" w:hAnsi="Times New Roman" w:cs="Times New Roman"/>
          <w:bCs/>
          <w:color w:val="000000"/>
          <w:sz w:val="24"/>
          <w:szCs w:val="24"/>
        </w:rPr>
        <w:t>Просечната возраст на пациентите во групата со антикоагулантна и антиагрегациона терапија изнесува 69.04., кај пациентите од машки пол таа изнесува 67.78, во ранг од 42 до 91 год., а кај пациентките од женски пол просечната возраст изнесува 71.04., во ранг од 52- 92 г. Дистрибуцијата на пациентите според просечната возраст, покажа сигнификантна разлика со вредност на p</w:t>
      </w:r>
      <w:r w:rsidR="00452BC7">
        <w:rPr>
          <w:rFonts w:ascii="Times New Roman" w:eastAsia="Times New Roman" w:hAnsi="Times New Roman" w:cs="Times New Roman"/>
          <w:bCs/>
          <w:color w:val="000000"/>
          <w:sz w:val="24"/>
          <w:szCs w:val="24"/>
        </w:rPr>
        <w:t xml:space="preserve"> </w:t>
      </w:r>
      <w:r w:rsidRPr="00452BC7">
        <w:rPr>
          <w:rFonts w:ascii="Times New Roman" w:eastAsia="Times New Roman" w:hAnsi="Times New Roman" w:cs="Times New Roman"/>
          <w:bCs/>
          <w:color w:val="000000"/>
          <w:sz w:val="24"/>
          <w:szCs w:val="24"/>
        </w:rPr>
        <w:t>=</w:t>
      </w:r>
      <w:r w:rsidR="00452BC7">
        <w:rPr>
          <w:rFonts w:ascii="Times New Roman" w:eastAsia="Times New Roman" w:hAnsi="Times New Roman" w:cs="Times New Roman"/>
          <w:bCs/>
          <w:color w:val="000000"/>
          <w:sz w:val="24"/>
          <w:szCs w:val="24"/>
        </w:rPr>
        <w:t xml:space="preserve"> </w:t>
      </w:r>
      <w:r w:rsidRPr="00452BC7">
        <w:rPr>
          <w:rFonts w:ascii="Times New Roman" w:eastAsia="Times New Roman" w:hAnsi="Times New Roman" w:cs="Times New Roman"/>
          <w:bCs/>
          <w:color w:val="000000"/>
          <w:sz w:val="24"/>
          <w:szCs w:val="24"/>
        </w:rPr>
        <w:t>0.028 (&lt;</w:t>
      </w:r>
      <w:r w:rsidR="00452BC7">
        <w:rPr>
          <w:rFonts w:ascii="Times New Roman" w:eastAsia="Times New Roman" w:hAnsi="Times New Roman" w:cs="Times New Roman"/>
          <w:bCs/>
          <w:color w:val="000000"/>
          <w:sz w:val="24"/>
          <w:szCs w:val="24"/>
        </w:rPr>
        <w:t xml:space="preserve"> </w:t>
      </w:r>
      <w:r w:rsidRPr="00452BC7">
        <w:rPr>
          <w:rFonts w:ascii="Times New Roman" w:eastAsia="Times New Roman" w:hAnsi="Times New Roman" w:cs="Times New Roman"/>
          <w:bCs/>
          <w:color w:val="000000"/>
          <w:sz w:val="24"/>
          <w:szCs w:val="24"/>
        </w:rPr>
        <w:t xml:space="preserve">0.05), со тоа што пациентите од машкиот пол имаат статистички значајно помала возраст споредено со пациентките од женски пол. (табела </w:t>
      </w:r>
      <w:r w:rsidR="00EC49EB" w:rsidRPr="00452BC7">
        <w:rPr>
          <w:rFonts w:ascii="Times New Roman" w:eastAsia="Times New Roman" w:hAnsi="Times New Roman" w:cs="Times New Roman"/>
          <w:bCs/>
          <w:color w:val="000000"/>
          <w:sz w:val="24"/>
          <w:szCs w:val="24"/>
        </w:rPr>
        <w:t xml:space="preserve">23 </w:t>
      </w:r>
      <w:r w:rsidRPr="00452BC7">
        <w:rPr>
          <w:rFonts w:ascii="Times New Roman" w:eastAsia="Times New Roman" w:hAnsi="Times New Roman" w:cs="Times New Roman"/>
          <w:bCs/>
          <w:color w:val="000000"/>
          <w:sz w:val="24"/>
          <w:szCs w:val="24"/>
        </w:rPr>
        <w:t>и графикон</w:t>
      </w:r>
      <w:r w:rsidR="00EC49EB" w:rsidRPr="00452BC7">
        <w:rPr>
          <w:rFonts w:ascii="Times New Roman" w:eastAsia="Times New Roman" w:hAnsi="Times New Roman" w:cs="Times New Roman"/>
          <w:bCs/>
          <w:color w:val="000000"/>
          <w:sz w:val="24"/>
          <w:szCs w:val="24"/>
        </w:rPr>
        <w:t xml:space="preserve"> 22</w:t>
      </w:r>
      <w:r w:rsidRPr="00452BC7">
        <w:rPr>
          <w:rFonts w:ascii="Times New Roman" w:eastAsia="Times New Roman" w:hAnsi="Times New Roman" w:cs="Times New Roman"/>
          <w:bCs/>
          <w:color w:val="000000"/>
          <w:sz w:val="24"/>
          <w:szCs w:val="24"/>
        </w:rPr>
        <w:t>). Во однос на распределбата на возраста, од хистограмот бр. може да се воочи дека пациентите од машки пол во најголем број се распределени во возрасниот ранг од 65 до 75 години, а испитаничките од женскиот пол во рангот од 75 до 80 год.</w:t>
      </w:r>
    </w:p>
    <w:p w14:paraId="5A3D00A8" w14:textId="77777777" w:rsidR="00EC49EB" w:rsidRPr="00215667" w:rsidRDefault="00EC49EB" w:rsidP="00412474">
      <w:pPr>
        <w:spacing w:line="240" w:lineRule="auto"/>
        <w:ind w:firstLine="720"/>
        <w:rPr>
          <w:rFonts w:ascii="Times New Roman" w:hAnsi="Times New Roman" w:cs="Times New Roman"/>
          <w:sz w:val="24"/>
          <w:szCs w:val="24"/>
        </w:rPr>
      </w:pPr>
    </w:p>
    <w:p w14:paraId="38A9C60A" w14:textId="3EC57B5B" w:rsidR="00452BC7" w:rsidRDefault="00EC49EB" w:rsidP="00452BC7">
      <w:pPr>
        <w:spacing w:after="120" w:line="360" w:lineRule="auto"/>
        <w:jc w:val="center"/>
        <w:rPr>
          <w:rFonts w:ascii="Times New Roman" w:eastAsia="Calibri" w:hAnsi="Times New Roman" w:cs="Times New Roman"/>
          <w:sz w:val="24"/>
          <w:szCs w:val="24"/>
        </w:rPr>
      </w:pPr>
      <w:r w:rsidRPr="00452BC7">
        <w:rPr>
          <w:rFonts w:ascii="Times New Roman" w:eastAsia="Calibri" w:hAnsi="Times New Roman" w:cs="Times New Roman"/>
          <w:sz w:val="24"/>
          <w:szCs w:val="24"/>
        </w:rPr>
        <w:lastRenderedPageBreak/>
        <w:t>Табела бр. 23</w:t>
      </w:r>
      <w:r w:rsidR="00D01A57">
        <w:rPr>
          <w:rFonts w:ascii="Times New Roman" w:eastAsia="Calibri" w:hAnsi="Times New Roman" w:cs="Times New Roman"/>
          <w:sz w:val="24"/>
          <w:szCs w:val="24"/>
        </w:rPr>
        <w:t>-</w:t>
      </w:r>
      <w:r w:rsidRPr="00452BC7">
        <w:rPr>
          <w:rFonts w:ascii="Times New Roman" w:eastAsia="Calibri" w:hAnsi="Times New Roman" w:cs="Times New Roman"/>
          <w:sz w:val="24"/>
          <w:szCs w:val="24"/>
        </w:rPr>
        <w:t xml:space="preserve"> Дистрибуција на испитаниците кои примаат антикоагулантна и</w:t>
      </w:r>
      <w:r w:rsidR="00D01A57">
        <w:rPr>
          <w:rFonts w:ascii="Times New Roman" w:eastAsia="Calibri" w:hAnsi="Times New Roman" w:cs="Times New Roman"/>
          <w:sz w:val="24"/>
          <w:szCs w:val="24"/>
        </w:rPr>
        <w:t xml:space="preserve"> </w:t>
      </w:r>
      <w:r w:rsidR="00D01A57" w:rsidRPr="00452BC7">
        <w:rPr>
          <w:rFonts w:ascii="Times New Roman" w:eastAsia="Calibri" w:hAnsi="Times New Roman" w:cs="Times New Roman"/>
          <w:sz w:val="24"/>
          <w:szCs w:val="24"/>
        </w:rPr>
        <w:t>антиагрегациона терапија по возраст и пол</w:t>
      </w:r>
    </w:p>
    <w:tbl>
      <w:tblPr>
        <w:tblStyle w:val="TableGrid1"/>
        <w:tblpPr w:leftFromText="180" w:rightFromText="180" w:vertAnchor="text" w:horzAnchor="margin" w:tblpY="118"/>
        <w:tblW w:w="0" w:type="auto"/>
        <w:tblLook w:val="04A0" w:firstRow="1" w:lastRow="0" w:firstColumn="1" w:lastColumn="0" w:noHBand="0" w:noVBand="1"/>
      </w:tblPr>
      <w:tblGrid>
        <w:gridCol w:w="969"/>
        <w:gridCol w:w="1008"/>
        <w:gridCol w:w="1228"/>
        <w:gridCol w:w="1560"/>
        <w:gridCol w:w="1842"/>
        <w:gridCol w:w="1985"/>
      </w:tblGrid>
      <w:tr w:rsidR="00D01A57" w:rsidRPr="00215667" w14:paraId="0A0BEC7A" w14:textId="77777777" w:rsidTr="00D01A57">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DDEF6DE" w14:textId="3DBC5516" w:rsidR="00D01A57" w:rsidRPr="00215667" w:rsidRDefault="00D01A57" w:rsidP="00D01A57">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П</w:t>
            </w:r>
            <w:proofErr w:type="spellStart"/>
            <w:r w:rsidRPr="00215667">
              <w:rPr>
                <w:rFonts w:ascii="Times New Roman" w:eastAsia="Times New Roman" w:hAnsi="Times New Roman" w:cs="Times New Roman"/>
                <w:b/>
                <w:bCs/>
                <w:color w:val="000000"/>
                <w:sz w:val="24"/>
                <w:szCs w:val="24"/>
              </w:rPr>
              <w:t>ол</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DB17D9C" w14:textId="44AC251A" w:rsidR="00D01A57" w:rsidRPr="00215667" w:rsidRDefault="00D01A57" w:rsidP="00D01A57">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П</w:t>
            </w:r>
            <w:proofErr w:type="spellStart"/>
            <w:r w:rsidRPr="00215667">
              <w:rPr>
                <w:rFonts w:ascii="Times New Roman" w:eastAsia="Times New Roman" w:hAnsi="Times New Roman" w:cs="Times New Roman"/>
                <w:b/>
                <w:bCs/>
                <w:color w:val="000000"/>
                <w:sz w:val="24"/>
                <w:szCs w:val="24"/>
              </w:rPr>
              <w:t>росек</w:t>
            </w:r>
            <w:proofErr w:type="spellEnd"/>
          </w:p>
        </w:tc>
        <w:tc>
          <w:tcPr>
            <w:tcW w:w="1228"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D2CB724" w14:textId="444A1315" w:rsidR="00D01A57" w:rsidRPr="00215667" w:rsidRDefault="00D01A57" w:rsidP="00D01A57">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Б</w:t>
            </w:r>
            <w:proofErr w:type="spellStart"/>
            <w:r w:rsidRPr="00215667">
              <w:rPr>
                <w:rFonts w:ascii="Times New Roman" w:eastAsia="Times New Roman" w:hAnsi="Times New Roman" w:cs="Times New Roman"/>
                <w:b/>
                <w:bCs/>
                <w:color w:val="000000"/>
                <w:sz w:val="24"/>
                <w:szCs w:val="24"/>
              </w:rPr>
              <w:t>рој</w:t>
            </w:r>
            <w:proofErr w:type="spellEnd"/>
          </w:p>
        </w:tc>
        <w:tc>
          <w:tcPr>
            <w:tcW w:w="1560"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377AC861" w14:textId="1F354A27" w:rsidR="00D01A57" w:rsidRPr="00215667" w:rsidRDefault="00D01A57" w:rsidP="00D01A57">
            <w:pPr>
              <w:spacing w:line="240" w:lineRule="auto"/>
              <w:jc w:val="center"/>
              <w:rPr>
                <w:rFonts w:ascii="Times New Roman" w:eastAsia="Times New Roman" w:hAnsi="Times New Roman" w:cs="Times New Roman"/>
                <w:b/>
                <w:bCs/>
                <w:sz w:val="24"/>
                <w:szCs w:val="24"/>
              </w:rPr>
            </w:pPr>
            <w:proofErr w:type="spellStart"/>
            <w:r w:rsidRPr="00215667">
              <w:rPr>
                <w:rFonts w:ascii="Times New Roman" w:eastAsia="Times New Roman" w:hAnsi="Times New Roman" w:cs="Times New Roman"/>
                <w:b/>
                <w:bCs/>
                <w:color w:val="000000"/>
                <w:sz w:val="24"/>
                <w:szCs w:val="24"/>
              </w:rPr>
              <w:t>Стд</w:t>
            </w:r>
            <w:proofErr w:type="spellEnd"/>
            <w:r w:rsidRPr="00215667">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b/>
                <w:bCs/>
                <w:color w:val="000000"/>
                <w:sz w:val="24"/>
                <w:szCs w:val="24"/>
                <w:lang w:val="mk-MK"/>
              </w:rPr>
              <w:t xml:space="preserve"> д</w:t>
            </w:r>
            <w:proofErr w:type="spellStart"/>
            <w:r w:rsidRPr="00215667">
              <w:rPr>
                <w:rFonts w:ascii="Times New Roman" w:eastAsia="Times New Roman" w:hAnsi="Times New Roman" w:cs="Times New Roman"/>
                <w:b/>
                <w:bCs/>
                <w:color w:val="000000"/>
                <w:sz w:val="24"/>
                <w:szCs w:val="24"/>
              </w:rPr>
              <w:t>ев</w:t>
            </w:r>
            <w:proofErr w:type="spellEnd"/>
          </w:p>
        </w:tc>
        <w:tc>
          <w:tcPr>
            <w:tcW w:w="1842"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C660514" w14:textId="4A15457B" w:rsidR="00D01A57" w:rsidRPr="00215667" w:rsidRDefault="00D01A57" w:rsidP="00D01A57">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М</w:t>
            </w:r>
            <w:proofErr w:type="spellStart"/>
            <w:r w:rsidRPr="00215667">
              <w:rPr>
                <w:rFonts w:ascii="Times New Roman" w:eastAsia="Times New Roman" w:hAnsi="Times New Roman" w:cs="Times New Roman"/>
                <w:b/>
                <w:bCs/>
                <w:color w:val="000000"/>
                <w:sz w:val="24"/>
                <w:szCs w:val="24"/>
              </w:rPr>
              <w:t>инимум</w:t>
            </w:r>
            <w:proofErr w:type="spellEnd"/>
          </w:p>
        </w:tc>
        <w:tc>
          <w:tcPr>
            <w:tcW w:w="1985" w:type="dxa"/>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70DDDA48" w14:textId="768CBBEC" w:rsidR="00D01A57" w:rsidRPr="00215667" w:rsidRDefault="00D01A57" w:rsidP="00D01A57">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color w:val="000000"/>
                <w:sz w:val="24"/>
                <w:szCs w:val="24"/>
                <w:lang w:val="mk-MK"/>
              </w:rPr>
              <w:t>М</w:t>
            </w:r>
            <w:proofErr w:type="spellStart"/>
            <w:r w:rsidRPr="00215667">
              <w:rPr>
                <w:rFonts w:ascii="Times New Roman" w:eastAsia="Times New Roman" w:hAnsi="Times New Roman" w:cs="Times New Roman"/>
                <w:b/>
                <w:bCs/>
                <w:color w:val="000000"/>
                <w:sz w:val="24"/>
                <w:szCs w:val="24"/>
              </w:rPr>
              <w:t>аксимум</w:t>
            </w:r>
            <w:proofErr w:type="spellEnd"/>
          </w:p>
        </w:tc>
      </w:tr>
      <w:tr w:rsidR="00D01A57" w:rsidRPr="00215667" w14:paraId="1BE5D190" w14:textId="77777777" w:rsidTr="00D01A57">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067BC297" w14:textId="77777777" w:rsidR="00D01A57" w:rsidRPr="00215667" w:rsidRDefault="00D01A57" w:rsidP="00D01A57">
            <w:pPr>
              <w:spacing w:line="240" w:lineRule="auto"/>
              <w:rPr>
                <w:rFonts w:ascii="Times New Roman" w:eastAsia="Times New Roman" w:hAnsi="Times New Roman" w:cs="Times New Roman"/>
                <w:sz w:val="24"/>
                <w:szCs w:val="24"/>
              </w:rPr>
            </w:pPr>
            <w:proofErr w:type="spellStart"/>
            <w:r w:rsidRPr="00215667">
              <w:rPr>
                <w:rFonts w:ascii="Times New Roman" w:eastAsia="Times New Roman" w:hAnsi="Times New Roman" w:cs="Times New Roman"/>
                <w:color w:val="000000"/>
                <w:sz w:val="24"/>
                <w:szCs w:val="24"/>
              </w:rPr>
              <w:t>машки</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54E4CC28" w14:textId="77777777" w:rsidR="00D01A57" w:rsidRPr="00215667" w:rsidRDefault="00D01A57" w:rsidP="00D01A57">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67.78</w:t>
            </w:r>
          </w:p>
        </w:tc>
        <w:tc>
          <w:tcPr>
            <w:tcW w:w="1228" w:type="dxa"/>
            <w:tcBorders>
              <w:top w:val="single" w:sz="4" w:space="0" w:color="auto"/>
              <w:left w:val="single" w:sz="4" w:space="0" w:color="auto"/>
              <w:bottom w:val="single" w:sz="4" w:space="0" w:color="auto"/>
              <w:right w:val="single" w:sz="4" w:space="0" w:color="auto"/>
            </w:tcBorders>
            <w:noWrap/>
            <w:hideMark/>
          </w:tcPr>
          <w:p w14:paraId="6879084D" w14:textId="77777777" w:rsidR="00D01A57" w:rsidRPr="00215667" w:rsidRDefault="00D01A57" w:rsidP="00D01A57">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113</w:t>
            </w:r>
          </w:p>
        </w:tc>
        <w:tc>
          <w:tcPr>
            <w:tcW w:w="1560" w:type="dxa"/>
            <w:tcBorders>
              <w:top w:val="single" w:sz="4" w:space="0" w:color="auto"/>
              <w:left w:val="single" w:sz="4" w:space="0" w:color="auto"/>
              <w:bottom w:val="single" w:sz="4" w:space="0" w:color="auto"/>
              <w:right w:val="single" w:sz="4" w:space="0" w:color="auto"/>
            </w:tcBorders>
            <w:noWrap/>
            <w:hideMark/>
          </w:tcPr>
          <w:p w14:paraId="06404FC9" w14:textId="77777777" w:rsidR="00D01A57" w:rsidRPr="00215667" w:rsidRDefault="00D01A57" w:rsidP="00D01A57">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10.572652</w:t>
            </w:r>
          </w:p>
        </w:tc>
        <w:tc>
          <w:tcPr>
            <w:tcW w:w="1842" w:type="dxa"/>
            <w:tcBorders>
              <w:top w:val="single" w:sz="4" w:space="0" w:color="auto"/>
              <w:left w:val="single" w:sz="4" w:space="0" w:color="auto"/>
              <w:bottom w:val="single" w:sz="4" w:space="0" w:color="auto"/>
              <w:right w:val="single" w:sz="4" w:space="0" w:color="auto"/>
            </w:tcBorders>
            <w:noWrap/>
            <w:hideMark/>
          </w:tcPr>
          <w:p w14:paraId="6C419561" w14:textId="77777777" w:rsidR="00D01A57" w:rsidRPr="00215667" w:rsidRDefault="00D01A57" w:rsidP="00D01A57">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42</w:t>
            </w:r>
          </w:p>
        </w:tc>
        <w:tc>
          <w:tcPr>
            <w:tcW w:w="1985" w:type="dxa"/>
            <w:tcBorders>
              <w:top w:val="single" w:sz="4" w:space="0" w:color="auto"/>
              <w:left w:val="single" w:sz="4" w:space="0" w:color="auto"/>
              <w:bottom w:val="single" w:sz="4" w:space="0" w:color="auto"/>
              <w:right w:val="single" w:sz="4" w:space="0" w:color="auto"/>
            </w:tcBorders>
            <w:noWrap/>
            <w:hideMark/>
          </w:tcPr>
          <w:p w14:paraId="2B0C8F65" w14:textId="77777777" w:rsidR="00D01A57" w:rsidRPr="00215667" w:rsidRDefault="00D01A57" w:rsidP="00D01A57">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91</w:t>
            </w:r>
          </w:p>
        </w:tc>
      </w:tr>
      <w:tr w:rsidR="00D01A57" w:rsidRPr="00215667" w14:paraId="5C399A52" w14:textId="77777777" w:rsidTr="00D01A57">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5AA539CF" w14:textId="77777777" w:rsidR="00D01A57" w:rsidRPr="00215667" w:rsidRDefault="00D01A57" w:rsidP="00D01A57">
            <w:pPr>
              <w:spacing w:line="240" w:lineRule="auto"/>
              <w:rPr>
                <w:rFonts w:ascii="Times New Roman" w:eastAsia="Times New Roman" w:hAnsi="Times New Roman" w:cs="Times New Roman"/>
                <w:sz w:val="24"/>
                <w:szCs w:val="24"/>
              </w:rPr>
            </w:pPr>
            <w:proofErr w:type="spellStart"/>
            <w:r w:rsidRPr="00215667">
              <w:rPr>
                <w:rFonts w:ascii="Times New Roman" w:eastAsia="Times New Roman" w:hAnsi="Times New Roman" w:cs="Times New Roman"/>
                <w:color w:val="000000"/>
                <w:sz w:val="24"/>
                <w:szCs w:val="24"/>
              </w:rPr>
              <w:t>женски</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0FA79265" w14:textId="77777777" w:rsidR="00D01A57" w:rsidRPr="00215667" w:rsidRDefault="00D01A57" w:rsidP="00D01A57">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71.04</w:t>
            </w:r>
          </w:p>
        </w:tc>
        <w:tc>
          <w:tcPr>
            <w:tcW w:w="1228" w:type="dxa"/>
            <w:tcBorders>
              <w:top w:val="single" w:sz="4" w:space="0" w:color="auto"/>
              <w:left w:val="single" w:sz="4" w:space="0" w:color="auto"/>
              <w:bottom w:val="single" w:sz="4" w:space="0" w:color="auto"/>
              <w:right w:val="single" w:sz="4" w:space="0" w:color="auto"/>
            </w:tcBorders>
            <w:noWrap/>
            <w:hideMark/>
          </w:tcPr>
          <w:p w14:paraId="2AA7D827" w14:textId="77777777" w:rsidR="00D01A57" w:rsidRPr="00215667" w:rsidRDefault="00D01A57" w:rsidP="00D01A57">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72</w:t>
            </w:r>
          </w:p>
        </w:tc>
        <w:tc>
          <w:tcPr>
            <w:tcW w:w="1560" w:type="dxa"/>
            <w:tcBorders>
              <w:top w:val="single" w:sz="4" w:space="0" w:color="auto"/>
              <w:left w:val="single" w:sz="4" w:space="0" w:color="auto"/>
              <w:bottom w:val="single" w:sz="4" w:space="0" w:color="auto"/>
              <w:right w:val="single" w:sz="4" w:space="0" w:color="auto"/>
            </w:tcBorders>
            <w:noWrap/>
            <w:hideMark/>
          </w:tcPr>
          <w:p w14:paraId="041C1123" w14:textId="77777777" w:rsidR="00D01A57" w:rsidRPr="00215667" w:rsidRDefault="00D01A57" w:rsidP="00D01A57">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8.427717</w:t>
            </w:r>
          </w:p>
        </w:tc>
        <w:tc>
          <w:tcPr>
            <w:tcW w:w="1842" w:type="dxa"/>
            <w:tcBorders>
              <w:top w:val="single" w:sz="4" w:space="0" w:color="auto"/>
              <w:left w:val="single" w:sz="4" w:space="0" w:color="auto"/>
              <w:bottom w:val="single" w:sz="4" w:space="0" w:color="auto"/>
              <w:right w:val="single" w:sz="4" w:space="0" w:color="auto"/>
            </w:tcBorders>
            <w:noWrap/>
            <w:hideMark/>
          </w:tcPr>
          <w:p w14:paraId="43CA0B56" w14:textId="77777777" w:rsidR="00D01A57" w:rsidRPr="00215667" w:rsidRDefault="00D01A57" w:rsidP="00D01A57">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52</w:t>
            </w:r>
          </w:p>
        </w:tc>
        <w:tc>
          <w:tcPr>
            <w:tcW w:w="1985" w:type="dxa"/>
            <w:tcBorders>
              <w:top w:val="single" w:sz="4" w:space="0" w:color="auto"/>
              <w:left w:val="single" w:sz="4" w:space="0" w:color="auto"/>
              <w:bottom w:val="single" w:sz="4" w:space="0" w:color="auto"/>
              <w:right w:val="single" w:sz="4" w:space="0" w:color="auto"/>
            </w:tcBorders>
            <w:noWrap/>
            <w:hideMark/>
          </w:tcPr>
          <w:p w14:paraId="3921AEBF" w14:textId="77777777" w:rsidR="00D01A57" w:rsidRPr="00215667" w:rsidRDefault="00D01A57" w:rsidP="00D01A57">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92</w:t>
            </w:r>
          </w:p>
        </w:tc>
      </w:tr>
      <w:tr w:rsidR="00D01A57" w:rsidRPr="00215667" w14:paraId="50A8FD9E" w14:textId="77777777" w:rsidTr="00D01A57">
        <w:tc>
          <w:tcPr>
            <w:tcW w:w="0" w:type="auto"/>
            <w:tcBorders>
              <w:top w:val="single" w:sz="4" w:space="0" w:color="auto"/>
              <w:left w:val="single" w:sz="4" w:space="0" w:color="auto"/>
              <w:bottom w:val="single" w:sz="4" w:space="0" w:color="auto"/>
              <w:right w:val="single" w:sz="4" w:space="0" w:color="auto"/>
            </w:tcBorders>
            <w:shd w:val="clear" w:color="auto" w:fill="E8E8E8" w:themeFill="background2"/>
            <w:noWrap/>
            <w:hideMark/>
          </w:tcPr>
          <w:p w14:paraId="28E219D3" w14:textId="77777777" w:rsidR="00D01A57" w:rsidRPr="00215667" w:rsidRDefault="00D01A57" w:rsidP="00D01A57">
            <w:pPr>
              <w:spacing w:line="240" w:lineRule="auto"/>
              <w:rPr>
                <w:rFonts w:ascii="Times New Roman" w:eastAsia="Times New Roman" w:hAnsi="Times New Roman" w:cs="Times New Roman"/>
                <w:sz w:val="24"/>
                <w:szCs w:val="24"/>
              </w:rPr>
            </w:pPr>
            <w:proofErr w:type="spellStart"/>
            <w:r w:rsidRPr="00215667">
              <w:rPr>
                <w:rFonts w:ascii="Times New Roman" w:eastAsia="Times New Roman" w:hAnsi="Times New Roman" w:cs="Times New Roman"/>
                <w:color w:val="000000"/>
                <w:sz w:val="24"/>
                <w:szCs w:val="24"/>
              </w:rPr>
              <w:t>вкупно</w:t>
            </w:r>
            <w:proofErr w:type="spellEnd"/>
          </w:p>
        </w:tc>
        <w:tc>
          <w:tcPr>
            <w:tcW w:w="0" w:type="auto"/>
            <w:tcBorders>
              <w:top w:val="single" w:sz="4" w:space="0" w:color="auto"/>
              <w:left w:val="single" w:sz="4" w:space="0" w:color="auto"/>
              <w:bottom w:val="single" w:sz="4" w:space="0" w:color="auto"/>
              <w:right w:val="single" w:sz="4" w:space="0" w:color="auto"/>
            </w:tcBorders>
            <w:noWrap/>
            <w:hideMark/>
          </w:tcPr>
          <w:p w14:paraId="05058BEC" w14:textId="77777777" w:rsidR="00D01A57" w:rsidRPr="00215667" w:rsidRDefault="00D01A57" w:rsidP="00D01A57">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69.04</w:t>
            </w:r>
          </w:p>
        </w:tc>
        <w:tc>
          <w:tcPr>
            <w:tcW w:w="1228" w:type="dxa"/>
            <w:tcBorders>
              <w:top w:val="single" w:sz="4" w:space="0" w:color="auto"/>
              <w:left w:val="single" w:sz="4" w:space="0" w:color="auto"/>
              <w:bottom w:val="single" w:sz="4" w:space="0" w:color="auto"/>
              <w:right w:val="single" w:sz="4" w:space="0" w:color="auto"/>
            </w:tcBorders>
            <w:noWrap/>
            <w:hideMark/>
          </w:tcPr>
          <w:p w14:paraId="40D58F29" w14:textId="77777777" w:rsidR="00D01A57" w:rsidRPr="00215667" w:rsidRDefault="00D01A57" w:rsidP="00D01A57">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185</w:t>
            </w:r>
          </w:p>
        </w:tc>
        <w:tc>
          <w:tcPr>
            <w:tcW w:w="1560" w:type="dxa"/>
            <w:tcBorders>
              <w:top w:val="single" w:sz="4" w:space="0" w:color="auto"/>
              <w:left w:val="single" w:sz="4" w:space="0" w:color="auto"/>
              <w:bottom w:val="single" w:sz="4" w:space="0" w:color="auto"/>
              <w:right w:val="single" w:sz="4" w:space="0" w:color="auto"/>
            </w:tcBorders>
            <w:noWrap/>
            <w:hideMark/>
          </w:tcPr>
          <w:p w14:paraId="5BE1FB19" w14:textId="77777777" w:rsidR="00D01A57" w:rsidRPr="00215667" w:rsidRDefault="00D01A57" w:rsidP="00D01A57">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9.8991</w:t>
            </w:r>
          </w:p>
        </w:tc>
        <w:tc>
          <w:tcPr>
            <w:tcW w:w="1842" w:type="dxa"/>
            <w:tcBorders>
              <w:top w:val="single" w:sz="4" w:space="0" w:color="auto"/>
              <w:left w:val="single" w:sz="4" w:space="0" w:color="auto"/>
              <w:bottom w:val="single" w:sz="4" w:space="0" w:color="auto"/>
              <w:right w:val="single" w:sz="4" w:space="0" w:color="auto"/>
            </w:tcBorders>
            <w:noWrap/>
            <w:hideMark/>
          </w:tcPr>
          <w:p w14:paraId="076ADACF" w14:textId="77777777" w:rsidR="00D01A57" w:rsidRPr="00215667" w:rsidRDefault="00D01A57" w:rsidP="00D01A57">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42</w:t>
            </w:r>
          </w:p>
        </w:tc>
        <w:tc>
          <w:tcPr>
            <w:tcW w:w="1985" w:type="dxa"/>
            <w:tcBorders>
              <w:top w:val="single" w:sz="4" w:space="0" w:color="auto"/>
              <w:left w:val="single" w:sz="4" w:space="0" w:color="auto"/>
              <w:bottom w:val="single" w:sz="4" w:space="0" w:color="auto"/>
              <w:right w:val="single" w:sz="4" w:space="0" w:color="auto"/>
            </w:tcBorders>
            <w:noWrap/>
            <w:hideMark/>
          </w:tcPr>
          <w:p w14:paraId="2958D9D1" w14:textId="77777777" w:rsidR="00D01A57" w:rsidRPr="00215667" w:rsidRDefault="00D01A57" w:rsidP="00D01A57">
            <w:pPr>
              <w:spacing w:line="240" w:lineRule="auto"/>
              <w:jc w:val="center"/>
              <w:rPr>
                <w:rFonts w:ascii="Times New Roman" w:eastAsia="Times New Roman" w:hAnsi="Times New Roman" w:cs="Times New Roman"/>
                <w:sz w:val="24"/>
                <w:szCs w:val="24"/>
              </w:rPr>
            </w:pPr>
            <w:r w:rsidRPr="00215667">
              <w:rPr>
                <w:rFonts w:ascii="Times New Roman" w:eastAsia="Times New Roman" w:hAnsi="Times New Roman" w:cs="Times New Roman"/>
                <w:color w:val="000000"/>
                <w:sz w:val="24"/>
                <w:szCs w:val="24"/>
              </w:rPr>
              <w:t>92</w:t>
            </w:r>
          </w:p>
        </w:tc>
      </w:tr>
    </w:tbl>
    <w:p w14:paraId="1DACCE27" w14:textId="77777777" w:rsidR="00452BC7" w:rsidRDefault="00452BC7" w:rsidP="00452BC7">
      <w:pPr>
        <w:spacing w:after="120" w:line="360" w:lineRule="auto"/>
        <w:jc w:val="center"/>
        <w:rPr>
          <w:rFonts w:ascii="Times New Roman" w:eastAsia="Calibri" w:hAnsi="Times New Roman" w:cs="Times New Roman"/>
          <w:sz w:val="24"/>
          <w:szCs w:val="24"/>
        </w:rPr>
      </w:pPr>
    </w:p>
    <w:p w14:paraId="7FA15D64" w14:textId="03AEA5E8" w:rsidR="00452BC7" w:rsidRPr="00D01A57" w:rsidRDefault="00452BC7" w:rsidP="00D01A57">
      <w:pPr>
        <w:spacing w:after="120" w:line="360" w:lineRule="auto"/>
        <w:jc w:val="center"/>
        <w:rPr>
          <w:rFonts w:ascii="Times New Roman" w:eastAsia="Calibri" w:hAnsi="Times New Roman" w:cs="Times New Roman"/>
          <w:sz w:val="24"/>
          <w:szCs w:val="24"/>
        </w:rPr>
      </w:pPr>
      <w:r w:rsidRPr="00D01A57">
        <w:rPr>
          <w:rFonts w:ascii="Times New Roman" w:eastAsia="Calibri" w:hAnsi="Times New Roman" w:cs="Times New Roman"/>
          <w:sz w:val="24"/>
          <w:szCs w:val="24"/>
        </w:rPr>
        <w:t>Графикон бр. 22</w:t>
      </w:r>
      <w:r w:rsidR="00D01A57">
        <w:rPr>
          <w:rFonts w:ascii="Times New Roman" w:eastAsia="Calibri" w:hAnsi="Times New Roman" w:cs="Times New Roman"/>
          <w:sz w:val="24"/>
          <w:szCs w:val="24"/>
        </w:rPr>
        <w:t>-</w:t>
      </w:r>
      <w:r w:rsidRPr="00D01A57">
        <w:rPr>
          <w:rFonts w:ascii="Times New Roman" w:eastAsia="Calibri" w:hAnsi="Times New Roman" w:cs="Times New Roman"/>
          <w:sz w:val="24"/>
          <w:szCs w:val="24"/>
        </w:rPr>
        <w:t xml:space="preserve"> Распределба на испитаниците кои примаат антикоагулантна и антиагрегациона терапија според возраста</w:t>
      </w:r>
      <w:r w:rsidR="00D01A57">
        <w:rPr>
          <w:rFonts w:ascii="Times New Roman" w:eastAsia="Calibri" w:hAnsi="Times New Roman" w:cs="Times New Roman"/>
          <w:sz w:val="24"/>
          <w:szCs w:val="24"/>
        </w:rPr>
        <w:t xml:space="preserve"> (н</w:t>
      </w:r>
      <w:r w:rsidRPr="00D01A57">
        <w:rPr>
          <w:rFonts w:ascii="Times New Roman" w:eastAsia="Calibri" w:hAnsi="Times New Roman" w:cs="Times New Roman"/>
          <w:sz w:val="24"/>
          <w:szCs w:val="24"/>
        </w:rPr>
        <w:t>а хистограмот е прикажан бројот на испитаниците според пол и возрасна група</w:t>
      </w:r>
      <w:r w:rsidR="00D01A57">
        <w:rPr>
          <w:rFonts w:ascii="Times New Roman" w:eastAsia="Calibri" w:hAnsi="Times New Roman" w:cs="Times New Roman"/>
          <w:sz w:val="24"/>
          <w:szCs w:val="24"/>
        </w:rPr>
        <w:t>)</w:t>
      </w:r>
    </w:p>
    <w:p w14:paraId="46BB1DBF" w14:textId="2C6FECA7" w:rsidR="00412474" w:rsidRPr="00215667" w:rsidRDefault="00412474" w:rsidP="00EC49EB">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7DDA53BE" wp14:editId="3BCBADF0">
            <wp:extent cx="2858947" cy="2810164"/>
            <wp:effectExtent l="0" t="0" r="0" b="0"/>
            <wp:docPr id="1572099958" name="Picture 1"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099958" name="Picture 1" descr="A graph of a normal distribution&#10;&#10;AI-generated content may be incorrect."/>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16436" cy="2866672"/>
                    </a:xfrm>
                    <a:prstGeom prst="rect">
                      <a:avLst/>
                    </a:prstGeom>
                  </pic:spPr>
                </pic:pic>
              </a:graphicData>
            </a:graphic>
          </wp:inline>
        </w:drawing>
      </w:r>
    </w:p>
    <w:p w14:paraId="137109B9"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0FDCAB14" wp14:editId="01BE6221">
            <wp:extent cx="4996448" cy="1611418"/>
            <wp:effectExtent l="0" t="0" r="0" b="1905"/>
            <wp:docPr id="670536512" name="Picture 2" descr="A graph of a number of individu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36512" name="Picture 2" descr="A graph of a number of individuals&#10;&#10;AI-generated content may be incorrect."/>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004651" cy="1614064"/>
                    </a:xfrm>
                    <a:prstGeom prst="rect">
                      <a:avLst/>
                    </a:prstGeom>
                  </pic:spPr>
                </pic:pic>
              </a:graphicData>
            </a:graphic>
          </wp:inline>
        </w:drawing>
      </w:r>
    </w:p>
    <w:p w14:paraId="728EAFCF"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lastRenderedPageBreak/>
        <w:drawing>
          <wp:inline distT="0" distB="0" distL="0" distR="0" wp14:anchorId="39B001D7" wp14:editId="30436894">
            <wp:extent cx="3979387" cy="1419636"/>
            <wp:effectExtent l="0" t="0" r="0" b="3175"/>
            <wp:docPr id="803773086" name="Picture 3"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773086" name="Picture 3" descr="A graph of a number of people&#10;&#10;AI-generated content may be incorrect."/>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048588" cy="1444323"/>
                    </a:xfrm>
                    <a:prstGeom prst="rect">
                      <a:avLst/>
                    </a:prstGeom>
                  </pic:spPr>
                </pic:pic>
              </a:graphicData>
            </a:graphic>
          </wp:inline>
        </w:drawing>
      </w:r>
    </w:p>
    <w:p w14:paraId="51DB4786" w14:textId="12497360" w:rsidR="00EC49EB" w:rsidRDefault="00412474" w:rsidP="00D01A57">
      <w:pPr>
        <w:spacing w:after="12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Во однос на типот на орална антикоагулантна/антиагрегациона терапија, бројот на пациенти кои примаат VKA и DOAC изнесува 102 (55.1</w:t>
      </w:r>
      <w:r w:rsidR="00D01A57">
        <w:rPr>
          <w:rFonts w:ascii="Times New Roman" w:hAnsi="Times New Roman" w:cs="Times New Roman"/>
          <w:sz w:val="24"/>
          <w:szCs w:val="24"/>
        </w:rPr>
        <w:t xml:space="preserve"> </w:t>
      </w:r>
      <w:r w:rsidRPr="00215667">
        <w:rPr>
          <w:rFonts w:ascii="Times New Roman" w:hAnsi="Times New Roman" w:cs="Times New Roman"/>
          <w:sz w:val="24"/>
          <w:szCs w:val="24"/>
        </w:rPr>
        <w:t>%), а бројот на пациенти кои примаат аспирин (нестероиден антиинфламаторен лек) изнесува 83 (44.9</w:t>
      </w:r>
      <w:r w:rsidR="00D01A57">
        <w:rPr>
          <w:rFonts w:ascii="Times New Roman" w:hAnsi="Times New Roman" w:cs="Times New Roman"/>
          <w:sz w:val="24"/>
          <w:szCs w:val="24"/>
        </w:rPr>
        <w:t xml:space="preserve"> </w:t>
      </w:r>
      <w:r w:rsidRPr="00215667">
        <w:rPr>
          <w:rFonts w:ascii="Times New Roman" w:hAnsi="Times New Roman" w:cs="Times New Roman"/>
          <w:sz w:val="24"/>
          <w:szCs w:val="24"/>
        </w:rPr>
        <w:t xml:space="preserve">%) (графикон </w:t>
      </w:r>
      <w:r w:rsidR="001A1F41">
        <w:rPr>
          <w:rFonts w:ascii="Times New Roman" w:hAnsi="Times New Roman" w:cs="Times New Roman"/>
          <w:sz w:val="24"/>
          <w:szCs w:val="24"/>
        </w:rPr>
        <w:t xml:space="preserve"> бр. 23</w:t>
      </w:r>
      <w:r w:rsidRPr="00215667">
        <w:rPr>
          <w:rFonts w:ascii="Times New Roman" w:hAnsi="Times New Roman" w:cs="Times New Roman"/>
          <w:sz w:val="24"/>
          <w:szCs w:val="24"/>
        </w:rPr>
        <w:t>). Од вкупниот број пациенти кои примаат VKA/DOAC, испитаници од машки пол се вкупно 61 (59.8</w:t>
      </w:r>
      <w:r w:rsidR="00D01A57">
        <w:rPr>
          <w:rFonts w:ascii="Times New Roman" w:hAnsi="Times New Roman" w:cs="Times New Roman"/>
          <w:sz w:val="24"/>
          <w:szCs w:val="24"/>
        </w:rPr>
        <w:t xml:space="preserve">  </w:t>
      </w:r>
      <w:r w:rsidRPr="00215667">
        <w:rPr>
          <w:rFonts w:ascii="Times New Roman" w:hAnsi="Times New Roman" w:cs="Times New Roman"/>
          <w:sz w:val="24"/>
          <w:szCs w:val="24"/>
        </w:rPr>
        <w:t>%), а од женски пол 41 (40.2</w:t>
      </w:r>
      <w:r w:rsidR="00D01A57">
        <w:rPr>
          <w:rFonts w:ascii="Times New Roman" w:hAnsi="Times New Roman" w:cs="Times New Roman"/>
          <w:sz w:val="24"/>
          <w:szCs w:val="24"/>
        </w:rPr>
        <w:t xml:space="preserve"> </w:t>
      </w:r>
      <w:r w:rsidRPr="00215667">
        <w:rPr>
          <w:rFonts w:ascii="Times New Roman" w:hAnsi="Times New Roman" w:cs="Times New Roman"/>
          <w:sz w:val="24"/>
          <w:szCs w:val="24"/>
        </w:rPr>
        <w:t>%), додека во групата на антиагрегациона терапија (аспирин), бројот на пациенти од машки пол изнесува 52 (62.7</w:t>
      </w:r>
      <w:r w:rsidR="00D01A57">
        <w:rPr>
          <w:rFonts w:ascii="Times New Roman" w:hAnsi="Times New Roman" w:cs="Times New Roman"/>
          <w:sz w:val="24"/>
          <w:szCs w:val="24"/>
        </w:rPr>
        <w:t xml:space="preserve"> </w:t>
      </w:r>
      <w:r w:rsidRPr="00215667">
        <w:rPr>
          <w:rFonts w:ascii="Times New Roman" w:hAnsi="Times New Roman" w:cs="Times New Roman"/>
          <w:sz w:val="24"/>
          <w:szCs w:val="24"/>
        </w:rPr>
        <w:t>%), а од женски пол 31 (37.3</w:t>
      </w:r>
      <w:r w:rsidR="00D01A57">
        <w:rPr>
          <w:rFonts w:ascii="Times New Roman" w:hAnsi="Times New Roman" w:cs="Times New Roman"/>
          <w:sz w:val="24"/>
          <w:szCs w:val="24"/>
        </w:rPr>
        <w:t xml:space="preserve"> </w:t>
      </w:r>
      <w:r w:rsidRPr="00215667">
        <w:rPr>
          <w:rFonts w:ascii="Times New Roman" w:hAnsi="Times New Roman" w:cs="Times New Roman"/>
          <w:sz w:val="24"/>
          <w:szCs w:val="24"/>
        </w:rPr>
        <w:t>%)</w:t>
      </w:r>
      <w:r w:rsidR="00EC49EB" w:rsidRPr="00215667">
        <w:rPr>
          <w:rFonts w:ascii="Times New Roman" w:hAnsi="Times New Roman" w:cs="Times New Roman"/>
          <w:sz w:val="24"/>
          <w:szCs w:val="24"/>
        </w:rPr>
        <w:t xml:space="preserve"> (графикон бр. 23)</w:t>
      </w:r>
      <w:r w:rsidR="00D01A57">
        <w:rPr>
          <w:rFonts w:ascii="Times New Roman" w:hAnsi="Times New Roman" w:cs="Times New Roman"/>
          <w:sz w:val="24"/>
          <w:szCs w:val="24"/>
        </w:rPr>
        <w:t>.</w:t>
      </w:r>
    </w:p>
    <w:p w14:paraId="3C015D12" w14:textId="574C1723" w:rsidR="00D01A57" w:rsidRPr="00D01A57" w:rsidRDefault="00D01A57" w:rsidP="00D01A57">
      <w:pPr>
        <w:spacing w:after="120" w:line="360" w:lineRule="auto"/>
        <w:jc w:val="center"/>
        <w:rPr>
          <w:rFonts w:ascii="Times New Roman" w:eastAsia="Calibri" w:hAnsi="Times New Roman" w:cs="Times New Roman"/>
          <w:sz w:val="24"/>
          <w:szCs w:val="24"/>
        </w:rPr>
      </w:pPr>
      <w:r w:rsidRPr="00D01A57">
        <w:rPr>
          <w:rFonts w:ascii="Times New Roman" w:eastAsia="Calibri" w:hAnsi="Times New Roman" w:cs="Times New Roman"/>
          <w:sz w:val="24"/>
          <w:szCs w:val="24"/>
        </w:rPr>
        <w:t>Графикон бр. 23</w:t>
      </w:r>
      <w:r>
        <w:rPr>
          <w:rFonts w:ascii="Times New Roman" w:eastAsia="Calibri" w:hAnsi="Times New Roman" w:cs="Times New Roman"/>
          <w:sz w:val="24"/>
          <w:szCs w:val="24"/>
        </w:rPr>
        <w:t>-</w:t>
      </w:r>
      <w:r w:rsidRPr="00D01A57">
        <w:rPr>
          <w:rFonts w:ascii="Times New Roman" w:eastAsia="Calibri" w:hAnsi="Times New Roman" w:cs="Times New Roman"/>
          <w:sz w:val="24"/>
          <w:szCs w:val="24"/>
        </w:rPr>
        <w:t xml:space="preserve"> Распределба на пациентите споредот типот на антикоагулантна/антиагрегациона терапија која ја примаат, како и по пол во двете групи поединечно (антикоагуланси VKA/DOAC и аспирин)</w:t>
      </w:r>
    </w:p>
    <w:p w14:paraId="07B16877" w14:textId="77777777" w:rsidR="00D01A57" w:rsidRPr="00215667" w:rsidRDefault="00D01A57" w:rsidP="00D01A57">
      <w:pPr>
        <w:spacing w:after="120" w:line="360" w:lineRule="auto"/>
        <w:ind w:firstLine="720"/>
        <w:jc w:val="both"/>
        <w:rPr>
          <w:rFonts w:ascii="Times New Roman" w:hAnsi="Times New Roman" w:cs="Times New Roman"/>
          <w:sz w:val="24"/>
          <w:szCs w:val="24"/>
        </w:rPr>
      </w:pPr>
    </w:p>
    <w:p w14:paraId="629376D1"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250FB695" wp14:editId="66DC2A2C">
            <wp:extent cx="2194887" cy="1469985"/>
            <wp:effectExtent l="0" t="0" r="2540" b="3810"/>
            <wp:docPr id="2069662421" name="Picture 4" descr="A pie chart with numbers and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662421" name="Picture 4" descr="A pie chart with numbers and a red circle&#10;&#10;AI-generated content may be incorrec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86963" cy="1531651"/>
                    </a:xfrm>
                    <a:prstGeom prst="rect">
                      <a:avLst/>
                    </a:prstGeom>
                  </pic:spPr>
                </pic:pic>
              </a:graphicData>
            </a:graphic>
          </wp:inline>
        </w:drawing>
      </w:r>
    </w:p>
    <w:p w14:paraId="4E42293C"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274AD518" wp14:editId="7CDDBDE6">
            <wp:extent cx="1936168" cy="1400537"/>
            <wp:effectExtent l="0" t="0" r="0" b="0"/>
            <wp:docPr id="643070149" name="Picture 5" descr="A blue and red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070149" name="Picture 5" descr="A blue and red pie chart&#10;&#10;AI-generated content may be incorrect."/>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88423" cy="1438336"/>
                    </a:xfrm>
                    <a:prstGeom prst="rect">
                      <a:avLst/>
                    </a:prstGeom>
                  </pic:spPr>
                </pic:pic>
              </a:graphicData>
            </a:graphic>
          </wp:inline>
        </w:drawing>
      </w:r>
      <w:r w:rsidRPr="00215667">
        <w:rPr>
          <w:rFonts w:ascii="Times New Roman" w:hAnsi="Times New Roman" w:cs="Times New Roman"/>
          <w:noProof/>
          <w:sz w:val="24"/>
          <w:szCs w:val="24"/>
          <w:lang w:val="en-US"/>
        </w:rPr>
        <w:drawing>
          <wp:inline distT="0" distB="0" distL="0" distR="0" wp14:anchorId="61CB2BFF" wp14:editId="4A63B0D3">
            <wp:extent cx="2021440" cy="1458411"/>
            <wp:effectExtent l="0" t="0" r="0" b="2540"/>
            <wp:docPr id="1390168251" name="Picture 6" descr="A blue and red pie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168251" name="Picture 6" descr="A blue and red pie chart&#10;&#10;AI-generated content may be incorrect."/>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052187" cy="1480594"/>
                    </a:xfrm>
                    <a:prstGeom prst="rect">
                      <a:avLst/>
                    </a:prstGeom>
                  </pic:spPr>
                </pic:pic>
              </a:graphicData>
            </a:graphic>
          </wp:inline>
        </w:drawing>
      </w:r>
    </w:p>
    <w:p w14:paraId="5B34BF8F"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lastRenderedPageBreak/>
        <w:drawing>
          <wp:inline distT="0" distB="0" distL="0" distR="0" wp14:anchorId="6D836AA9" wp14:editId="659FD7B1">
            <wp:extent cx="4047700" cy="1784827"/>
            <wp:effectExtent l="0" t="0" r="3810" b="6350"/>
            <wp:docPr id="1228288852" name="Picture 9" descr="A graph with green and yellow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88852" name="Picture 9" descr="A graph with green and yellow squares&#10;&#10;AI-generated content may be incorrect."/>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112813" cy="1813539"/>
                    </a:xfrm>
                    <a:prstGeom prst="rect">
                      <a:avLst/>
                    </a:prstGeom>
                  </pic:spPr>
                </pic:pic>
              </a:graphicData>
            </a:graphic>
          </wp:inline>
        </w:drawing>
      </w:r>
    </w:p>
    <w:p w14:paraId="708D7AB0" w14:textId="6E5E6794" w:rsidR="00412474" w:rsidRPr="00057824" w:rsidRDefault="00412474" w:rsidP="00057824">
      <w:pPr>
        <w:spacing w:after="12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Направена е анализа на разликата во типот на ОАТ (антикоагулантна vs. антиагрегациона терапија), и полот, при што со </w:t>
      </w:r>
      <w:r w:rsidRPr="00057824">
        <w:rPr>
          <w:rFonts w:ascii="Times New Roman" w:hAnsi="Times New Roman" w:cs="Times New Roman"/>
          <w:sz w:val="24"/>
          <w:szCs w:val="24"/>
        </w:rPr>
        <w:t>Mann-Whitney U</w:t>
      </w:r>
      <w:r w:rsidRPr="00215667">
        <w:rPr>
          <w:rFonts w:ascii="Times New Roman" w:hAnsi="Times New Roman" w:cs="Times New Roman"/>
          <w:sz w:val="24"/>
          <w:szCs w:val="24"/>
        </w:rPr>
        <w:t>- тестот, Тест-статистиката Z изнесува 0.3923, што припаѓа во 95</w:t>
      </w:r>
      <w:r w:rsidR="00057824" w:rsidRPr="00057824">
        <w:rPr>
          <w:rFonts w:ascii="Times New Roman" w:hAnsi="Times New Roman" w:cs="Times New Roman"/>
          <w:sz w:val="24"/>
          <w:szCs w:val="24"/>
        </w:rPr>
        <w:t xml:space="preserve"> </w:t>
      </w:r>
      <w:r w:rsidRPr="00215667">
        <w:rPr>
          <w:rFonts w:ascii="Times New Roman" w:hAnsi="Times New Roman" w:cs="Times New Roman"/>
          <w:sz w:val="24"/>
          <w:szCs w:val="24"/>
        </w:rPr>
        <w:t>% интервал на прифаќање: [-1.96 : 1.96]. U-вредноста (U = 4188.5) исто така припаѓа во 95</w:t>
      </w:r>
      <w:r w:rsidR="00057824" w:rsidRPr="00057824">
        <w:rPr>
          <w:rFonts w:ascii="Times New Roman" w:hAnsi="Times New Roman" w:cs="Times New Roman"/>
          <w:sz w:val="24"/>
          <w:szCs w:val="24"/>
        </w:rPr>
        <w:t xml:space="preserve"> </w:t>
      </w:r>
      <w:r w:rsidRPr="00215667">
        <w:rPr>
          <w:rFonts w:ascii="Times New Roman" w:hAnsi="Times New Roman" w:cs="Times New Roman"/>
          <w:sz w:val="24"/>
          <w:szCs w:val="24"/>
        </w:rPr>
        <w:t>% интервал на прифаќање. Добиена вредност на p изнесува 0.6949 (p</w:t>
      </w:r>
      <w:r w:rsidR="00057824" w:rsidRPr="00057824">
        <w:rPr>
          <w:rFonts w:ascii="Times New Roman" w:hAnsi="Times New Roman" w:cs="Times New Roman"/>
          <w:sz w:val="24"/>
          <w:szCs w:val="24"/>
        </w:rPr>
        <w:t xml:space="preserve"> </w:t>
      </w:r>
      <w:r w:rsidRPr="00215667">
        <w:rPr>
          <w:rFonts w:ascii="Times New Roman" w:hAnsi="Times New Roman" w:cs="Times New Roman"/>
          <w:sz w:val="24"/>
          <w:szCs w:val="24"/>
        </w:rPr>
        <w:t>&gt;</w:t>
      </w:r>
      <w:r w:rsidR="00057824" w:rsidRPr="00057824">
        <w:rPr>
          <w:rFonts w:ascii="Times New Roman" w:hAnsi="Times New Roman" w:cs="Times New Roman"/>
          <w:sz w:val="24"/>
          <w:szCs w:val="24"/>
        </w:rPr>
        <w:t xml:space="preserve"> </w:t>
      </w:r>
      <w:r w:rsidRPr="00215667">
        <w:rPr>
          <w:rFonts w:ascii="Times New Roman" w:hAnsi="Times New Roman" w:cs="Times New Roman"/>
          <w:sz w:val="24"/>
          <w:szCs w:val="24"/>
        </w:rPr>
        <w:t>0.05).</w:t>
      </w:r>
      <w:r w:rsidR="00057824" w:rsidRPr="00057824">
        <w:rPr>
          <w:rFonts w:ascii="Times New Roman" w:hAnsi="Times New Roman" w:cs="Times New Roman"/>
          <w:sz w:val="24"/>
          <w:szCs w:val="24"/>
        </w:rPr>
        <w:t xml:space="preserve"> </w:t>
      </w:r>
      <w:r w:rsidRPr="00057824">
        <w:rPr>
          <w:rFonts w:ascii="Times New Roman" w:hAnsi="Times New Roman" w:cs="Times New Roman"/>
          <w:sz w:val="24"/>
          <w:szCs w:val="24"/>
        </w:rPr>
        <w:t>Бидејќи p-вредноста &gt; α, нултата хипотеза (H₀) не може да се отфрли.</w:t>
      </w:r>
    </w:p>
    <w:p w14:paraId="7EA8B429" w14:textId="472E5CD5" w:rsidR="00412474" w:rsidRDefault="00412474" w:rsidP="00057824">
      <w:pPr>
        <w:spacing w:after="120" w:line="360" w:lineRule="auto"/>
        <w:ind w:firstLine="720"/>
        <w:jc w:val="both"/>
        <w:rPr>
          <w:rFonts w:ascii="Times New Roman" w:hAnsi="Times New Roman" w:cs="Times New Roman"/>
          <w:sz w:val="24"/>
          <w:szCs w:val="24"/>
          <w:lang w:val="en-US"/>
        </w:rPr>
      </w:pPr>
      <w:r w:rsidRPr="00057824">
        <w:rPr>
          <w:rFonts w:ascii="Times New Roman" w:hAnsi="Times New Roman" w:cs="Times New Roman"/>
          <w:sz w:val="24"/>
          <w:szCs w:val="24"/>
        </w:rPr>
        <w:t xml:space="preserve">Случајно избраната вредност од машката популацијата се смета дека не е различна од случајно избраната вредност од женската популацијата во однос на типот на ОАТ. Со други зборови, разликата помеѓу случајно избраните вредности од популациите мажи и жени не </w:t>
      </w:r>
      <w:r w:rsidR="00057824">
        <w:rPr>
          <w:rFonts w:ascii="Times New Roman" w:hAnsi="Times New Roman" w:cs="Times New Roman"/>
          <w:sz w:val="24"/>
          <w:szCs w:val="24"/>
          <w:lang w:val="en-US"/>
        </w:rPr>
        <w:t xml:space="preserve">e </w:t>
      </w:r>
      <w:r w:rsidRPr="00057824">
        <w:rPr>
          <w:rFonts w:ascii="Times New Roman" w:hAnsi="Times New Roman" w:cs="Times New Roman"/>
          <w:sz w:val="24"/>
          <w:szCs w:val="24"/>
        </w:rPr>
        <w:t>доволно голема за да биде статистички значајна. Може да се заклучи дека не постои значајна разлика во типот на антикоагулантна/антиагрегациона терапија во однос на полот, односно примената на VKA/DOAC и аспирин е релативно еднаква и кај мажите и кај жените</w:t>
      </w:r>
      <w:r w:rsidR="00EC49EB" w:rsidRPr="00057824">
        <w:rPr>
          <w:rFonts w:ascii="Times New Roman" w:hAnsi="Times New Roman" w:cs="Times New Roman"/>
          <w:sz w:val="24"/>
          <w:szCs w:val="24"/>
        </w:rPr>
        <w:t xml:space="preserve"> (графикон бр. 24)</w:t>
      </w:r>
    </w:p>
    <w:p w14:paraId="4F4992DB" w14:textId="51974CBF" w:rsidR="00057824" w:rsidRPr="00057824" w:rsidRDefault="00057824" w:rsidP="00057824">
      <w:pPr>
        <w:spacing w:after="120" w:line="360" w:lineRule="auto"/>
        <w:jc w:val="center"/>
        <w:rPr>
          <w:rFonts w:ascii="Times New Roman" w:eastAsia="Calibri" w:hAnsi="Times New Roman" w:cs="Times New Roman"/>
          <w:sz w:val="24"/>
          <w:szCs w:val="24"/>
          <w:lang w:val="en-US"/>
        </w:rPr>
      </w:pPr>
      <w:r w:rsidRPr="00057824">
        <w:rPr>
          <w:rFonts w:ascii="Times New Roman" w:eastAsia="Calibri" w:hAnsi="Times New Roman" w:cs="Times New Roman"/>
          <w:sz w:val="24"/>
          <w:szCs w:val="24"/>
        </w:rPr>
        <w:t>Графикон бр. 24</w:t>
      </w:r>
      <w:r>
        <w:rPr>
          <w:rFonts w:ascii="Times New Roman" w:eastAsia="Calibri" w:hAnsi="Times New Roman" w:cs="Times New Roman"/>
          <w:sz w:val="24"/>
          <w:szCs w:val="24"/>
          <w:lang w:val="en-US"/>
        </w:rPr>
        <w:t xml:space="preserve">- </w:t>
      </w:r>
      <w:r w:rsidRPr="00057824">
        <w:rPr>
          <w:rFonts w:ascii="Times New Roman" w:eastAsia="Calibri" w:hAnsi="Times New Roman" w:cs="Times New Roman"/>
          <w:sz w:val="24"/>
          <w:szCs w:val="24"/>
        </w:rPr>
        <w:t>Распределба на испитаниците според пол и типот на антикоагулантна терапија која ја примаат (VKA/DOAC vs. аспирин)</w:t>
      </w:r>
    </w:p>
    <w:p w14:paraId="29147D43" w14:textId="77777777" w:rsidR="00412474" w:rsidRPr="00215667" w:rsidRDefault="00412474" w:rsidP="00412474">
      <w:pPr>
        <w:pStyle w:val="p1"/>
        <w:jc w:val="center"/>
      </w:pPr>
      <w:r w:rsidRPr="00215667">
        <w:rPr>
          <w:noProof/>
          <w:lang w:val="en-US" w:eastAsia="en-US"/>
          <w14:ligatures w14:val="standardContextual"/>
        </w:rPr>
        <w:drawing>
          <wp:inline distT="0" distB="0" distL="0" distR="0" wp14:anchorId="40229CB5" wp14:editId="0AE2ABD1">
            <wp:extent cx="914385" cy="1345223"/>
            <wp:effectExtent l="0" t="0" r="635" b="1270"/>
            <wp:docPr id="1350687396" name="Picture 60"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87396" name="Picture 60" descr="A graph of a normal distribution&#10;&#10;AI-generated content may be incorrect."/>
                    <pic:cNvPicPr/>
                  </pic:nvPicPr>
                  <pic:blipFill>
                    <a:blip r:embed="rId53" cstate="print">
                      <a:extLst>
                        <a:ext uri="{28A0092B-C50C-407E-A947-70E740481C1C}">
                          <a14:useLocalDpi xmlns:a14="http://schemas.microsoft.com/office/drawing/2010/main" val="0"/>
                        </a:ext>
                      </a:extLst>
                    </a:blip>
                    <a:stretch>
                      <a:fillRect/>
                    </a:stretch>
                  </pic:blipFill>
                  <pic:spPr>
                    <a:xfrm>
                      <a:off x="0" y="0"/>
                      <a:ext cx="954734" cy="1404584"/>
                    </a:xfrm>
                    <a:prstGeom prst="rect">
                      <a:avLst/>
                    </a:prstGeom>
                  </pic:spPr>
                </pic:pic>
              </a:graphicData>
            </a:graphic>
          </wp:inline>
        </w:drawing>
      </w:r>
      <w:r w:rsidRPr="00215667">
        <w:rPr>
          <w:noProof/>
          <w:lang w:val="en-US" w:eastAsia="en-US"/>
          <w14:ligatures w14:val="standardContextual"/>
        </w:rPr>
        <w:drawing>
          <wp:inline distT="0" distB="0" distL="0" distR="0" wp14:anchorId="34E61F28" wp14:editId="7B461E24">
            <wp:extent cx="4397375" cy="1542494"/>
            <wp:effectExtent l="0" t="0" r="0" b="0"/>
            <wp:docPr id="1865296276" name="Picture 61" descr="A graph with blue and orang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96276" name="Picture 61" descr="A graph with blue and orange squares&#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4479571" cy="1571326"/>
                    </a:xfrm>
                    <a:prstGeom prst="rect">
                      <a:avLst/>
                    </a:prstGeom>
                  </pic:spPr>
                </pic:pic>
              </a:graphicData>
            </a:graphic>
          </wp:inline>
        </w:drawing>
      </w:r>
    </w:p>
    <w:p w14:paraId="12162A44" w14:textId="391CC02C" w:rsidR="00412474" w:rsidRPr="00215667" w:rsidRDefault="00412474" w:rsidP="00412474">
      <w:pPr>
        <w:spacing w:line="240" w:lineRule="auto"/>
        <w:rPr>
          <w:rFonts w:ascii="Times New Roman" w:hAnsi="Times New Roman" w:cs="Times New Roman"/>
          <w:sz w:val="24"/>
          <w:szCs w:val="24"/>
        </w:rPr>
      </w:pPr>
      <w:r w:rsidRPr="00215667">
        <w:rPr>
          <w:rFonts w:ascii="Times New Roman" w:hAnsi="Times New Roman" w:cs="Times New Roman"/>
          <w:sz w:val="24"/>
          <w:szCs w:val="24"/>
        </w:rPr>
        <w:t xml:space="preserve"> </w:t>
      </w:r>
    </w:p>
    <w:p w14:paraId="0BAAC925" w14:textId="139828F1" w:rsidR="00EC49EB" w:rsidRPr="00215667" w:rsidRDefault="00EC49EB" w:rsidP="00412474">
      <w:pPr>
        <w:spacing w:line="240" w:lineRule="auto"/>
        <w:rPr>
          <w:rFonts w:ascii="Times New Roman" w:hAnsi="Times New Roman" w:cs="Times New Roman"/>
          <w:sz w:val="24"/>
          <w:szCs w:val="24"/>
        </w:rPr>
      </w:pPr>
      <w:r w:rsidRPr="00215667">
        <w:rPr>
          <w:rFonts w:ascii="Times New Roman" w:hAnsi="Times New Roman" w:cs="Times New Roman"/>
          <w:noProof/>
          <w:sz w:val="24"/>
          <w:szCs w:val="24"/>
          <w:lang w:val="en-US"/>
          <w14:ligatures w14:val="standardContextual"/>
        </w:rPr>
        <w:lastRenderedPageBreak/>
        <w:drawing>
          <wp:inline distT="0" distB="0" distL="0" distR="0" wp14:anchorId="4F6762EB" wp14:editId="08DDCB81">
            <wp:extent cx="5400040" cy="1993900"/>
            <wp:effectExtent l="0" t="0" r="0" b="0"/>
            <wp:docPr id="11019415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941561" name="Picture 4"/>
                    <pic:cNvPicPr/>
                  </pic:nvPicPr>
                  <pic:blipFill>
                    <a:blip r:embed="rId55">
                      <a:extLst>
                        <a:ext uri="{28A0092B-C50C-407E-A947-70E740481C1C}">
                          <a14:useLocalDpi xmlns:a14="http://schemas.microsoft.com/office/drawing/2010/main" val="0"/>
                        </a:ext>
                      </a:extLst>
                    </a:blip>
                    <a:stretch>
                      <a:fillRect/>
                    </a:stretch>
                  </pic:blipFill>
                  <pic:spPr>
                    <a:xfrm>
                      <a:off x="0" y="0"/>
                      <a:ext cx="5400040" cy="1993900"/>
                    </a:xfrm>
                    <a:prstGeom prst="rect">
                      <a:avLst/>
                    </a:prstGeom>
                  </pic:spPr>
                </pic:pic>
              </a:graphicData>
            </a:graphic>
          </wp:inline>
        </w:drawing>
      </w:r>
    </w:p>
    <w:p w14:paraId="3F775AF1" w14:textId="1DD366ED" w:rsidR="00412474" w:rsidRPr="00215667" w:rsidRDefault="00412474" w:rsidP="00057824">
      <w:pPr>
        <w:spacing w:after="12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Во однос на возраста и типот на ОАТ, статистичката анализа покажа дека нема значајна разлика меѓу типот на терапија (VKA/DOAC и аспирин) и годините на испитаниците (p</w:t>
      </w:r>
      <w:r w:rsidR="00057824">
        <w:rPr>
          <w:rFonts w:ascii="Times New Roman" w:hAnsi="Times New Roman" w:cs="Times New Roman"/>
          <w:sz w:val="24"/>
          <w:szCs w:val="24"/>
          <w:lang w:val="en-US"/>
        </w:rPr>
        <w:t xml:space="preserve"> </w:t>
      </w:r>
      <w:r w:rsidRPr="00215667">
        <w:rPr>
          <w:rFonts w:ascii="Times New Roman" w:hAnsi="Times New Roman" w:cs="Times New Roman"/>
          <w:sz w:val="24"/>
          <w:szCs w:val="24"/>
        </w:rPr>
        <w:t>=</w:t>
      </w:r>
      <w:r w:rsidR="00057824">
        <w:rPr>
          <w:rFonts w:ascii="Times New Roman" w:hAnsi="Times New Roman" w:cs="Times New Roman"/>
          <w:sz w:val="24"/>
          <w:szCs w:val="24"/>
          <w:lang w:val="en-US"/>
        </w:rPr>
        <w:t xml:space="preserve"> </w:t>
      </w:r>
      <w:r w:rsidRPr="00215667">
        <w:rPr>
          <w:rFonts w:ascii="Times New Roman" w:hAnsi="Times New Roman" w:cs="Times New Roman"/>
          <w:sz w:val="24"/>
          <w:szCs w:val="24"/>
        </w:rPr>
        <w:t xml:space="preserve">0.257). Резултатите од оваа анализа се прикажани на графикон </w:t>
      </w:r>
      <w:r w:rsidR="00EC49EB" w:rsidRPr="00215667">
        <w:rPr>
          <w:rFonts w:ascii="Times New Roman" w:hAnsi="Times New Roman" w:cs="Times New Roman"/>
          <w:sz w:val="24"/>
          <w:szCs w:val="24"/>
        </w:rPr>
        <w:t>бр. 25.</w:t>
      </w:r>
    </w:p>
    <w:p w14:paraId="60E8AF15" w14:textId="479B0104" w:rsidR="00412474" w:rsidRPr="00057824" w:rsidRDefault="00057824" w:rsidP="00057824">
      <w:pPr>
        <w:spacing w:after="120" w:line="360" w:lineRule="auto"/>
        <w:jc w:val="center"/>
        <w:rPr>
          <w:rFonts w:ascii="Times New Roman" w:eastAsia="Calibri" w:hAnsi="Times New Roman" w:cs="Times New Roman"/>
          <w:sz w:val="24"/>
          <w:szCs w:val="24"/>
        </w:rPr>
      </w:pPr>
      <w:r w:rsidRPr="00057824">
        <w:rPr>
          <w:rFonts w:ascii="Times New Roman" w:eastAsia="Calibri" w:hAnsi="Times New Roman" w:cs="Times New Roman"/>
          <w:sz w:val="24"/>
          <w:szCs w:val="24"/>
        </w:rPr>
        <w:t>Графикон бр. 25</w:t>
      </w:r>
      <w:r>
        <w:rPr>
          <w:rFonts w:ascii="Times New Roman" w:eastAsia="Calibri" w:hAnsi="Times New Roman" w:cs="Times New Roman"/>
          <w:sz w:val="24"/>
          <w:szCs w:val="24"/>
          <w:lang w:val="en-US"/>
        </w:rPr>
        <w:t>-</w:t>
      </w:r>
      <w:r w:rsidRPr="00057824">
        <w:rPr>
          <w:rFonts w:ascii="Times New Roman" w:eastAsia="Calibri" w:hAnsi="Times New Roman" w:cs="Times New Roman"/>
          <w:sz w:val="24"/>
          <w:szCs w:val="24"/>
        </w:rPr>
        <w:t xml:space="preserve"> Распределба на испитаниците според возраста и типот на антикоагулантна терапија која ја примаат (VKA/DOAC vs. аспирин)</w:t>
      </w:r>
    </w:p>
    <w:p w14:paraId="5991A92C" w14:textId="77777777" w:rsidR="00412474" w:rsidRDefault="00412474" w:rsidP="00412474">
      <w:pPr>
        <w:spacing w:line="240" w:lineRule="auto"/>
        <w:jc w:val="center"/>
        <w:rPr>
          <w:rFonts w:ascii="Times New Roman" w:hAnsi="Times New Roman" w:cs="Times New Roman"/>
          <w:sz w:val="24"/>
          <w:szCs w:val="24"/>
          <w:lang w:val="en-US"/>
        </w:rPr>
      </w:pPr>
      <w:r w:rsidRPr="00215667">
        <w:rPr>
          <w:rFonts w:ascii="Times New Roman" w:hAnsi="Times New Roman" w:cs="Times New Roman"/>
          <w:noProof/>
          <w:sz w:val="24"/>
          <w:szCs w:val="24"/>
          <w:lang w:val="en-US"/>
        </w:rPr>
        <w:drawing>
          <wp:inline distT="0" distB="0" distL="0" distR="0" wp14:anchorId="014573D5" wp14:editId="60796ACC">
            <wp:extent cx="4663201" cy="1847508"/>
            <wp:effectExtent l="0" t="0" r="0" b="0"/>
            <wp:docPr id="294420407" name="Picture 7" descr="A graph with numbers and a red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20407" name="Picture 7" descr="A graph with numbers and a red box&#10;&#10;AI-generated content may be incorrect."/>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705917" cy="1864432"/>
                    </a:xfrm>
                    <a:prstGeom prst="rect">
                      <a:avLst/>
                    </a:prstGeom>
                  </pic:spPr>
                </pic:pic>
              </a:graphicData>
            </a:graphic>
          </wp:inline>
        </w:drawing>
      </w:r>
    </w:p>
    <w:p w14:paraId="7EA3D43D" w14:textId="77777777" w:rsidR="00057824" w:rsidRPr="00057824" w:rsidRDefault="00057824" w:rsidP="00412474">
      <w:pPr>
        <w:spacing w:line="240" w:lineRule="auto"/>
        <w:jc w:val="center"/>
        <w:rPr>
          <w:rFonts w:ascii="Times New Roman" w:hAnsi="Times New Roman" w:cs="Times New Roman"/>
          <w:sz w:val="24"/>
          <w:szCs w:val="24"/>
          <w:lang w:val="en-US"/>
        </w:rPr>
      </w:pPr>
    </w:p>
    <w:p w14:paraId="4413D014"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2D030BB3" wp14:editId="68E48D12">
            <wp:extent cx="4381323" cy="1741170"/>
            <wp:effectExtent l="0" t="0" r="635" b="0"/>
            <wp:docPr id="2020338804" name="Picture 8"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338804" name="Picture 8" descr="A graph of a number of people&#10;&#10;AI-generated content may be incorrect."/>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30527" cy="1760724"/>
                    </a:xfrm>
                    <a:prstGeom prst="rect">
                      <a:avLst/>
                    </a:prstGeom>
                  </pic:spPr>
                </pic:pic>
              </a:graphicData>
            </a:graphic>
          </wp:inline>
        </w:drawing>
      </w:r>
    </w:p>
    <w:p w14:paraId="10ADC563" w14:textId="77777777" w:rsidR="00412474" w:rsidRPr="00215667" w:rsidRDefault="00412474" w:rsidP="00412474">
      <w:pPr>
        <w:rPr>
          <w:rFonts w:ascii="Times New Roman" w:hAnsi="Times New Roman" w:cs="Times New Roman"/>
          <w:b/>
          <w:bCs/>
          <w:sz w:val="24"/>
          <w:szCs w:val="24"/>
        </w:rPr>
      </w:pPr>
    </w:p>
    <w:p w14:paraId="5452AC5E" w14:textId="77777777" w:rsidR="00057824" w:rsidRDefault="00057824" w:rsidP="00215667">
      <w:pPr>
        <w:rPr>
          <w:rFonts w:ascii="Times New Roman" w:hAnsi="Times New Roman" w:cs="Times New Roman"/>
          <w:b/>
          <w:bCs/>
          <w:sz w:val="24"/>
          <w:szCs w:val="24"/>
          <w:lang w:val="en-US"/>
        </w:rPr>
      </w:pPr>
    </w:p>
    <w:p w14:paraId="6749DEBF" w14:textId="2082C880" w:rsidR="00412474" w:rsidRPr="00215667" w:rsidRDefault="00412474" w:rsidP="00215667">
      <w:pPr>
        <w:rPr>
          <w:rFonts w:ascii="Times New Roman" w:hAnsi="Times New Roman" w:cs="Times New Roman"/>
          <w:b/>
          <w:bCs/>
          <w:sz w:val="24"/>
          <w:szCs w:val="24"/>
        </w:rPr>
      </w:pPr>
      <w:r w:rsidRPr="00215667">
        <w:rPr>
          <w:rFonts w:ascii="Times New Roman" w:hAnsi="Times New Roman" w:cs="Times New Roman"/>
          <w:b/>
          <w:bCs/>
          <w:sz w:val="24"/>
          <w:szCs w:val="24"/>
        </w:rPr>
        <w:lastRenderedPageBreak/>
        <w:t>Тип на ОАТ и PEB</w:t>
      </w:r>
      <w:r w:rsidR="00EC49EB" w:rsidRPr="00215667">
        <w:rPr>
          <w:rFonts w:ascii="Times New Roman" w:hAnsi="Times New Roman" w:cs="Times New Roman"/>
          <w:b/>
          <w:bCs/>
          <w:sz w:val="24"/>
          <w:szCs w:val="24"/>
        </w:rPr>
        <w:t xml:space="preserve"> (постекстрационо крвавење)</w:t>
      </w:r>
    </w:p>
    <w:p w14:paraId="5B34BDE7" w14:textId="77777777" w:rsidR="00943CBC" w:rsidRDefault="00943CBC" w:rsidP="00057824">
      <w:pPr>
        <w:spacing w:after="120" w:line="360" w:lineRule="auto"/>
        <w:ind w:firstLine="720"/>
        <w:jc w:val="both"/>
        <w:rPr>
          <w:rFonts w:ascii="Times New Roman" w:hAnsi="Times New Roman" w:cs="Times New Roman"/>
          <w:sz w:val="24"/>
          <w:szCs w:val="24"/>
        </w:rPr>
      </w:pPr>
    </w:p>
    <w:p w14:paraId="17F344D8" w14:textId="3FB699BD" w:rsidR="00412474" w:rsidRPr="00215667" w:rsidRDefault="00412474" w:rsidP="00057824">
      <w:pPr>
        <w:spacing w:after="12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Направена е анализа на разликата во постекстракционото крвавење и типот на ОАТ (антикоагулантна vs. антиагрегациона терапија), прво без да се земат предвид останатите фактори, но кои се дополнително анализирани во понатамошниот текст.</w:t>
      </w:r>
    </w:p>
    <w:p w14:paraId="4E1F8886" w14:textId="70E32C7B" w:rsidR="00412474" w:rsidRPr="00215667" w:rsidRDefault="00412474" w:rsidP="00057824">
      <w:pPr>
        <w:spacing w:after="120" w:line="360" w:lineRule="auto"/>
        <w:ind w:firstLine="720"/>
        <w:jc w:val="both"/>
      </w:pPr>
      <w:r w:rsidRPr="00057824">
        <w:rPr>
          <w:rFonts w:ascii="Times New Roman" w:hAnsi="Times New Roman" w:cs="Times New Roman"/>
          <w:sz w:val="24"/>
          <w:szCs w:val="24"/>
        </w:rPr>
        <w:t xml:space="preserve">Со </w:t>
      </w:r>
      <w:r w:rsidRPr="00057824">
        <w:rPr>
          <w:rFonts w:ascii="Times New Roman" w:hAnsi="Times New Roman" w:cs="Times New Roman"/>
          <w:i/>
          <w:iCs/>
          <w:sz w:val="24"/>
          <w:szCs w:val="24"/>
        </w:rPr>
        <w:t>Mann-Whitney U</w:t>
      </w:r>
      <w:r w:rsidRPr="00057824">
        <w:rPr>
          <w:rFonts w:ascii="Times New Roman" w:hAnsi="Times New Roman" w:cs="Times New Roman"/>
          <w:sz w:val="24"/>
          <w:szCs w:val="24"/>
        </w:rPr>
        <w:t xml:space="preserve">- тестот, </w:t>
      </w:r>
      <w:r w:rsidR="00057824">
        <w:rPr>
          <w:rFonts w:ascii="Times New Roman" w:hAnsi="Times New Roman" w:cs="Times New Roman"/>
          <w:sz w:val="24"/>
          <w:szCs w:val="24"/>
        </w:rPr>
        <w:t>т</w:t>
      </w:r>
      <w:r w:rsidRPr="00057824">
        <w:rPr>
          <w:rFonts w:ascii="Times New Roman" w:hAnsi="Times New Roman" w:cs="Times New Roman"/>
          <w:sz w:val="24"/>
          <w:szCs w:val="24"/>
        </w:rPr>
        <w:t>ест-статистиката Z изнесува 4.4419, што не припаѓа во 95</w:t>
      </w:r>
      <w:r w:rsidR="00057824">
        <w:rPr>
          <w:rFonts w:ascii="Times New Roman" w:hAnsi="Times New Roman" w:cs="Times New Roman"/>
          <w:sz w:val="24"/>
          <w:szCs w:val="24"/>
        </w:rPr>
        <w:t xml:space="preserve"> </w:t>
      </w:r>
      <w:r w:rsidRPr="00057824">
        <w:rPr>
          <w:rFonts w:ascii="Times New Roman" w:hAnsi="Times New Roman" w:cs="Times New Roman"/>
          <w:sz w:val="24"/>
          <w:szCs w:val="24"/>
        </w:rPr>
        <w:t>% интервал на прифаќање: [-1.96 : 1.96].</w:t>
      </w:r>
      <w:r w:rsidR="00057824">
        <w:rPr>
          <w:rFonts w:ascii="Times New Roman" w:hAnsi="Times New Roman" w:cs="Times New Roman"/>
          <w:sz w:val="24"/>
          <w:szCs w:val="24"/>
        </w:rPr>
        <w:t xml:space="preserve"> </w:t>
      </w:r>
      <w:r w:rsidRPr="00057824">
        <w:rPr>
          <w:rFonts w:ascii="Times New Roman" w:hAnsi="Times New Roman" w:cs="Times New Roman"/>
          <w:sz w:val="24"/>
          <w:szCs w:val="24"/>
        </w:rPr>
        <w:t>U-вредноста (U = 5724) исто така не припаѓа во 95</w:t>
      </w:r>
      <w:r w:rsidR="00057824">
        <w:rPr>
          <w:rFonts w:ascii="Times New Roman" w:hAnsi="Times New Roman" w:cs="Times New Roman"/>
          <w:sz w:val="24"/>
          <w:szCs w:val="24"/>
        </w:rPr>
        <w:t xml:space="preserve"> </w:t>
      </w:r>
      <w:r w:rsidRPr="00057824">
        <w:rPr>
          <w:rFonts w:ascii="Times New Roman" w:hAnsi="Times New Roman" w:cs="Times New Roman"/>
          <w:sz w:val="24"/>
          <w:szCs w:val="24"/>
        </w:rPr>
        <w:t>% интервал на прифаќање. Добиена вредност на p</w:t>
      </w:r>
      <w:r w:rsidR="00057824">
        <w:rPr>
          <w:rFonts w:ascii="Times New Roman" w:hAnsi="Times New Roman" w:cs="Times New Roman"/>
          <w:sz w:val="24"/>
          <w:szCs w:val="24"/>
        </w:rPr>
        <w:t xml:space="preserve"> </w:t>
      </w:r>
      <w:r w:rsidRPr="00057824">
        <w:rPr>
          <w:rFonts w:ascii="Times New Roman" w:hAnsi="Times New Roman" w:cs="Times New Roman"/>
          <w:sz w:val="24"/>
          <w:szCs w:val="24"/>
        </w:rPr>
        <w:t>&lt;</w:t>
      </w:r>
      <w:r w:rsidR="00057824">
        <w:rPr>
          <w:rFonts w:ascii="Times New Roman" w:hAnsi="Times New Roman" w:cs="Times New Roman"/>
          <w:sz w:val="24"/>
          <w:szCs w:val="24"/>
        </w:rPr>
        <w:t xml:space="preserve"> </w:t>
      </w:r>
      <w:r w:rsidRPr="00057824">
        <w:rPr>
          <w:rFonts w:ascii="Times New Roman" w:hAnsi="Times New Roman" w:cs="Times New Roman"/>
          <w:sz w:val="24"/>
          <w:szCs w:val="24"/>
        </w:rPr>
        <w:t>0.0001</w:t>
      </w:r>
      <w:r w:rsidR="00057824">
        <w:rPr>
          <w:rFonts w:ascii="Times New Roman" w:hAnsi="Times New Roman" w:cs="Times New Roman"/>
          <w:sz w:val="24"/>
          <w:szCs w:val="24"/>
        </w:rPr>
        <w:t>, б</w:t>
      </w:r>
      <w:r w:rsidRPr="00057824">
        <w:rPr>
          <w:rFonts w:ascii="Times New Roman" w:hAnsi="Times New Roman" w:cs="Times New Roman"/>
          <w:sz w:val="24"/>
          <w:szCs w:val="24"/>
        </w:rPr>
        <w:t>идејќи p-вредноста &lt; α, се отфрла нултата хипотеза (H₀).</w:t>
      </w:r>
    </w:p>
    <w:p w14:paraId="2AC56D86" w14:textId="38FC9B2C" w:rsidR="00412474" w:rsidRPr="00057824" w:rsidRDefault="00412474" w:rsidP="00057824">
      <w:pPr>
        <w:spacing w:after="120" w:line="360" w:lineRule="auto"/>
        <w:ind w:firstLine="720"/>
        <w:jc w:val="both"/>
        <w:rPr>
          <w:rFonts w:ascii="Times New Roman" w:hAnsi="Times New Roman" w:cs="Times New Roman"/>
          <w:sz w:val="24"/>
          <w:szCs w:val="24"/>
        </w:rPr>
      </w:pPr>
      <w:r w:rsidRPr="00057824">
        <w:rPr>
          <w:rFonts w:ascii="Times New Roman" w:hAnsi="Times New Roman" w:cs="Times New Roman"/>
          <w:sz w:val="24"/>
          <w:szCs w:val="24"/>
        </w:rPr>
        <w:t xml:space="preserve">Случајно избраната вредност од популацијата на VKA/DOAC се смета дека е различна од случајно избраната вредност од популацијата на </w:t>
      </w:r>
      <w:r w:rsidR="00057824">
        <w:rPr>
          <w:rFonts w:ascii="Times New Roman" w:hAnsi="Times New Roman" w:cs="Times New Roman"/>
          <w:sz w:val="24"/>
          <w:szCs w:val="24"/>
        </w:rPr>
        <w:t>а</w:t>
      </w:r>
      <w:r w:rsidRPr="00057824">
        <w:rPr>
          <w:rFonts w:ascii="Times New Roman" w:hAnsi="Times New Roman" w:cs="Times New Roman"/>
          <w:sz w:val="24"/>
          <w:szCs w:val="24"/>
        </w:rPr>
        <w:t>спирин.</w:t>
      </w:r>
    </w:p>
    <w:p w14:paraId="20B93402" w14:textId="2A1286AC" w:rsidR="00EC49EB" w:rsidRDefault="00412474" w:rsidP="00057824">
      <w:pPr>
        <w:spacing w:after="120" w:line="360" w:lineRule="auto"/>
        <w:ind w:firstLine="720"/>
        <w:jc w:val="both"/>
        <w:rPr>
          <w:rFonts w:ascii="Times New Roman" w:hAnsi="Times New Roman" w:cs="Times New Roman"/>
          <w:sz w:val="24"/>
          <w:szCs w:val="24"/>
        </w:rPr>
      </w:pPr>
      <w:r w:rsidRPr="00057824">
        <w:rPr>
          <w:rFonts w:ascii="Times New Roman" w:hAnsi="Times New Roman" w:cs="Times New Roman"/>
          <w:sz w:val="24"/>
          <w:szCs w:val="24"/>
        </w:rPr>
        <w:t xml:space="preserve">Со други зборови, разликата помеѓу случајно избраните вредности од популациите на VKA/DOAC и </w:t>
      </w:r>
      <w:r w:rsidR="00943CBC">
        <w:rPr>
          <w:rFonts w:ascii="Times New Roman" w:hAnsi="Times New Roman" w:cs="Times New Roman"/>
          <w:sz w:val="24"/>
          <w:szCs w:val="24"/>
        </w:rPr>
        <w:t>а</w:t>
      </w:r>
      <w:r w:rsidRPr="00057824">
        <w:rPr>
          <w:rFonts w:ascii="Times New Roman" w:hAnsi="Times New Roman" w:cs="Times New Roman"/>
          <w:sz w:val="24"/>
          <w:szCs w:val="24"/>
        </w:rPr>
        <w:t>спирин е доволно голема за да биде статистички значајна и може да се заклучи дека PEB e статистички значајно поголемо во групата на испитаници кои примале VKA/DOAC, во споредба со испитаниците кои примале аспирин</w:t>
      </w:r>
      <w:r w:rsidR="00EC49EB" w:rsidRPr="00057824">
        <w:rPr>
          <w:rFonts w:ascii="Times New Roman" w:hAnsi="Times New Roman" w:cs="Times New Roman"/>
          <w:sz w:val="24"/>
          <w:szCs w:val="24"/>
        </w:rPr>
        <w:t xml:space="preserve"> (графикон бр. 26).</w:t>
      </w:r>
    </w:p>
    <w:p w14:paraId="0F6006EE" w14:textId="6A635276" w:rsidR="00943CBC" w:rsidRPr="00943CBC" w:rsidRDefault="00943CBC" w:rsidP="00943CBC">
      <w:pPr>
        <w:spacing w:after="120" w:line="360" w:lineRule="auto"/>
        <w:jc w:val="center"/>
        <w:rPr>
          <w:rFonts w:ascii="Times New Roman" w:eastAsia="Calibri" w:hAnsi="Times New Roman" w:cs="Times New Roman"/>
          <w:sz w:val="24"/>
          <w:szCs w:val="24"/>
        </w:rPr>
      </w:pPr>
      <w:r w:rsidRPr="00943CBC">
        <w:rPr>
          <w:rFonts w:ascii="Times New Roman" w:eastAsia="Calibri" w:hAnsi="Times New Roman" w:cs="Times New Roman"/>
          <w:sz w:val="24"/>
          <w:szCs w:val="24"/>
        </w:rPr>
        <w:t>Графикон бр. 26</w:t>
      </w:r>
      <w:r>
        <w:rPr>
          <w:rFonts w:ascii="Times New Roman" w:eastAsia="Calibri" w:hAnsi="Times New Roman" w:cs="Times New Roman"/>
          <w:sz w:val="24"/>
          <w:szCs w:val="24"/>
        </w:rPr>
        <w:t>-</w:t>
      </w:r>
      <w:r w:rsidRPr="00943CBC">
        <w:rPr>
          <w:rFonts w:ascii="Times New Roman" w:eastAsia="Calibri" w:hAnsi="Times New Roman" w:cs="Times New Roman"/>
          <w:sz w:val="24"/>
          <w:szCs w:val="24"/>
        </w:rPr>
        <w:t xml:space="preserve"> Приказ на постекстракционото крвавење (PEB) според типот на терапија (VKA/DOAC vs. аспирин)</w:t>
      </w:r>
    </w:p>
    <w:p w14:paraId="57C30272" w14:textId="1561F327" w:rsidR="00412474" w:rsidRPr="00215667" w:rsidRDefault="00EC49EB" w:rsidP="00EC49EB">
      <w:pPr>
        <w:pStyle w:val="p1"/>
        <w:jc w:val="center"/>
      </w:pPr>
      <w:r w:rsidRPr="00215667">
        <w:rPr>
          <w:noProof/>
          <w:lang w:val="en-US" w:eastAsia="en-US"/>
          <w14:ligatures w14:val="standardContextual"/>
        </w:rPr>
        <w:drawing>
          <wp:inline distT="0" distB="0" distL="0" distR="0" wp14:anchorId="22F0ACFE" wp14:editId="3139C0E5">
            <wp:extent cx="5400040" cy="1646555"/>
            <wp:effectExtent l="0" t="0" r="0" b="4445"/>
            <wp:docPr id="9674586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5869" name="Picture 96745869"/>
                    <pic:cNvPicPr/>
                  </pic:nvPicPr>
                  <pic:blipFill>
                    <a:blip r:embed="rId58">
                      <a:extLst>
                        <a:ext uri="{28A0092B-C50C-407E-A947-70E740481C1C}">
                          <a14:useLocalDpi xmlns:a14="http://schemas.microsoft.com/office/drawing/2010/main" val="0"/>
                        </a:ext>
                      </a:extLst>
                    </a:blip>
                    <a:stretch>
                      <a:fillRect/>
                    </a:stretch>
                  </pic:blipFill>
                  <pic:spPr>
                    <a:xfrm>
                      <a:off x="0" y="0"/>
                      <a:ext cx="5400040" cy="1646555"/>
                    </a:xfrm>
                    <a:prstGeom prst="rect">
                      <a:avLst/>
                    </a:prstGeom>
                  </pic:spPr>
                </pic:pic>
              </a:graphicData>
            </a:graphic>
          </wp:inline>
        </w:drawing>
      </w:r>
    </w:p>
    <w:p w14:paraId="6F41BA8F" w14:textId="151455D7" w:rsidR="00412474" w:rsidRPr="00215667" w:rsidRDefault="00EC49EB" w:rsidP="00412474">
      <w:pP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lastRenderedPageBreak/>
        <w:drawing>
          <wp:inline distT="0" distB="0" distL="0" distR="0" wp14:anchorId="482DE24F" wp14:editId="5E287D50">
            <wp:extent cx="5400040" cy="2126615"/>
            <wp:effectExtent l="0" t="0" r="0" b="0"/>
            <wp:docPr id="36619980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199804" name="Picture 366199804"/>
                    <pic:cNvPicPr/>
                  </pic:nvPicPr>
                  <pic:blipFill>
                    <a:blip r:embed="rId59">
                      <a:extLst>
                        <a:ext uri="{28A0092B-C50C-407E-A947-70E740481C1C}">
                          <a14:useLocalDpi xmlns:a14="http://schemas.microsoft.com/office/drawing/2010/main" val="0"/>
                        </a:ext>
                      </a:extLst>
                    </a:blip>
                    <a:stretch>
                      <a:fillRect/>
                    </a:stretch>
                  </pic:blipFill>
                  <pic:spPr>
                    <a:xfrm>
                      <a:off x="0" y="0"/>
                      <a:ext cx="5400040" cy="2126615"/>
                    </a:xfrm>
                    <a:prstGeom prst="rect">
                      <a:avLst/>
                    </a:prstGeom>
                  </pic:spPr>
                </pic:pic>
              </a:graphicData>
            </a:graphic>
          </wp:inline>
        </w:drawing>
      </w:r>
    </w:p>
    <w:p w14:paraId="51917B15" w14:textId="77777777" w:rsidR="00EC49EB" w:rsidRPr="00215667" w:rsidRDefault="00EC49EB" w:rsidP="00412474">
      <w:pPr>
        <w:spacing w:line="240" w:lineRule="auto"/>
        <w:rPr>
          <w:rFonts w:ascii="Times New Roman" w:hAnsi="Times New Roman" w:cs="Times New Roman"/>
          <w:b/>
          <w:bCs/>
          <w:sz w:val="24"/>
          <w:szCs w:val="24"/>
        </w:rPr>
      </w:pPr>
    </w:p>
    <w:p w14:paraId="479F04CC" w14:textId="2A8BD5B0"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t>Споредба со здрави пациенти</w:t>
      </w:r>
    </w:p>
    <w:p w14:paraId="16681FA0" w14:textId="77777777" w:rsidR="00943CBC" w:rsidRDefault="00943CBC" w:rsidP="00943CBC">
      <w:pPr>
        <w:spacing w:after="120" w:line="360" w:lineRule="auto"/>
        <w:ind w:firstLine="720"/>
        <w:jc w:val="both"/>
        <w:rPr>
          <w:rFonts w:ascii="Times New Roman" w:hAnsi="Times New Roman" w:cs="Times New Roman"/>
          <w:sz w:val="24"/>
          <w:szCs w:val="24"/>
        </w:rPr>
      </w:pPr>
    </w:p>
    <w:p w14:paraId="09F1FB97" w14:textId="3391F95E" w:rsidR="00412474" w:rsidRPr="00943CBC" w:rsidRDefault="00412474" w:rsidP="00943CBC">
      <w:pPr>
        <w:spacing w:after="120" w:line="360" w:lineRule="auto"/>
        <w:ind w:firstLine="720"/>
        <w:jc w:val="both"/>
        <w:rPr>
          <w:rFonts w:ascii="Times New Roman" w:hAnsi="Times New Roman" w:cs="Times New Roman"/>
          <w:sz w:val="24"/>
          <w:szCs w:val="24"/>
        </w:rPr>
      </w:pPr>
      <w:r w:rsidRPr="00943CBC">
        <w:rPr>
          <w:rFonts w:ascii="Times New Roman" w:hAnsi="Times New Roman" w:cs="Times New Roman"/>
          <w:sz w:val="24"/>
          <w:szCs w:val="24"/>
        </w:rPr>
        <w:t>Анализа на PEB кај сите пациенти кои примаат антикоагулантна и антиагрегациона терапија споредено со здрави пациенти</w:t>
      </w:r>
      <w:r w:rsidR="00943CBC">
        <w:rPr>
          <w:rFonts w:ascii="Times New Roman" w:hAnsi="Times New Roman" w:cs="Times New Roman"/>
          <w:sz w:val="24"/>
          <w:szCs w:val="24"/>
        </w:rPr>
        <w:t>.</w:t>
      </w:r>
    </w:p>
    <w:p w14:paraId="234D8AD3" w14:textId="0218667D" w:rsidR="00412474" w:rsidRPr="00943CBC" w:rsidRDefault="00412474" w:rsidP="00943CBC">
      <w:pPr>
        <w:spacing w:after="120" w:line="360" w:lineRule="auto"/>
        <w:ind w:firstLine="720"/>
        <w:jc w:val="both"/>
        <w:rPr>
          <w:rFonts w:ascii="Times New Roman" w:hAnsi="Times New Roman" w:cs="Times New Roman"/>
          <w:sz w:val="24"/>
          <w:szCs w:val="24"/>
        </w:rPr>
      </w:pPr>
      <w:r w:rsidRPr="00943CBC">
        <w:rPr>
          <w:rFonts w:ascii="Times New Roman" w:hAnsi="Times New Roman" w:cs="Times New Roman"/>
          <w:sz w:val="24"/>
          <w:szCs w:val="24"/>
        </w:rPr>
        <w:t xml:space="preserve">Со </w:t>
      </w:r>
      <w:r w:rsidRPr="00943CBC">
        <w:rPr>
          <w:rFonts w:ascii="Times New Roman" w:hAnsi="Times New Roman" w:cs="Times New Roman"/>
          <w:i/>
          <w:iCs/>
          <w:sz w:val="24"/>
          <w:szCs w:val="24"/>
        </w:rPr>
        <w:t>Mann-Whitney U</w:t>
      </w:r>
      <w:r w:rsidRPr="00943CBC">
        <w:rPr>
          <w:rFonts w:ascii="Times New Roman" w:hAnsi="Times New Roman" w:cs="Times New Roman"/>
          <w:sz w:val="24"/>
          <w:szCs w:val="24"/>
        </w:rPr>
        <w:t xml:space="preserve"> тестот беше анализирана разликата во постекстракционото крвавење (PEB) помеѓу испитаници кои се на орална антикоагулантна терапија (OAT) и здрави испитаници. Добиената p-вредност изнесува 0.000001176 (p(x ≤ Z) = 1), што значи дека веројатноста да се направи грешка од тип I, односно да се отфрли точна нулта хипотеза, е исклучително мала (0.00012</w:t>
      </w:r>
      <w:r w:rsidR="00943CBC">
        <w:rPr>
          <w:rFonts w:ascii="Times New Roman" w:hAnsi="Times New Roman" w:cs="Times New Roman"/>
          <w:sz w:val="24"/>
          <w:szCs w:val="24"/>
        </w:rPr>
        <w:t xml:space="preserve"> </w:t>
      </w:r>
      <w:r w:rsidRPr="00943CBC">
        <w:rPr>
          <w:rFonts w:ascii="Times New Roman" w:hAnsi="Times New Roman" w:cs="Times New Roman"/>
          <w:sz w:val="24"/>
          <w:szCs w:val="24"/>
        </w:rPr>
        <w:t>%).</w:t>
      </w:r>
    </w:p>
    <w:p w14:paraId="70D3989E" w14:textId="7D208CFE" w:rsidR="00412474" w:rsidRPr="00943CBC" w:rsidRDefault="00412474" w:rsidP="00943CBC">
      <w:pPr>
        <w:spacing w:after="120" w:line="360" w:lineRule="auto"/>
        <w:ind w:firstLine="720"/>
        <w:jc w:val="both"/>
        <w:rPr>
          <w:rFonts w:ascii="Times New Roman" w:hAnsi="Times New Roman" w:cs="Times New Roman"/>
          <w:sz w:val="24"/>
          <w:szCs w:val="24"/>
        </w:rPr>
      </w:pPr>
      <w:r w:rsidRPr="00943CBC">
        <w:rPr>
          <w:rFonts w:ascii="Times New Roman" w:hAnsi="Times New Roman" w:cs="Times New Roman"/>
          <w:sz w:val="24"/>
          <w:szCs w:val="24"/>
        </w:rPr>
        <w:t>Статистиката на тестот Z изнесува 4.8596, што не спаѓа во 95</w:t>
      </w:r>
      <w:r w:rsidR="00943CBC">
        <w:rPr>
          <w:rFonts w:ascii="Times New Roman" w:hAnsi="Times New Roman" w:cs="Times New Roman"/>
          <w:sz w:val="24"/>
          <w:szCs w:val="24"/>
        </w:rPr>
        <w:t xml:space="preserve"> </w:t>
      </w:r>
      <w:r w:rsidRPr="00943CBC">
        <w:rPr>
          <w:rFonts w:ascii="Times New Roman" w:hAnsi="Times New Roman" w:cs="Times New Roman"/>
          <w:sz w:val="24"/>
          <w:szCs w:val="24"/>
        </w:rPr>
        <w:t>% интервал на прифаќање ([-1.96 : 1.96]), а истото важи и за U-вредноста (U = 8124), која се наоѓа надвор од интервалот на прифаќање ([5031.292 : 6808.708]).</w:t>
      </w:r>
    </w:p>
    <w:p w14:paraId="0092C8AF" w14:textId="6B9BEFF9" w:rsidR="00412474" w:rsidRDefault="00412474" w:rsidP="00943CBC">
      <w:pPr>
        <w:spacing w:after="120" w:line="360" w:lineRule="auto"/>
        <w:ind w:firstLine="720"/>
        <w:jc w:val="both"/>
        <w:rPr>
          <w:rFonts w:ascii="Times New Roman" w:hAnsi="Times New Roman" w:cs="Times New Roman"/>
          <w:sz w:val="24"/>
          <w:szCs w:val="24"/>
        </w:rPr>
      </w:pPr>
      <w:r w:rsidRPr="00943CBC">
        <w:rPr>
          <w:rFonts w:ascii="Times New Roman" w:hAnsi="Times New Roman" w:cs="Times New Roman"/>
          <w:sz w:val="24"/>
          <w:szCs w:val="24"/>
        </w:rPr>
        <w:t>Бидејќи p &lt; α, се отфрла нултата хипотеза (H₀). Тоа значи дека постои статистички значајна разлика помеѓу вредностите на PEB кај пациенти со OAT и кај здрави испитаници</w:t>
      </w:r>
      <w:r w:rsidR="00EC49EB" w:rsidRPr="00943CBC">
        <w:rPr>
          <w:rFonts w:ascii="Times New Roman" w:hAnsi="Times New Roman" w:cs="Times New Roman"/>
          <w:sz w:val="24"/>
          <w:szCs w:val="24"/>
        </w:rPr>
        <w:t xml:space="preserve"> (графикон бр. 27).</w:t>
      </w:r>
    </w:p>
    <w:p w14:paraId="0503D7EE" w14:textId="77777777" w:rsidR="00943CBC" w:rsidRDefault="00943CBC" w:rsidP="00943CBC">
      <w:pPr>
        <w:spacing w:after="120" w:line="360" w:lineRule="auto"/>
        <w:ind w:firstLine="720"/>
        <w:jc w:val="both"/>
        <w:rPr>
          <w:rFonts w:ascii="Times New Roman" w:hAnsi="Times New Roman" w:cs="Times New Roman"/>
          <w:sz w:val="24"/>
          <w:szCs w:val="24"/>
        </w:rPr>
      </w:pPr>
    </w:p>
    <w:p w14:paraId="57D6A64A" w14:textId="77777777" w:rsidR="00943CBC" w:rsidRDefault="00943CBC" w:rsidP="00943CBC">
      <w:pPr>
        <w:spacing w:after="120" w:line="360" w:lineRule="auto"/>
        <w:ind w:firstLine="720"/>
        <w:jc w:val="both"/>
        <w:rPr>
          <w:rFonts w:ascii="Times New Roman" w:hAnsi="Times New Roman" w:cs="Times New Roman"/>
          <w:sz w:val="24"/>
          <w:szCs w:val="24"/>
        </w:rPr>
      </w:pPr>
    </w:p>
    <w:p w14:paraId="4D70EFC5" w14:textId="77777777" w:rsidR="00943CBC" w:rsidRDefault="00943CBC" w:rsidP="00943CBC">
      <w:pPr>
        <w:spacing w:after="120" w:line="360" w:lineRule="auto"/>
        <w:ind w:firstLine="720"/>
        <w:jc w:val="both"/>
        <w:rPr>
          <w:rFonts w:ascii="Times New Roman" w:hAnsi="Times New Roman" w:cs="Times New Roman"/>
          <w:sz w:val="24"/>
          <w:szCs w:val="24"/>
        </w:rPr>
      </w:pPr>
    </w:p>
    <w:p w14:paraId="4588311F" w14:textId="77777777" w:rsidR="00943CBC" w:rsidRDefault="00943CBC" w:rsidP="00943CBC">
      <w:pPr>
        <w:spacing w:after="120" w:line="360" w:lineRule="auto"/>
        <w:ind w:firstLine="720"/>
        <w:jc w:val="both"/>
        <w:rPr>
          <w:rFonts w:ascii="Times New Roman" w:hAnsi="Times New Roman" w:cs="Times New Roman"/>
          <w:sz w:val="24"/>
          <w:szCs w:val="24"/>
        </w:rPr>
      </w:pPr>
    </w:p>
    <w:p w14:paraId="492A6C11" w14:textId="6E17538F" w:rsidR="00943CBC" w:rsidRPr="00943CBC" w:rsidRDefault="00943CBC" w:rsidP="00943CBC">
      <w:pPr>
        <w:spacing w:after="120" w:line="360" w:lineRule="auto"/>
        <w:jc w:val="center"/>
        <w:rPr>
          <w:rFonts w:ascii="Times New Roman" w:eastAsia="Calibri" w:hAnsi="Times New Roman" w:cs="Times New Roman"/>
          <w:sz w:val="24"/>
          <w:szCs w:val="24"/>
        </w:rPr>
      </w:pPr>
      <w:r w:rsidRPr="00943CBC">
        <w:rPr>
          <w:rFonts w:ascii="Times New Roman" w:eastAsia="Calibri" w:hAnsi="Times New Roman" w:cs="Times New Roman"/>
          <w:sz w:val="24"/>
          <w:szCs w:val="24"/>
        </w:rPr>
        <w:lastRenderedPageBreak/>
        <w:t>Графикон бр. 27</w:t>
      </w:r>
      <w:r>
        <w:rPr>
          <w:rFonts w:ascii="Times New Roman" w:eastAsia="Calibri" w:hAnsi="Times New Roman" w:cs="Times New Roman"/>
          <w:sz w:val="24"/>
          <w:szCs w:val="24"/>
        </w:rPr>
        <w:t>-</w:t>
      </w:r>
      <w:r w:rsidRPr="00943CBC">
        <w:rPr>
          <w:rFonts w:ascii="Times New Roman" w:eastAsia="Calibri" w:hAnsi="Times New Roman" w:cs="Times New Roman"/>
          <w:sz w:val="24"/>
          <w:szCs w:val="24"/>
        </w:rPr>
        <w:t xml:space="preserve"> Споредба на постекстракционото крвавење (PEB) кај испитаниците кои примаат антикоагулантна и антиагрегациона терапија (VKA/DOAC и аспирин) со здрави испитаници (контролна група)</w:t>
      </w:r>
    </w:p>
    <w:p w14:paraId="1A29889D" w14:textId="77777777" w:rsidR="00412474" w:rsidRPr="00215667" w:rsidRDefault="00412474" w:rsidP="00412474">
      <w:pPr>
        <w:pStyle w:val="p1"/>
        <w:jc w:val="center"/>
      </w:pPr>
      <w:r w:rsidRPr="00215667">
        <w:rPr>
          <w:noProof/>
          <w:lang w:val="en-US" w:eastAsia="en-US"/>
          <w14:ligatures w14:val="standardContextual"/>
        </w:rPr>
        <w:drawing>
          <wp:inline distT="0" distB="0" distL="0" distR="0" wp14:anchorId="0091293A" wp14:editId="5BE73C22">
            <wp:extent cx="975151" cy="1458986"/>
            <wp:effectExtent l="0" t="0" r="3175" b="1905"/>
            <wp:docPr id="2097595099" name="Picture 174"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595099" name="Picture 174" descr="A graph of a normal distribution&#10;&#10;AI-generated content may be incorrect."/>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10522" cy="1511907"/>
                    </a:xfrm>
                    <a:prstGeom prst="rect">
                      <a:avLst/>
                    </a:prstGeom>
                  </pic:spPr>
                </pic:pic>
              </a:graphicData>
            </a:graphic>
          </wp:inline>
        </w:drawing>
      </w:r>
      <w:r w:rsidRPr="00215667">
        <w:rPr>
          <w:noProof/>
          <w:lang w:val="en-US" w:eastAsia="en-US"/>
          <w14:ligatures w14:val="standardContextual"/>
        </w:rPr>
        <w:drawing>
          <wp:inline distT="0" distB="0" distL="0" distR="0" wp14:anchorId="50FAC8AE" wp14:editId="3FF1A8D5">
            <wp:extent cx="4123592" cy="1379541"/>
            <wp:effectExtent l="0" t="0" r="4445" b="5080"/>
            <wp:docPr id="1436288176" name="Picture 175" descr="A graph with blue and orang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288176" name="Picture 175" descr="A graph with blue and orange squares&#10;&#10;AI-generated content may be incorrect."/>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72986" cy="1396066"/>
                    </a:xfrm>
                    <a:prstGeom prst="rect">
                      <a:avLst/>
                    </a:prstGeom>
                  </pic:spPr>
                </pic:pic>
              </a:graphicData>
            </a:graphic>
          </wp:inline>
        </w:drawing>
      </w:r>
    </w:p>
    <w:p w14:paraId="466ABADD" w14:textId="77777777" w:rsidR="00412474" w:rsidRPr="00215667" w:rsidRDefault="00412474" w:rsidP="00412474">
      <w:pPr>
        <w:pStyle w:val="p1"/>
        <w:jc w:val="center"/>
      </w:pPr>
      <w:r w:rsidRPr="00215667">
        <w:rPr>
          <w:noProof/>
          <w:lang w:val="en-US" w:eastAsia="en-US"/>
          <w14:ligatures w14:val="standardContextual"/>
        </w:rPr>
        <w:drawing>
          <wp:inline distT="0" distB="0" distL="0" distR="0" wp14:anchorId="34E6C341" wp14:editId="13DD6038">
            <wp:extent cx="5400040" cy="1941830"/>
            <wp:effectExtent l="0" t="0" r="0" b="1270"/>
            <wp:docPr id="1271226157" name="Picture 176"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226157" name="Picture 176" descr="A graph of a number of people&#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5400040" cy="1941830"/>
                    </a:xfrm>
                    <a:prstGeom prst="rect">
                      <a:avLst/>
                    </a:prstGeom>
                  </pic:spPr>
                </pic:pic>
              </a:graphicData>
            </a:graphic>
          </wp:inline>
        </w:drawing>
      </w:r>
    </w:p>
    <w:p w14:paraId="078F8EBC" w14:textId="77777777" w:rsidR="00412474" w:rsidRPr="00215667" w:rsidRDefault="00412474" w:rsidP="00412474">
      <w:pPr>
        <w:spacing w:line="240" w:lineRule="auto"/>
        <w:rPr>
          <w:rFonts w:ascii="Times New Roman" w:hAnsi="Times New Roman" w:cs="Times New Roman"/>
          <w:b/>
          <w:bCs/>
          <w:sz w:val="24"/>
          <w:szCs w:val="24"/>
        </w:rPr>
      </w:pPr>
    </w:p>
    <w:p w14:paraId="29638762" w14:textId="77777777"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t>VKA/DOAC vs. здрави испитаници</w:t>
      </w:r>
    </w:p>
    <w:p w14:paraId="6A4D8035" w14:textId="77777777" w:rsidR="00412474" w:rsidRPr="00215667" w:rsidRDefault="00412474" w:rsidP="00412474">
      <w:pPr>
        <w:spacing w:line="240" w:lineRule="auto"/>
        <w:rPr>
          <w:rFonts w:ascii="Times New Roman" w:hAnsi="Times New Roman" w:cs="Times New Roman"/>
          <w:b/>
          <w:bCs/>
          <w:sz w:val="24"/>
          <w:szCs w:val="24"/>
        </w:rPr>
      </w:pPr>
    </w:p>
    <w:p w14:paraId="3A3C67A4" w14:textId="0866590E" w:rsidR="00412474" w:rsidRPr="00943CBC" w:rsidRDefault="00412474" w:rsidP="00943CBC">
      <w:pPr>
        <w:spacing w:after="120" w:line="360" w:lineRule="auto"/>
        <w:ind w:firstLine="720"/>
        <w:jc w:val="both"/>
        <w:rPr>
          <w:rFonts w:ascii="Times New Roman" w:hAnsi="Times New Roman" w:cs="Times New Roman"/>
          <w:sz w:val="24"/>
          <w:szCs w:val="24"/>
        </w:rPr>
      </w:pPr>
      <w:r w:rsidRPr="00943CBC">
        <w:rPr>
          <w:rFonts w:ascii="Times New Roman" w:hAnsi="Times New Roman" w:cs="Times New Roman"/>
          <w:i/>
          <w:iCs/>
          <w:sz w:val="24"/>
          <w:szCs w:val="24"/>
        </w:rPr>
        <w:t>Mann-Whitney U</w:t>
      </w:r>
      <w:r w:rsidRPr="00943CBC">
        <w:rPr>
          <w:rFonts w:ascii="Times New Roman" w:hAnsi="Times New Roman" w:cs="Times New Roman"/>
          <w:sz w:val="24"/>
          <w:szCs w:val="24"/>
        </w:rPr>
        <w:t xml:space="preserve"> тестот покажа дека p-вредноста изнесува 1.953e⁻⁹ (p(x ≤ Z) = 1), што значи дека веројатноста за грешка од тип I, односно одбивање на точна нулта хипотеза (H₀), е исклучително мала: 0.0000001953 или 0.00001953%.Z статистиката изнесува 6.0017, што не се наоѓа во 95</w:t>
      </w:r>
      <w:r w:rsidR="00943CBC">
        <w:rPr>
          <w:rFonts w:ascii="Times New Roman" w:hAnsi="Times New Roman" w:cs="Times New Roman"/>
          <w:sz w:val="24"/>
          <w:szCs w:val="24"/>
        </w:rPr>
        <w:t xml:space="preserve"> </w:t>
      </w:r>
      <w:r w:rsidRPr="00943CBC">
        <w:rPr>
          <w:rFonts w:ascii="Times New Roman" w:hAnsi="Times New Roman" w:cs="Times New Roman"/>
          <w:sz w:val="24"/>
          <w:szCs w:val="24"/>
        </w:rPr>
        <w:t>% регионот на прифаќање: [-1.96 : 1.96]. Исто така, и U-вредноста (U = 4938.5) е надвор од интервалот на прифаќање: [2717.325 : 3810.675].</w:t>
      </w:r>
      <w:r w:rsidR="00943CBC">
        <w:rPr>
          <w:rFonts w:ascii="Times New Roman" w:hAnsi="Times New Roman" w:cs="Times New Roman"/>
          <w:sz w:val="24"/>
          <w:szCs w:val="24"/>
        </w:rPr>
        <w:t xml:space="preserve"> </w:t>
      </w:r>
      <w:r w:rsidRPr="00943CBC">
        <w:rPr>
          <w:rFonts w:ascii="Times New Roman" w:hAnsi="Times New Roman" w:cs="Times New Roman"/>
          <w:sz w:val="24"/>
          <w:szCs w:val="24"/>
        </w:rPr>
        <w:t>Бидејќи p &lt; α (вообичаено α = 0.05), се отфрла нултата хипотеза (H₀).</w:t>
      </w:r>
    </w:p>
    <w:p w14:paraId="3A60D81E" w14:textId="345E8A18" w:rsidR="00412474" w:rsidRDefault="00412474" w:rsidP="00943CBC">
      <w:pPr>
        <w:spacing w:after="120" w:line="360" w:lineRule="auto"/>
        <w:ind w:firstLine="720"/>
        <w:jc w:val="both"/>
        <w:rPr>
          <w:rFonts w:ascii="Times New Roman" w:hAnsi="Times New Roman" w:cs="Times New Roman"/>
          <w:sz w:val="24"/>
          <w:szCs w:val="24"/>
        </w:rPr>
      </w:pPr>
      <w:r w:rsidRPr="00943CBC">
        <w:rPr>
          <w:rFonts w:ascii="Times New Roman" w:hAnsi="Times New Roman" w:cs="Times New Roman"/>
          <w:sz w:val="24"/>
          <w:szCs w:val="24"/>
        </w:rPr>
        <w:t>Со други зборови, се смета дека случајно избраната вредност на PEB кај популацијата што прима VKA/DOAC се разликува од случајно избраната вредност на PEB кај популацијата на здрави испитаници</w:t>
      </w:r>
      <w:r w:rsidR="00EC49EB" w:rsidRPr="00943CBC">
        <w:rPr>
          <w:rFonts w:ascii="Times New Roman" w:hAnsi="Times New Roman" w:cs="Times New Roman"/>
          <w:sz w:val="24"/>
          <w:szCs w:val="24"/>
        </w:rPr>
        <w:t xml:space="preserve"> (графикон бр. 28).</w:t>
      </w:r>
    </w:p>
    <w:p w14:paraId="1E97F819" w14:textId="77777777" w:rsidR="00943CBC" w:rsidRDefault="00943CBC" w:rsidP="00943CBC">
      <w:pPr>
        <w:spacing w:after="120" w:line="360" w:lineRule="auto"/>
        <w:ind w:firstLine="720"/>
        <w:jc w:val="both"/>
        <w:rPr>
          <w:rFonts w:ascii="Times New Roman" w:hAnsi="Times New Roman" w:cs="Times New Roman"/>
          <w:sz w:val="24"/>
          <w:szCs w:val="24"/>
        </w:rPr>
      </w:pPr>
    </w:p>
    <w:p w14:paraId="73DA92E2" w14:textId="7298AA10" w:rsidR="00943CBC" w:rsidRPr="00943CBC" w:rsidRDefault="00943CBC" w:rsidP="00943CBC">
      <w:pPr>
        <w:spacing w:after="120" w:line="360" w:lineRule="auto"/>
        <w:jc w:val="center"/>
        <w:rPr>
          <w:rFonts w:ascii="Times New Roman" w:eastAsia="Calibri" w:hAnsi="Times New Roman" w:cs="Times New Roman"/>
          <w:sz w:val="24"/>
          <w:szCs w:val="24"/>
        </w:rPr>
      </w:pPr>
      <w:r w:rsidRPr="00943CBC">
        <w:rPr>
          <w:rFonts w:ascii="Times New Roman" w:eastAsia="Calibri" w:hAnsi="Times New Roman" w:cs="Times New Roman"/>
          <w:sz w:val="24"/>
          <w:szCs w:val="24"/>
        </w:rPr>
        <w:lastRenderedPageBreak/>
        <w:t>Графикон бр. 28</w:t>
      </w:r>
      <w:r>
        <w:rPr>
          <w:rFonts w:ascii="Times New Roman" w:eastAsia="Calibri" w:hAnsi="Times New Roman" w:cs="Times New Roman"/>
          <w:sz w:val="24"/>
          <w:szCs w:val="24"/>
        </w:rPr>
        <w:t>-</w:t>
      </w:r>
      <w:r w:rsidRPr="00943CBC">
        <w:rPr>
          <w:rFonts w:ascii="Times New Roman" w:eastAsia="Calibri" w:hAnsi="Times New Roman" w:cs="Times New Roman"/>
          <w:sz w:val="24"/>
          <w:szCs w:val="24"/>
        </w:rPr>
        <w:t xml:space="preserve"> Споредба на постекстракционото крвавење (PEB) кај испитаниците кои примаат VKA/DOAC со здрави испитаници (контролна група)</w:t>
      </w:r>
    </w:p>
    <w:p w14:paraId="304FD310" w14:textId="77777777" w:rsidR="00412474" w:rsidRPr="00215667" w:rsidRDefault="00412474" w:rsidP="00412474">
      <w:pPr>
        <w:pStyle w:val="p1"/>
        <w:jc w:val="center"/>
      </w:pPr>
      <w:r w:rsidRPr="00215667">
        <w:rPr>
          <w:noProof/>
          <w:lang w:val="en-US" w:eastAsia="en-US"/>
          <w14:ligatures w14:val="standardContextual"/>
        </w:rPr>
        <w:drawing>
          <wp:inline distT="0" distB="0" distL="0" distR="0" wp14:anchorId="2EC10263" wp14:editId="3D8552BA">
            <wp:extent cx="980441" cy="1420686"/>
            <wp:effectExtent l="0" t="0" r="0" b="1905"/>
            <wp:docPr id="1571437308" name="Picture 177"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437308" name="Picture 177" descr="A graph of a normal distribution&#10;&#10;AI-generated content may be incorrect."/>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000094" cy="1449164"/>
                    </a:xfrm>
                    <a:prstGeom prst="rect">
                      <a:avLst/>
                    </a:prstGeom>
                  </pic:spPr>
                </pic:pic>
              </a:graphicData>
            </a:graphic>
          </wp:inline>
        </w:drawing>
      </w:r>
      <w:r w:rsidRPr="00215667">
        <w:rPr>
          <w:noProof/>
          <w:lang w:val="en-US" w:eastAsia="en-US"/>
          <w14:ligatures w14:val="standardContextual"/>
        </w:rPr>
        <w:drawing>
          <wp:inline distT="0" distB="0" distL="0" distR="0" wp14:anchorId="3EC37D57" wp14:editId="6CAC4F4A">
            <wp:extent cx="4284628" cy="1419812"/>
            <wp:effectExtent l="0" t="0" r="0" b="3175"/>
            <wp:docPr id="1739945318" name="Picture 178" descr="A graph with blue and orang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945318" name="Picture 178" descr="A graph with blue and orange squares&#10;&#10;AI-generated content may be incorrect."/>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347302" cy="1440581"/>
                    </a:xfrm>
                    <a:prstGeom prst="rect">
                      <a:avLst/>
                    </a:prstGeom>
                  </pic:spPr>
                </pic:pic>
              </a:graphicData>
            </a:graphic>
          </wp:inline>
        </w:drawing>
      </w:r>
    </w:p>
    <w:p w14:paraId="0160D054" w14:textId="77777777" w:rsidR="00412474" w:rsidRPr="00215667" w:rsidRDefault="00412474" w:rsidP="00412474">
      <w:pPr>
        <w:rPr>
          <w:rFonts w:ascii="Times New Roman" w:hAnsi="Times New Roman" w:cs="Times New Roman"/>
          <w:b/>
          <w:bCs/>
          <w:sz w:val="24"/>
          <w:szCs w:val="24"/>
        </w:rPr>
      </w:pPr>
      <w:r w:rsidRPr="00215667">
        <w:rPr>
          <w:rFonts w:ascii="Times New Roman" w:hAnsi="Times New Roman" w:cs="Times New Roman"/>
          <w:noProof/>
          <w:sz w:val="24"/>
          <w:szCs w:val="24"/>
          <w:lang w:val="en-US"/>
          <w14:ligatures w14:val="standardContextual"/>
        </w:rPr>
        <w:drawing>
          <wp:inline distT="0" distB="0" distL="0" distR="0" wp14:anchorId="296ABE2C" wp14:editId="7F0E7439">
            <wp:extent cx="5400040" cy="1905000"/>
            <wp:effectExtent l="0" t="0" r="0" b="0"/>
            <wp:docPr id="137612493" name="Picture 179"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12493" name="Picture 179" descr="A graph of a bar graph&#10;&#10;AI-generated content may be incorrect."/>
                    <pic:cNvPicPr/>
                  </pic:nvPicPr>
                  <pic:blipFill>
                    <a:blip r:embed="rId65">
                      <a:extLst>
                        <a:ext uri="{28A0092B-C50C-407E-A947-70E740481C1C}">
                          <a14:useLocalDpi xmlns:a14="http://schemas.microsoft.com/office/drawing/2010/main" val="0"/>
                        </a:ext>
                      </a:extLst>
                    </a:blip>
                    <a:stretch>
                      <a:fillRect/>
                    </a:stretch>
                  </pic:blipFill>
                  <pic:spPr>
                    <a:xfrm>
                      <a:off x="0" y="0"/>
                      <a:ext cx="5400040" cy="1905000"/>
                    </a:xfrm>
                    <a:prstGeom prst="rect">
                      <a:avLst/>
                    </a:prstGeom>
                  </pic:spPr>
                </pic:pic>
              </a:graphicData>
            </a:graphic>
          </wp:inline>
        </w:drawing>
      </w:r>
    </w:p>
    <w:p w14:paraId="7A24CCE0" w14:textId="77777777" w:rsidR="00412474" w:rsidRPr="00215667" w:rsidRDefault="00412474" w:rsidP="00412474">
      <w:pPr>
        <w:rPr>
          <w:rFonts w:ascii="Times New Roman" w:hAnsi="Times New Roman" w:cs="Times New Roman"/>
          <w:b/>
          <w:bCs/>
          <w:sz w:val="24"/>
          <w:szCs w:val="24"/>
        </w:rPr>
      </w:pPr>
    </w:p>
    <w:p w14:paraId="70D4AD93" w14:textId="77777777"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t xml:space="preserve">Влијание на прекинување на ОАТ врз PEB </w:t>
      </w:r>
    </w:p>
    <w:p w14:paraId="652CEFE1" w14:textId="77777777" w:rsidR="00943CBC" w:rsidRDefault="00943CBC" w:rsidP="00943CBC">
      <w:pPr>
        <w:spacing w:after="120" w:line="360" w:lineRule="auto"/>
        <w:jc w:val="both"/>
        <w:rPr>
          <w:rFonts w:ascii="Times New Roman" w:hAnsi="Times New Roman" w:cs="Times New Roman"/>
          <w:sz w:val="24"/>
          <w:szCs w:val="24"/>
        </w:rPr>
      </w:pPr>
    </w:p>
    <w:p w14:paraId="2BA6283E" w14:textId="3EA28344" w:rsidR="00EC49EB" w:rsidRDefault="00412474" w:rsidP="00943CBC">
      <w:pPr>
        <w:spacing w:after="120" w:line="360" w:lineRule="auto"/>
        <w:ind w:firstLine="720"/>
        <w:jc w:val="both"/>
        <w:rPr>
          <w:rFonts w:ascii="Times New Roman" w:hAnsi="Times New Roman" w:cs="Times New Roman"/>
          <w:sz w:val="24"/>
          <w:szCs w:val="24"/>
        </w:rPr>
      </w:pPr>
      <w:r w:rsidRPr="00943CBC">
        <w:rPr>
          <w:rFonts w:ascii="Times New Roman" w:hAnsi="Times New Roman" w:cs="Times New Roman"/>
          <w:sz w:val="24"/>
          <w:szCs w:val="24"/>
        </w:rPr>
        <w:t>Анализата на прекинувањето на оралната антикоагулантна/</w:t>
      </w:r>
      <w:r w:rsidR="00943CBC">
        <w:rPr>
          <w:rFonts w:ascii="Times New Roman" w:hAnsi="Times New Roman" w:cs="Times New Roman"/>
          <w:sz w:val="24"/>
          <w:szCs w:val="24"/>
        </w:rPr>
        <w:t xml:space="preserve"> </w:t>
      </w:r>
      <w:r w:rsidRPr="00943CBC">
        <w:rPr>
          <w:rFonts w:ascii="Times New Roman" w:hAnsi="Times New Roman" w:cs="Times New Roman"/>
          <w:sz w:val="24"/>
          <w:szCs w:val="24"/>
        </w:rPr>
        <w:t xml:space="preserve">антиагрегациона терапија врз вредностите на PEB со </w:t>
      </w:r>
      <w:r w:rsidRPr="00943CBC">
        <w:rPr>
          <w:rFonts w:ascii="Times New Roman" w:hAnsi="Times New Roman" w:cs="Times New Roman"/>
          <w:i/>
          <w:iCs/>
          <w:sz w:val="24"/>
          <w:szCs w:val="24"/>
        </w:rPr>
        <w:t>Mann-Whitney U</w:t>
      </w:r>
      <w:r w:rsidRPr="00943CBC">
        <w:rPr>
          <w:rFonts w:ascii="Times New Roman" w:hAnsi="Times New Roman" w:cs="Times New Roman"/>
          <w:sz w:val="24"/>
          <w:szCs w:val="24"/>
        </w:rPr>
        <w:t xml:space="preserve"> тест даде вредност на p</w:t>
      </w:r>
      <w:r w:rsidR="00943CBC">
        <w:rPr>
          <w:rFonts w:ascii="Times New Roman" w:hAnsi="Times New Roman" w:cs="Times New Roman"/>
          <w:sz w:val="24"/>
          <w:szCs w:val="24"/>
        </w:rPr>
        <w:t xml:space="preserve"> </w:t>
      </w:r>
      <w:r w:rsidRPr="00943CBC">
        <w:rPr>
          <w:rFonts w:ascii="Times New Roman" w:hAnsi="Times New Roman" w:cs="Times New Roman"/>
          <w:sz w:val="24"/>
          <w:szCs w:val="24"/>
        </w:rPr>
        <w:t>&lt;</w:t>
      </w:r>
      <w:r w:rsidR="00943CBC">
        <w:rPr>
          <w:rFonts w:ascii="Times New Roman" w:hAnsi="Times New Roman" w:cs="Times New Roman"/>
          <w:sz w:val="24"/>
          <w:szCs w:val="24"/>
        </w:rPr>
        <w:t xml:space="preserve"> </w:t>
      </w:r>
      <w:r w:rsidRPr="00943CBC">
        <w:rPr>
          <w:rFonts w:ascii="Times New Roman" w:hAnsi="Times New Roman" w:cs="Times New Roman"/>
          <w:sz w:val="24"/>
          <w:szCs w:val="24"/>
        </w:rPr>
        <w:t xml:space="preserve">0.0001. Бидејќи p-вредноста &lt; α, се отфрла нултата хипотеза (H₀). Случајно избраната вредност од популацијата на </w:t>
      </w:r>
      <w:r w:rsidR="00943CBC">
        <w:rPr>
          <w:rFonts w:ascii="Times New Roman" w:hAnsi="Times New Roman" w:cs="Times New Roman"/>
          <w:sz w:val="24"/>
          <w:szCs w:val="24"/>
        </w:rPr>
        <w:t>н</w:t>
      </w:r>
      <w:r w:rsidRPr="00943CBC">
        <w:rPr>
          <w:rFonts w:ascii="Times New Roman" w:hAnsi="Times New Roman" w:cs="Times New Roman"/>
          <w:sz w:val="24"/>
          <w:szCs w:val="24"/>
        </w:rPr>
        <w:t xml:space="preserve">епрекината терапија се смета дека е различна од случајно избраната вредност од популацијата на </w:t>
      </w:r>
      <w:r w:rsidR="00943CBC">
        <w:rPr>
          <w:rFonts w:ascii="Times New Roman" w:hAnsi="Times New Roman" w:cs="Times New Roman"/>
          <w:sz w:val="24"/>
          <w:szCs w:val="24"/>
        </w:rPr>
        <w:t>п</w:t>
      </w:r>
      <w:r w:rsidRPr="00943CBC">
        <w:rPr>
          <w:rFonts w:ascii="Times New Roman" w:hAnsi="Times New Roman" w:cs="Times New Roman"/>
          <w:sz w:val="24"/>
          <w:szCs w:val="24"/>
        </w:rPr>
        <w:t xml:space="preserve">рекината терапија. Со други зборови, разликата помеѓу случајно избраните вредности од популациите на </w:t>
      </w:r>
      <w:r w:rsidR="00943CBC">
        <w:rPr>
          <w:rFonts w:ascii="Times New Roman" w:hAnsi="Times New Roman" w:cs="Times New Roman"/>
          <w:sz w:val="24"/>
          <w:szCs w:val="24"/>
        </w:rPr>
        <w:t>н</w:t>
      </w:r>
      <w:r w:rsidRPr="00943CBC">
        <w:rPr>
          <w:rFonts w:ascii="Times New Roman" w:hAnsi="Times New Roman" w:cs="Times New Roman"/>
          <w:sz w:val="24"/>
          <w:szCs w:val="24"/>
        </w:rPr>
        <w:t xml:space="preserve">епрекината терапија и </w:t>
      </w:r>
      <w:r w:rsidR="00943CBC">
        <w:rPr>
          <w:rFonts w:ascii="Times New Roman" w:hAnsi="Times New Roman" w:cs="Times New Roman"/>
          <w:sz w:val="24"/>
          <w:szCs w:val="24"/>
        </w:rPr>
        <w:t>п</w:t>
      </w:r>
      <w:r w:rsidRPr="00943CBC">
        <w:rPr>
          <w:rFonts w:ascii="Times New Roman" w:hAnsi="Times New Roman" w:cs="Times New Roman"/>
          <w:sz w:val="24"/>
          <w:szCs w:val="24"/>
        </w:rPr>
        <w:t>рекината терапија е доволно голема за да биде статистички значајна</w:t>
      </w:r>
      <w:r w:rsidR="00EC49EB" w:rsidRPr="00943CBC">
        <w:rPr>
          <w:rFonts w:ascii="Times New Roman" w:hAnsi="Times New Roman" w:cs="Times New Roman"/>
          <w:sz w:val="24"/>
          <w:szCs w:val="24"/>
        </w:rPr>
        <w:t xml:space="preserve"> (графикон бр. 29).</w:t>
      </w:r>
    </w:p>
    <w:p w14:paraId="3F9EE67F" w14:textId="77777777" w:rsidR="00943CBC" w:rsidRDefault="00943CBC" w:rsidP="00943CBC">
      <w:pPr>
        <w:spacing w:after="120" w:line="360" w:lineRule="auto"/>
        <w:jc w:val="center"/>
        <w:rPr>
          <w:rFonts w:ascii="Times New Roman" w:eastAsia="Calibri" w:hAnsi="Times New Roman" w:cs="Times New Roman"/>
          <w:sz w:val="24"/>
          <w:szCs w:val="24"/>
        </w:rPr>
      </w:pPr>
    </w:p>
    <w:p w14:paraId="0DC386BF" w14:textId="77777777" w:rsidR="00943CBC" w:rsidRDefault="00943CBC" w:rsidP="00943CBC">
      <w:pPr>
        <w:spacing w:after="120" w:line="360" w:lineRule="auto"/>
        <w:jc w:val="center"/>
        <w:rPr>
          <w:rFonts w:ascii="Times New Roman" w:eastAsia="Calibri" w:hAnsi="Times New Roman" w:cs="Times New Roman"/>
          <w:sz w:val="24"/>
          <w:szCs w:val="24"/>
        </w:rPr>
      </w:pPr>
    </w:p>
    <w:p w14:paraId="3FBA79D8" w14:textId="77777777" w:rsidR="00943CBC" w:rsidRDefault="00943CBC" w:rsidP="00943CBC">
      <w:pPr>
        <w:spacing w:after="120" w:line="360" w:lineRule="auto"/>
        <w:jc w:val="center"/>
        <w:rPr>
          <w:rFonts w:ascii="Times New Roman" w:eastAsia="Calibri" w:hAnsi="Times New Roman" w:cs="Times New Roman"/>
          <w:sz w:val="24"/>
          <w:szCs w:val="24"/>
        </w:rPr>
      </w:pPr>
    </w:p>
    <w:p w14:paraId="5596AD37" w14:textId="21150DAD" w:rsidR="00943CBC" w:rsidRPr="00943CBC" w:rsidRDefault="00943CBC" w:rsidP="00943CBC">
      <w:pPr>
        <w:spacing w:after="120" w:line="360" w:lineRule="auto"/>
        <w:jc w:val="center"/>
        <w:rPr>
          <w:rFonts w:ascii="Times New Roman" w:eastAsia="Calibri" w:hAnsi="Times New Roman" w:cs="Times New Roman"/>
          <w:sz w:val="24"/>
          <w:szCs w:val="24"/>
        </w:rPr>
      </w:pPr>
      <w:r w:rsidRPr="00943CBC">
        <w:rPr>
          <w:rFonts w:ascii="Times New Roman" w:eastAsia="Calibri" w:hAnsi="Times New Roman" w:cs="Times New Roman"/>
          <w:sz w:val="24"/>
          <w:szCs w:val="24"/>
        </w:rPr>
        <w:lastRenderedPageBreak/>
        <w:t>Графикон бр. 29</w:t>
      </w:r>
      <w:r>
        <w:rPr>
          <w:rFonts w:ascii="Times New Roman" w:eastAsia="Calibri" w:hAnsi="Times New Roman" w:cs="Times New Roman"/>
          <w:sz w:val="24"/>
          <w:szCs w:val="24"/>
        </w:rPr>
        <w:t>-</w:t>
      </w:r>
      <w:r w:rsidRPr="00943CBC">
        <w:rPr>
          <w:rFonts w:ascii="Times New Roman" w:eastAsia="Calibri" w:hAnsi="Times New Roman" w:cs="Times New Roman"/>
          <w:sz w:val="24"/>
          <w:szCs w:val="24"/>
        </w:rPr>
        <w:t xml:space="preserve"> Споредба на постекстракционото крвавење (PEB) кај испитаниците кои примаат VKA/DOAC со здрави испитаници (контролна група)</w:t>
      </w:r>
    </w:p>
    <w:p w14:paraId="2A13E3E7" w14:textId="2A8E2ECD" w:rsidR="00412474" w:rsidRPr="00215667" w:rsidRDefault="00EC49EB" w:rsidP="00412474">
      <w:pPr>
        <w:pStyle w:val="p1"/>
      </w:pPr>
      <w:r w:rsidRPr="00215667">
        <w:rPr>
          <w:noProof/>
          <w:lang w:val="en-US" w:eastAsia="en-US"/>
          <w14:ligatures w14:val="standardContextual"/>
        </w:rPr>
        <w:drawing>
          <wp:inline distT="0" distB="0" distL="0" distR="0" wp14:anchorId="18D24815" wp14:editId="1A1173A5">
            <wp:extent cx="5831904" cy="1781666"/>
            <wp:effectExtent l="0" t="0" r="0" b="0"/>
            <wp:docPr id="1455181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18187" name="Picture 145518187"/>
                    <pic:cNvPicPr/>
                  </pic:nvPicPr>
                  <pic:blipFill>
                    <a:blip r:embed="rId66">
                      <a:extLst>
                        <a:ext uri="{28A0092B-C50C-407E-A947-70E740481C1C}">
                          <a14:useLocalDpi xmlns:a14="http://schemas.microsoft.com/office/drawing/2010/main" val="0"/>
                        </a:ext>
                      </a:extLst>
                    </a:blip>
                    <a:stretch>
                      <a:fillRect/>
                    </a:stretch>
                  </pic:blipFill>
                  <pic:spPr>
                    <a:xfrm>
                      <a:off x="0" y="0"/>
                      <a:ext cx="5843491" cy="1785206"/>
                    </a:xfrm>
                    <a:prstGeom prst="rect">
                      <a:avLst/>
                    </a:prstGeom>
                  </pic:spPr>
                </pic:pic>
              </a:graphicData>
            </a:graphic>
          </wp:inline>
        </w:drawing>
      </w:r>
    </w:p>
    <w:p w14:paraId="581AE65D" w14:textId="4A6DDD78" w:rsidR="00412474" w:rsidRPr="00215667" w:rsidRDefault="00EC49EB" w:rsidP="00412474">
      <w:pPr>
        <w:spacing w:line="240" w:lineRule="auto"/>
        <w:rPr>
          <w:rFonts w:ascii="Times New Roman" w:hAnsi="Times New Roman" w:cs="Times New Roman"/>
          <w:sz w:val="24"/>
          <w:szCs w:val="24"/>
        </w:rPr>
      </w:pPr>
      <w:r w:rsidRPr="00215667">
        <w:rPr>
          <w:rFonts w:ascii="Times New Roman" w:hAnsi="Times New Roman" w:cs="Times New Roman"/>
          <w:noProof/>
          <w:sz w:val="24"/>
          <w:szCs w:val="24"/>
          <w:lang w:val="en-US"/>
          <w14:ligatures w14:val="standardContextual"/>
        </w:rPr>
        <w:drawing>
          <wp:inline distT="0" distB="0" distL="0" distR="0" wp14:anchorId="73D61FA1" wp14:editId="2FD22618">
            <wp:extent cx="5400040" cy="1992630"/>
            <wp:effectExtent l="0" t="0" r="0" b="1270"/>
            <wp:docPr id="17401473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147320" name="Picture 1740147320"/>
                    <pic:cNvPicPr/>
                  </pic:nvPicPr>
                  <pic:blipFill>
                    <a:blip r:embed="rId67">
                      <a:extLst>
                        <a:ext uri="{28A0092B-C50C-407E-A947-70E740481C1C}">
                          <a14:useLocalDpi xmlns:a14="http://schemas.microsoft.com/office/drawing/2010/main" val="0"/>
                        </a:ext>
                      </a:extLst>
                    </a:blip>
                    <a:stretch>
                      <a:fillRect/>
                    </a:stretch>
                  </pic:blipFill>
                  <pic:spPr>
                    <a:xfrm>
                      <a:off x="0" y="0"/>
                      <a:ext cx="5400040" cy="1992630"/>
                    </a:xfrm>
                    <a:prstGeom prst="rect">
                      <a:avLst/>
                    </a:prstGeom>
                  </pic:spPr>
                </pic:pic>
              </a:graphicData>
            </a:graphic>
          </wp:inline>
        </w:drawing>
      </w:r>
    </w:p>
    <w:p w14:paraId="132EE971" w14:textId="6B41C4A1" w:rsidR="00412474" w:rsidRPr="00215667" w:rsidRDefault="00412474" w:rsidP="00412474">
      <w:pPr>
        <w:spacing w:line="240" w:lineRule="auto"/>
        <w:rPr>
          <w:rFonts w:ascii="Times New Roman" w:hAnsi="Times New Roman" w:cs="Times New Roman"/>
          <w:sz w:val="24"/>
          <w:szCs w:val="24"/>
        </w:rPr>
      </w:pPr>
    </w:p>
    <w:p w14:paraId="61D8AF37" w14:textId="5723E124" w:rsidR="00EC49EB" w:rsidRDefault="00412474" w:rsidP="00943CBC">
      <w:pPr>
        <w:spacing w:after="120" w:line="360" w:lineRule="auto"/>
        <w:ind w:firstLine="720"/>
        <w:jc w:val="both"/>
        <w:rPr>
          <w:rFonts w:ascii="Times New Roman" w:hAnsi="Times New Roman" w:cs="Times New Roman"/>
          <w:sz w:val="24"/>
          <w:szCs w:val="24"/>
          <w:lang w:val="en-US"/>
        </w:rPr>
      </w:pPr>
      <w:r w:rsidRPr="00215667">
        <w:rPr>
          <w:rFonts w:ascii="Times New Roman" w:hAnsi="Times New Roman" w:cs="Times New Roman"/>
          <w:sz w:val="24"/>
          <w:szCs w:val="24"/>
        </w:rPr>
        <w:t>Статистички значајна разлика се доби и при анализата на PEB, во зависност од тоа дали секоја група на ОАТ посебно била подложна на прекинување или не, пред извршувањето на хируршката интервенција. Во групата VKA/DOAC, се покажа дека постои значајна разлика во вредноста на PEB во зависност од тоа дали терапијата е прекината или не, со тоа што кај пациентите кои не ја прекинале терапијата се забележуваат значајно повисоки вредности на постекстракционо крвавење (p</w:t>
      </w:r>
      <w:r w:rsidR="000611C7">
        <w:rPr>
          <w:rFonts w:ascii="Times New Roman" w:hAnsi="Times New Roman" w:cs="Times New Roman"/>
          <w:sz w:val="24"/>
          <w:szCs w:val="24"/>
          <w:lang w:val="en-US"/>
        </w:rPr>
        <w:t xml:space="preserve"> </w:t>
      </w:r>
      <w:r w:rsidRPr="00215667">
        <w:rPr>
          <w:rFonts w:ascii="Times New Roman" w:hAnsi="Times New Roman" w:cs="Times New Roman"/>
          <w:sz w:val="24"/>
          <w:szCs w:val="24"/>
        </w:rPr>
        <w:t>&lt;</w:t>
      </w:r>
      <w:r w:rsidR="000611C7">
        <w:rPr>
          <w:rFonts w:ascii="Times New Roman" w:hAnsi="Times New Roman" w:cs="Times New Roman"/>
          <w:sz w:val="24"/>
          <w:szCs w:val="24"/>
          <w:lang w:val="en-US"/>
        </w:rPr>
        <w:t xml:space="preserve"> </w:t>
      </w:r>
      <w:r w:rsidRPr="00215667">
        <w:rPr>
          <w:rFonts w:ascii="Times New Roman" w:hAnsi="Times New Roman" w:cs="Times New Roman"/>
          <w:sz w:val="24"/>
          <w:szCs w:val="24"/>
        </w:rPr>
        <w:t>0.0001, Z</w:t>
      </w:r>
      <w:r w:rsidR="000611C7">
        <w:rPr>
          <w:rFonts w:ascii="Times New Roman" w:hAnsi="Times New Roman" w:cs="Times New Roman"/>
          <w:sz w:val="24"/>
          <w:szCs w:val="24"/>
          <w:lang w:val="en-US"/>
        </w:rPr>
        <w:t xml:space="preserve"> </w:t>
      </w:r>
      <w:r w:rsidRPr="00215667">
        <w:rPr>
          <w:rFonts w:ascii="Times New Roman" w:hAnsi="Times New Roman" w:cs="Times New Roman"/>
          <w:sz w:val="24"/>
          <w:szCs w:val="24"/>
        </w:rPr>
        <w:t>=</w:t>
      </w:r>
      <w:r w:rsidR="000611C7">
        <w:rPr>
          <w:rFonts w:ascii="Times New Roman" w:hAnsi="Times New Roman" w:cs="Times New Roman"/>
          <w:sz w:val="24"/>
          <w:szCs w:val="24"/>
          <w:lang w:val="en-US"/>
        </w:rPr>
        <w:t xml:space="preserve"> </w:t>
      </w:r>
      <w:r w:rsidRPr="00215667">
        <w:rPr>
          <w:rFonts w:ascii="Times New Roman" w:hAnsi="Times New Roman" w:cs="Times New Roman"/>
          <w:sz w:val="24"/>
          <w:szCs w:val="24"/>
        </w:rPr>
        <w:t>8.6881, U</w:t>
      </w:r>
      <w:r w:rsidR="000611C7">
        <w:rPr>
          <w:rFonts w:ascii="Times New Roman" w:hAnsi="Times New Roman" w:cs="Times New Roman"/>
          <w:sz w:val="24"/>
          <w:szCs w:val="24"/>
          <w:lang w:val="en-US"/>
        </w:rPr>
        <w:t xml:space="preserve"> </w:t>
      </w:r>
      <w:r w:rsidRPr="00215667">
        <w:rPr>
          <w:rFonts w:ascii="Times New Roman" w:hAnsi="Times New Roman" w:cs="Times New Roman"/>
          <w:sz w:val="24"/>
          <w:szCs w:val="24"/>
        </w:rPr>
        <w:t>=</w:t>
      </w:r>
      <w:r w:rsidR="000611C7">
        <w:rPr>
          <w:rFonts w:ascii="Times New Roman" w:hAnsi="Times New Roman" w:cs="Times New Roman"/>
          <w:sz w:val="24"/>
          <w:szCs w:val="24"/>
          <w:lang w:val="en-US"/>
        </w:rPr>
        <w:t xml:space="preserve"> </w:t>
      </w:r>
      <w:r w:rsidRPr="00215667">
        <w:rPr>
          <w:rFonts w:ascii="Times New Roman" w:hAnsi="Times New Roman" w:cs="Times New Roman"/>
          <w:sz w:val="24"/>
          <w:szCs w:val="24"/>
        </w:rPr>
        <w:t>4921)</w:t>
      </w:r>
      <w:r w:rsidR="00EC49EB" w:rsidRPr="00215667">
        <w:rPr>
          <w:rFonts w:ascii="Times New Roman" w:hAnsi="Times New Roman" w:cs="Times New Roman"/>
          <w:sz w:val="24"/>
          <w:szCs w:val="24"/>
        </w:rPr>
        <w:t xml:space="preserve"> (графикон бр. 30).</w:t>
      </w:r>
      <w:r w:rsidRPr="00215667">
        <w:rPr>
          <w:rFonts w:ascii="Times New Roman" w:hAnsi="Times New Roman" w:cs="Times New Roman"/>
          <w:sz w:val="24"/>
          <w:szCs w:val="24"/>
        </w:rPr>
        <w:t xml:space="preserve"> </w:t>
      </w:r>
    </w:p>
    <w:p w14:paraId="03E2AAED" w14:textId="77777777" w:rsidR="004776C0" w:rsidRDefault="004776C0" w:rsidP="000611C7">
      <w:pPr>
        <w:spacing w:after="120" w:line="360" w:lineRule="auto"/>
        <w:jc w:val="center"/>
        <w:rPr>
          <w:rFonts w:ascii="Times New Roman" w:eastAsia="Calibri" w:hAnsi="Times New Roman" w:cs="Times New Roman"/>
          <w:sz w:val="24"/>
          <w:szCs w:val="24"/>
          <w:lang w:val="en-US"/>
        </w:rPr>
      </w:pPr>
    </w:p>
    <w:p w14:paraId="60443750" w14:textId="77777777" w:rsidR="004776C0" w:rsidRDefault="004776C0" w:rsidP="000611C7">
      <w:pPr>
        <w:spacing w:after="120" w:line="360" w:lineRule="auto"/>
        <w:jc w:val="center"/>
        <w:rPr>
          <w:rFonts w:ascii="Times New Roman" w:eastAsia="Calibri" w:hAnsi="Times New Roman" w:cs="Times New Roman"/>
          <w:sz w:val="24"/>
          <w:szCs w:val="24"/>
          <w:lang w:val="en-US"/>
        </w:rPr>
      </w:pPr>
    </w:p>
    <w:p w14:paraId="1E9C1729" w14:textId="77777777" w:rsidR="004776C0" w:rsidRDefault="004776C0" w:rsidP="000611C7">
      <w:pPr>
        <w:spacing w:after="120" w:line="360" w:lineRule="auto"/>
        <w:jc w:val="center"/>
        <w:rPr>
          <w:rFonts w:ascii="Times New Roman" w:eastAsia="Calibri" w:hAnsi="Times New Roman" w:cs="Times New Roman"/>
          <w:sz w:val="24"/>
          <w:szCs w:val="24"/>
          <w:lang w:val="en-US"/>
        </w:rPr>
      </w:pPr>
    </w:p>
    <w:p w14:paraId="2E49F5A1" w14:textId="77777777" w:rsidR="004776C0" w:rsidRDefault="004776C0" w:rsidP="000611C7">
      <w:pPr>
        <w:spacing w:after="120" w:line="360" w:lineRule="auto"/>
        <w:jc w:val="center"/>
        <w:rPr>
          <w:rFonts w:ascii="Times New Roman" w:eastAsia="Calibri" w:hAnsi="Times New Roman" w:cs="Times New Roman"/>
          <w:sz w:val="24"/>
          <w:szCs w:val="24"/>
          <w:lang w:val="en-US"/>
        </w:rPr>
      </w:pPr>
    </w:p>
    <w:p w14:paraId="532DE14B" w14:textId="304EE5EF" w:rsidR="000611C7" w:rsidRPr="004776C0" w:rsidRDefault="000611C7" w:rsidP="000611C7">
      <w:pPr>
        <w:spacing w:after="120" w:line="360" w:lineRule="auto"/>
        <w:jc w:val="center"/>
        <w:rPr>
          <w:rFonts w:ascii="Times New Roman" w:eastAsia="Calibri" w:hAnsi="Times New Roman" w:cs="Times New Roman"/>
          <w:sz w:val="24"/>
          <w:szCs w:val="24"/>
          <w:lang w:val="en-US"/>
        </w:rPr>
      </w:pPr>
      <w:r w:rsidRPr="000611C7">
        <w:rPr>
          <w:rFonts w:ascii="Times New Roman" w:eastAsia="Calibri" w:hAnsi="Times New Roman" w:cs="Times New Roman"/>
          <w:sz w:val="24"/>
          <w:szCs w:val="24"/>
        </w:rPr>
        <w:lastRenderedPageBreak/>
        <w:t>Графикон бр. 30</w:t>
      </w:r>
      <w:r>
        <w:rPr>
          <w:rFonts w:ascii="Times New Roman" w:eastAsia="Calibri" w:hAnsi="Times New Roman" w:cs="Times New Roman"/>
          <w:sz w:val="24"/>
          <w:szCs w:val="24"/>
          <w:lang w:val="en-US"/>
        </w:rPr>
        <w:t>-</w:t>
      </w:r>
      <w:r w:rsidRPr="000611C7">
        <w:rPr>
          <w:rFonts w:ascii="Times New Roman" w:eastAsia="Calibri" w:hAnsi="Times New Roman" w:cs="Times New Roman"/>
          <w:sz w:val="24"/>
          <w:szCs w:val="24"/>
        </w:rPr>
        <w:t xml:space="preserve"> Споредба на PEB кај групата испитаници кои примаат VKA/DOAC, во зависност од тоа дали ја прекинале терапијата или не</w:t>
      </w:r>
    </w:p>
    <w:p w14:paraId="12C03117" w14:textId="2FEE3E4C" w:rsidR="00412474" w:rsidRPr="004776C0" w:rsidRDefault="00EC49EB" w:rsidP="00EC49EB">
      <w:pPr>
        <w:spacing w:line="240" w:lineRule="auto"/>
        <w:jc w:val="center"/>
        <w:rPr>
          <w:rFonts w:ascii="Times New Roman" w:hAnsi="Times New Roman" w:cs="Times New Roman"/>
          <w:sz w:val="24"/>
          <w:szCs w:val="24"/>
          <w:lang w:val="en-US"/>
        </w:rPr>
      </w:pPr>
      <w:r w:rsidRPr="00215667">
        <w:rPr>
          <w:rFonts w:ascii="Times New Roman" w:hAnsi="Times New Roman" w:cs="Times New Roman"/>
          <w:noProof/>
          <w:sz w:val="24"/>
          <w:szCs w:val="24"/>
          <w:lang w:val="en-US"/>
          <w14:ligatures w14:val="standardContextual"/>
        </w:rPr>
        <w:drawing>
          <wp:inline distT="0" distB="0" distL="0" distR="0" wp14:anchorId="62986555" wp14:editId="15BE7FEE">
            <wp:extent cx="5400040" cy="1867535"/>
            <wp:effectExtent l="0" t="0" r="0" b="0"/>
            <wp:docPr id="112898092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980928" name="Picture 1128980928"/>
                    <pic:cNvPicPr/>
                  </pic:nvPicPr>
                  <pic:blipFill>
                    <a:blip r:embed="rId68">
                      <a:extLst>
                        <a:ext uri="{28A0092B-C50C-407E-A947-70E740481C1C}">
                          <a14:useLocalDpi xmlns:a14="http://schemas.microsoft.com/office/drawing/2010/main" val="0"/>
                        </a:ext>
                      </a:extLst>
                    </a:blip>
                    <a:stretch>
                      <a:fillRect/>
                    </a:stretch>
                  </pic:blipFill>
                  <pic:spPr>
                    <a:xfrm>
                      <a:off x="0" y="0"/>
                      <a:ext cx="5400040" cy="1867535"/>
                    </a:xfrm>
                    <a:prstGeom prst="rect">
                      <a:avLst/>
                    </a:prstGeom>
                  </pic:spPr>
                </pic:pic>
              </a:graphicData>
            </a:graphic>
          </wp:inline>
        </w:drawing>
      </w:r>
    </w:p>
    <w:p w14:paraId="7227E7E4" w14:textId="08AB2F9C" w:rsidR="00412474" w:rsidRPr="00215667" w:rsidRDefault="00EC49EB" w:rsidP="00EC49EB">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2A4E2174" wp14:editId="49F3DFEF">
            <wp:extent cx="5400040" cy="1998980"/>
            <wp:effectExtent l="0" t="0" r="0" b="0"/>
            <wp:docPr id="16094938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93802" name="Picture 1609493802"/>
                    <pic:cNvPicPr/>
                  </pic:nvPicPr>
                  <pic:blipFill>
                    <a:blip r:embed="rId69">
                      <a:extLst>
                        <a:ext uri="{28A0092B-C50C-407E-A947-70E740481C1C}">
                          <a14:useLocalDpi xmlns:a14="http://schemas.microsoft.com/office/drawing/2010/main" val="0"/>
                        </a:ext>
                      </a:extLst>
                    </a:blip>
                    <a:stretch>
                      <a:fillRect/>
                    </a:stretch>
                  </pic:blipFill>
                  <pic:spPr>
                    <a:xfrm>
                      <a:off x="0" y="0"/>
                      <a:ext cx="5400040" cy="1998980"/>
                    </a:xfrm>
                    <a:prstGeom prst="rect">
                      <a:avLst/>
                    </a:prstGeom>
                  </pic:spPr>
                </pic:pic>
              </a:graphicData>
            </a:graphic>
          </wp:inline>
        </w:drawing>
      </w:r>
    </w:p>
    <w:p w14:paraId="480B9F7F" w14:textId="77777777" w:rsidR="004776C0" w:rsidRDefault="004776C0" w:rsidP="004776C0">
      <w:pPr>
        <w:spacing w:after="120" w:line="360" w:lineRule="auto"/>
        <w:ind w:firstLine="720"/>
        <w:jc w:val="both"/>
        <w:rPr>
          <w:rFonts w:ascii="Times New Roman" w:hAnsi="Times New Roman" w:cs="Times New Roman"/>
          <w:sz w:val="24"/>
          <w:szCs w:val="24"/>
          <w:lang w:val="en-US"/>
        </w:rPr>
      </w:pPr>
    </w:p>
    <w:p w14:paraId="673C1313" w14:textId="52B0D493" w:rsidR="00412474" w:rsidRDefault="00412474" w:rsidP="004776C0">
      <w:pPr>
        <w:spacing w:after="120" w:line="360" w:lineRule="auto"/>
        <w:ind w:firstLine="720"/>
        <w:jc w:val="both"/>
        <w:rPr>
          <w:rFonts w:ascii="Times New Roman" w:hAnsi="Times New Roman" w:cs="Times New Roman"/>
          <w:sz w:val="24"/>
          <w:szCs w:val="24"/>
          <w:lang w:val="en-US"/>
        </w:rPr>
      </w:pPr>
      <w:r w:rsidRPr="00215667">
        <w:rPr>
          <w:rFonts w:ascii="Times New Roman" w:hAnsi="Times New Roman" w:cs="Times New Roman"/>
          <w:sz w:val="24"/>
          <w:szCs w:val="24"/>
        </w:rPr>
        <w:t>Во однос на антиагрегационата терапија со аспирин, анализата покажа слични резултати, т.е. непрекинувањето на терапијата со аспирин пред хируршката интеревенција доведува до зголемени вредности на PEB (p</w:t>
      </w:r>
      <w:r w:rsidR="004776C0">
        <w:rPr>
          <w:rFonts w:ascii="Times New Roman" w:hAnsi="Times New Roman" w:cs="Times New Roman"/>
          <w:sz w:val="24"/>
          <w:szCs w:val="24"/>
          <w:lang w:val="en-US"/>
        </w:rPr>
        <w:t xml:space="preserve"> </w:t>
      </w:r>
      <w:r w:rsidRPr="00215667">
        <w:rPr>
          <w:rFonts w:ascii="Times New Roman" w:hAnsi="Times New Roman" w:cs="Times New Roman"/>
          <w:sz w:val="24"/>
          <w:szCs w:val="24"/>
        </w:rPr>
        <w:t>&lt;</w:t>
      </w:r>
      <w:r w:rsidR="004776C0">
        <w:rPr>
          <w:rFonts w:ascii="Times New Roman" w:hAnsi="Times New Roman" w:cs="Times New Roman"/>
          <w:sz w:val="24"/>
          <w:szCs w:val="24"/>
          <w:lang w:val="en-US"/>
        </w:rPr>
        <w:t xml:space="preserve"> </w:t>
      </w:r>
      <w:r w:rsidRPr="00215667">
        <w:rPr>
          <w:rFonts w:ascii="Times New Roman" w:hAnsi="Times New Roman" w:cs="Times New Roman"/>
          <w:sz w:val="24"/>
          <w:szCs w:val="24"/>
        </w:rPr>
        <w:t>0.0001, Z</w:t>
      </w:r>
      <w:r w:rsidR="004776C0">
        <w:rPr>
          <w:rFonts w:ascii="Times New Roman" w:hAnsi="Times New Roman" w:cs="Times New Roman"/>
          <w:sz w:val="24"/>
          <w:szCs w:val="24"/>
          <w:lang w:val="en-US"/>
        </w:rPr>
        <w:t xml:space="preserve"> </w:t>
      </w:r>
      <w:r w:rsidRPr="00215667">
        <w:rPr>
          <w:rFonts w:ascii="Times New Roman" w:hAnsi="Times New Roman" w:cs="Times New Roman"/>
          <w:sz w:val="24"/>
          <w:szCs w:val="24"/>
        </w:rPr>
        <w:t>=</w:t>
      </w:r>
      <w:r w:rsidR="004776C0">
        <w:rPr>
          <w:rFonts w:ascii="Times New Roman" w:hAnsi="Times New Roman" w:cs="Times New Roman"/>
          <w:sz w:val="24"/>
          <w:szCs w:val="24"/>
          <w:lang w:val="en-US"/>
        </w:rPr>
        <w:t xml:space="preserve"> </w:t>
      </w:r>
      <w:r w:rsidRPr="00215667">
        <w:rPr>
          <w:rFonts w:ascii="Times New Roman" w:hAnsi="Times New Roman" w:cs="Times New Roman"/>
          <w:sz w:val="24"/>
          <w:szCs w:val="24"/>
        </w:rPr>
        <w:t>6.5868, U</w:t>
      </w:r>
      <w:r w:rsidR="004776C0">
        <w:rPr>
          <w:rFonts w:ascii="Times New Roman" w:hAnsi="Times New Roman" w:cs="Times New Roman"/>
          <w:sz w:val="24"/>
          <w:szCs w:val="24"/>
          <w:lang w:val="en-US"/>
        </w:rPr>
        <w:t xml:space="preserve"> </w:t>
      </w:r>
      <w:r w:rsidRPr="00215667">
        <w:rPr>
          <w:rFonts w:ascii="Times New Roman" w:hAnsi="Times New Roman" w:cs="Times New Roman"/>
          <w:sz w:val="24"/>
          <w:szCs w:val="24"/>
        </w:rPr>
        <w:t>=</w:t>
      </w:r>
      <w:r w:rsidR="004776C0">
        <w:rPr>
          <w:rFonts w:ascii="Times New Roman" w:hAnsi="Times New Roman" w:cs="Times New Roman"/>
          <w:sz w:val="24"/>
          <w:szCs w:val="24"/>
          <w:lang w:val="en-US"/>
        </w:rPr>
        <w:t xml:space="preserve"> </w:t>
      </w:r>
      <w:r w:rsidRPr="00215667">
        <w:rPr>
          <w:rFonts w:ascii="Times New Roman" w:hAnsi="Times New Roman" w:cs="Times New Roman"/>
          <w:sz w:val="24"/>
          <w:szCs w:val="24"/>
        </w:rPr>
        <w:t>2118)</w:t>
      </w:r>
      <w:r w:rsidR="00EC49EB" w:rsidRPr="00215667">
        <w:rPr>
          <w:rFonts w:ascii="Times New Roman" w:hAnsi="Times New Roman" w:cs="Times New Roman"/>
          <w:sz w:val="24"/>
          <w:szCs w:val="24"/>
        </w:rPr>
        <w:t xml:space="preserve"> (графикон бр. 31).</w:t>
      </w:r>
    </w:p>
    <w:p w14:paraId="33B13AF0" w14:textId="0C9ACAF1" w:rsidR="004776C0" w:rsidRPr="004776C0" w:rsidRDefault="004776C0" w:rsidP="004776C0">
      <w:pPr>
        <w:spacing w:after="120" w:line="360" w:lineRule="auto"/>
        <w:jc w:val="center"/>
        <w:rPr>
          <w:rFonts w:ascii="Times New Roman" w:eastAsia="Calibri" w:hAnsi="Times New Roman" w:cs="Times New Roman"/>
          <w:sz w:val="24"/>
          <w:szCs w:val="24"/>
        </w:rPr>
      </w:pPr>
      <w:r w:rsidRPr="004776C0">
        <w:rPr>
          <w:rFonts w:ascii="Times New Roman" w:eastAsia="Calibri" w:hAnsi="Times New Roman" w:cs="Times New Roman"/>
          <w:sz w:val="24"/>
          <w:szCs w:val="24"/>
        </w:rPr>
        <w:t>Графикон бр. 31</w:t>
      </w:r>
      <w:r>
        <w:rPr>
          <w:rFonts w:ascii="Times New Roman" w:eastAsia="Calibri" w:hAnsi="Times New Roman" w:cs="Times New Roman"/>
          <w:sz w:val="24"/>
          <w:szCs w:val="24"/>
          <w:lang w:val="en-US"/>
        </w:rPr>
        <w:t>-</w:t>
      </w:r>
      <w:r w:rsidRPr="004776C0">
        <w:rPr>
          <w:rFonts w:ascii="Times New Roman" w:eastAsia="Calibri" w:hAnsi="Times New Roman" w:cs="Times New Roman"/>
          <w:sz w:val="24"/>
          <w:szCs w:val="24"/>
        </w:rPr>
        <w:t xml:space="preserve"> Споредба на PEB кај испитаниците кои примаат аспирин, во зависност од тоа дали ја прекинале терапијата или не.</w:t>
      </w:r>
    </w:p>
    <w:p w14:paraId="06B4A43C" w14:textId="00C6239F" w:rsidR="00412474" w:rsidRDefault="00EC49EB" w:rsidP="00412474">
      <w:pPr>
        <w:spacing w:line="240" w:lineRule="auto"/>
        <w:rPr>
          <w:rFonts w:ascii="Times New Roman" w:hAnsi="Times New Roman" w:cs="Times New Roman"/>
          <w:sz w:val="24"/>
          <w:szCs w:val="24"/>
          <w:lang w:val="en-US"/>
        </w:rPr>
      </w:pPr>
      <w:r w:rsidRPr="00215667">
        <w:rPr>
          <w:rFonts w:ascii="Times New Roman" w:hAnsi="Times New Roman" w:cs="Times New Roman"/>
          <w:noProof/>
          <w:sz w:val="24"/>
          <w:szCs w:val="24"/>
          <w:lang w:val="en-US"/>
          <w14:ligatures w14:val="standardContextual"/>
        </w:rPr>
        <w:drawing>
          <wp:inline distT="0" distB="0" distL="0" distR="0" wp14:anchorId="4C5138FE" wp14:editId="57EE7435">
            <wp:extent cx="5062118" cy="1698286"/>
            <wp:effectExtent l="0" t="0" r="5715" b="0"/>
            <wp:docPr id="20647737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773708" name="Picture 206477370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065818" cy="1699527"/>
                    </a:xfrm>
                    <a:prstGeom prst="rect">
                      <a:avLst/>
                    </a:prstGeom>
                  </pic:spPr>
                </pic:pic>
              </a:graphicData>
            </a:graphic>
          </wp:inline>
        </w:drawing>
      </w:r>
    </w:p>
    <w:p w14:paraId="5B0D4D97" w14:textId="280B9906" w:rsidR="00412474" w:rsidRPr="00215667" w:rsidRDefault="00EC49EB" w:rsidP="00412474">
      <w:pPr>
        <w:spacing w:line="240" w:lineRule="auto"/>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lastRenderedPageBreak/>
        <w:drawing>
          <wp:inline distT="0" distB="0" distL="0" distR="0" wp14:anchorId="5FFA3ACB" wp14:editId="3F2247A2">
            <wp:extent cx="5400040" cy="2002155"/>
            <wp:effectExtent l="0" t="0" r="0" b="4445"/>
            <wp:docPr id="85466088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660880" name="Picture 854660880"/>
                    <pic:cNvPicPr/>
                  </pic:nvPicPr>
                  <pic:blipFill>
                    <a:blip r:embed="rId71">
                      <a:extLst>
                        <a:ext uri="{28A0092B-C50C-407E-A947-70E740481C1C}">
                          <a14:useLocalDpi xmlns:a14="http://schemas.microsoft.com/office/drawing/2010/main" val="0"/>
                        </a:ext>
                      </a:extLst>
                    </a:blip>
                    <a:stretch>
                      <a:fillRect/>
                    </a:stretch>
                  </pic:blipFill>
                  <pic:spPr>
                    <a:xfrm>
                      <a:off x="0" y="0"/>
                      <a:ext cx="5400040" cy="2002155"/>
                    </a:xfrm>
                    <a:prstGeom prst="rect">
                      <a:avLst/>
                    </a:prstGeom>
                  </pic:spPr>
                </pic:pic>
              </a:graphicData>
            </a:graphic>
          </wp:inline>
        </w:drawing>
      </w:r>
    </w:p>
    <w:p w14:paraId="286671C0" w14:textId="2F4A41BA" w:rsidR="00412474" w:rsidRPr="00215667" w:rsidRDefault="00412474" w:rsidP="00412474">
      <w:pPr>
        <w:spacing w:line="240" w:lineRule="auto"/>
        <w:rPr>
          <w:rFonts w:ascii="Times New Roman" w:hAnsi="Times New Roman" w:cs="Times New Roman"/>
          <w:b/>
          <w:bCs/>
          <w:sz w:val="24"/>
          <w:szCs w:val="24"/>
        </w:rPr>
      </w:pPr>
    </w:p>
    <w:p w14:paraId="088668E2" w14:textId="4EC838BD"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t>VKA/DOAC непрекината терапија vs. здрави пациенти</w:t>
      </w:r>
    </w:p>
    <w:p w14:paraId="2772614C" w14:textId="5631D892" w:rsidR="00412474" w:rsidRPr="004776C0" w:rsidRDefault="00412474" w:rsidP="004776C0">
      <w:pPr>
        <w:spacing w:after="120" w:line="360" w:lineRule="auto"/>
        <w:ind w:firstLine="720"/>
        <w:jc w:val="both"/>
        <w:rPr>
          <w:rFonts w:ascii="Times New Roman" w:hAnsi="Times New Roman" w:cs="Times New Roman"/>
          <w:sz w:val="24"/>
          <w:szCs w:val="24"/>
        </w:rPr>
      </w:pPr>
      <w:r w:rsidRPr="004776C0">
        <w:rPr>
          <w:rFonts w:ascii="Times New Roman" w:hAnsi="Times New Roman" w:cs="Times New Roman"/>
          <w:sz w:val="24"/>
          <w:szCs w:val="24"/>
        </w:rPr>
        <w:t xml:space="preserve">Според резултатите од </w:t>
      </w:r>
      <w:r w:rsidRPr="004776C0">
        <w:rPr>
          <w:rFonts w:ascii="Times New Roman" w:hAnsi="Times New Roman" w:cs="Times New Roman"/>
          <w:i/>
          <w:iCs/>
          <w:sz w:val="24"/>
          <w:szCs w:val="24"/>
        </w:rPr>
        <w:t>Mann-Whitney U</w:t>
      </w:r>
      <w:r w:rsidRPr="004776C0">
        <w:rPr>
          <w:rFonts w:ascii="Times New Roman" w:hAnsi="Times New Roman" w:cs="Times New Roman"/>
          <w:sz w:val="24"/>
          <w:szCs w:val="24"/>
        </w:rPr>
        <w:t xml:space="preserve"> тестот, p-вредноста изнесува 5.551e⁻¹⁵ (p(x ≤ Z) = 1), што укажува дека веројатноста за грешка од тип I – односно одбивање на точна нулта хипотеза (H₀) – е исклучително мала: 0.00000000000005551 или 5.6e⁻¹³%.</w:t>
      </w:r>
      <w:r w:rsidR="004776C0">
        <w:rPr>
          <w:rFonts w:ascii="Times New Roman" w:hAnsi="Times New Roman" w:cs="Times New Roman"/>
          <w:sz w:val="24"/>
          <w:szCs w:val="24"/>
          <w:lang w:val="en-US"/>
        </w:rPr>
        <w:t xml:space="preserve"> </w:t>
      </w:r>
      <w:r w:rsidRPr="004776C0">
        <w:rPr>
          <w:rFonts w:ascii="Times New Roman" w:hAnsi="Times New Roman" w:cs="Times New Roman"/>
          <w:sz w:val="24"/>
          <w:szCs w:val="24"/>
        </w:rPr>
        <w:t>Бидејќи p &lt; α (на пр., 0.05), се отфрла нултата хипотеза (H₀).</w:t>
      </w:r>
      <w:r w:rsidR="004776C0">
        <w:rPr>
          <w:rFonts w:ascii="Times New Roman" w:hAnsi="Times New Roman" w:cs="Times New Roman"/>
          <w:sz w:val="24"/>
          <w:szCs w:val="24"/>
          <w:lang w:val="en-US"/>
        </w:rPr>
        <w:t xml:space="preserve"> </w:t>
      </w:r>
      <w:r w:rsidRPr="004776C0">
        <w:rPr>
          <w:rFonts w:ascii="Times New Roman" w:hAnsi="Times New Roman" w:cs="Times New Roman"/>
          <w:sz w:val="24"/>
          <w:szCs w:val="24"/>
        </w:rPr>
        <w:t>Z статистиката изнесува 7.803, што не се наоѓа во 95</w:t>
      </w:r>
      <w:r w:rsidR="004776C0">
        <w:rPr>
          <w:rFonts w:ascii="Times New Roman" w:hAnsi="Times New Roman" w:cs="Times New Roman"/>
          <w:sz w:val="24"/>
          <w:szCs w:val="24"/>
          <w:lang w:val="en-US"/>
        </w:rPr>
        <w:t xml:space="preserve"> </w:t>
      </w:r>
      <w:r w:rsidRPr="004776C0">
        <w:rPr>
          <w:rFonts w:ascii="Times New Roman" w:hAnsi="Times New Roman" w:cs="Times New Roman"/>
          <w:sz w:val="24"/>
          <w:szCs w:val="24"/>
        </w:rPr>
        <w:t>% интервалот на прифаќање: [-1.96 : 1.96].</w:t>
      </w:r>
      <w:r w:rsidR="004776C0">
        <w:rPr>
          <w:rFonts w:ascii="Times New Roman" w:hAnsi="Times New Roman" w:cs="Times New Roman"/>
          <w:sz w:val="24"/>
          <w:szCs w:val="24"/>
          <w:lang w:val="en-US"/>
        </w:rPr>
        <w:t xml:space="preserve"> </w:t>
      </w:r>
      <w:r w:rsidRPr="004776C0">
        <w:rPr>
          <w:rFonts w:ascii="Times New Roman" w:hAnsi="Times New Roman" w:cs="Times New Roman"/>
          <w:sz w:val="24"/>
          <w:szCs w:val="24"/>
        </w:rPr>
        <w:t>U-вредноста е 1590.5, што исто така е надвор од 95</w:t>
      </w:r>
      <w:r w:rsidR="004776C0">
        <w:rPr>
          <w:rFonts w:ascii="Times New Roman" w:hAnsi="Times New Roman" w:cs="Times New Roman"/>
          <w:sz w:val="24"/>
          <w:szCs w:val="24"/>
          <w:lang w:val="en-US"/>
        </w:rPr>
        <w:t xml:space="preserve"> </w:t>
      </w:r>
      <w:r w:rsidRPr="004776C0">
        <w:rPr>
          <w:rFonts w:ascii="Times New Roman" w:hAnsi="Times New Roman" w:cs="Times New Roman"/>
          <w:sz w:val="24"/>
          <w:szCs w:val="24"/>
        </w:rPr>
        <w:t>% интервалот на прифаќање: [601.5663 : 998.4337].</w:t>
      </w:r>
      <w:r w:rsidR="004776C0">
        <w:rPr>
          <w:rFonts w:ascii="Times New Roman" w:hAnsi="Times New Roman" w:cs="Times New Roman"/>
          <w:sz w:val="24"/>
          <w:szCs w:val="24"/>
          <w:lang w:val="en-US"/>
        </w:rPr>
        <w:t xml:space="preserve"> </w:t>
      </w:r>
      <w:r w:rsidRPr="004776C0">
        <w:rPr>
          <w:rFonts w:ascii="Times New Roman" w:hAnsi="Times New Roman" w:cs="Times New Roman"/>
          <w:sz w:val="24"/>
          <w:szCs w:val="24"/>
        </w:rPr>
        <w:t>Случајно избраната вредност на PEB кај популацијата на пациенти со VKA терапија (без прекин) се смета дека се разликува од вредноста кај здравите испитаници.</w:t>
      </w:r>
    </w:p>
    <w:p w14:paraId="6A0B671D" w14:textId="514E3679" w:rsidR="00412474" w:rsidRDefault="00412474" w:rsidP="004776C0">
      <w:pPr>
        <w:spacing w:after="120" w:line="360" w:lineRule="auto"/>
        <w:ind w:firstLine="720"/>
        <w:jc w:val="both"/>
        <w:rPr>
          <w:rFonts w:ascii="Times New Roman" w:hAnsi="Times New Roman" w:cs="Times New Roman"/>
          <w:sz w:val="24"/>
          <w:szCs w:val="24"/>
          <w:lang w:val="en-US"/>
        </w:rPr>
      </w:pPr>
      <w:r w:rsidRPr="004776C0">
        <w:rPr>
          <w:rFonts w:ascii="Times New Roman" w:hAnsi="Times New Roman" w:cs="Times New Roman"/>
          <w:sz w:val="24"/>
          <w:szCs w:val="24"/>
        </w:rPr>
        <w:t>Со други зборови, разликата меѓу постекстракционото крвавење (PEB) кај пациенти кои континуирано примаат VKA терапија и здравите испитаници е доволно голема за да биде статистички значајна</w:t>
      </w:r>
      <w:r w:rsidR="00EC49EB" w:rsidRPr="004776C0">
        <w:rPr>
          <w:rFonts w:ascii="Times New Roman" w:hAnsi="Times New Roman" w:cs="Times New Roman"/>
          <w:sz w:val="24"/>
          <w:szCs w:val="24"/>
        </w:rPr>
        <w:t xml:space="preserve"> (графикон бр. 32)</w:t>
      </w:r>
      <w:r w:rsidR="004776C0">
        <w:rPr>
          <w:rFonts w:ascii="Times New Roman" w:hAnsi="Times New Roman" w:cs="Times New Roman"/>
          <w:sz w:val="24"/>
          <w:szCs w:val="24"/>
          <w:lang w:val="en-US"/>
        </w:rPr>
        <w:t>.</w:t>
      </w:r>
    </w:p>
    <w:p w14:paraId="1A6CC11B" w14:textId="07DF21E7" w:rsidR="004776C0" w:rsidRPr="004776C0" w:rsidRDefault="004776C0" w:rsidP="004776C0">
      <w:pPr>
        <w:spacing w:after="120" w:line="360" w:lineRule="auto"/>
        <w:jc w:val="center"/>
        <w:rPr>
          <w:rFonts w:ascii="Times New Roman" w:eastAsia="Calibri" w:hAnsi="Times New Roman" w:cs="Times New Roman"/>
          <w:sz w:val="24"/>
          <w:szCs w:val="24"/>
        </w:rPr>
      </w:pPr>
      <w:r w:rsidRPr="004776C0">
        <w:rPr>
          <w:rFonts w:ascii="Times New Roman" w:eastAsia="Calibri" w:hAnsi="Times New Roman" w:cs="Times New Roman"/>
          <w:sz w:val="24"/>
          <w:szCs w:val="24"/>
        </w:rPr>
        <w:t>Графикон бр. 32</w:t>
      </w:r>
      <w:r>
        <w:rPr>
          <w:rFonts w:ascii="Times New Roman" w:eastAsia="Calibri" w:hAnsi="Times New Roman" w:cs="Times New Roman"/>
          <w:sz w:val="24"/>
          <w:szCs w:val="24"/>
          <w:lang w:val="en-US"/>
        </w:rPr>
        <w:t>-</w:t>
      </w:r>
      <w:r w:rsidRPr="004776C0">
        <w:rPr>
          <w:rFonts w:ascii="Times New Roman" w:eastAsia="Calibri" w:hAnsi="Times New Roman" w:cs="Times New Roman"/>
          <w:sz w:val="24"/>
          <w:szCs w:val="24"/>
        </w:rPr>
        <w:t xml:space="preserve"> Споредба на PEB кај испитаниците кои примаат VKA/DOAC непрекинато, со здрави пациенти (контролна група).</w:t>
      </w:r>
    </w:p>
    <w:p w14:paraId="527FC0D1" w14:textId="77777777" w:rsidR="00412474" w:rsidRPr="00215667" w:rsidRDefault="00412474"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3C7CC488" wp14:editId="198C619C">
            <wp:extent cx="1081454" cy="1644365"/>
            <wp:effectExtent l="0" t="0" r="0" b="0"/>
            <wp:docPr id="889706066" name="Picture 180"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706066" name="Picture 180" descr="A graph of a normal distribution&#10;&#10;AI-generated content may be incorrect."/>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113609" cy="1693256"/>
                    </a:xfrm>
                    <a:prstGeom prst="rect">
                      <a:avLst/>
                    </a:prstGeom>
                  </pic:spPr>
                </pic:pic>
              </a:graphicData>
            </a:graphic>
          </wp:inline>
        </w:drawing>
      </w:r>
      <w:r w:rsidRPr="00215667">
        <w:rPr>
          <w:rFonts w:ascii="Times New Roman" w:hAnsi="Times New Roman" w:cs="Times New Roman"/>
          <w:b/>
          <w:bCs/>
          <w:noProof/>
          <w:sz w:val="24"/>
          <w:szCs w:val="24"/>
          <w:lang w:val="en-US"/>
          <w14:ligatures w14:val="standardContextual"/>
        </w:rPr>
        <w:drawing>
          <wp:inline distT="0" distB="0" distL="0" distR="0" wp14:anchorId="39896D19" wp14:editId="77C4D952">
            <wp:extent cx="4308231" cy="1545168"/>
            <wp:effectExtent l="0" t="0" r="0" b="4445"/>
            <wp:docPr id="1254683852" name="Picture 181" descr="A graph with blue and orang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683852" name="Picture 181" descr="A graph with blue and orange squares&#10;&#10;AI-generated content may be incorrect."/>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353986" cy="1561578"/>
                    </a:xfrm>
                    <a:prstGeom prst="rect">
                      <a:avLst/>
                    </a:prstGeom>
                  </pic:spPr>
                </pic:pic>
              </a:graphicData>
            </a:graphic>
          </wp:inline>
        </w:drawing>
      </w:r>
    </w:p>
    <w:p w14:paraId="0A14E061" w14:textId="77777777" w:rsidR="00412474" w:rsidRPr="00215667" w:rsidRDefault="00412474"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lastRenderedPageBreak/>
        <w:drawing>
          <wp:inline distT="0" distB="0" distL="0" distR="0" wp14:anchorId="59809AED" wp14:editId="35C45CFA">
            <wp:extent cx="5400040" cy="1958340"/>
            <wp:effectExtent l="0" t="0" r="0" b="0"/>
            <wp:docPr id="608009922" name="Picture 182" descr="A graph with a number of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009922" name="Picture 182" descr="A graph with a number of bars&#10;&#10;AI-generated content may be incorrect."/>
                    <pic:cNvPicPr/>
                  </pic:nvPicPr>
                  <pic:blipFill>
                    <a:blip r:embed="rId74">
                      <a:extLst>
                        <a:ext uri="{28A0092B-C50C-407E-A947-70E740481C1C}">
                          <a14:useLocalDpi xmlns:a14="http://schemas.microsoft.com/office/drawing/2010/main" val="0"/>
                        </a:ext>
                      </a:extLst>
                    </a:blip>
                    <a:stretch>
                      <a:fillRect/>
                    </a:stretch>
                  </pic:blipFill>
                  <pic:spPr>
                    <a:xfrm>
                      <a:off x="0" y="0"/>
                      <a:ext cx="5400040" cy="1958340"/>
                    </a:xfrm>
                    <a:prstGeom prst="rect">
                      <a:avLst/>
                    </a:prstGeom>
                  </pic:spPr>
                </pic:pic>
              </a:graphicData>
            </a:graphic>
          </wp:inline>
        </w:drawing>
      </w:r>
    </w:p>
    <w:p w14:paraId="5DF0A388" w14:textId="77777777" w:rsidR="00412474" w:rsidRPr="00215667" w:rsidRDefault="00412474" w:rsidP="00412474">
      <w:pPr>
        <w:spacing w:line="240" w:lineRule="auto"/>
        <w:rPr>
          <w:rFonts w:ascii="Times New Roman" w:hAnsi="Times New Roman" w:cs="Times New Roman"/>
          <w:b/>
          <w:bCs/>
          <w:sz w:val="24"/>
          <w:szCs w:val="24"/>
        </w:rPr>
      </w:pPr>
    </w:p>
    <w:p w14:paraId="6E03579B" w14:textId="0F8EE44E"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t>VKA/DOAC прекината терапија vs. здрави пациенти</w:t>
      </w:r>
    </w:p>
    <w:p w14:paraId="1816CF4B" w14:textId="77777777" w:rsidR="004776C0" w:rsidRDefault="004776C0" w:rsidP="004776C0">
      <w:pPr>
        <w:spacing w:after="120" w:line="360" w:lineRule="auto"/>
        <w:ind w:firstLine="720"/>
        <w:jc w:val="both"/>
        <w:rPr>
          <w:rFonts w:ascii="Times New Roman" w:hAnsi="Times New Roman" w:cs="Times New Roman"/>
          <w:sz w:val="24"/>
          <w:szCs w:val="24"/>
          <w:lang w:val="en-US"/>
        </w:rPr>
      </w:pPr>
    </w:p>
    <w:p w14:paraId="165E6FC2" w14:textId="3E1B2B37" w:rsidR="00412474" w:rsidRPr="004776C0" w:rsidRDefault="00412474" w:rsidP="004776C0">
      <w:pPr>
        <w:spacing w:after="120" w:line="360" w:lineRule="auto"/>
        <w:ind w:firstLine="720"/>
        <w:jc w:val="both"/>
        <w:rPr>
          <w:rFonts w:ascii="Times New Roman" w:hAnsi="Times New Roman" w:cs="Times New Roman"/>
          <w:sz w:val="24"/>
          <w:szCs w:val="24"/>
        </w:rPr>
      </w:pPr>
      <w:r w:rsidRPr="004776C0">
        <w:rPr>
          <w:rFonts w:ascii="Times New Roman" w:hAnsi="Times New Roman" w:cs="Times New Roman"/>
          <w:sz w:val="24"/>
          <w:szCs w:val="24"/>
        </w:rPr>
        <w:t xml:space="preserve">Според резултатите од </w:t>
      </w:r>
      <w:r w:rsidRPr="004776C0">
        <w:rPr>
          <w:rFonts w:ascii="Times New Roman" w:hAnsi="Times New Roman" w:cs="Times New Roman"/>
          <w:i/>
          <w:iCs/>
          <w:sz w:val="24"/>
          <w:szCs w:val="24"/>
        </w:rPr>
        <w:t>Mann-Whitney U</w:t>
      </w:r>
      <w:r w:rsidRPr="004776C0">
        <w:rPr>
          <w:rFonts w:ascii="Times New Roman" w:hAnsi="Times New Roman" w:cs="Times New Roman"/>
          <w:sz w:val="24"/>
          <w:szCs w:val="24"/>
        </w:rPr>
        <w:t xml:space="preserve"> тестот, p-вредноста изнесува 0.05109 (p(x ≤ Z) = 0.9745). Тоа значи дека веројатноста за грешка од тип I – односно одбивање на точна нулта хипотеза (H₀) – е релативно висока: 5.11</w:t>
      </w:r>
      <w:r w:rsidR="004776C0">
        <w:rPr>
          <w:rFonts w:ascii="Times New Roman" w:hAnsi="Times New Roman" w:cs="Times New Roman"/>
          <w:sz w:val="24"/>
          <w:szCs w:val="24"/>
          <w:lang w:val="en-US"/>
        </w:rPr>
        <w:t xml:space="preserve"> </w:t>
      </w:r>
      <w:r w:rsidRPr="004776C0">
        <w:rPr>
          <w:rFonts w:ascii="Times New Roman" w:hAnsi="Times New Roman" w:cs="Times New Roman"/>
          <w:sz w:val="24"/>
          <w:szCs w:val="24"/>
        </w:rPr>
        <w:t>%. Бидејќи p &gt; α (0.05), не може да се отфрли нултата хипотеза (H₀).</w:t>
      </w:r>
    </w:p>
    <w:p w14:paraId="3FF216C8" w14:textId="27E7CA7E" w:rsidR="00412474" w:rsidRPr="004776C0" w:rsidRDefault="00412474" w:rsidP="004776C0">
      <w:pPr>
        <w:spacing w:after="120" w:line="360" w:lineRule="auto"/>
        <w:ind w:firstLine="720"/>
        <w:jc w:val="both"/>
        <w:rPr>
          <w:rFonts w:ascii="Times New Roman" w:hAnsi="Times New Roman" w:cs="Times New Roman"/>
          <w:sz w:val="24"/>
          <w:szCs w:val="24"/>
        </w:rPr>
      </w:pPr>
      <w:r w:rsidRPr="004776C0">
        <w:rPr>
          <w:rFonts w:ascii="Times New Roman" w:hAnsi="Times New Roman" w:cs="Times New Roman"/>
          <w:sz w:val="24"/>
          <w:szCs w:val="24"/>
        </w:rPr>
        <w:t>Z статистиката изнесува 1.9508, што се наоѓа внатре во 95</w:t>
      </w:r>
      <w:r w:rsidR="004776C0">
        <w:rPr>
          <w:rFonts w:ascii="Times New Roman" w:hAnsi="Times New Roman" w:cs="Times New Roman"/>
          <w:sz w:val="24"/>
          <w:szCs w:val="24"/>
          <w:lang w:val="en-US"/>
        </w:rPr>
        <w:t xml:space="preserve"> </w:t>
      </w:r>
      <w:r w:rsidRPr="004776C0">
        <w:rPr>
          <w:rFonts w:ascii="Times New Roman" w:hAnsi="Times New Roman" w:cs="Times New Roman"/>
          <w:sz w:val="24"/>
          <w:szCs w:val="24"/>
        </w:rPr>
        <w:t>% интервалот на прифаќање: [-1.96 : 1.96]U-вредноста е 2862, која исто така се наоѓа во 95</w:t>
      </w:r>
      <w:r w:rsidR="004776C0">
        <w:rPr>
          <w:rFonts w:ascii="Times New Roman" w:hAnsi="Times New Roman" w:cs="Times New Roman"/>
          <w:sz w:val="24"/>
          <w:szCs w:val="24"/>
          <w:lang w:val="en-US"/>
        </w:rPr>
        <w:t xml:space="preserve"> </w:t>
      </w:r>
      <w:r w:rsidRPr="004776C0">
        <w:rPr>
          <w:rFonts w:ascii="Times New Roman" w:hAnsi="Times New Roman" w:cs="Times New Roman"/>
          <w:sz w:val="24"/>
          <w:szCs w:val="24"/>
        </w:rPr>
        <w:t>% интервалот на прифаќање: [2064.6239 : 2863.3761].</w:t>
      </w:r>
      <w:r w:rsidR="004776C0">
        <w:rPr>
          <w:rFonts w:ascii="Times New Roman" w:hAnsi="Times New Roman" w:cs="Times New Roman"/>
          <w:sz w:val="24"/>
          <w:szCs w:val="24"/>
          <w:lang w:val="en-US"/>
        </w:rPr>
        <w:t xml:space="preserve"> </w:t>
      </w:r>
      <w:r w:rsidRPr="004776C0">
        <w:rPr>
          <w:rFonts w:ascii="Times New Roman" w:hAnsi="Times New Roman" w:cs="Times New Roman"/>
          <w:sz w:val="24"/>
          <w:szCs w:val="24"/>
        </w:rPr>
        <w:t>Случајно избраната вредност на PEB кај пациенти со прекината VKA терапија се смета дека не се разликува значајно од вредноста на PEB кај здравите испитаници. Со други зборови, разликата меѓу двете популации не е доволно голема за да се смета за статистички значајна</w:t>
      </w:r>
      <w:r w:rsidR="00EC49EB" w:rsidRPr="004776C0">
        <w:rPr>
          <w:rFonts w:ascii="Times New Roman" w:hAnsi="Times New Roman" w:cs="Times New Roman"/>
          <w:sz w:val="24"/>
          <w:szCs w:val="24"/>
        </w:rPr>
        <w:t xml:space="preserve"> (графикон бр. 33).</w:t>
      </w:r>
    </w:p>
    <w:p w14:paraId="4560BE10" w14:textId="4D56F22F" w:rsidR="00412474" w:rsidRDefault="00412474" w:rsidP="004776C0">
      <w:pPr>
        <w:spacing w:after="120" w:line="360" w:lineRule="auto"/>
        <w:ind w:firstLine="720"/>
        <w:jc w:val="both"/>
        <w:rPr>
          <w:rFonts w:ascii="Times New Roman" w:hAnsi="Times New Roman" w:cs="Times New Roman"/>
          <w:sz w:val="24"/>
          <w:szCs w:val="24"/>
          <w:lang w:val="en-US"/>
        </w:rPr>
      </w:pPr>
      <w:r w:rsidRPr="004776C0">
        <w:rPr>
          <w:rFonts w:ascii="Times New Roman" w:hAnsi="Times New Roman" w:cs="Times New Roman"/>
          <w:sz w:val="24"/>
          <w:szCs w:val="24"/>
        </w:rPr>
        <w:t>Иако p-вредноста е многу блиску до границата на значајност (0.05), таа не го надминува прагот и затоа, од статистичка гледна точка, не постои значајна разлика. Сепак, вакви резултати може да бидат клинички интересни и вредни за дополнителни истражувања, особено при поголем примерок</w:t>
      </w:r>
      <w:r w:rsidR="00EC49EB" w:rsidRPr="004776C0">
        <w:rPr>
          <w:rFonts w:ascii="Times New Roman" w:hAnsi="Times New Roman" w:cs="Times New Roman"/>
          <w:sz w:val="24"/>
          <w:szCs w:val="24"/>
        </w:rPr>
        <w:t>.</w:t>
      </w:r>
    </w:p>
    <w:p w14:paraId="3D4D8FDA" w14:textId="77777777" w:rsidR="004776C0" w:rsidRDefault="004776C0" w:rsidP="004776C0">
      <w:pPr>
        <w:spacing w:after="120" w:line="360" w:lineRule="auto"/>
        <w:jc w:val="center"/>
        <w:rPr>
          <w:rFonts w:ascii="Times New Roman" w:eastAsia="Calibri" w:hAnsi="Times New Roman" w:cs="Times New Roman"/>
          <w:sz w:val="24"/>
          <w:szCs w:val="24"/>
          <w:lang w:val="en-US"/>
        </w:rPr>
      </w:pPr>
    </w:p>
    <w:p w14:paraId="52187F94" w14:textId="77777777" w:rsidR="004776C0" w:rsidRDefault="004776C0" w:rsidP="004776C0">
      <w:pPr>
        <w:spacing w:after="120" w:line="360" w:lineRule="auto"/>
        <w:jc w:val="center"/>
        <w:rPr>
          <w:rFonts w:ascii="Times New Roman" w:eastAsia="Calibri" w:hAnsi="Times New Roman" w:cs="Times New Roman"/>
          <w:sz w:val="24"/>
          <w:szCs w:val="24"/>
          <w:lang w:val="en-US"/>
        </w:rPr>
      </w:pPr>
    </w:p>
    <w:p w14:paraId="7705C10B" w14:textId="77777777" w:rsidR="004776C0" w:rsidRDefault="004776C0" w:rsidP="004776C0">
      <w:pPr>
        <w:spacing w:after="120" w:line="360" w:lineRule="auto"/>
        <w:jc w:val="center"/>
        <w:rPr>
          <w:rFonts w:ascii="Times New Roman" w:eastAsia="Calibri" w:hAnsi="Times New Roman" w:cs="Times New Roman"/>
          <w:sz w:val="24"/>
          <w:szCs w:val="24"/>
          <w:lang w:val="en-US"/>
        </w:rPr>
      </w:pPr>
    </w:p>
    <w:p w14:paraId="5599F409" w14:textId="10E3321A" w:rsidR="004776C0" w:rsidRPr="004776C0" w:rsidRDefault="004776C0" w:rsidP="004776C0">
      <w:pPr>
        <w:spacing w:after="120" w:line="360" w:lineRule="auto"/>
        <w:jc w:val="center"/>
        <w:rPr>
          <w:rFonts w:ascii="Times New Roman" w:eastAsia="Calibri" w:hAnsi="Times New Roman" w:cs="Times New Roman"/>
          <w:sz w:val="24"/>
          <w:szCs w:val="24"/>
          <w:lang w:val="en-US"/>
        </w:rPr>
      </w:pPr>
      <w:r w:rsidRPr="004776C0">
        <w:rPr>
          <w:rFonts w:ascii="Times New Roman" w:eastAsia="Calibri" w:hAnsi="Times New Roman" w:cs="Times New Roman"/>
          <w:sz w:val="24"/>
          <w:szCs w:val="24"/>
        </w:rPr>
        <w:lastRenderedPageBreak/>
        <w:t>Графикон бр. 33</w:t>
      </w:r>
      <w:r>
        <w:rPr>
          <w:rFonts w:ascii="Times New Roman" w:eastAsia="Calibri" w:hAnsi="Times New Roman" w:cs="Times New Roman"/>
          <w:sz w:val="24"/>
          <w:szCs w:val="24"/>
          <w:lang w:val="en-US"/>
        </w:rPr>
        <w:t>-</w:t>
      </w:r>
      <w:r w:rsidRPr="004776C0">
        <w:rPr>
          <w:rFonts w:ascii="Times New Roman" w:eastAsia="Calibri" w:hAnsi="Times New Roman" w:cs="Times New Roman"/>
          <w:sz w:val="24"/>
          <w:szCs w:val="24"/>
        </w:rPr>
        <w:t xml:space="preserve"> Споредба на PEB кај испитаниците кои примаат VKA/DOAC и ја прекинале терапијата пред интервенцијата, со здрави пациенти (контролна група)</w:t>
      </w:r>
    </w:p>
    <w:p w14:paraId="6D00DFE3" w14:textId="77777777" w:rsidR="004776C0" w:rsidRPr="004776C0" w:rsidRDefault="004776C0" w:rsidP="004776C0">
      <w:pPr>
        <w:spacing w:after="120" w:line="360" w:lineRule="auto"/>
        <w:ind w:firstLine="720"/>
        <w:jc w:val="both"/>
        <w:rPr>
          <w:rFonts w:ascii="Times New Roman" w:hAnsi="Times New Roman" w:cs="Times New Roman"/>
          <w:sz w:val="24"/>
          <w:szCs w:val="24"/>
          <w:lang w:val="en-US"/>
        </w:rPr>
      </w:pPr>
    </w:p>
    <w:p w14:paraId="2B6849A0" w14:textId="77777777" w:rsidR="00412474" w:rsidRPr="00215667" w:rsidRDefault="00412474"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492FA55B" wp14:editId="43E77949">
            <wp:extent cx="970714" cy="1458546"/>
            <wp:effectExtent l="0" t="0" r="0" b="2540"/>
            <wp:docPr id="1600004289" name="Picture 183"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004289" name="Picture 183" descr="A graph of a normal distribution&#10;&#10;AI-generated content may be incorrect."/>
                    <pic:cNvPicPr/>
                  </pic:nvPicPr>
                  <pic:blipFill>
                    <a:blip r:embed="rId75" cstate="print">
                      <a:extLst>
                        <a:ext uri="{28A0092B-C50C-407E-A947-70E740481C1C}">
                          <a14:useLocalDpi xmlns:a14="http://schemas.microsoft.com/office/drawing/2010/main" val="0"/>
                        </a:ext>
                      </a:extLst>
                    </a:blip>
                    <a:stretch>
                      <a:fillRect/>
                    </a:stretch>
                  </pic:blipFill>
                  <pic:spPr>
                    <a:xfrm>
                      <a:off x="0" y="0"/>
                      <a:ext cx="1005280" cy="1510484"/>
                    </a:xfrm>
                    <a:prstGeom prst="rect">
                      <a:avLst/>
                    </a:prstGeom>
                  </pic:spPr>
                </pic:pic>
              </a:graphicData>
            </a:graphic>
          </wp:inline>
        </w:drawing>
      </w:r>
      <w:r w:rsidRPr="00215667">
        <w:rPr>
          <w:rFonts w:ascii="Times New Roman" w:hAnsi="Times New Roman" w:cs="Times New Roman"/>
          <w:b/>
          <w:bCs/>
          <w:noProof/>
          <w:sz w:val="24"/>
          <w:szCs w:val="24"/>
          <w:lang w:val="en-US"/>
          <w14:ligatures w14:val="standardContextual"/>
        </w:rPr>
        <w:drawing>
          <wp:inline distT="0" distB="0" distL="0" distR="0" wp14:anchorId="2224CE92" wp14:editId="791583D6">
            <wp:extent cx="4308230" cy="1492986"/>
            <wp:effectExtent l="0" t="0" r="0" b="5715"/>
            <wp:docPr id="1235724930" name="Picture 184" descr="A graph with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24930" name="Picture 184" descr="A graph with different colors&#10;&#10;AI-generated content may be incorrect."/>
                    <pic:cNvPicPr/>
                  </pic:nvPicPr>
                  <pic:blipFill>
                    <a:blip r:embed="rId76">
                      <a:extLst>
                        <a:ext uri="{28A0092B-C50C-407E-A947-70E740481C1C}">
                          <a14:useLocalDpi xmlns:a14="http://schemas.microsoft.com/office/drawing/2010/main" val="0"/>
                        </a:ext>
                      </a:extLst>
                    </a:blip>
                    <a:stretch>
                      <a:fillRect/>
                    </a:stretch>
                  </pic:blipFill>
                  <pic:spPr>
                    <a:xfrm>
                      <a:off x="0" y="0"/>
                      <a:ext cx="4385036" cy="1519603"/>
                    </a:xfrm>
                    <a:prstGeom prst="rect">
                      <a:avLst/>
                    </a:prstGeom>
                  </pic:spPr>
                </pic:pic>
              </a:graphicData>
            </a:graphic>
          </wp:inline>
        </w:drawing>
      </w:r>
    </w:p>
    <w:p w14:paraId="5ADD427C" w14:textId="77777777" w:rsidR="00412474" w:rsidRPr="00215667" w:rsidRDefault="00412474" w:rsidP="00412474">
      <w:pPr>
        <w:spacing w:line="240" w:lineRule="auto"/>
        <w:rPr>
          <w:rFonts w:ascii="Times New Roman" w:hAnsi="Times New Roman" w:cs="Times New Roman"/>
          <w:b/>
          <w:bCs/>
          <w:sz w:val="24"/>
          <w:szCs w:val="24"/>
        </w:rPr>
      </w:pPr>
    </w:p>
    <w:p w14:paraId="1112AA9D" w14:textId="1A2CAAF5" w:rsidR="00412474" w:rsidRPr="00215667" w:rsidRDefault="00EC49EB"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t>Испитаници кои примаат</w:t>
      </w:r>
      <w:r w:rsidR="00412474" w:rsidRPr="00215667">
        <w:rPr>
          <w:rFonts w:ascii="Times New Roman" w:hAnsi="Times New Roman" w:cs="Times New Roman"/>
          <w:b/>
          <w:bCs/>
          <w:sz w:val="24"/>
          <w:szCs w:val="24"/>
        </w:rPr>
        <w:t xml:space="preserve">  аспирин vs. здрави пациенти</w:t>
      </w:r>
    </w:p>
    <w:p w14:paraId="1DCF1F24" w14:textId="77777777" w:rsidR="004776C0" w:rsidRDefault="004776C0" w:rsidP="004776C0">
      <w:pPr>
        <w:spacing w:after="120" w:line="360" w:lineRule="auto"/>
        <w:ind w:firstLine="720"/>
        <w:jc w:val="both"/>
        <w:rPr>
          <w:rFonts w:ascii="Times New Roman" w:hAnsi="Times New Roman" w:cs="Times New Roman"/>
          <w:sz w:val="24"/>
          <w:szCs w:val="24"/>
        </w:rPr>
      </w:pPr>
    </w:p>
    <w:p w14:paraId="5BBBCE85" w14:textId="43BBFC69" w:rsidR="00412474" w:rsidRPr="004776C0" w:rsidRDefault="00412474" w:rsidP="004776C0">
      <w:pPr>
        <w:spacing w:after="120" w:line="360" w:lineRule="auto"/>
        <w:ind w:firstLine="720"/>
        <w:jc w:val="both"/>
        <w:rPr>
          <w:rFonts w:ascii="Times New Roman" w:hAnsi="Times New Roman" w:cs="Times New Roman"/>
          <w:sz w:val="24"/>
          <w:szCs w:val="24"/>
        </w:rPr>
      </w:pPr>
      <w:r w:rsidRPr="004776C0">
        <w:rPr>
          <w:rFonts w:ascii="Times New Roman" w:hAnsi="Times New Roman" w:cs="Times New Roman"/>
          <w:sz w:val="24"/>
          <w:szCs w:val="24"/>
        </w:rPr>
        <w:t xml:space="preserve">Според резултатите од </w:t>
      </w:r>
      <w:r w:rsidRPr="004776C0">
        <w:rPr>
          <w:rFonts w:ascii="Times New Roman" w:hAnsi="Times New Roman" w:cs="Times New Roman"/>
          <w:i/>
          <w:iCs/>
          <w:sz w:val="24"/>
          <w:szCs w:val="24"/>
        </w:rPr>
        <w:t>Mann-Whitney U</w:t>
      </w:r>
      <w:r w:rsidRPr="004776C0">
        <w:rPr>
          <w:rFonts w:ascii="Times New Roman" w:hAnsi="Times New Roman" w:cs="Times New Roman"/>
          <w:sz w:val="24"/>
          <w:szCs w:val="24"/>
        </w:rPr>
        <w:t xml:space="preserve"> тестот, Z статистиката изнесува 2.4138, што не се наоѓа во 95</w:t>
      </w:r>
      <w:r w:rsidR="004776C0">
        <w:rPr>
          <w:rFonts w:ascii="Times New Roman" w:hAnsi="Times New Roman" w:cs="Times New Roman"/>
          <w:sz w:val="24"/>
          <w:szCs w:val="24"/>
          <w:lang w:val="en-US"/>
        </w:rPr>
        <w:t xml:space="preserve"> </w:t>
      </w:r>
      <w:r w:rsidRPr="004776C0">
        <w:rPr>
          <w:rFonts w:ascii="Times New Roman" w:hAnsi="Times New Roman" w:cs="Times New Roman"/>
          <w:sz w:val="24"/>
          <w:szCs w:val="24"/>
        </w:rPr>
        <w:t>% интервалот на прифаќање: [-1.96 : 1.96].</w:t>
      </w:r>
      <w:r w:rsidR="004776C0">
        <w:rPr>
          <w:rFonts w:ascii="Times New Roman" w:hAnsi="Times New Roman" w:cs="Times New Roman"/>
          <w:sz w:val="24"/>
          <w:szCs w:val="24"/>
          <w:lang w:val="en-US"/>
        </w:rPr>
        <w:t xml:space="preserve"> </w:t>
      </w:r>
      <w:r w:rsidRPr="004776C0">
        <w:rPr>
          <w:rFonts w:ascii="Times New Roman" w:hAnsi="Times New Roman" w:cs="Times New Roman"/>
          <w:sz w:val="24"/>
          <w:szCs w:val="24"/>
        </w:rPr>
        <w:t>U-вредноста е 3185.5, која исто така не се наоѓа во 95</w:t>
      </w:r>
      <w:r w:rsidR="004776C0">
        <w:rPr>
          <w:rFonts w:ascii="Times New Roman" w:hAnsi="Times New Roman" w:cs="Times New Roman"/>
          <w:sz w:val="24"/>
          <w:szCs w:val="24"/>
          <w:lang w:val="en-US"/>
        </w:rPr>
        <w:t xml:space="preserve"> </w:t>
      </w:r>
      <w:r w:rsidRPr="004776C0">
        <w:rPr>
          <w:rFonts w:ascii="Times New Roman" w:hAnsi="Times New Roman" w:cs="Times New Roman"/>
          <w:sz w:val="24"/>
          <w:szCs w:val="24"/>
        </w:rPr>
        <w:t xml:space="preserve">% интервалот на прифаќање: [2226.4636 : 3085.5364]. </w:t>
      </w:r>
      <w:r w:rsidR="004776C0">
        <w:rPr>
          <w:rFonts w:ascii="Times New Roman" w:hAnsi="Times New Roman" w:cs="Times New Roman"/>
          <w:sz w:val="24"/>
          <w:szCs w:val="24"/>
          <w:lang w:val="en-US"/>
        </w:rPr>
        <w:t>P</w:t>
      </w:r>
      <w:r w:rsidRPr="004776C0">
        <w:rPr>
          <w:rFonts w:ascii="Times New Roman" w:hAnsi="Times New Roman" w:cs="Times New Roman"/>
          <w:sz w:val="24"/>
          <w:szCs w:val="24"/>
        </w:rPr>
        <w:t>-вредноста изнесува 0.01579 (p(x ≤ Z) = 0.9921). Тоа значи дека веројатноста за грешка од тип I – односно одбивање на точна нулта хипотеза (H₀) – е мала, конкретно 1.58</w:t>
      </w:r>
      <w:r w:rsidR="004776C0">
        <w:rPr>
          <w:rFonts w:ascii="Times New Roman" w:hAnsi="Times New Roman" w:cs="Times New Roman"/>
          <w:sz w:val="24"/>
          <w:szCs w:val="24"/>
          <w:lang w:val="en-US"/>
        </w:rPr>
        <w:t xml:space="preserve"> </w:t>
      </w:r>
      <w:r w:rsidRPr="004776C0">
        <w:rPr>
          <w:rFonts w:ascii="Times New Roman" w:hAnsi="Times New Roman" w:cs="Times New Roman"/>
          <w:sz w:val="24"/>
          <w:szCs w:val="24"/>
        </w:rPr>
        <w:t>%.</w:t>
      </w:r>
      <w:r w:rsidR="004776C0">
        <w:rPr>
          <w:rFonts w:ascii="Times New Roman" w:hAnsi="Times New Roman" w:cs="Times New Roman"/>
          <w:sz w:val="24"/>
          <w:szCs w:val="24"/>
          <w:lang w:val="en-US"/>
        </w:rPr>
        <w:t xml:space="preserve"> </w:t>
      </w:r>
      <w:r w:rsidRPr="004776C0">
        <w:rPr>
          <w:rFonts w:ascii="Times New Roman" w:hAnsi="Times New Roman" w:cs="Times New Roman"/>
          <w:sz w:val="24"/>
          <w:szCs w:val="24"/>
        </w:rPr>
        <w:t>Бидејќи p &lt; α (0.05), се отфрла нултата хипотеза (H₀).</w:t>
      </w:r>
    </w:p>
    <w:p w14:paraId="25C8A5EE" w14:textId="77777777" w:rsidR="00215667" w:rsidRDefault="00412474" w:rsidP="004776C0">
      <w:pPr>
        <w:spacing w:after="120" w:line="360" w:lineRule="auto"/>
        <w:ind w:firstLine="720"/>
        <w:jc w:val="both"/>
        <w:rPr>
          <w:rFonts w:ascii="Times New Roman" w:hAnsi="Times New Roman" w:cs="Times New Roman"/>
          <w:sz w:val="24"/>
          <w:szCs w:val="24"/>
          <w:lang w:val="en-US"/>
        </w:rPr>
      </w:pPr>
      <w:r w:rsidRPr="004776C0">
        <w:rPr>
          <w:rFonts w:ascii="Times New Roman" w:hAnsi="Times New Roman" w:cs="Times New Roman"/>
          <w:sz w:val="24"/>
          <w:szCs w:val="24"/>
        </w:rPr>
        <w:t>Случајно избраната вредност на PEB кај популацијата што прима аспирин се смета дека се разликува од случајно избраната вредност на PEB кај здравите испитаници.</w:t>
      </w:r>
      <w:r w:rsidR="00215667" w:rsidRPr="004776C0">
        <w:rPr>
          <w:rFonts w:ascii="Times New Roman" w:hAnsi="Times New Roman" w:cs="Times New Roman"/>
          <w:sz w:val="24"/>
          <w:szCs w:val="24"/>
        </w:rPr>
        <w:t xml:space="preserve"> </w:t>
      </w:r>
      <w:r w:rsidRPr="004776C0">
        <w:rPr>
          <w:rFonts w:ascii="Times New Roman" w:hAnsi="Times New Roman" w:cs="Times New Roman"/>
          <w:sz w:val="24"/>
          <w:szCs w:val="24"/>
        </w:rPr>
        <w:t>Со други зборови, разликата меѓу двете популации е доволно голема за да се смета за статистички значајна</w:t>
      </w:r>
      <w:r w:rsidR="00EC49EB" w:rsidRPr="004776C0">
        <w:rPr>
          <w:rFonts w:ascii="Times New Roman" w:hAnsi="Times New Roman" w:cs="Times New Roman"/>
          <w:sz w:val="24"/>
          <w:szCs w:val="24"/>
        </w:rPr>
        <w:t xml:space="preserve"> (графикон бр. 34).</w:t>
      </w:r>
    </w:p>
    <w:p w14:paraId="729E52BA" w14:textId="77777777" w:rsidR="004776C0" w:rsidRDefault="004776C0" w:rsidP="004776C0">
      <w:pPr>
        <w:spacing w:after="120" w:line="360" w:lineRule="auto"/>
        <w:jc w:val="center"/>
        <w:rPr>
          <w:rFonts w:ascii="Times New Roman" w:eastAsia="Calibri" w:hAnsi="Times New Roman" w:cs="Times New Roman"/>
          <w:sz w:val="24"/>
          <w:szCs w:val="24"/>
        </w:rPr>
      </w:pPr>
    </w:p>
    <w:p w14:paraId="15528C95" w14:textId="77777777" w:rsidR="004776C0" w:rsidRDefault="004776C0" w:rsidP="004776C0">
      <w:pPr>
        <w:spacing w:after="120" w:line="360" w:lineRule="auto"/>
        <w:jc w:val="center"/>
        <w:rPr>
          <w:rFonts w:ascii="Times New Roman" w:eastAsia="Calibri" w:hAnsi="Times New Roman" w:cs="Times New Roman"/>
          <w:sz w:val="24"/>
          <w:szCs w:val="24"/>
        </w:rPr>
      </w:pPr>
    </w:p>
    <w:p w14:paraId="4CEE24A9" w14:textId="77777777" w:rsidR="004776C0" w:rsidRDefault="004776C0" w:rsidP="004776C0">
      <w:pPr>
        <w:spacing w:after="120" w:line="360" w:lineRule="auto"/>
        <w:jc w:val="center"/>
        <w:rPr>
          <w:rFonts w:ascii="Times New Roman" w:eastAsia="Calibri" w:hAnsi="Times New Roman" w:cs="Times New Roman"/>
          <w:sz w:val="24"/>
          <w:szCs w:val="24"/>
        </w:rPr>
      </w:pPr>
    </w:p>
    <w:p w14:paraId="3866B2FE" w14:textId="77777777" w:rsidR="004776C0" w:rsidRDefault="004776C0" w:rsidP="004776C0">
      <w:pPr>
        <w:spacing w:after="120" w:line="360" w:lineRule="auto"/>
        <w:jc w:val="center"/>
        <w:rPr>
          <w:rFonts w:ascii="Times New Roman" w:eastAsia="Calibri" w:hAnsi="Times New Roman" w:cs="Times New Roman"/>
          <w:sz w:val="24"/>
          <w:szCs w:val="24"/>
        </w:rPr>
      </w:pPr>
    </w:p>
    <w:p w14:paraId="725819B7" w14:textId="77777777" w:rsidR="004776C0" w:rsidRDefault="004776C0" w:rsidP="004776C0">
      <w:pPr>
        <w:spacing w:after="120" w:line="360" w:lineRule="auto"/>
        <w:jc w:val="center"/>
        <w:rPr>
          <w:rFonts w:ascii="Times New Roman" w:eastAsia="Calibri" w:hAnsi="Times New Roman" w:cs="Times New Roman"/>
          <w:sz w:val="24"/>
          <w:szCs w:val="24"/>
        </w:rPr>
      </w:pPr>
    </w:p>
    <w:p w14:paraId="11CA6BCC" w14:textId="56ED8D71" w:rsidR="004776C0" w:rsidRPr="004776C0" w:rsidRDefault="004776C0" w:rsidP="004776C0">
      <w:pPr>
        <w:spacing w:after="120" w:line="360" w:lineRule="auto"/>
        <w:jc w:val="center"/>
        <w:rPr>
          <w:rFonts w:ascii="Times New Roman" w:eastAsia="Calibri" w:hAnsi="Times New Roman" w:cs="Times New Roman"/>
          <w:sz w:val="24"/>
          <w:szCs w:val="24"/>
        </w:rPr>
      </w:pPr>
      <w:r w:rsidRPr="004776C0">
        <w:rPr>
          <w:rFonts w:ascii="Times New Roman" w:eastAsia="Calibri" w:hAnsi="Times New Roman" w:cs="Times New Roman"/>
          <w:sz w:val="24"/>
          <w:szCs w:val="24"/>
        </w:rPr>
        <w:lastRenderedPageBreak/>
        <w:t>Графикон бр. 34</w:t>
      </w:r>
      <w:r>
        <w:rPr>
          <w:rFonts w:ascii="Times New Roman" w:eastAsia="Calibri" w:hAnsi="Times New Roman" w:cs="Times New Roman"/>
          <w:sz w:val="24"/>
          <w:szCs w:val="24"/>
          <w:lang w:val="en-US"/>
        </w:rPr>
        <w:t>-</w:t>
      </w:r>
      <w:r w:rsidRPr="004776C0">
        <w:rPr>
          <w:rFonts w:ascii="Times New Roman" w:eastAsia="Calibri" w:hAnsi="Times New Roman" w:cs="Times New Roman"/>
          <w:sz w:val="24"/>
          <w:szCs w:val="24"/>
        </w:rPr>
        <w:t xml:space="preserve"> Споредба на PEB кај испитаниците кои примаат аспирин, со здрави пациенти (контролна група)</w:t>
      </w:r>
      <w:r>
        <w:rPr>
          <w:rFonts w:ascii="Times New Roman" w:eastAsia="Calibri" w:hAnsi="Times New Roman" w:cs="Times New Roman"/>
          <w:sz w:val="24"/>
          <w:szCs w:val="24"/>
          <w:lang w:val="en-US"/>
        </w:rPr>
        <w:t xml:space="preserve"> </w:t>
      </w:r>
    </w:p>
    <w:p w14:paraId="4EEEB7A1" w14:textId="3FBBE18D" w:rsidR="00412474" w:rsidRPr="00215667" w:rsidRDefault="00215667" w:rsidP="00412474">
      <w:pPr>
        <w:pStyle w:val="p3"/>
      </w:pPr>
      <w:r w:rsidRPr="00215667">
        <w:rPr>
          <w:noProof/>
          <w:lang w:val="en-US" w:eastAsia="en-US"/>
          <w14:ligatures w14:val="standardContextual"/>
        </w:rPr>
        <w:drawing>
          <wp:inline distT="0" distB="0" distL="0" distR="0" wp14:anchorId="44F2D0A6" wp14:editId="061F75C4">
            <wp:extent cx="5400040" cy="1666240"/>
            <wp:effectExtent l="0" t="0" r="0" b="0"/>
            <wp:docPr id="349383747" name="Picture 46" descr="A blue and red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383747" name="Picture 46" descr="A blue and red square with white text&#10;&#10;AI-generated content may be incorrect."/>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00040" cy="1666240"/>
                    </a:xfrm>
                    <a:prstGeom prst="rect">
                      <a:avLst/>
                    </a:prstGeom>
                  </pic:spPr>
                </pic:pic>
              </a:graphicData>
            </a:graphic>
          </wp:inline>
        </w:drawing>
      </w:r>
    </w:p>
    <w:p w14:paraId="37078A3C" w14:textId="268F230C" w:rsidR="00412474" w:rsidRPr="00E305DF" w:rsidRDefault="00E305DF" w:rsidP="00E305DF">
      <w:pPr>
        <w:spacing w:line="240" w:lineRule="auto"/>
        <w:jc w:val="both"/>
        <w:rPr>
          <w:rFonts w:ascii="Times New Roman" w:hAnsi="Times New Roman" w:cs="Times New Roman"/>
          <w:b/>
          <w:bCs/>
          <w:sz w:val="20"/>
          <w:szCs w:val="20"/>
        </w:rPr>
      </w:pPr>
      <w:r w:rsidRPr="00E305DF">
        <w:rPr>
          <w:rFonts w:ascii="Times New Roman" w:eastAsia="Calibri" w:hAnsi="Times New Roman" w:cs="Times New Roman"/>
          <w:sz w:val="20"/>
          <w:szCs w:val="20"/>
        </w:rPr>
        <w:t>*</w:t>
      </w:r>
      <w:r>
        <w:rPr>
          <w:rFonts w:ascii="Times New Roman" w:eastAsia="Calibri" w:hAnsi="Times New Roman" w:cs="Times New Roman"/>
          <w:sz w:val="20"/>
          <w:szCs w:val="20"/>
        </w:rPr>
        <w:t xml:space="preserve"> </w:t>
      </w:r>
      <w:r w:rsidR="004776C0" w:rsidRPr="00E305DF">
        <w:rPr>
          <w:rFonts w:ascii="Times New Roman" w:eastAsia="Calibri" w:hAnsi="Times New Roman" w:cs="Times New Roman"/>
          <w:sz w:val="20"/>
          <w:szCs w:val="20"/>
        </w:rPr>
        <w:t>црвената боја на графиконот ги означува пациентите кои примаат терапија со аспирин, а кај кои PEB е поназначено во однос на контролната група;</w:t>
      </w:r>
    </w:p>
    <w:p w14:paraId="374EE51B" w14:textId="77777777" w:rsidR="00412474" w:rsidRPr="00215667" w:rsidRDefault="00412474"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3124D796" wp14:editId="6D6F6357">
            <wp:extent cx="5400040" cy="1981200"/>
            <wp:effectExtent l="0" t="0" r="0" b="0"/>
            <wp:docPr id="8840442" name="Picture 187" descr="A graph with a bar graph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0442" name="Picture 187" descr="A graph with a bar graph and numbers&#10;&#10;AI-generated content may be incorrect."/>
                    <pic:cNvPicPr/>
                  </pic:nvPicPr>
                  <pic:blipFill>
                    <a:blip r:embed="rId78">
                      <a:extLst>
                        <a:ext uri="{28A0092B-C50C-407E-A947-70E740481C1C}">
                          <a14:useLocalDpi xmlns:a14="http://schemas.microsoft.com/office/drawing/2010/main" val="0"/>
                        </a:ext>
                      </a:extLst>
                    </a:blip>
                    <a:stretch>
                      <a:fillRect/>
                    </a:stretch>
                  </pic:blipFill>
                  <pic:spPr>
                    <a:xfrm>
                      <a:off x="0" y="0"/>
                      <a:ext cx="5400040" cy="1981200"/>
                    </a:xfrm>
                    <a:prstGeom prst="rect">
                      <a:avLst/>
                    </a:prstGeom>
                  </pic:spPr>
                </pic:pic>
              </a:graphicData>
            </a:graphic>
          </wp:inline>
        </w:drawing>
      </w:r>
    </w:p>
    <w:p w14:paraId="68B81752" w14:textId="77777777" w:rsidR="00412474" w:rsidRPr="00215667" w:rsidRDefault="00412474" w:rsidP="00412474">
      <w:pPr>
        <w:spacing w:line="240" w:lineRule="auto"/>
        <w:jc w:val="center"/>
        <w:rPr>
          <w:rFonts w:ascii="Times New Roman" w:hAnsi="Times New Roman" w:cs="Times New Roman"/>
          <w:b/>
          <w:bCs/>
          <w:sz w:val="24"/>
          <w:szCs w:val="24"/>
        </w:rPr>
      </w:pPr>
    </w:p>
    <w:p w14:paraId="79638ECF" w14:textId="77777777"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t>Аспирин непрекинат vs. здрави пациенти</w:t>
      </w:r>
    </w:p>
    <w:p w14:paraId="7B6A9C39" w14:textId="77777777" w:rsidR="00412474" w:rsidRPr="00215667" w:rsidRDefault="00412474" w:rsidP="00412474">
      <w:pPr>
        <w:spacing w:line="240" w:lineRule="auto"/>
        <w:rPr>
          <w:rFonts w:ascii="Times New Roman" w:hAnsi="Times New Roman" w:cs="Times New Roman"/>
          <w:b/>
          <w:bCs/>
          <w:sz w:val="24"/>
          <w:szCs w:val="24"/>
        </w:rPr>
      </w:pPr>
    </w:p>
    <w:p w14:paraId="43F82EAB" w14:textId="75744295" w:rsidR="00412474" w:rsidRPr="004776C0" w:rsidRDefault="00412474" w:rsidP="004776C0">
      <w:pPr>
        <w:spacing w:after="120" w:line="360" w:lineRule="auto"/>
        <w:ind w:firstLine="720"/>
        <w:jc w:val="both"/>
        <w:rPr>
          <w:rFonts w:ascii="Times New Roman" w:hAnsi="Times New Roman" w:cs="Times New Roman"/>
          <w:sz w:val="24"/>
          <w:szCs w:val="24"/>
        </w:rPr>
      </w:pPr>
      <w:r w:rsidRPr="004776C0">
        <w:rPr>
          <w:rFonts w:ascii="Times New Roman" w:hAnsi="Times New Roman" w:cs="Times New Roman"/>
          <w:sz w:val="24"/>
          <w:szCs w:val="24"/>
        </w:rPr>
        <w:t xml:space="preserve">Според резултатите од </w:t>
      </w:r>
      <w:r w:rsidRPr="004776C0">
        <w:rPr>
          <w:rFonts w:ascii="Times New Roman" w:hAnsi="Times New Roman" w:cs="Times New Roman"/>
          <w:i/>
          <w:iCs/>
          <w:sz w:val="24"/>
          <w:szCs w:val="24"/>
        </w:rPr>
        <w:t>Mann-Whitney U</w:t>
      </w:r>
      <w:r w:rsidRPr="004776C0">
        <w:rPr>
          <w:rFonts w:ascii="Times New Roman" w:hAnsi="Times New Roman" w:cs="Times New Roman"/>
          <w:sz w:val="24"/>
          <w:szCs w:val="24"/>
        </w:rPr>
        <w:t xml:space="preserve"> тестот, p-вредноста изнесува 0.000001324 (p(x ≤ Z) = 1). Ова укажува дека веројатноста за грешка од тип I – односно одбивање на точна нулта хипотеза (H₀) – е многу мала, конкретно 0.00013</w:t>
      </w:r>
      <w:r w:rsidR="004776C0">
        <w:rPr>
          <w:rFonts w:ascii="Times New Roman" w:hAnsi="Times New Roman" w:cs="Times New Roman"/>
          <w:sz w:val="24"/>
          <w:szCs w:val="24"/>
        </w:rPr>
        <w:t xml:space="preserve"> </w:t>
      </w:r>
      <w:r w:rsidRPr="004776C0">
        <w:rPr>
          <w:rFonts w:ascii="Times New Roman" w:hAnsi="Times New Roman" w:cs="Times New Roman"/>
          <w:sz w:val="24"/>
          <w:szCs w:val="24"/>
        </w:rPr>
        <w:t>%.</w:t>
      </w:r>
      <w:r w:rsidR="004776C0">
        <w:rPr>
          <w:rFonts w:ascii="Times New Roman" w:hAnsi="Times New Roman" w:cs="Times New Roman"/>
          <w:sz w:val="24"/>
          <w:szCs w:val="24"/>
        </w:rPr>
        <w:t xml:space="preserve"> </w:t>
      </w:r>
      <w:r w:rsidRPr="004776C0">
        <w:rPr>
          <w:rFonts w:ascii="Times New Roman" w:hAnsi="Times New Roman" w:cs="Times New Roman"/>
          <w:sz w:val="24"/>
          <w:szCs w:val="24"/>
        </w:rPr>
        <w:t>Бидејќи p &lt; α (0.05), се отфрла нултата хипотеза (H₀). Z статистиката изнесува 4.8362, што не се наоѓа во 95</w:t>
      </w:r>
      <w:r w:rsidR="004776C0">
        <w:rPr>
          <w:rFonts w:ascii="Times New Roman" w:hAnsi="Times New Roman" w:cs="Times New Roman"/>
          <w:sz w:val="24"/>
          <w:szCs w:val="24"/>
        </w:rPr>
        <w:t xml:space="preserve"> </w:t>
      </w:r>
      <w:r w:rsidRPr="004776C0">
        <w:rPr>
          <w:rFonts w:ascii="Times New Roman" w:hAnsi="Times New Roman" w:cs="Times New Roman"/>
          <w:sz w:val="24"/>
          <w:szCs w:val="24"/>
        </w:rPr>
        <w:t>% интервалот на прифаќање: [-1.96 : 1.96].</w:t>
      </w:r>
      <w:r w:rsidR="004776C0">
        <w:rPr>
          <w:rFonts w:ascii="Times New Roman" w:hAnsi="Times New Roman" w:cs="Times New Roman"/>
          <w:sz w:val="24"/>
          <w:szCs w:val="24"/>
        </w:rPr>
        <w:t xml:space="preserve"> </w:t>
      </w:r>
      <w:r w:rsidRPr="004776C0">
        <w:rPr>
          <w:rFonts w:ascii="Times New Roman" w:hAnsi="Times New Roman" w:cs="Times New Roman"/>
          <w:sz w:val="24"/>
          <w:szCs w:val="24"/>
        </w:rPr>
        <w:t>U-вредноста е 583, која исто така не се наоѓа во 95</w:t>
      </w:r>
      <w:r w:rsidR="004776C0">
        <w:rPr>
          <w:rFonts w:ascii="Times New Roman" w:hAnsi="Times New Roman" w:cs="Times New Roman"/>
          <w:sz w:val="24"/>
          <w:szCs w:val="24"/>
        </w:rPr>
        <w:t xml:space="preserve"> </w:t>
      </w:r>
      <w:r w:rsidRPr="004776C0">
        <w:rPr>
          <w:rFonts w:ascii="Times New Roman" w:hAnsi="Times New Roman" w:cs="Times New Roman"/>
          <w:sz w:val="24"/>
          <w:szCs w:val="24"/>
        </w:rPr>
        <w:t>% интервалот на прифаќање: [213.6159 : 426.3841].</w:t>
      </w:r>
    </w:p>
    <w:p w14:paraId="7C6D771B" w14:textId="3D3CA8F0" w:rsidR="00215667" w:rsidRPr="00215667" w:rsidRDefault="00412474" w:rsidP="004776C0">
      <w:pPr>
        <w:spacing w:after="120" w:line="360" w:lineRule="auto"/>
        <w:ind w:firstLine="720"/>
        <w:jc w:val="both"/>
      </w:pPr>
      <w:r w:rsidRPr="004776C0">
        <w:rPr>
          <w:rFonts w:ascii="Times New Roman" w:hAnsi="Times New Roman" w:cs="Times New Roman"/>
          <w:sz w:val="24"/>
          <w:szCs w:val="24"/>
        </w:rPr>
        <w:t>Случајно избраната вредност на PEB кај популацијата што прима аспирин континуирано се смета дека се разликува од случајно избраната вредност на PEB кај здравите испитаници.</w:t>
      </w:r>
      <w:r w:rsidR="004776C0">
        <w:rPr>
          <w:rFonts w:ascii="Times New Roman" w:hAnsi="Times New Roman" w:cs="Times New Roman"/>
          <w:sz w:val="24"/>
          <w:szCs w:val="24"/>
        </w:rPr>
        <w:t xml:space="preserve"> </w:t>
      </w:r>
      <w:r w:rsidRPr="004776C0">
        <w:rPr>
          <w:rFonts w:ascii="Times New Roman" w:hAnsi="Times New Roman" w:cs="Times New Roman"/>
          <w:sz w:val="24"/>
          <w:szCs w:val="24"/>
        </w:rPr>
        <w:t xml:space="preserve">Со други зборови, разликата меѓу двете популации е </w:t>
      </w:r>
      <w:r w:rsidRPr="004776C0">
        <w:rPr>
          <w:rFonts w:ascii="Times New Roman" w:hAnsi="Times New Roman" w:cs="Times New Roman"/>
          <w:sz w:val="24"/>
          <w:szCs w:val="24"/>
        </w:rPr>
        <w:lastRenderedPageBreak/>
        <w:t>статистички значајна, односно PEB е значајно повисок кај испитаниците кои примаат аспирин непрекинато, во споредба со здравите испитаници</w:t>
      </w:r>
      <w:r w:rsidR="00EC49EB" w:rsidRPr="004776C0">
        <w:rPr>
          <w:rFonts w:ascii="Times New Roman" w:hAnsi="Times New Roman" w:cs="Times New Roman"/>
          <w:sz w:val="24"/>
          <w:szCs w:val="24"/>
        </w:rPr>
        <w:t xml:space="preserve"> (графикон бр. 35).</w:t>
      </w:r>
      <w:r w:rsidR="00215667" w:rsidRPr="004776C0">
        <w:rPr>
          <w:rFonts w:ascii="Times New Roman" w:hAnsi="Times New Roman" w:cs="Times New Roman"/>
          <w:sz w:val="24"/>
          <w:szCs w:val="24"/>
        </w:rPr>
        <w:t xml:space="preserve"> Делот од пациентите кои ја примаат терапија со аспирин, а кај кои PEB е поголемо во споредба со контролната група, имаат повисоки вредности на HAS-</w:t>
      </w:r>
      <w:r w:rsidR="00215667" w:rsidRPr="004776C0">
        <w:rPr>
          <w:rFonts w:ascii="Times New Roman" w:hAnsi="Times New Roman" w:cs="Times New Roman"/>
          <w:sz w:val="24"/>
          <w:szCs w:val="24"/>
          <w:lang w:val="en-US"/>
        </w:rPr>
        <w:t xml:space="preserve">BLED </w:t>
      </w:r>
      <w:r w:rsidR="00FA7E6F">
        <w:rPr>
          <w:rFonts w:ascii="Times New Roman" w:hAnsi="Times New Roman" w:cs="Times New Roman"/>
          <w:sz w:val="24"/>
          <w:szCs w:val="24"/>
        </w:rPr>
        <w:t>индексот</w:t>
      </w:r>
      <w:r w:rsidR="00215667" w:rsidRPr="004776C0">
        <w:rPr>
          <w:rFonts w:ascii="Times New Roman" w:hAnsi="Times New Roman" w:cs="Times New Roman"/>
          <w:sz w:val="24"/>
          <w:szCs w:val="24"/>
        </w:rPr>
        <w:t xml:space="preserve">. Подетална анализа на влијанието на </w:t>
      </w:r>
      <w:r w:rsidR="00215667" w:rsidRPr="004776C0">
        <w:rPr>
          <w:rFonts w:ascii="Times New Roman" w:hAnsi="Times New Roman" w:cs="Times New Roman"/>
          <w:sz w:val="24"/>
          <w:szCs w:val="24"/>
          <w:lang w:val="en-US"/>
        </w:rPr>
        <w:t xml:space="preserve">HAS-BLED </w:t>
      </w:r>
      <w:r w:rsidR="00FA7E6F">
        <w:rPr>
          <w:rFonts w:ascii="Times New Roman" w:hAnsi="Times New Roman" w:cs="Times New Roman"/>
          <w:sz w:val="24"/>
          <w:szCs w:val="24"/>
        </w:rPr>
        <w:t>индексот</w:t>
      </w:r>
      <w:r w:rsidR="00215667" w:rsidRPr="004776C0">
        <w:rPr>
          <w:rFonts w:ascii="Times New Roman" w:hAnsi="Times New Roman" w:cs="Times New Roman"/>
          <w:sz w:val="24"/>
          <w:szCs w:val="24"/>
        </w:rPr>
        <w:t xml:space="preserve"> врз постекстракционото крвавење е направена подоцна во овој труд.</w:t>
      </w:r>
    </w:p>
    <w:p w14:paraId="5F43A688" w14:textId="59B8CA9D" w:rsidR="00E305DF" w:rsidRPr="00E305DF" w:rsidRDefault="00E305DF" w:rsidP="00E305DF">
      <w:pPr>
        <w:spacing w:after="120" w:line="360" w:lineRule="auto"/>
        <w:jc w:val="center"/>
        <w:rPr>
          <w:rFonts w:ascii="Times New Roman" w:eastAsia="Calibri" w:hAnsi="Times New Roman" w:cs="Times New Roman"/>
          <w:sz w:val="24"/>
          <w:szCs w:val="24"/>
        </w:rPr>
      </w:pPr>
      <w:r w:rsidRPr="00E305DF">
        <w:rPr>
          <w:rFonts w:ascii="Times New Roman" w:eastAsia="Calibri" w:hAnsi="Times New Roman" w:cs="Times New Roman"/>
          <w:sz w:val="24"/>
          <w:szCs w:val="24"/>
        </w:rPr>
        <w:t>Графикон бр. 35</w:t>
      </w:r>
      <w:r>
        <w:rPr>
          <w:rFonts w:ascii="Times New Roman" w:eastAsia="Calibri" w:hAnsi="Times New Roman" w:cs="Times New Roman"/>
          <w:sz w:val="24"/>
          <w:szCs w:val="24"/>
        </w:rPr>
        <w:t>-</w:t>
      </w:r>
      <w:r w:rsidRPr="00E305DF">
        <w:rPr>
          <w:rFonts w:ascii="Times New Roman" w:eastAsia="Calibri" w:hAnsi="Times New Roman" w:cs="Times New Roman"/>
          <w:sz w:val="24"/>
          <w:szCs w:val="24"/>
        </w:rPr>
        <w:t xml:space="preserve"> Споредба на PEB кај испитаниците кои примаат аспирин</w:t>
      </w:r>
      <w:r>
        <w:rPr>
          <w:rFonts w:ascii="Times New Roman" w:eastAsia="Calibri" w:hAnsi="Times New Roman" w:cs="Times New Roman"/>
          <w:sz w:val="24"/>
          <w:szCs w:val="24"/>
        </w:rPr>
        <w:t xml:space="preserve"> </w:t>
      </w:r>
      <w:r w:rsidRPr="00E305DF">
        <w:rPr>
          <w:rFonts w:ascii="Times New Roman" w:eastAsia="Calibri" w:hAnsi="Times New Roman" w:cs="Times New Roman"/>
          <w:sz w:val="24"/>
          <w:szCs w:val="24"/>
        </w:rPr>
        <w:t>непрекинато, со здрави пациенти (контролна група)</w:t>
      </w:r>
    </w:p>
    <w:p w14:paraId="16DA0EB7" w14:textId="77777777" w:rsidR="00412474" w:rsidRPr="00215667" w:rsidRDefault="00412474" w:rsidP="00412474">
      <w:pPr>
        <w:pStyle w:val="p1"/>
        <w:jc w:val="center"/>
      </w:pPr>
      <w:r w:rsidRPr="00215667">
        <w:rPr>
          <w:noProof/>
          <w:lang w:val="en-US" w:eastAsia="en-US"/>
          <w14:ligatures w14:val="standardContextual"/>
        </w:rPr>
        <w:drawing>
          <wp:inline distT="0" distB="0" distL="0" distR="0" wp14:anchorId="6542F63E" wp14:editId="54ED891B">
            <wp:extent cx="999548" cy="1563726"/>
            <wp:effectExtent l="0" t="0" r="3810" b="0"/>
            <wp:docPr id="39555228" name="Picture 188" descr="A graph with a green and red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55228" name="Picture 188" descr="A graph with a green and red line&#10;&#10;AI-generated content may be incorrect."/>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038077" cy="1624002"/>
                    </a:xfrm>
                    <a:prstGeom prst="rect">
                      <a:avLst/>
                    </a:prstGeom>
                  </pic:spPr>
                </pic:pic>
              </a:graphicData>
            </a:graphic>
          </wp:inline>
        </w:drawing>
      </w:r>
      <w:r w:rsidRPr="00215667">
        <w:rPr>
          <w:noProof/>
          <w:lang w:val="en-US" w:eastAsia="en-US"/>
          <w14:ligatures w14:val="standardContextual"/>
        </w:rPr>
        <w:drawing>
          <wp:inline distT="0" distB="0" distL="0" distR="0" wp14:anchorId="37B1AFD2" wp14:editId="379C06FD">
            <wp:extent cx="4161155" cy="1477249"/>
            <wp:effectExtent l="0" t="0" r="4445" b="0"/>
            <wp:docPr id="1702005081" name="Picture 190" descr="A graph with blue and orang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2005081" name="Picture 190" descr="A graph with blue and orange squares&#10;&#10;AI-generated content may be incorrect."/>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240780" cy="1505517"/>
                    </a:xfrm>
                    <a:prstGeom prst="rect">
                      <a:avLst/>
                    </a:prstGeom>
                  </pic:spPr>
                </pic:pic>
              </a:graphicData>
            </a:graphic>
          </wp:inline>
        </w:drawing>
      </w:r>
    </w:p>
    <w:p w14:paraId="467349BD" w14:textId="77777777"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0424A1AB" wp14:editId="0C5ADED6">
            <wp:extent cx="5400040" cy="1907931"/>
            <wp:effectExtent l="0" t="0" r="0" b="0"/>
            <wp:docPr id="1295235548" name="Picture 191" descr="A graph with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235548" name="Picture 191" descr="A graph with a bar graph&#10;&#10;AI-generated content may be incorrect."/>
                    <pic:cNvPicPr/>
                  </pic:nvPicPr>
                  <pic:blipFill rotWithShape="1">
                    <a:blip r:embed="rId81">
                      <a:extLst>
                        <a:ext uri="{28A0092B-C50C-407E-A947-70E740481C1C}">
                          <a14:useLocalDpi xmlns:a14="http://schemas.microsoft.com/office/drawing/2010/main" val="0"/>
                        </a:ext>
                      </a:extLst>
                    </a:blip>
                    <a:srcRect b="4646"/>
                    <a:stretch>
                      <a:fillRect/>
                    </a:stretch>
                  </pic:blipFill>
                  <pic:spPr bwMode="auto">
                    <a:xfrm>
                      <a:off x="0" y="0"/>
                      <a:ext cx="5400040" cy="1907931"/>
                    </a:xfrm>
                    <a:prstGeom prst="rect">
                      <a:avLst/>
                    </a:prstGeom>
                    <a:ln>
                      <a:noFill/>
                    </a:ln>
                    <a:extLst>
                      <a:ext uri="{53640926-AAD7-44D8-BBD7-CCE9431645EC}">
                        <a14:shadowObscured xmlns:a14="http://schemas.microsoft.com/office/drawing/2010/main"/>
                      </a:ext>
                    </a:extLst>
                  </pic:spPr>
                </pic:pic>
              </a:graphicData>
            </a:graphic>
          </wp:inline>
        </w:drawing>
      </w:r>
    </w:p>
    <w:p w14:paraId="7887FE5E" w14:textId="77777777" w:rsidR="00412474" w:rsidRPr="00215667" w:rsidRDefault="00412474" w:rsidP="00412474">
      <w:pPr>
        <w:rPr>
          <w:rFonts w:ascii="Times New Roman" w:hAnsi="Times New Roman" w:cs="Times New Roman"/>
          <w:b/>
          <w:bCs/>
          <w:sz w:val="24"/>
          <w:szCs w:val="24"/>
        </w:rPr>
      </w:pPr>
    </w:p>
    <w:p w14:paraId="06170823" w14:textId="2F53B23A"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t>Аспирин прекинат vs. здрави пациенти</w:t>
      </w:r>
    </w:p>
    <w:p w14:paraId="68F64942" w14:textId="77777777" w:rsidR="00E305DF" w:rsidRDefault="00E305DF" w:rsidP="00E305DF">
      <w:pPr>
        <w:spacing w:after="120" w:line="360" w:lineRule="auto"/>
        <w:ind w:firstLine="720"/>
        <w:jc w:val="both"/>
        <w:rPr>
          <w:rFonts w:ascii="Times New Roman" w:hAnsi="Times New Roman" w:cs="Times New Roman"/>
          <w:sz w:val="24"/>
          <w:szCs w:val="24"/>
        </w:rPr>
      </w:pPr>
    </w:p>
    <w:p w14:paraId="3C9FD41F" w14:textId="7E379C42" w:rsidR="00412474" w:rsidRPr="00E305DF" w:rsidRDefault="00412474" w:rsidP="00E305DF">
      <w:pPr>
        <w:spacing w:after="120" w:line="360" w:lineRule="auto"/>
        <w:ind w:firstLine="720"/>
        <w:jc w:val="both"/>
        <w:rPr>
          <w:rFonts w:ascii="Times New Roman" w:hAnsi="Times New Roman" w:cs="Times New Roman"/>
          <w:sz w:val="24"/>
          <w:szCs w:val="24"/>
        </w:rPr>
      </w:pPr>
      <w:r w:rsidRPr="00E305DF">
        <w:rPr>
          <w:rFonts w:ascii="Times New Roman" w:hAnsi="Times New Roman" w:cs="Times New Roman"/>
          <w:sz w:val="24"/>
          <w:szCs w:val="24"/>
        </w:rPr>
        <w:t xml:space="preserve">Според резултатите од </w:t>
      </w:r>
      <w:r w:rsidRPr="00E305DF">
        <w:rPr>
          <w:rFonts w:ascii="Times New Roman" w:hAnsi="Times New Roman" w:cs="Times New Roman"/>
          <w:i/>
          <w:iCs/>
          <w:sz w:val="24"/>
          <w:szCs w:val="24"/>
        </w:rPr>
        <w:t>Mann-Whitney U</w:t>
      </w:r>
      <w:r w:rsidRPr="00E305DF">
        <w:rPr>
          <w:rFonts w:ascii="Times New Roman" w:hAnsi="Times New Roman" w:cs="Times New Roman"/>
          <w:sz w:val="24"/>
          <w:szCs w:val="24"/>
        </w:rPr>
        <w:t xml:space="preserve"> тестот, p-вредноста изнесува 0.1669 (p(x ≤ Z) = 0.9166), што значи дека шансата за грешка од тип I, односно одбивање на точна нулта хипотеза (H₀), е доволно висока – 16.69%.</w:t>
      </w:r>
      <w:r w:rsidR="00E305DF">
        <w:rPr>
          <w:rFonts w:ascii="Times New Roman" w:hAnsi="Times New Roman" w:cs="Times New Roman"/>
          <w:sz w:val="24"/>
          <w:szCs w:val="24"/>
        </w:rPr>
        <w:t xml:space="preserve"> </w:t>
      </w:r>
      <w:r w:rsidRPr="00E305DF">
        <w:rPr>
          <w:rFonts w:ascii="Times New Roman" w:hAnsi="Times New Roman" w:cs="Times New Roman"/>
          <w:sz w:val="24"/>
          <w:szCs w:val="24"/>
        </w:rPr>
        <w:t>Тест статистиката Z е 1.3823, што се наоѓа во рамките на 95</w:t>
      </w:r>
      <w:r w:rsidR="00E305DF">
        <w:rPr>
          <w:rFonts w:ascii="Times New Roman" w:hAnsi="Times New Roman" w:cs="Times New Roman"/>
          <w:sz w:val="24"/>
          <w:szCs w:val="24"/>
        </w:rPr>
        <w:t xml:space="preserve"> </w:t>
      </w:r>
      <w:r w:rsidRPr="00E305DF">
        <w:rPr>
          <w:rFonts w:ascii="Times New Roman" w:hAnsi="Times New Roman" w:cs="Times New Roman"/>
          <w:sz w:val="24"/>
          <w:szCs w:val="24"/>
        </w:rPr>
        <w:t>% регион на прифаќање: [-1.96 : 1.96].</w:t>
      </w:r>
      <w:r w:rsidR="00E305DF">
        <w:rPr>
          <w:rFonts w:ascii="Times New Roman" w:hAnsi="Times New Roman" w:cs="Times New Roman"/>
          <w:sz w:val="24"/>
          <w:szCs w:val="24"/>
        </w:rPr>
        <w:t xml:space="preserve"> </w:t>
      </w:r>
      <w:r w:rsidRPr="00E305DF">
        <w:rPr>
          <w:rFonts w:ascii="Times New Roman" w:hAnsi="Times New Roman" w:cs="Times New Roman"/>
          <w:sz w:val="24"/>
          <w:szCs w:val="24"/>
        </w:rPr>
        <w:t>U-вредноста е 2602.5, што исто така припаѓа во 95</w:t>
      </w:r>
      <w:r w:rsidR="00E305DF">
        <w:rPr>
          <w:rFonts w:ascii="Times New Roman" w:hAnsi="Times New Roman" w:cs="Times New Roman"/>
          <w:sz w:val="24"/>
          <w:szCs w:val="24"/>
        </w:rPr>
        <w:t xml:space="preserve"> </w:t>
      </w:r>
      <w:r w:rsidRPr="00E305DF">
        <w:rPr>
          <w:rFonts w:ascii="Times New Roman" w:hAnsi="Times New Roman" w:cs="Times New Roman"/>
          <w:sz w:val="24"/>
          <w:szCs w:val="24"/>
        </w:rPr>
        <w:t>% регион на прифаќање: [1958.828 : 2713.172].</w:t>
      </w:r>
    </w:p>
    <w:p w14:paraId="5F44811C" w14:textId="06D1D072" w:rsidR="00215667" w:rsidRDefault="00412474" w:rsidP="00E305DF">
      <w:pPr>
        <w:spacing w:after="120" w:line="360" w:lineRule="auto"/>
        <w:ind w:firstLine="720"/>
        <w:jc w:val="both"/>
        <w:rPr>
          <w:rFonts w:ascii="Times New Roman" w:hAnsi="Times New Roman" w:cs="Times New Roman"/>
          <w:sz w:val="24"/>
          <w:szCs w:val="24"/>
        </w:rPr>
      </w:pPr>
      <w:r w:rsidRPr="00E305DF">
        <w:rPr>
          <w:rFonts w:ascii="Times New Roman" w:hAnsi="Times New Roman" w:cs="Times New Roman"/>
          <w:sz w:val="24"/>
          <w:szCs w:val="24"/>
        </w:rPr>
        <w:lastRenderedPageBreak/>
        <w:t>Поради тоа што p-вредноста е поголема од α, нултата хипотеза не може да се отфрли.</w:t>
      </w:r>
      <w:r w:rsidR="00E305DF">
        <w:rPr>
          <w:rFonts w:ascii="Times New Roman" w:hAnsi="Times New Roman" w:cs="Times New Roman"/>
          <w:sz w:val="24"/>
          <w:szCs w:val="24"/>
        </w:rPr>
        <w:t xml:space="preserve"> </w:t>
      </w:r>
      <w:r w:rsidRPr="00E305DF">
        <w:rPr>
          <w:rFonts w:ascii="Times New Roman" w:hAnsi="Times New Roman" w:cs="Times New Roman"/>
          <w:sz w:val="24"/>
          <w:szCs w:val="24"/>
        </w:rPr>
        <w:t>Случајно избраната вредност на PEB кај популацијата што прекинала со аспирин терапија се смета за еднаква на случајно избраната вредност на PEB кај здравите испитаници. Со други зборови, разликата помеѓу двете популации не е доволно голема за да биде статистички значајна</w:t>
      </w:r>
      <w:r w:rsidR="00EC49EB" w:rsidRPr="00E305DF">
        <w:rPr>
          <w:rFonts w:ascii="Times New Roman" w:hAnsi="Times New Roman" w:cs="Times New Roman"/>
          <w:sz w:val="24"/>
          <w:szCs w:val="24"/>
        </w:rPr>
        <w:t xml:space="preserve"> (графикон бр. 36).</w:t>
      </w:r>
      <w:r w:rsidR="00215667" w:rsidRPr="00E305DF">
        <w:rPr>
          <w:rFonts w:ascii="Times New Roman" w:hAnsi="Times New Roman" w:cs="Times New Roman"/>
          <w:sz w:val="24"/>
          <w:szCs w:val="24"/>
        </w:rPr>
        <w:t xml:space="preserve"> Делот од пациентите кои ја прекинале терапијата со аспирин, а кај кои PEB е поголемо во споредба со контролната група, имаат повисоки вредности на HAS-BLED </w:t>
      </w:r>
      <w:r w:rsidR="00FA7E6F">
        <w:rPr>
          <w:rFonts w:ascii="Times New Roman" w:hAnsi="Times New Roman" w:cs="Times New Roman"/>
          <w:sz w:val="24"/>
          <w:szCs w:val="24"/>
        </w:rPr>
        <w:t>индексот</w:t>
      </w:r>
      <w:r w:rsidR="00215667" w:rsidRPr="00E305DF">
        <w:rPr>
          <w:rFonts w:ascii="Times New Roman" w:hAnsi="Times New Roman" w:cs="Times New Roman"/>
          <w:sz w:val="24"/>
          <w:szCs w:val="24"/>
        </w:rPr>
        <w:t xml:space="preserve">. Подетална анализа на влијанието на HAS-BLED </w:t>
      </w:r>
      <w:r w:rsidR="00FA7E6F">
        <w:rPr>
          <w:rFonts w:ascii="Times New Roman" w:hAnsi="Times New Roman" w:cs="Times New Roman"/>
          <w:sz w:val="24"/>
          <w:szCs w:val="24"/>
        </w:rPr>
        <w:t>индексот</w:t>
      </w:r>
      <w:r w:rsidR="00215667" w:rsidRPr="00E305DF">
        <w:rPr>
          <w:rFonts w:ascii="Times New Roman" w:hAnsi="Times New Roman" w:cs="Times New Roman"/>
          <w:sz w:val="24"/>
          <w:szCs w:val="24"/>
        </w:rPr>
        <w:t xml:space="preserve"> врз постекстракционото крвавење е направена подоцна во овој труд.</w:t>
      </w:r>
    </w:p>
    <w:p w14:paraId="5243F39D" w14:textId="3297754A" w:rsidR="00E305DF" w:rsidRPr="00E305DF" w:rsidRDefault="00E305DF" w:rsidP="00E305DF">
      <w:pPr>
        <w:spacing w:after="120" w:line="360" w:lineRule="auto"/>
        <w:jc w:val="center"/>
        <w:rPr>
          <w:rFonts w:ascii="Times New Roman" w:eastAsia="Calibri" w:hAnsi="Times New Roman" w:cs="Times New Roman"/>
          <w:sz w:val="24"/>
          <w:szCs w:val="24"/>
        </w:rPr>
      </w:pPr>
      <w:r w:rsidRPr="00E305DF">
        <w:rPr>
          <w:rFonts w:ascii="Times New Roman" w:eastAsia="Calibri" w:hAnsi="Times New Roman" w:cs="Times New Roman"/>
          <w:sz w:val="24"/>
          <w:szCs w:val="24"/>
        </w:rPr>
        <w:t>Графикон бр. 36</w:t>
      </w:r>
      <w:r>
        <w:rPr>
          <w:rFonts w:ascii="Times New Roman" w:eastAsia="Calibri" w:hAnsi="Times New Roman" w:cs="Times New Roman"/>
          <w:sz w:val="24"/>
          <w:szCs w:val="24"/>
        </w:rPr>
        <w:t>-</w:t>
      </w:r>
      <w:r w:rsidRPr="00E305DF">
        <w:rPr>
          <w:rFonts w:ascii="Times New Roman" w:eastAsia="Calibri" w:hAnsi="Times New Roman" w:cs="Times New Roman"/>
          <w:sz w:val="24"/>
          <w:szCs w:val="24"/>
        </w:rPr>
        <w:t xml:space="preserve"> Споредба на PEB кај испитаниците кои примаат аспирин и ја прекинале терапијата пред интервенцијата, со здрави пациенти (контролна група) </w:t>
      </w:r>
    </w:p>
    <w:p w14:paraId="5A9985F2" w14:textId="06F0CF11" w:rsidR="00412474" w:rsidRPr="00215667" w:rsidRDefault="00215667" w:rsidP="00412474">
      <w:pPr>
        <w:pStyle w:val="p1"/>
      </w:pPr>
      <w:r w:rsidRPr="00215667">
        <w:rPr>
          <w:noProof/>
          <w:lang w:val="en-US" w:eastAsia="en-US"/>
          <w14:ligatures w14:val="standardContextual"/>
        </w:rPr>
        <w:drawing>
          <wp:inline distT="0" distB="0" distL="0" distR="0" wp14:anchorId="75290ACE" wp14:editId="20D8C8CC">
            <wp:extent cx="5400040" cy="1483995"/>
            <wp:effectExtent l="0" t="0" r="0" b="1905"/>
            <wp:docPr id="856279063" name="Picture 44" descr="A blue and red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79063" name="Picture 44" descr="A blue and red square with white text&#10;&#10;AI-generated content may be incorrect."/>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00040" cy="1483995"/>
                    </a:xfrm>
                    <a:prstGeom prst="rect">
                      <a:avLst/>
                    </a:prstGeom>
                  </pic:spPr>
                </pic:pic>
              </a:graphicData>
            </a:graphic>
          </wp:inline>
        </w:drawing>
      </w:r>
    </w:p>
    <w:p w14:paraId="4EB48934" w14:textId="6F043745" w:rsidR="00412474" w:rsidRPr="00E305DF" w:rsidRDefault="00E305DF" w:rsidP="00E305DF">
      <w:pPr>
        <w:spacing w:line="240" w:lineRule="auto"/>
        <w:jc w:val="both"/>
        <w:rPr>
          <w:rFonts w:ascii="Times New Roman" w:eastAsia="Calibri" w:hAnsi="Times New Roman" w:cs="Times New Roman"/>
          <w:sz w:val="20"/>
          <w:szCs w:val="20"/>
        </w:rPr>
      </w:pPr>
      <w:r w:rsidRPr="00E305DF">
        <w:rPr>
          <w:rFonts w:ascii="Times New Roman" w:eastAsia="Calibri" w:hAnsi="Times New Roman" w:cs="Times New Roman"/>
          <w:sz w:val="20"/>
          <w:szCs w:val="20"/>
        </w:rPr>
        <w:t>* црвената боја на графиконот ги означува пациентите кои ја имаат прекинато терапијата со аспирин, а кај кои PEB е поназначено во однос на контролната група.</w:t>
      </w:r>
    </w:p>
    <w:p w14:paraId="7F006621" w14:textId="77777777" w:rsidR="00412474" w:rsidRPr="00215667" w:rsidRDefault="00412474"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5B8316DF" wp14:editId="4F115489">
            <wp:extent cx="5400040" cy="1966595"/>
            <wp:effectExtent l="0" t="0" r="0" b="1905"/>
            <wp:docPr id="742249373" name="Picture 194"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249373" name="Picture 194" descr="A graph with lines and numbers&#10;&#10;AI-generated content may be incorrect."/>
                    <pic:cNvPicPr/>
                  </pic:nvPicPr>
                  <pic:blipFill>
                    <a:blip r:embed="rId83">
                      <a:extLst>
                        <a:ext uri="{28A0092B-C50C-407E-A947-70E740481C1C}">
                          <a14:useLocalDpi xmlns:a14="http://schemas.microsoft.com/office/drawing/2010/main" val="0"/>
                        </a:ext>
                      </a:extLst>
                    </a:blip>
                    <a:stretch>
                      <a:fillRect/>
                    </a:stretch>
                  </pic:blipFill>
                  <pic:spPr>
                    <a:xfrm>
                      <a:off x="0" y="0"/>
                      <a:ext cx="5400040" cy="1966595"/>
                    </a:xfrm>
                    <a:prstGeom prst="rect">
                      <a:avLst/>
                    </a:prstGeom>
                  </pic:spPr>
                </pic:pic>
              </a:graphicData>
            </a:graphic>
          </wp:inline>
        </w:drawing>
      </w:r>
    </w:p>
    <w:p w14:paraId="3787C4F2" w14:textId="77777777" w:rsidR="00412474" w:rsidRPr="00215667" w:rsidRDefault="00412474" w:rsidP="00412474">
      <w:pPr>
        <w:rPr>
          <w:rFonts w:ascii="Times New Roman" w:hAnsi="Times New Roman" w:cs="Times New Roman"/>
          <w:b/>
          <w:bCs/>
          <w:sz w:val="24"/>
          <w:szCs w:val="24"/>
        </w:rPr>
      </w:pPr>
    </w:p>
    <w:p w14:paraId="50D763BA" w14:textId="77777777" w:rsidR="00E305DF" w:rsidRDefault="00E305DF" w:rsidP="00412474">
      <w:pPr>
        <w:spacing w:line="240" w:lineRule="auto"/>
        <w:rPr>
          <w:rFonts w:ascii="Times New Roman" w:hAnsi="Times New Roman" w:cs="Times New Roman"/>
          <w:b/>
          <w:bCs/>
          <w:sz w:val="24"/>
          <w:szCs w:val="24"/>
        </w:rPr>
      </w:pPr>
    </w:p>
    <w:p w14:paraId="5E01C448" w14:textId="77777777" w:rsidR="00E305DF" w:rsidRDefault="00E305DF" w:rsidP="00412474">
      <w:pPr>
        <w:spacing w:line="240" w:lineRule="auto"/>
        <w:rPr>
          <w:rFonts w:ascii="Times New Roman" w:hAnsi="Times New Roman" w:cs="Times New Roman"/>
          <w:b/>
          <w:bCs/>
          <w:sz w:val="24"/>
          <w:szCs w:val="24"/>
        </w:rPr>
      </w:pPr>
    </w:p>
    <w:p w14:paraId="50230B83" w14:textId="77777777" w:rsidR="00E305DF" w:rsidRDefault="00E305DF" w:rsidP="00412474">
      <w:pPr>
        <w:spacing w:line="240" w:lineRule="auto"/>
        <w:rPr>
          <w:rFonts w:ascii="Times New Roman" w:hAnsi="Times New Roman" w:cs="Times New Roman"/>
          <w:b/>
          <w:bCs/>
          <w:sz w:val="24"/>
          <w:szCs w:val="24"/>
        </w:rPr>
      </w:pPr>
    </w:p>
    <w:p w14:paraId="6E9B5A84" w14:textId="04D3E5C9"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lastRenderedPageBreak/>
        <w:t>Пол и PEB</w:t>
      </w:r>
    </w:p>
    <w:p w14:paraId="58EC7BA7" w14:textId="77777777" w:rsidR="00412474" w:rsidRPr="00215667" w:rsidRDefault="00412474" w:rsidP="00412474">
      <w:pPr>
        <w:spacing w:line="240" w:lineRule="auto"/>
        <w:rPr>
          <w:rFonts w:ascii="Times New Roman" w:hAnsi="Times New Roman" w:cs="Times New Roman"/>
          <w:b/>
          <w:bCs/>
          <w:sz w:val="24"/>
          <w:szCs w:val="24"/>
        </w:rPr>
      </w:pPr>
    </w:p>
    <w:p w14:paraId="03509FB2" w14:textId="77777777" w:rsidR="00412474" w:rsidRPr="00215667" w:rsidRDefault="00412474" w:rsidP="00E305DF">
      <w:pPr>
        <w:spacing w:after="12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Споредбата на PEB во зависност од полот беше направена повеќекратно, со повеќекратно вкрстување на податоците во однос на различните параметри кај групата мажи и кај групата жени.</w:t>
      </w:r>
    </w:p>
    <w:p w14:paraId="470B23F7" w14:textId="4B88AF92" w:rsidR="00412474" w:rsidRPr="00215667" w:rsidRDefault="00412474" w:rsidP="00E305DF">
      <w:pPr>
        <w:spacing w:after="12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Првичната анализа на PEB кај мажите и жените, без земање предвид на останатите параметри, со </w:t>
      </w:r>
      <w:r w:rsidRPr="00CF1763">
        <w:rPr>
          <w:rFonts w:ascii="Times New Roman" w:hAnsi="Times New Roman" w:cs="Times New Roman"/>
          <w:i/>
          <w:iCs/>
          <w:sz w:val="24"/>
          <w:szCs w:val="24"/>
        </w:rPr>
        <w:t>Mann-Whitneu U</w:t>
      </w:r>
      <w:r w:rsidRPr="00215667">
        <w:rPr>
          <w:rFonts w:ascii="Times New Roman" w:hAnsi="Times New Roman" w:cs="Times New Roman"/>
          <w:sz w:val="24"/>
          <w:szCs w:val="24"/>
        </w:rPr>
        <w:t xml:space="preserve"> тестот, покажа дека p вредноста изнесува 0.3217 (p</w:t>
      </w:r>
      <w:r w:rsidR="00CF1763">
        <w:rPr>
          <w:rFonts w:ascii="Times New Roman" w:hAnsi="Times New Roman" w:cs="Times New Roman"/>
          <w:sz w:val="24"/>
          <w:szCs w:val="24"/>
        </w:rPr>
        <w:t xml:space="preserve"> </w:t>
      </w:r>
      <w:r w:rsidRPr="00215667">
        <w:rPr>
          <w:rFonts w:ascii="Times New Roman" w:hAnsi="Times New Roman" w:cs="Times New Roman"/>
          <w:sz w:val="24"/>
          <w:szCs w:val="24"/>
        </w:rPr>
        <w:t>&gt;</w:t>
      </w:r>
      <w:r w:rsidR="00CF1763">
        <w:rPr>
          <w:rFonts w:ascii="Times New Roman" w:hAnsi="Times New Roman" w:cs="Times New Roman"/>
          <w:sz w:val="24"/>
          <w:szCs w:val="24"/>
        </w:rPr>
        <w:t xml:space="preserve"> </w:t>
      </w:r>
      <w:r w:rsidRPr="00215667">
        <w:rPr>
          <w:rFonts w:ascii="Times New Roman" w:hAnsi="Times New Roman" w:cs="Times New Roman"/>
          <w:sz w:val="24"/>
          <w:szCs w:val="24"/>
        </w:rPr>
        <w:t>0.05). Z вредноста изнесува -0.991, што припаѓа во 95</w:t>
      </w:r>
      <w:r w:rsidR="00CF1763">
        <w:rPr>
          <w:rFonts w:ascii="Times New Roman" w:hAnsi="Times New Roman" w:cs="Times New Roman"/>
          <w:sz w:val="24"/>
          <w:szCs w:val="24"/>
        </w:rPr>
        <w:t xml:space="preserve"> </w:t>
      </w:r>
      <w:r w:rsidRPr="00215667">
        <w:rPr>
          <w:rFonts w:ascii="Times New Roman" w:hAnsi="Times New Roman" w:cs="Times New Roman"/>
          <w:sz w:val="24"/>
          <w:szCs w:val="24"/>
        </w:rPr>
        <w:t>% од регионот на прифатливост. U</w:t>
      </w:r>
      <w:r w:rsidR="00CF1763">
        <w:rPr>
          <w:rFonts w:ascii="Times New Roman" w:hAnsi="Times New Roman" w:cs="Times New Roman"/>
          <w:sz w:val="24"/>
          <w:szCs w:val="24"/>
        </w:rPr>
        <w:t xml:space="preserve"> </w:t>
      </w:r>
      <w:r w:rsidRPr="00215667">
        <w:rPr>
          <w:rFonts w:ascii="Times New Roman" w:hAnsi="Times New Roman" w:cs="Times New Roman"/>
          <w:sz w:val="24"/>
          <w:szCs w:val="24"/>
        </w:rPr>
        <w:t>=</w:t>
      </w:r>
      <w:r w:rsidR="00CF1763">
        <w:rPr>
          <w:rFonts w:ascii="Times New Roman" w:hAnsi="Times New Roman" w:cs="Times New Roman"/>
          <w:sz w:val="24"/>
          <w:szCs w:val="24"/>
        </w:rPr>
        <w:t xml:space="preserve"> </w:t>
      </w:r>
      <w:r w:rsidRPr="00215667">
        <w:rPr>
          <w:rFonts w:ascii="Times New Roman" w:hAnsi="Times New Roman" w:cs="Times New Roman"/>
          <w:sz w:val="24"/>
          <w:szCs w:val="24"/>
        </w:rPr>
        <w:t>3741.5 што исто така припаѓа во 95</w:t>
      </w:r>
      <w:r w:rsidR="00CF1763">
        <w:rPr>
          <w:rFonts w:ascii="Times New Roman" w:hAnsi="Times New Roman" w:cs="Times New Roman"/>
          <w:sz w:val="24"/>
          <w:szCs w:val="24"/>
        </w:rPr>
        <w:t xml:space="preserve"> </w:t>
      </w:r>
      <w:r w:rsidRPr="00215667">
        <w:rPr>
          <w:rFonts w:ascii="Times New Roman" w:hAnsi="Times New Roman" w:cs="Times New Roman"/>
          <w:sz w:val="24"/>
          <w:szCs w:val="24"/>
        </w:rPr>
        <w:t xml:space="preserve">% од регионот на прифаќање. </w:t>
      </w:r>
    </w:p>
    <w:p w14:paraId="116F8C55" w14:textId="77777777" w:rsidR="00412474" w:rsidRPr="00E305DF" w:rsidRDefault="00412474" w:rsidP="00E305DF">
      <w:pPr>
        <w:spacing w:after="120" w:line="360" w:lineRule="auto"/>
        <w:ind w:firstLine="720"/>
        <w:jc w:val="both"/>
        <w:rPr>
          <w:rFonts w:ascii="Times New Roman" w:hAnsi="Times New Roman" w:cs="Times New Roman"/>
          <w:sz w:val="24"/>
          <w:szCs w:val="24"/>
        </w:rPr>
      </w:pPr>
      <w:r w:rsidRPr="00E305DF">
        <w:rPr>
          <w:rFonts w:ascii="Times New Roman" w:hAnsi="Times New Roman" w:cs="Times New Roman"/>
          <w:sz w:val="24"/>
          <w:szCs w:val="24"/>
        </w:rPr>
        <w:t>Бидејќи p-вредноста е поголема од α, нултата хипотеза (H₀) не може да се отфрли.</w:t>
      </w:r>
    </w:p>
    <w:p w14:paraId="7F675BF0" w14:textId="77777777" w:rsidR="00412474" w:rsidRPr="00E305DF" w:rsidRDefault="00412474" w:rsidP="00E305DF">
      <w:pPr>
        <w:spacing w:after="120" w:line="360" w:lineRule="auto"/>
        <w:ind w:firstLine="720"/>
        <w:jc w:val="both"/>
        <w:rPr>
          <w:rFonts w:ascii="Times New Roman" w:hAnsi="Times New Roman" w:cs="Times New Roman"/>
          <w:sz w:val="24"/>
          <w:szCs w:val="24"/>
        </w:rPr>
      </w:pPr>
      <w:r w:rsidRPr="00E305DF">
        <w:rPr>
          <w:rFonts w:ascii="Times New Roman" w:hAnsi="Times New Roman" w:cs="Times New Roman"/>
          <w:sz w:val="24"/>
          <w:szCs w:val="24"/>
        </w:rPr>
        <w:t>Се претпоставува дека случајно избраната вредност од популацијата на мажи е еднаква на случајно избраната вредност од популацијата на жени.</w:t>
      </w:r>
    </w:p>
    <w:p w14:paraId="3B3EF5D5" w14:textId="5AB74668" w:rsidR="00412474" w:rsidRPr="00E305DF" w:rsidRDefault="00412474" w:rsidP="00E305DF">
      <w:pPr>
        <w:spacing w:after="120" w:line="360" w:lineRule="auto"/>
        <w:ind w:firstLine="720"/>
        <w:jc w:val="both"/>
        <w:rPr>
          <w:rFonts w:ascii="Times New Roman" w:hAnsi="Times New Roman" w:cs="Times New Roman"/>
          <w:sz w:val="24"/>
          <w:szCs w:val="24"/>
        </w:rPr>
      </w:pPr>
      <w:r w:rsidRPr="00E305DF">
        <w:rPr>
          <w:rFonts w:ascii="Times New Roman" w:hAnsi="Times New Roman" w:cs="Times New Roman"/>
          <w:sz w:val="24"/>
          <w:szCs w:val="24"/>
        </w:rPr>
        <w:t>Со други зборови, разликата помеѓу случајно избраните вредности од популациите на мажи и жени не е доволно голема за да се смета за статистички значајна</w:t>
      </w:r>
      <w:r w:rsidR="00167D0F" w:rsidRPr="00E305DF">
        <w:rPr>
          <w:rFonts w:ascii="Times New Roman" w:hAnsi="Times New Roman" w:cs="Times New Roman"/>
          <w:sz w:val="24"/>
          <w:szCs w:val="24"/>
        </w:rPr>
        <w:t xml:space="preserve"> (графикон бр. 37).</w:t>
      </w:r>
    </w:p>
    <w:p w14:paraId="183D6118" w14:textId="79D4DFF1" w:rsidR="00CF1763" w:rsidRPr="00CF1763" w:rsidRDefault="00CF1763" w:rsidP="00CF1763">
      <w:pPr>
        <w:spacing w:after="120" w:line="360" w:lineRule="auto"/>
        <w:jc w:val="center"/>
        <w:rPr>
          <w:rFonts w:ascii="Times New Roman" w:eastAsia="Calibri" w:hAnsi="Times New Roman" w:cs="Times New Roman"/>
          <w:sz w:val="24"/>
          <w:szCs w:val="24"/>
        </w:rPr>
      </w:pPr>
      <w:r w:rsidRPr="00CF1763">
        <w:rPr>
          <w:rFonts w:ascii="Times New Roman" w:eastAsia="Calibri" w:hAnsi="Times New Roman" w:cs="Times New Roman"/>
          <w:sz w:val="24"/>
          <w:szCs w:val="24"/>
        </w:rPr>
        <w:t>Графикон бр. 37</w:t>
      </w:r>
      <w:r>
        <w:rPr>
          <w:rFonts w:ascii="Times New Roman" w:eastAsia="Calibri" w:hAnsi="Times New Roman" w:cs="Times New Roman"/>
          <w:sz w:val="24"/>
          <w:szCs w:val="24"/>
        </w:rPr>
        <w:t>-</w:t>
      </w:r>
      <w:r w:rsidRPr="00CF1763">
        <w:rPr>
          <w:rFonts w:ascii="Times New Roman" w:eastAsia="Calibri" w:hAnsi="Times New Roman" w:cs="Times New Roman"/>
          <w:sz w:val="24"/>
          <w:szCs w:val="24"/>
        </w:rPr>
        <w:t xml:space="preserve"> Разлики во PEB по извршување на интервенцијата меѓу испитаници од машки и женски пол кои примаат антикоагулантна и антиагрегациона терапија сумарно</w:t>
      </w:r>
    </w:p>
    <w:p w14:paraId="56F13EBE" w14:textId="7BDAE984" w:rsidR="00412474" w:rsidRPr="00CF1763" w:rsidRDefault="00167D0F" w:rsidP="00412474">
      <w:pPr>
        <w:spacing w:line="240" w:lineRule="auto"/>
        <w:rPr>
          <w:rFonts w:ascii="Times New Roman" w:hAnsi="Times New Roman" w:cs="Times New Roman"/>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75876463" wp14:editId="5AB35950">
            <wp:extent cx="5400040" cy="1682115"/>
            <wp:effectExtent l="0" t="0" r="0" b="0"/>
            <wp:docPr id="808935457" name="Picture 18"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935457" name="Picture 18" descr="A blue square with white text&#10;&#10;AI-generated content may be incorrect."/>
                    <pic:cNvPicPr/>
                  </pic:nvPicPr>
                  <pic:blipFill>
                    <a:blip r:embed="rId84">
                      <a:extLst>
                        <a:ext uri="{28A0092B-C50C-407E-A947-70E740481C1C}">
                          <a14:useLocalDpi xmlns:a14="http://schemas.microsoft.com/office/drawing/2010/main" val="0"/>
                        </a:ext>
                      </a:extLst>
                    </a:blip>
                    <a:stretch>
                      <a:fillRect/>
                    </a:stretch>
                  </pic:blipFill>
                  <pic:spPr>
                    <a:xfrm>
                      <a:off x="0" y="0"/>
                      <a:ext cx="5400040" cy="1682115"/>
                    </a:xfrm>
                    <a:prstGeom prst="rect">
                      <a:avLst/>
                    </a:prstGeom>
                  </pic:spPr>
                </pic:pic>
              </a:graphicData>
            </a:graphic>
          </wp:inline>
        </w:drawing>
      </w:r>
    </w:p>
    <w:p w14:paraId="0000D5CB" w14:textId="3E06F506" w:rsidR="00412474" w:rsidRPr="00215667" w:rsidRDefault="00167D0F" w:rsidP="00412474">
      <w:pPr>
        <w:spacing w:line="240" w:lineRule="auto"/>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lastRenderedPageBreak/>
        <w:drawing>
          <wp:inline distT="0" distB="0" distL="0" distR="0" wp14:anchorId="71A78818" wp14:editId="516286D1">
            <wp:extent cx="5400040" cy="1935480"/>
            <wp:effectExtent l="0" t="0" r="0" b="0"/>
            <wp:docPr id="1154464040" name="Picture 19"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464040" name="Picture 19" descr="A graph with different colored bars&#10;&#10;AI-generated content may be incorrect."/>
                    <pic:cNvPicPr/>
                  </pic:nvPicPr>
                  <pic:blipFill>
                    <a:blip r:embed="rId85">
                      <a:extLst>
                        <a:ext uri="{28A0092B-C50C-407E-A947-70E740481C1C}">
                          <a14:useLocalDpi xmlns:a14="http://schemas.microsoft.com/office/drawing/2010/main" val="0"/>
                        </a:ext>
                      </a:extLst>
                    </a:blip>
                    <a:stretch>
                      <a:fillRect/>
                    </a:stretch>
                  </pic:blipFill>
                  <pic:spPr>
                    <a:xfrm>
                      <a:off x="0" y="0"/>
                      <a:ext cx="5400040" cy="1935480"/>
                    </a:xfrm>
                    <a:prstGeom prst="rect">
                      <a:avLst/>
                    </a:prstGeom>
                  </pic:spPr>
                </pic:pic>
              </a:graphicData>
            </a:graphic>
          </wp:inline>
        </w:drawing>
      </w:r>
    </w:p>
    <w:p w14:paraId="6B3605E0" w14:textId="77777777" w:rsidR="00412474" w:rsidRPr="00215667" w:rsidRDefault="00412474" w:rsidP="00412474">
      <w:pPr>
        <w:spacing w:line="240" w:lineRule="auto"/>
        <w:rPr>
          <w:rFonts w:ascii="Times New Roman" w:hAnsi="Times New Roman" w:cs="Times New Roman"/>
          <w:b/>
          <w:bCs/>
          <w:sz w:val="24"/>
          <w:szCs w:val="24"/>
        </w:rPr>
      </w:pPr>
    </w:p>
    <w:p w14:paraId="128C5565" w14:textId="77777777"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t>Разлика во PEB при употреба на VKA/DOAC кај мажи и жени</w:t>
      </w:r>
    </w:p>
    <w:p w14:paraId="61886B39" w14:textId="77777777" w:rsidR="00CF1763" w:rsidRDefault="00CF1763" w:rsidP="00CF1763">
      <w:pPr>
        <w:spacing w:after="120" w:line="360" w:lineRule="auto"/>
        <w:ind w:firstLine="720"/>
        <w:jc w:val="both"/>
        <w:rPr>
          <w:rFonts w:ascii="Times New Roman" w:hAnsi="Times New Roman" w:cs="Times New Roman"/>
          <w:sz w:val="24"/>
          <w:szCs w:val="24"/>
        </w:rPr>
      </w:pPr>
    </w:p>
    <w:p w14:paraId="2CB4B046" w14:textId="498650F5" w:rsidR="00412474" w:rsidRPr="00CF1763" w:rsidRDefault="00412474" w:rsidP="00CF1763">
      <w:pPr>
        <w:spacing w:after="120" w:line="360" w:lineRule="auto"/>
        <w:ind w:firstLine="720"/>
        <w:jc w:val="both"/>
        <w:rPr>
          <w:rFonts w:ascii="Times New Roman" w:hAnsi="Times New Roman" w:cs="Times New Roman"/>
          <w:sz w:val="24"/>
          <w:szCs w:val="24"/>
        </w:rPr>
      </w:pPr>
      <w:r w:rsidRPr="00CF1763">
        <w:rPr>
          <w:rFonts w:ascii="Times New Roman" w:hAnsi="Times New Roman" w:cs="Times New Roman"/>
          <w:sz w:val="24"/>
          <w:szCs w:val="24"/>
        </w:rPr>
        <w:t xml:space="preserve">Направена е анализа на постекстракционото крвавење (PEB) помеѓу мажи и жени кои користат VKA/DOAC терапија. Резултатите од </w:t>
      </w:r>
      <w:r w:rsidRPr="00CF1763">
        <w:rPr>
          <w:rFonts w:ascii="Times New Roman" w:hAnsi="Times New Roman" w:cs="Times New Roman"/>
          <w:i/>
          <w:iCs/>
          <w:sz w:val="24"/>
          <w:szCs w:val="24"/>
        </w:rPr>
        <w:t>Mann-Whitney U</w:t>
      </w:r>
      <w:r w:rsidRPr="00CF1763">
        <w:rPr>
          <w:rFonts w:ascii="Times New Roman" w:hAnsi="Times New Roman" w:cs="Times New Roman"/>
          <w:sz w:val="24"/>
          <w:szCs w:val="24"/>
        </w:rPr>
        <w:t xml:space="preserve"> тестот покажуваат дека Z вредноста изнесува 0.1847, што се наоѓа во рамките на 95</w:t>
      </w:r>
      <w:r w:rsidR="00CF1763">
        <w:rPr>
          <w:rFonts w:ascii="Times New Roman" w:hAnsi="Times New Roman" w:cs="Times New Roman"/>
          <w:sz w:val="24"/>
          <w:szCs w:val="24"/>
        </w:rPr>
        <w:t xml:space="preserve"> </w:t>
      </w:r>
      <w:r w:rsidRPr="00CF1763">
        <w:rPr>
          <w:rFonts w:ascii="Times New Roman" w:hAnsi="Times New Roman" w:cs="Times New Roman"/>
          <w:sz w:val="24"/>
          <w:szCs w:val="24"/>
        </w:rPr>
        <w:t xml:space="preserve">% регионот на прифаќање ([-1.96, 1.96]), а U-вредноста од 1276.5 исто така е во рамките на овој регион. </w:t>
      </w:r>
      <w:r w:rsidR="00167D0F" w:rsidRPr="00CF1763">
        <w:rPr>
          <w:rFonts w:ascii="Times New Roman" w:hAnsi="Times New Roman" w:cs="Times New Roman"/>
          <w:sz w:val="24"/>
          <w:szCs w:val="24"/>
        </w:rPr>
        <w:t>P</w:t>
      </w:r>
      <w:r w:rsidRPr="00CF1763">
        <w:rPr>
          <w:rFonts w:ascii="Times New Roman" w:hAnsi="Times New Roman" w:cs="Times New Roman"/>
          <w:sz w:val="24"/>
          <w:szCs w:val="24"/>
        </w:rPr>
        <w:t>-вредноста изнесува 0.8535, што е поголемо од зададеното ниво на значајност α.</w:t>
      </w:r>
    </w:p>
    <w:p w14:paraId="2ADB4A31" w14:textId="77777777" w:rsidR="00412474" w:rsidRPr="00CF1763" w:rsidRDefault="00412474" w:rsidP="00CF1763">
      <w:pPr>
        <w:spacing w:after="120" w:line="360" w:lineRule="auto"/>
        <w:ind w:firstLine="720"/>
        <w:jc w:val="both"/>
        <w:rPr>
          <w:rFonts w:ascii="Times New Roman" w:hAnsi="Times New Roman" w:cs="Times New Roman"/>
          <w:sz w:val="24"/>
          <w:szCs w:val="24"/>
        </w:rPr>
      </w:pPr>
      <w:r w:rsidRPr="00CF1763">
        <w:rPr>
          <w:rFonts w:ascii="Times New Roman" w:hAnsi="Times New Roman" w:cs="Times New Roman"/>
          <w:sz w:val="24"/>
          <w:szCs w:val="24"/>
        </w:rPr>
        <w:t>Поради тоа, не можеме да ја отфрлиме нултата хипотеза (H₀), што значи дека нема статистички значајна разлика во вредностите на PEB помеѓу мажите и жените кои примаат VKA/DOAC терапија.</w:t>
      </w:r>
    </w:p>
    <w:p w14:paraId="39BA0EB2" w14:textId="307110D5" w:rsidR="00412474" w:rsidRDefault="00412474" w:rsidP="00CF1763">
      <w:pPr>
        <w:spacing w:after="120" w:line="360" w:lineRule="auto"/>
        <w:ind w:firstLine="720"/>
        <w:jc w:val="both"/>
        <w:rPr>
          <w:rFonts w:ascii="Times New Roman" w:hAnsi="Times New Roman" w:cs="Times New Roman"/>
          <w:sz w:val="24"/>
          <w:szCs w:val="24"/>
        </w:rPr>
      </w:pPr>
      <w:r w:rsidRPr="00CF1763">
        <w:rPr>
          <w:rFonts w:ascii="Times New Roman" w:hAnsi="Times New Roman" w:cs="Times New Roman"/>
          <w:sz w:val="24"/>
          <w:szCs w:val="24"/>
        </w:rPr>
        <w:t>Со други зборови, случајно избраните вредности на постекстракционо крвавење кај мажите и жените се сметаат за еднакви во контекст на оваа терапија. Резултатите од анализата се прикажани на графикон бр.</w:t>
      </w:r>
      <w:r w:rsidR="00167D0F" w:rsidRPr="00CF1763">
        <w:rPr>
          <w:rFonts w:ascii="Times New Roman" w:hAnsi="Times New Roman" w:cs="Times New Roman"/>
          <w:sz w:val="24"/>
          <w:szCs w:val="24"/>
        </w:rPr>
        <w:t xml:space="preserve"> 38.</w:t>
      </w:r>
    </w:p>
    <w:p w14:paraId="26155F1F" w14:textId="45A1CDF1" w:rsidR="00CF1763" w:rsidRPr="00CF1763" w:rsidRDefault="00CF1763" w:rsidP="00CF1763">
      <w:pPr>
        <w:spacing w:after="120" w:line="360" w:lineRule="auto"/>
        <w:jc w:val="center"/>
        <w:rPr>
          <w:rFonts w:ascii="Times New Roman" w:eastAsia="Calibri" w:hAnsi="Times New Roman" w:cs="Times New Roman"/>
          <w:sz w:val="24"/>
          <w:szCs w:val="24"/>
        </w:rPr>
      </w:pPr>
      <w:r w:rsidRPr="00CF1763">
        <w:rPr>
          <w:rFonts w:ascii="Times New Roman" w:eastAsia="Calibri" w:hAnsi="Times New Roman" w:cs="Times New Roman"/>
          <w:sz w:val="24"/>
          <w:szCs w:val="24"/>
        </w:rPr>
        <w:t>Графикон бр. 38</w:t>
      </w:r>
      <w:r>
        <w:rPr>
          <w:rFonts w:ascii="Times New Roman" w:eastAsia="Calibri" w:hAnsi="Times New Roman" w:cs="Times New Roman"/>
          <w:sz w:val="24"/>
          <w:szCs w:val="24"/>
        </w:rPr>
        <w:t>-</w:t>
      </w:r>
      <w:r w:rsidRPr="00CF1763">
        <w:rPr>
          <w:rFonts w:ascii="Times New Roman" w:eastAsia="Calibri" w:hAnsi="Times New Roman" w:cs="Times New Roman"/>
          <w:sz w:val="24"/>
          <w:szCs w:val="24"/>
        </w:rPr>
        <w:t xml:space="preserve"> Разлики во PEB по извршување на интервенцијата меѓу испитаници од машки и женски пол кои примаат VKA/DOAC</w:t>
      </w:r>
    </w:p>
    <w:p w14:paraId="76A2BFDA" w14:textId="615399F1" w:rsidR="00412474" w:rsidRPr="00215667" w:rsidRDefault="00167D0F" w:rsidP="00412474">
      <w:pPr>
        <w:spacing w:line="240" w:lineRule="auto"/>
        <w:jc w:val="center"/>
        <w:rPr>
          <w:rFonts w:ascii="Times New Roman" w:hAnsi="Times New Roman" w:cs="Times New Roman"/>
          <w:color w:val="000000" w:themeColor="text1"/>
          <w:sz w:val="24"/>
          <w:szCs w:val="24"/>
          <w:shd w:val="clear" w:color="auto" w:fill="F5FFFA"/>
        </w:rPr>
      </w:pPr>
      <w:r w:rsidRPr="00215667">
        <w:rPr>
          <w:rFonts w:ascii="Times New Roman" w:hAnsi="Times New Roman" w:cs="Times New Roman"/>
          <w:b/>
          <w:bCs/>
          <w:noProof/>
          <w:sz w:val="24"/>
          <w:szCs w:val="24"/>
          <w:lang w:val="en-US"/>
          <w14:ligatures w14:val="standardContextual"/>
        </w:rPr>
        <w:drawing>
          <wp:inline distT="0" distB="0" distL="0" distR="0" wp14:anchorId="4548B031" wp14:editId="396EDE15">
            <wp:extent cx="5400040" cy="1557655"/>
            <wp:effectExtent l="0" t="0" r="0" b="4445"/>
            <wp:docPr id="1966271833" name="Picture 20"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271833" name="Picture 20" descr="A blue square with white text&#10;&#10;AI-generated content may be incorrect."/>
                    <pic:cNvPicPr/>
                  </pic:nvPicPr>
                  <pic:blipFill>
                    <a:blip r:embed="rId86">
                      <a:extLst>
                        <a:ext uri="{28A0092B-C50C-407E-A947-70E740481C1C}">
                          <a14:useLocalDpi xmlns:a14="http://schemas.microsoft.com/office/drawing/2010/main" val="0"/>
                        </a:ext>
                      </a:extLst>
                    </a:blip>
                    <a:stretch>
                      <a:fillRect/>
                    </a:stretch>
                  </pic:blipFill>
                  <pic:spPr>
                    <a:xfrm>
                      <a:off x="0" y="0"/>
                      <a:ext cx="5400040" cy="1557655"/>
                    </a:xfrm>
                    <a:prstGeom prst="rect">
                      <a:avLst/>
                    </a:prstGeom>
                  </pic:spPr>
                </pic:pic>
              </a:graphicData>
            </a:graphic>
          </wp:inline>
        </w:drawing>
      </w:r>
    </w:p>
    <w:p w14:paraId="5CA7106B" w14:textId="7D231DF8" w:rsidR="00412474" w:rsidRPr="00215667" w:rsidRDefault="00167D0F" w:rsidP="00412474">
      <w:pPr>
        <w:spacing w:line="240" w:lineRule="auto"/>
        <w:jc w:val="center"/>
        <w:rPr>
          <w:rFonts w:ascii="Times New Roman" w:hAnsi="Times New Roman" w:cs="Times New Roman"/>
          <w:color w:val="000000" w:themeColor="text1"/>
          <w:sz w:val="24"/>
          <w:szCs w:val="24"/>
          <w:shd w:val="clear" w:color="auto" w:fill="F5FFFA"/>
        </w:rPr>
      </w:pPr>
      <w:r w:rsidRPr="00215667">
        <w:rPr>
          <w:rFonts w:ascii="Times New Roman" w:hAnsi="Times New Roman" w:cs="Times New Roman"/>
          <w:b/>
          <w:bCs/>
          <w:noProof/>
          <w:sz w:val="24"/>
          <w:szCs w:val="24"/>
          <w:lang w:val="en-US"/>
          <w14:ligatures w14:val="standardContextual"/>
        </w:rPr>
        <w:lastRenderedPageBreak/>
        <w:drawing>
          <wp:inline distT="0" distB="0" distL="0" distR="0" wp14:anchorId="1E9FCF58" wp14:editId="35EB33D7">
            <wp:extent cx="5193792" cy="1892094"/>
            <wp:effectExtent l="0" t="0" r="6985" b="0"/>
            <wp:docPr id="515472845" name="Picture 2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72845" name="Picture 21" descr="A graph of a number of people&#10;&#10;AI-generated content may be incorrect."/>
                    <pic:cNvPicPr/>
                  </pic:nvPicPr>
                  <pic:blipFill>
                    <a:blip r:embed="rId87">
                      <a:extLst>
                        <a:ext uri="{28A0092B-C50C-407E-A947-70E740481C1C}">
                          <a14:useLocalDpi xmlns:a14="http://schemas.microsoft.com/office/drawing/2010/main" val="0"/>
                        </a:ext>
                      </a:extLst>
                    </a:blip>
                    <a:stretch>
                      <a:fillRect/>
                    </a:stretch>
                  </pic:blipFill>
                  <pic:spPr>
                    <a:xfrm>
                      <a:off x="0" y="0"/>
                      <a:ext cx="5199838" cy="1894296"/>
                    </a:xfrm>
                    <a:prstGeom prst="rect">
                      <a:avLst/>
                    </a:prstGeom>
                  </pic:spPr>
                </pic:pic>
              </a:graphicData>
            </a:graphic>
          </wp:inline>
        </w:drawing>
      </w:r>
    </w:p>
    <w:p w14:paraId="102DCD3D" w14:textId="77777777" w:rsidR="00412474" w:rsidRPr="00215667" w:rsidRDefault="00412474" w:rsidP="00412474">
      <w:pPr>
        <w:spacing w:line="240" w:lineRule="auto"/>
        <w:rPr>
          <w:rFonts w:ascii="Times New Roman" w:hAnsi="Times New Roman" w:cs="Times New Roman"/>
          <w:bCs/>
          <w:sz w:val="24"/>
          <w:szCs w:val="24"/>
        </w:rPr>
      </w:pPr>
    </w:p>
    <w:p w14:paraId="48275402" w14:textId="77777777"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t>Разлика во PEB при употреба на аспирин кај мажи и жени</w:t>
      </w:r>
    </w:p>
    <w:p w14:paraId="390026D9" w14:textId="77777777" w:rsidR="00CF1763" w:rsidRDefault="00CF1763" w:rsidP="00CF1763">
      <w:pPr>
        <w:spacing w:after="120" w:line="360" w:lineRule="auto"/>
        <w:ind w:firstLine="720"/>
        <w:jc w:val="both"/>
        <w:rPr>
          <w:rFonts w:ascii="Times New Roman" w:hAnsi="Times New Roman" w:cs="Times New Roman"/>
          <w:sz w:val="24"/>
          <w:szCs w:val="24"/>
        </w:rPr>
      </w:pPr>
    </w:p>
    <w:p w14:paraId="27CEA912" w14:textId="6C40657C" w:rsidR="00412474" w:rsidRPr="00CF1763" w:rsidRDefault="00412474" w:rsidP="00CF1763">
      <w:pPr>
        <w:spacing w:after="120" w:line="360" w:lineRule="auto"/>
        <w:ind w:firstLine="720"/>
        <w:jc w:val="both"/>
        <w:rPr>
          <w:rFonts w:ascii="Times New Roman" w:hAnsi="Times New Roman" w:cs="Times New Roman"/>
          <w:sz w:val="24"/>
          <w:szCs w:val="24"/>
        </w:rPr>
      </w:pPr>
      <w:r w:rsidRPr="00CF1763">
        <w:rPr>
          <w:rFonts w:ascii="Times New Roman" w:hAnsi="Times New Roman" w:cs="Times New Roman"/>
          <w:sz w:val="24"/>
          <w:szCs w:val="24"/>
        </w:rPr>
        <w:t xml:space="preserve">Направена е анализа на постекстракционото крвавење (PEB) кај мажи и жени кои користат аспирин. Резултатите од </w:t>
      </w:r>
      <w:r w:rsidRPr="00CF1763">
        <w:rPr>
          <w:rFonts w:ascii="Times New Roman" w:hAnsi="Times New Roman" w:cs="Times New Roman"/>
          <w:i/>
          <w:iCs/>
          <w:sz w:val="24"/>
          <w:szCs w:val="24"/>
        </w:rPr>
        <w:t>Mann-Whitney U</w:t>
      </w:r>
      <w:r w:rsidRPr="00CF1763">
        <w:rPr>
          <w:rFonts w:ascii="Times New Roman" w:hAnsi="Times New Roman" w:cs="Times New Roman"/>
          <w:sz w:val="24"/>
          <w:szCs w:val="24"/>
        </w:rPr>
        <w:t xml:space="preserve"> тестот покажуваат дека Z вредноста изнесува -1.8128, што се наоѓа во рамките на 95</w:t>
      </w:r>
      <w:r w:rsidR="00CF1763">
        <w:rPr>
          <w:rFonts w:ascii="Times New Roman" w:hAnsi="Times New Roman" w:cs="Times New Roman"/>
          <w:sz w:val="24"/>
          <w:szCs w:val="24"/>
        </w:rPr>
        <w:t xml:space="preserve"> </w:t>
      </w:r>
      <w:r w:rsidRPr="00CF1763">
        <w:rPr>
          <w:rFonts w:ascii="Times New Roman" w:hAnsi="Times New Roman" w:cs="Times New Roman"/>
          <w:sz w:val="24"/>
          <w:szCs w:val="24"/>
        </w:rPr>
        <w:t>% регионот на прифаќање ([-1.96, 1.96]), а U-вредноста од 635.5 исто така се наоѓа во рамките на овој регион. P-вредноста е 0.069, што е поголемо од зададеното ниво на значајност α.</w:t>
      </w:r>
      <w:r w:rsidR="00CF1763">
        <w:rPr>
          <w:rFonts w:ascii="Times New Roman" w:hAnsi="Times New Roman" w:cs="Times New Roman"/>
          <w:sz w:val="24"/>
          <w:szCs w:val="24"/>
        </w:rPr>
        <w:t xml:space="preserve"> </w:t>
      </w:r>
      <w:r w:rsidRPr="00CF1763">
        <w:rPr>
          <w:rFonts w:ascii="Times New Roman" w:hAnsi="Times New Roman" w:cs="Times New Roman"/>
          <w:sz w:val="24"/>
          <w:szCs w:val="24"/>
        </w:rPr>
        <w:t>Поради тоа, се прифаќа нултата хипотеза (H₀), односно не постои статистички значајна разлика во вредностите на PEB помеѓу мажите и жените кои примаат терапија со аспирин.</w:t>
      </w:r>
    </w:p>
    <w:p w14:paraId="24B43FE9" w14:textId="06417FDE" w:rsidR="00412474" w:rsidRPr="00CF1763" w:rsidRDefault="00412474" w:rsidP="00CF1763">
      <w:pPr>
        <w:spacing w:after="120" w:line="360" w:lineRule="auto"/>
        <w:ind w:firstLine="720"/>
        <w:jc w:val="both"/>
        <w:rPr>
          <w:rFonts w:ascii="Times New Roman" w:hAnsi="Times New Roman" w:cs="Times New Roman"/>
          <w:sz w:val="24"/>
          <w:szCs w:val="24"/>
        </w:rPr>
      </w:pPr>
      <w:r w:rsidRPr="00CF1763">
        <w:rPr>
          <w:rFonts w:ascii="Times New Roman" w:hAnsi="Times New Roman" w:cs="Times New Roman"/>
          <w:sz w:val="24"/>
          <w:szCs w:val="24"/>
        </w:rPr>
        <w:t>Сепак, поради тоа што вредноста на p е блиску до нивото на значајност, може да се интерпретира дека постекстракционото крвавење кај жените кои користат аспирин е со повисоки вредности во споредба со мажите, иако разликата не е статистички значајна.</w:t>
      </w:r>
      <w:r w:rsidR="00CF1763">
        <w:rPr>
          <w:rFonts w:ascii="Times New Roman" w:hAnsi="Times New Roman" w:cs="Times New Roman"/>
          <w:sz w:val="24"/>
          <w:szCs w:val="24"/>
        </w:rPr>
        <w:t xml:space="preserve"> </w:t>
      </w:r>
      <w:r w:rsidRPr="00CF1763">
        <w:rPr>
          <w:rFonts w:ascii="Times New Roman" w:hAnsi="Times New Roman" w:cs="Times New Roman"/>
          <w:sz w:val="24"/>
          <w:szCs w:val="24"/>
        </w:rPr>
        <w:t>Резултатите од оваа анализа се прикажани на графикон бр.</w:t>
      </w:r>
      <w:r w:rsidR="00167D0F" w:rsidRPr="00CF1763">
        <w:rPr>
          <w:rFonts w:ascii="Times New Roman" w:hAnsi="Times New Roman" w:cs="Times New Roman"/>
          <w:sz w:val="24"/>
          <w:szCs w:val="24"/>
        </w:rPr>
        <w:t xml:space="preserve"> 39.</w:t>
      </w:r>
    </w:p>
    <w:p w14:paraId="74BD12B2" w14:textId="41247B23" w:rsidR="00412474" w:rsidRDefault="00CF1763" w:rsidP="00CF1763">
      <w:pPr>
        <w:spacing w:after="120" w:line="360" w:lineRule="auto"/>
        <w:jc w:val="center"/>
        <w:rPr>
          <w:rFonts w:ascii="Times New Roman" w:hAnsi="Times New Roman" w:cs="Times New Roman"/>
          <w:bCs/>
          <w:sz w:val="24"/>
          <w:szCs w:val="24"/>
        </w:rPr>
      </w:pPr>
      <w:r w:rsidRPr="00CF1763">
        <w:rPr>
          <w:rFonts w:ascii="Times New Roman" w:eastAsia="Calibri" w:hAnsi="Times New Roman" w:cs="Times New Roman"/>
          <w:sz w:val="24"/>
          <w:szCs w:val="24"/>
        </w:rPr>
        <w:lastRenderedPageBreak/>
        <w:t>Графикон бр. 39. Разлики во PEB по извршување на интервенцијата меѓу испитаници од машки и женски пол кои примаат аспирин</w:t>
      </w:r>
      <w:r w:rsidR="00167D0F" w:rsidRPr="00215667">
        <w:rPr>
          <w:rFonts w:ascii="Times New Roman" w:hAnsi="Times New Roman" w:cs="Times New Roman"/>
          <w:b/>
          <w:bCs/>
          <w:noProof/>
          <w:sz w:val="24"/>
          <w:szCs w:val="24"/>
          <w:lang w:val="en-US"/>
          <w14:ligatures w14:val="standardContextual"/>
        </w:rPr>
        <w:drawing>
          <wp:inline distT="0" distB="0" distL="0" distR="0" wp14:anchorId="4E4F5B0A" wp14:editId="1D432E0A">
            <wp:extent cx="5157216" cy="1611933"/>
            <wp:effectExtent l="0" t="0" r="5715" b="7620"/>
            <wp:docPr id="1883582475" name="Picture 2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582475" name="Picture 22" descr="A screenshot of a computer&#10;&#10;AI-generated content may be incorrect."/>
                    <pic:cNvPicPr/>
                  </pic:nvPicPr>
                  <pic:blipFill>
                    <a:blip r:embed="rId88">
                      <a:extLst>
                        <a:ext uri="{28A0092B-C50C-407E-A947-70E740481C1C}">
                          <a14:useLocalDpi xmlns:a14="http://schemas.microsoft.com/office/drawing/2010/main" val="0"/>
                        </a:ext>
                      </a:extLst>
                    </a:blip>
                    <a:stretch>
                      <a:fillRect/>
                    </a:stretch>
                  </pic:blipFill>
                  <pic:spPr>
                    <a:xfrm>
                      <a:off x="0" y="0"/>
                      <a:ext cx="5159232" cy="1612563"/>
                    </a:xfrm>
                    <a:prstGeom prst="rect">
                      <a:avLst/>
                    </a:prstGeom>
                  </pic:spPr>
                </pic:pic>
              </a:graphicData>
            </a:graphic>
          </wp:inline>
        </w:drawing>
      </w:r>
    </w:p>
    <w:p w14:paraId="14831F1E" w14:textId="6F1763F4" w:rsidR="00412474" w:rsidRPr="00215667" w:rsidRDefault="00167D0F" w:rsidP="00412474">
      <w:pPr>
        <w:spacing w:line="240" w:lineRule="auto"/>
        <w:jc w:val="center"/>
        <w:rPr>
          <w:rFonts w:ascii="Times New Roman" w:hAnsi="Times New Roman" w:cs="Times New Roman"/>
          <w:bCs/>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14784078" wp14:editId="5B747E8E">
            <wp:extent cx="5400040" cy="1959610"/>
            <wp:effectExtent l="0" t="0" r="0" b="0"/>
            <wp:docPr id="916758755" name="Picture 23" descr="A graph with a blue and grey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58755" name="Picture 23" descr="A graph with a blue and grey bar&#10;&#10;AI-generated content may be incorrect."/>
                    <pic:cNvPicPr/>
                  </pic:nvPicPr>
                  <pic:blipFill>
                    <a:blip r:embed="rId89">
                      <a:extLst>
                        <a:ext uri="{28A0092B-C50C-407E-A947-70E740481C1C}">
                          <a14:useLocalDpi xmlns:a14="http://schemas.microsoft.com/office/drawing/2010/main" val="0"/>
                        </a:ext>
                      </a:extLst>
                    </a:blip>
                    <a:stretch>
                      <a:fillRect/>
                    </a:stretch>
                  </pic:blipFill>
                  <pic:spPr>
                    <a:xfrm>
                      <a:off x="0" y="0"/>
                      <a:ext cx="5400040" cy="1959610"/>
                    </a:xfrm>
                    <a:prstGeom prst="rect">
                      <a:avLst/>
                    </a:prstGeom>
                  </pic:spPr>
                </pic:pic>
              </a:graphicData>
            </a:graphic>
          </wp:inline>
        </w:drawing>
      </w:r>
    </w:p>
    <w:p w14:paraId="054D7D52" w14:textId="77777777" w:rsidR="00412474" w:rsidRPr="00215667" w:rsidRDefault="00412474" w:rsidP="00412474">
      <w:pPr>
        <w:spacing w:line="240" w:lineRule="auto"/>
        <w:rPr>
          <w:rFonts w:ascii="Times New Roman" w:hAnsi="Times New Roman" w:cs="Times New Roman"/>
          <w:b/>
          <w:bCs/>
          <w:sz w:val="24"/>
          <w:szCs w:val="24"/>
        </w:rPr>
      </w:pPr>
    </w:p>
    <w:p w14:paraId="08CD67D8" w14:textId="77777777"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t>Разлика во PEB во зависност од прекинувањето на терапијата кај мажи vs. жени</w:t>
      </w:r>
    </w:p>
    <w:p w14:paraId="4B156DA9" w14:textId="77777777" w:rsidR="00412474" w:rsidRPr="00215667" w:rsidRDefault="00412474" w:rsidP="00412474">
      <w:pPr>
        <w:spacing w:line="240" w:lineRule="auto"/>
        <w:rPr>
          <w:rFonts w:ascii="Times New Roman" w:hAnsi="Times New Roman" w:cs="Times New Roman"/>
          <w:b/>
          <w:bCs/>
          <w:sz w:val="24"/>
          <w:szCs w:val="24"/>
        </w:rPr>
      </w:pPr>
    </w:p>
    <w:p w14:paraId="101CBBF9" w14:textId="77777777" w:rsidR="00412474" w:rsidRPr="00CF1763" w:rsidRDefault="00412474" w:rsidP="00CF1763">
      <w:pPr>
        <w:spacing w:after="120" w:line="360" w:lineRule="auto"/>
        <w:ind w:firstLine="720"/>
        <w:jc w:val="both"/>
        <w:rPr>
          <w:rFonts w:ascii="Times New Roman" w:hAnsi="Times New Roman" w:cs="Times New Roman"/>
          <w:sz w:val="24"/>
          <w:szCs w:val="24"/>
        </w:rPr>
      </w:pPr>
      <w:r w:rsidRPr="00CF1763">
        <w:rPr>
          <w:rFonts w:ascii="Times New Roman" w:hAnsi="Times New Roman" w:cs="Times New Roman"/>
          <w:sz w:val="24"/>
          <w:szCs w:val="24"/>
        </w:rPr>
        <w:t xml:space="preserve">Направена е анализа на постекстракционото крвавење меѓу мажите и жените, во зависност од тоа дали ОАТ е прекината (независно од тоа дали е користен VKA/DOAC или аспирин). </w:t>
      </w:r>
    </w:p>
    <w:p w14:paraId="3963EF30" w14:textId="5F9F8CD1" w:rsidR="00412474" w:rsidRPr="00CF1763" w:rsidRDefault="00412474" w:rsidP="00CF1763">
      <w:pPr>
        <w:spacing w:after="120" w:line="360" w:lineRule="auto"/>
        <w:ind w:firstLine="720"/>
        <w:jc w:val="both"/>
        <w:rPr>
          <w:rFonts w:ascii="Times New Roman" w:hAnsi="Times New Roman" w:cs="Times New Roman"/>
          <w:sz w:val="24"/>
          <w:szCs w:val="24"/>
        </w:rPr>
      </w:pPr>
      <w:r w:rsidRPr="00CF1763">
        <w:rPr>
          <w:rFonts w:ascii="Times New Roman" w:hAnsi="Times New Roman" w:cs="Times New Roman"/>
          <w:i/>
          <w:iCs/>
          <w:sz w:val="24"/>
          <w:szCs w:val="24"/>
        </w:rPr>
        <w:t>Kruskal-Wallis H</w:t>
      </w:r>
      <w:r w:rsidRPr="00CF1763">
        <w:rPr>
          <w:rFonts w:ascii="Times New Roman" w:hAnsi="Times New Roman" w:cs="Times New Roman"/>
          <w:sz w:val="24"/>
          <w:szCs w:val="24"/>
        </w:rPr>
        <w:t xml:space="preserve"> тестот укажа на значајна разлика во зависната променлива помеѓу различните групи, χ²(3) = 76.14, p &lt; .001, при што просечните рангови изнесуваат 161.92 за </w:t>
      </w:r>
      <w:r w:rsidR="00CF1763">
        <w:rPr>
          <w:rStyle w:val="s1"/>
          <w:rFonts w:ascii="Times New Roman" w:eastAsiaTheme="majorEastAsia" w:hAnsi="Times New Roman" w:cs="Times New Roman"/>
          <w:b/>
          <w:bCs/>
          <w:sz w:val="24"/>
          <w:szCs w:val="24"/>
        </w:rPr>
        <w:t>м</w:t>
      </w:r>
      <w:r w:rsidRPr="00CF1763">
        <w:rPr>
          <w:rStyle w:val="s1"/>
          <w:rFonts w:ascii="Times New Roman" w:eastAsiaTheme="majorEastAsia" w:hAnsi="Times New Roman" w:cs="Times New Roman"/>
          <w:b/>
          <w:bCs/>
          <w:sz w:val="24"/>
          <w:szCs w:val="24"/>
        </w:rPr>
        <w:t>ажи непрекината</w:t>
      </w:r>
      <w:r w:rsidRPr="00CF1763">
        <w:rPr>
          <w:rFonts w:ascii="Times New Roman" w:hAnsi="Times New Roman" w:cs="Times New Roman"/>
          <w:sz w:val="24"/>
          <w:szCs w:val="24"/>
        </w:rPr>
        <w:t xml:space="preserve">, 75.6 за </w:t>
      </w:r>
      <w:r w:rsidR="00CF1763">
        <w:rPr>
          <w:rStyle w:val="s1"/>
          <w:rFonts w:ascii="Times New Roman" w:eastAsiaTheme="majorEastAsia" w:hAnsi="Times New Roman" w:cs="Times New Roman"/>
          <w:b/>
          <w:bCs/>
          <w:sz w:val="24"/>
          <w:szCs w:val="24"/>
        </w:rPr>
        <w:t>м</w:t>
      </w:r>
      <w:r w:rsidRPr="00CF1763">
        <w:rPr>
          <w:rStyle w:val="s1"/>
          <w:rFonts w:ascii="Times New Roman" w:eastAsiaTheme="majorEastAsia" w:hAnsi="Times New Roman" w:cs="Times New Roman"/>
          <w:b/>
          <w:bCs/>
          <w:sz w:val="24"/>
          <w:szCs w:val="24"/>
        </w:rPr>
        <w:t>ажи прекината</w:t>
      </w:r>
      <w:r w:rsidRPr="00CF1763">
        <w:rPr>
          <w:rFonts w:ascii="Times New Roman" w:hAnsi="Times New Roman" w:cs="Times New Roman"/>
          <w:sz w:val="24"/>
          <w:szCs w:val="24"/>
        </w:rPr>
        <w:t xml:space="preserve">, 154.66 за </w:t>
      </w:r>
      <w:r w:rsidR="00CF1763">
        <w:rPr>
          <w:rStyle w:val="s1"/>
          <w:rFonts w:ascii="Times New Roman" w:eastAsiaTheme="majorEastAsia" w:hAnsi="Times New Roman" w:cs="Times New Roman"/>
          <w:b/>
          <w:bCs/>
          <w:sz w:val="24"/>
          <w:szCs w:val="24"/>
        </w:rPr>
        <w:t>ж</w:t>
      </w:r>
      <w:r w:rsidRPr="00CF1763">
        <w:rPr>
          <w:rStyle w:val="s1"/>
          <w:rFonts w:ascii="Times New Roman" w:eastAsiaTheme="majorEastAsia" w:hAnsi="Times New Roman" w:cs="Times New Roman"/>
          <w:b/>
          <w:bCs/>
          <w:sz w:val="24"/>
          <w:szCs w:val="24"/>
        </w:rPr>
        <w:t>ени непрекината</w:t>
      </w:r>
      <w:r w:rsidRPr="00CF1763">
        <w:rPr>
          <w:rFonts w:ascii="Times New Roman" w:hAnsi="Times New Roman" w:cs="Times New Roman"/>
          <w:sz w:val="24"/>
          <w:szCs w:val="24"/>
        </w:rPr>
        <w:t xml:space="preserve">, и 81.21 за </w:t>
      </w:r>
      <w:r w:rsidR="00CF1763">
        <w:rPr>
          <w:rStyle w:val="s1"/>
          <w:rFonts w:ascii="Times New Roman" w:eastAsiaTheme="majorEastAsia" w:hAnsi="Times New Roman" w:cs="Times New Roman"/>
          <w:b/>
          <w:bCs/>
          <w:sz w:val="24"/>
          <w:szCs w:val="24"/>
        </w:rPr>
        <w:t>ж</w:t>
      </w:r>
      <w:r w:rsidRPr="00CF1763">
        <w:rPr>
          <w:rStyle w:val="s1"/>
          <w:rFonts w:ascii="Times New Roman" w:eastAsiaTheme="majorEastAsia" w:hAnsi="Times New Roman" w:cs="Times New Roman"/>
          <w:b/>
          <w:bCs/>
          <w:sz w:val="24"/>
          <w:szCs w:val="24"/>
        </w:rPr>
        <w:t>ени прекината</w:t>
      </w:r>
      <w:r w:rsidRPr="00CF1763">
        <w:rPr>
          <w:rFonts w:ascii="Times New Roman" w:hAnsi="Times New Roman" w:cs="Times New Roman"/>
          <w:sz w:val="24"/>
          <w:szCs w:val="24"/>
        </w:rPr>
        <w:t>.</w:t>
      </w:r>
    </w:p>
    <w:p w14:paraId="49DBD2F6" w14:textId="77777777" w:rsidR="00412474" w:rsidRPr="00CF1763" w:rsidRDefault="00412474" w:rsidP="00CF1763">
      <w:pPr>
        <w:spacing w:after="120" w:line="360" w:lineRule="auto"/>
        <w:ind w:firstLine="720"/>
        <w:jc w:val="both"/>
        <w:rPr>
          <w:rFonts w:ascii="Times New Roman" w:hAnsi="Times New Roman" w:cs="Times New Roman"/>
          <w:sz w:val="24"/>
          <w:szCs w:val="24"/>
        </w:rPr>
      </w:pPr>
      <w:r w:rsidRPr="00CF1763">
        <w:rPr>
          <w:rFonts w:ascii="Times New Roman" w:hAnsi="Times New Roman" w:cs="Times New Roman"/>
          <w:sz w:val="24"/>
          <w:szCs w:val="24"/>
        </w:rPr>
        <w:t xml:space="preserve">Дополнителниот </w:t>
      </w:r>
      <w:r w:rsidRPr="00CF1763">
        <w:rPr>
          <w:rFonts w:ascii="Times New Roman" w:hAnsi="Times New Roman" w:cs="Times New Roman"/>
          <w:i/>
          <w:iCs/>
          <w:sz w:val="24"/>
          <w:szCs w:val="24"/>
        </w:rPr>
        <w:t>Dunn тест</w:t>
      </w:r>
      <w:r w:rsidRPr="00CF1763">
        <w:rPr>
          <w:rFonts w:ascii="Times New Roman" w:hAnsi="Times New Roman" w:cs="Times New Roman"/>
          <w:sz w:val="24"/>
          <w:szCs w:val="24"/>
        </w:rPr>
        <w:t xml:space="preserve"> со </w:t>
      </w:r>
      <w:r w:rsidRPr="00CF1763">
        <w:rPr>
          <w:rFonts w:ascii="Times New Roman" w:hAnsi="Times New Roman" w:cs="Times New Roman"/>
          <w:i/>
          <w:iCs/>
          <w:sz w:val="24"/>
          <w:szCs w:val="24"/>
        </w:rPr>
        <w:t>Bonferroni</w:t>
      </w:r>
      <w:r w:rsidRPr="00CF1763">
        <w:rPr>
          <w:rFonts w:ascii="Times New Roman" w:hAnsi="Times New Roman" w:cs="Times New Roman"/>
          <w:sz w:val="24"/>
          <w:szCs w:val="24"/>
        </w:rPr>
        <w:t xml:space="preserve"> корекција на алфа вредноста (α = 0.0083) покажа дека просечните рангови кај следните парови се статистички значајно различни: </w:t>
      </w:r>
      <w:r w:rsidRPr="00CF1763">
        <w:rPr>
          <w:rStyle w:val="s1"/>
          <w:rFonts w:ascii="Times New Roman" w:eastAsiaTheme="majorEastAsia" w:hAnsi="Times New Roman" w:cs="Times New Roman"/>
          <w:b/>
          <w:bCs/>
          <w:sz w:val="24"/>
          <w:szCs w:val="24"/>
        </w:rPr>
        <w:t>x1-x2</w:t>
      </w:r>
      <w:r w:rsidRPr="00CF1763">
        <w:rPr>
          <w:rFonts w:ascii="Times New Roman" w:hAnsi="Times New Roman" w:cs="Times New Roman"/>
          <w:sz w:val="24"/>
          <w:szCs w:val="24"/>
        </w:rPr>
        <w:t xml:space="preserve">, </w:t>
      </w:r>
      <w:r w:rsidRPr="00CF1763">
        <w:rPr>
          <w:rStyle w:val="s1"/>
          <w:rFonts w:ascii="Times New Roman" w:eastAsiaTheme="majorEastAsia" w:hAnsi="Times New Roman" w:cs="Times New Roman"/>
          <w:b/>
          <w:bCs/>
          <w:sz w:val="24"/>
          <w:szCs w:val="24"/>
        </w:rPr>
        <w:t>x1-x4</w:t>
      </w:r>
      <w:r w:rsidRPr="00CF1763">
        <w:rPr>
          <w:rFonts w:ascii="Times New Roman" w:hAnsi="Times New Roman" w:cs="Times New Roman"/>
          <w:sz w:val="24"/>
          <w:szCs w:val="24"/>
        </w:rPr>
        <w:t xml:space="preserve">, </w:t>
      </w:r>
      <w:r w:rsidRPr="00CF1763">
        <w:rPr>
          <w:rStyle w:val="s1"/>
          <w:rFonts w:ascii="Times New Roman" w:eastAsiaTheme="majorEastAsia" w:hAnsi="Times New Roman" w:cs="Times New Roman"/>
          <w:b/>
          <w:bCs/>
          <w:sz w:val="24"/>
          <w:szCs w:val="24"/>
        </w:rPr>
        <w:t>x2-x3</w:t>
      </w:r>
      <w:r w:rsidRPr="00CF1763">
        <w:rPr>
          <w:rFonts w:ascii="Times New Roman" w:hAnsi="Times New Roman" w:cs="Times New Roman"/>
          <w:sz w:val="24"/>
          <w:szCs w:val="24"/>
        </w:rPr>
        <w:t xml:space="preserve">, </w:t>
      </w:r>
      <w:r w:rsidRPr="00CF1763">
        <w:rPr>
          <w:rStyle w:val="s1"/>
          <w:rFonts w:ascii="Times New Roman" w:eastAsiaTheme="majorEastAsia" w:hAnsi="Times New Roman" w:cs="Times New Roman"/>
          <w:b/>
          <w:bCs/>
          <w:sz w:val="24"/>
          <w:szCs w:val="24"/>
        </w:rPr>
        <w:t>x3-x4</w:t>
      </w:r>
      <w:r w:rsidRPr="00CF1763">
        <w:rPr>
          <w:rFonts w:ascii="Times New Roman" w:hAnsi="Times New Roman" w:cs="Times New Roman"/>
          <w:sz w:val="24"/>
          <w:szCs w:val="24"/>
        </w:rPr>
        <w:t>.</w:t>
      </w:r>
    </w:p>
    <w:p w14:paraId="11390EFF" w14:textId="531DCE89" w:rsidR="00412474" w:rsidRDefault="00412474" w:rsidP="00CF1763">
      <w:pPr>
        <w:spacing w:after="120" w:line="360" w:lineRule="auto"/>
        <w:ind w:firstLine="720"/>
        <w:jc w:val="both"/>
        <w:rPr>
          <w:rFonts w:ascii="Times New Roman" w:hAnsi="Times New Roman" w:cs="Times New Roman"/>
          <w:sz w:val="24"/>
          <w:szCs w:val="24"/>
        </w:rPr>
      </w:pPr>
      <w:r w:rsidRPr="00CF1763">
        <w:rPr>
          <w:rFonts w:ascii="Times New Roman" w:hAnsi="Times New Roman" w:cs="Times New Roman"/>
          <w:sz w:val="24"/>
          <w:szCs w:val="24"/>
        </w:rPr>
        <w:lastRenderedPageBreak/>
        <w:t xml:space="preserve">Вредноста на p е 2.22e-16 (P(x ≤ 76.1357) = 1). Ова значи дека веројатноста за грешка од </w:t>
      </w:r>
      <w:r w:rsidR="00CF1763">
        <w:rPr>
          <w:rFonts w:ascii="Times New Roman" w:hAnsi="Times New Roman" w:cs="Times New Roman"/>
          <w:sz w:val="24"/>
          <w:szCs w:val="24"/>
        </w:rPr>
        <w:t>п</w:t>
      </w:r>
      <w:r w:rsidRPr="00CF1763">
        <w:rPr>
          <w:rFonts w:ascii="Times New Roman" w:hAnsi="Times New Roman" w:cs="Times New Roman"/>
          <w:sz w:val="24"/>
          <w:szCs w:val="24"/>
        </w:rPr>
        <w:t>рва врста (одбивање на точна нулта хипотеза, H₀) е многу мала: 2.22e-16 (односно 2.2e-14%). Колку што е помала p-вредноста, толку е поголема поддршката за алтернативната хипотеза (H₁). H вредноста изнесува 76.1357, што не се наоѓа во 95</w:t>
      </w:r>
      <w:r w:rsidR="00CF1763">
        <w:rPr>
          <w:rFonts w:ascii="Times New Roman" w:hAnsi="Times New Roman" w:cs="Times New Roman"/>
          <w:sz w:val="24"/>
          <w:szCs w:val="24"/>
        </w:rPr>
        <w:t xml:space="preserve"> </w:t>
      </w:r>
      <w:r w:rsidRPr="00CF1763">
        <w:rPr>
          <w:rFonts w:ascii="Times New Roman" w:hAnsi="Times New Roman" w:cs="Times New Roman"/>
          <w:sz w:val="24"/>
          <w:szCs w:val="24"/>
        </w:rPr>
        <w:t xml:space="preserve">% регионот на прифаќање: [0, 7.8147]. Резултатите од оваа анализа се прикажани на графикон бр. </w:t>
      </w:r>
      <w:r w:rsidR="00167D0F" w:rsidRPr="00CF1763">
        <w:rPr>
          <w:rFonts w:ascii="Times New Roman" w:hAnsi="Times New Roman" w:cs="Times New Roman"/>
          <w:sz w:val="24"/>
          <w:szCs w:val="24"/>
        </w:rPr>
        <w:t xml:space="preserve">40 и табела бр. </w:t>
      </w:r>
      <w:r w:rsidR="00CF1763">
        <w:rPr>
          <w:rFonts w:ascii="Times New Roman" w:hAnsi="Times New Roman" w:cs="Times New Roman"/>
          <w:sz w:val="24"/>
          <w:szCs w:val="24"/>
        </w:rPr>
        <w:t>24.</w:t>
      </w:r>
    </w:p>
    <w:p w14:paraId="1C20C531" w14:textId="77777777" w:rsidR="00CF1763" w:rsidRDefault="00CF1763" w:rsidP="00CF1763">
      <w:pPr>
        <w:spacing w:after="120" w:line="360" w:lineRule="auto"/>
        <w:ind w:firstLine="720"/>
        <w:jc w:val="both"/>
        <w:rPr>
          <w:rFonts w:ascii="Times New Roman" w:eastAsia="Calibri" w:hAnsi="Times New Roman" w:cs="Times New Roman"/>
          <w:sz w:val="24"/>
          <w:szCs w:val="24"/>
        </w:rPr>
      </w:pPr>
    </w:p>
    <w:p w14:paraId="3485E87A" w14:textId="46FE2374" w:rsidR="00CF1763" w:rsidRPr="00CF1763" w:rsidRDefault="00CF1763" w:rsidP="00CF1763">
      <w:pPr>
        <w:spacing w:after="120" w:line="360" w:lineRule="auto"/>
        <w:ind w:firstLine="720"/>
        <w:jc w:val="center"/>
        <w:rPr>
          <w:rFonts w:ascii="Times New Roman" w:eastAsia="Calibri" w:hAnsi="Times New Roman" w:cs="Times New Roman"/>
          <w:sz w:val="24"/>
          <w:szCs w:val="24"/>
        </w:rPr>
      </w:pPr>
      <w:r w:rsidRPr="00CF1763">
        <w:rPr>
          <w:rFonts w:ascii="Times New Roman" w:eastAsia="Calibri" w:hAnsi="Times New Roman" w:cs="Times New Roman"/>
          <w:sz w:val="24"/>
          <w:szCs w:val="24"/>
        </w:rPr>
        <w:t>Графикон бр. 40</w:t>
      </w:r>
      <w:r>
        <w:rPr>
          <w:rFonts w:ascii="Times New Roman" w:eastAsia="Calibri" w:hAnsi="Times New Roman" w:cs="Times New Roman"/>
          <w:sz w:val="24"/>
          <w:szCs w:val="24"/>
        </w:rPr>
        <w:t>-</w:t>
      </w:r>
      <w:r w:rsidRPr="00CF1763">
        <w:rPr>
          <w:rFonts w:ascii="Times New Roman" w:eastAsia="Calibri" w:hAnsi="Times New Roman" w:cs="Times New Roman"/>
          <w:sz w:val="24"/>
          <w:szCs w:val="24"/>
        </w:rPr>
        <w:t xml:space="preserve"> Разлики во PEB меѓу испитаниците од машки и женски пол кои примаат антикоагулантна и антиагрегациона терапија сумарно, во зависност од тоа дали терапијата е прекината или не</w:t>
      </w:r>
    </w:p>
    <w:p w14:paraId="55010821" w14:textId="30EE56BA" w:rsidR="00412474" w:rsidRPr="00215667" w:rsidRDefault="00167D0F" w:rsidP="00412474">
      <w:pPr>
        <w:pStyle w:val="p1"/>
        <w:jc w:val="center"/>
      </w:pPr>
      <w:r w:rsidRPr="00215667">
        <w:rPr>
          <w:noProof/>
          <w:lang w:val="en-US" w:eastAsia="en-US"/>
          <w14:ligatures w14:val="standardContextual"/>
        </w:rPr>
        <w:drawing>
          <wp:inline distT="0" distB="0" distL="0" distR="0" wp14:anchorId="76BD5B0A" wp14:editId="1EAC683D">
            <wp:extent cx="5400040" cy="2848610"/>
            <wp:effectExtent l="0" t="0" r="0" b="0"/>
            <wp:docPr id="1363662595" name="Picture 25"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662595" name="Picture 25" descr="A graph with lines and numbers&#10;&#10;AI-generated content may be incorrect."/>
                    <pic:cNvPicPr/>
                  </pic:nvPicPr>
                  <pic:blipFill>
                    <a:blip r:embed="rId90">
                      <a:extLst>
                        <a:ext uri="{28A0092B-C50C-407E-A947-70E740481C1C}">
                          <a14:useLocalDpi xmlns:a14="http://schemas.microsoft.com/office/drawing/2010/main" val="0"/>
                        </a:ext>
                      </a:extLst>
                    </a:blip>
                    <a:stretch>
                      <a:fillRect/>
                    </a:stretch>
                  </pic:blipFill>
                  <pic:spPr>
                    <a:xfrm>
                      <a:off x="0" y="0"/>
                      <a:ext cx="5400040" cy="2848610"/>
                    </a:xfrm>
                    <a:prstGeom prst="rect">
                      <a:avLst/>
                    </a:prstGeom>
                  </pic:spPr>
                </pic:pic>
              </a:graphicData>
            </a:graphic>
          </wp:inline>
        </w:drawing>
      </w:r>
    </w:p>
    <w:p w14:paraId="23A1BC5F" w14:textId="3EFB9AA0" w:rsidR="00412474" w:rsidRPr="00215667" w:rsidRDefault="00167D0F" w:rsidP="00412474">
      <w:pPr>
        <w:pStyle w:val="p1"/>
        <w:jc w:val="center"/>
      </w:pPr>
      <w:r w:rsidRPr="00215667">
        <w:rPr>
          <w:noProof/>
          <w:lang w:val="en-US" w:eastAsia="en-US"/>
          <w14:ligatures w14:val="standardContextual"/>
        </w:rPr>
        <w:lastRenderedPageBreak/>
        <w:drawing>
          <wp:inline distT="0" distB="0" distL="0" distR="0" wp14:anchorId="34098828" wp14:editId="0F311783">
            <wp:extent cx="3686861" cy="3696853"/>
            <wp:effectExtent l="0" t="0" r="8890" b="0"/>
            <wp:docPr id="63078784" name="Picture 26" descr="A graph with colorful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78784" name="Picture 26" descr="A graph with colorful lines and numbers&#10;&#10;AI-generated content may be incorrect."/>
                    <pic:cNvPicPr/>
                  </pic:nvPicPr>
                  <pic:blipFill>
                    <a:blip r:embed="rId91">
                      <a:extLst>
                        <a:ext uri="{28A0092B-C50C-407E-A947-70E740481C1C}">
                          <a14:useLocalDpi xmlns:a14="http://schemas.microsoft.com/office/drawing/2010/main" val="0"/>
                        </a:ext>
                      </a:extLst>
                    </a:blip>
                    <a:stretch>
                      <a:fillRect/>
                    </a:stretch>
                  </pic:blipFill>
                  <pic:spPr>
                    <a:xfrm>
                      <a:off x="0" y="0"/>
                      <a:ext cx="3709228" cy="3719280"/>
                    </a:xfrm>
                    <a:prstGeom prst="rect">
                      <a:avLst/>
                    </a:prstGeom>
                  </pic:spPr>
                </pic:pic>
              </a:graphicData>
            </a:graphic>
          </wp:inline>
        </w:drawing>
      </w:r>
    </w:p>
    <w:p w14:paraId="05232989" w14:textId="77777777" w:rsidR="00CF1763" w:rsidRDefault="00CF1763" w:rsidP="00CF1763">
      <w:pPr>
        <w:spacing w:after="120" w:line="360" w:lineRule="auto"/>
        <w:ind w:firstLine="720"/>
        <w:jc w:val="center"/>
        <w:rPr>
          <w:rFonts w:ascii="Times New Roman" w:hAnsi="Times New Roman" w:cs="Times New Roman"/>
          <w:sz w:val="24"/>
          <w:szCs w:val="24"/>
        </w:rPr>
      </w:pPr>
    </w:p>
    <w:p w14:paraId="44306A7A" w14:textId="2B0F4DA9" w:rsidR="00167D0F" w:rsidRPr="00215667" w:rsidRDefault="00167D0F" w:rsidP="00CF1763">
      <w:pPr>
        <w:spacing w:after="120" w:line="360" w:lineRule="auto"/>
        <w:ind w:firstLine="720"/>
        <w:jc w:val="center"/>
        <w:rPr>
          <w:rFonts w:ascii="Times New Roman" w:hAnsi="Times New Roman" w:cs="Times New Roman"/>
          <w:sz w:val="24"/>
          <w:szCs w:val="24"/>
        </w:rPr>
      </w:pPr>
      <w:r w:rsidRPr="00215667">
        <w:rPr>
          <w:rFonts w:ascii="Times New Roman" w:hAnsi="Times New Roman" w:cs="Times New Roman"/>
          <w:sz w:val="24"/>
          <w:szCs w:val="24"/>
        </w:rPr>
        <w:t>Табела бр. 24</w:t>
      </w:r>
      <w:r w:rsidR="00CF1763">
        <w:rPr>
          <w:rFonts w:ascii="Times New Roman" w:hAnsi="Times New Roman" w:cs="Times New Roman"/>
          <w:sz w:val="24"/>
          <w:szCs w:val="24"/>
        </w:rPr>
        <w:t xml:space="preserve">- </w:t>
      </w:r>
      <w:r w:rsidRPr="00215667">
        <w:rPr>
          <w:rFonts w:ascii="Times New Roman" w:hAnsi="Times New Roman" w:cs="Times New Roman"/>
          <w:sz w:val="24"/>
          <w:szCs w:val="24"/>
        </w:rPr>
        <w:t>Приказ на разликите во PEB меѓу испитуваните групи</w:t>
      </w:r>
      <w:r w:rsidR="00CF1763">
        <w:rPr>
          <w:rFonts w:ascii="Times New Roman" w:hAnsi="Times New Roman" w:cs="Times New Roman"/>
          <w:sz w:val="24"/>
          <w:szCs w:val="24"/>
        </w:rPr>
        <w:t xml:space="preserve"> </w:t>
      </w:r>
      <w:r w:rsidRPr="00215667">
        <w:rPr>
          <w:rFonts w:ascii="Times New Roman" w:hAnsi="Times New Roman" w:cs="Times New Roman"/>
          <w:sz w:val="24"/>
          <w:szCs w:val="24"/>
        </w:rPr>
        <w:t>(испитаници од машки и женски пол) кои примаат антикоагулантна и антиагрегациона терапија сумарно, во зависност од тоа дали ја прекинале терапијата или не</w:t>
      </w:r>
      <w:r w:rsidR="00CF1763">
        <w:rPr>
          <w:rFonts w:ascii="Times New Roman" w:hAnsi="Times New Roman" w:cs="Times New Roman"/>
          <w:sz w:val="24"/>
          <w:szCs w:val="24"/>
        </w:rPr>
        <w:t xml:space="preserve"> </w:t>
      </w:r>
      <w:r w:rsidRPr="00215667">
        <w:rPr>
          <w:rFonts w:ascii="Times New Roman" w:hAnsi="Times New Roman" w:cs="Times New Roman"/>
          <w:sz w:val="24"/>
          <w:szCs w:val="24"/>
        </w:rPr>
        <w:t>(</w:t>
      </w:r>
      <w:r w:rsidRPr="00E252A5">
        <w:rPr>
          <w:rFonts w:ascii="Times New Roman" w:hAnsi="Times New Roman" w:cs="Times New Roman"/>
          <w:i/>
          <w:iCs/>
          <w:sz w:val="24"/>
          <w:szCs w:val="24"/>
        </w:rPr>
        <w:t>Kruskal-Wallis H</w:t>
      </w:r>
      <w:r w:rsidRPr="00215667">
        <w:rPr>
          <w:rFonts w:ascii="Times New Roman" w:hAnsi="Times New Roman" w:cs="Times New Roman"/>
          <w:sz w:val="24"/>
          <w:szCs w:val="24"/>
        </w:rPr>
        <w:t xml:space="preserve"> тест, пост хок </w:t>
      </w:r>
      <w:r w:rsidRPr="00E252A5">
        <w:rPr>
          <w:rFonts w:ascii="Times New Roman" w:hAnsi="Times New Roman" w:cs="Times New Roman"/>
          <w:i/>
          <w:iCs/>
          <w:sz w:val="24"/>
          <w:szCs w:val="24"/>
        </w:rPr>
        <w:t>Dunn</w:t>
      </w:r>
      <w:r w:rsidRPr="00215667">
        <w:rPr>
          <w:rFonts w:ascii="Times New Roman" w:hAnsi="Times New Roman" w:cs="Times New Roman"/>
          <w:sz w:val="24"/>
          <w:szCs w:val="24"/>
        </w:rPr>
        <w:t xml:space="preserve"> анализа со </w:t>
      </w:r>
      <w:r w:rsidRPr="00E252A5">
        <w:rPr>
          <w:rFonts w:ascii="Times New Roman" w:hAnsi="Times New Roman" w:cs="Times New Roman"/>
          <w:i/>
          <w:iCs/>
          <w:sz w:val="24"/>
          <w:szCs w:val="24"/>
        </w:rPr>
        <w:t>Bonferonni</w:t>
      </w:r>
      <w:r w:rsidRPr="00215667">
        <w:rPr>
          <w:rFonts w:ascii="Times New Roman" w:hAnsi="Times New Roman" w:cs="Times New Roman"/>
          <w:sz w:val="24"/>
          <w:szCs w:val="24"/>
        </w:rPr>
        <w:t xml:space="preserve"> корекција)</w:t>
      </w:r>
    </w:p>
    <w:p w14:paraId="7C8B15DA" w14:textId="77777777" w:rsidR="00412474" w:rsidRPr="00215667" w:rsidRDefault="00412474" w:rsidP="00412474">
      <w:pPr>
        <w:spacing w:line="240" w:lineRule="auto"/>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248D9D10" wp14:editId="183343D8">
            <wp:extent cx="5400040" cy="1983740"/>
            <wp:effectExtent l="0" t="0" r="0" b="0"/>
            <wp:docPr id="553238308" name="Picture 79" descr="A table with numbers and a few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238308" name="Picture 79" descr="A table with numbers and a few letters&#10;&#10;AI-generated content may be incorrect."/>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400040" cy="1983740"/>
                    </a:xfrm>
                    <a:prstGeom prst="rect">
                      <a:avLst/>
                    </a:prstGeom>
                  </pic:spPr>
                </pic:pic>
              </a:graphicData>
            </a:graphic>
          </wp:inline>
        </w:drawing>
      </w:r>
    </w:p>
    <w:p w14:paraId="7ED252D7" w14:textId="55455B03" w:rsidR="00412474" w:rsidRPr="00A0721C" w:rsidRDefault="00167D0F" w:rsidP="00CF1763">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x1: испитаници од машки пол кои не ја прекинале терапијата</w:t>
      </w:r>
    </w:p>
    <w:p w14:paraId="74105538" w14:textId="47DBB686" w:rsidR="00167D0F" w:rsidRPr="00A0721C" w:rsidRDefault="00167D0F" w:rsidP="00CF1763">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 xml:space="preserve">х2: испитаници од машки пол кои ја прекинале терапијата </w:t>
      </w:r>
    </w:p>
    <w:p w14:paraId="45539017" w14:textId="700C73A5" w:rsidR="00167D0F" w:rsidRPr="00A0721C" w:rsidRDefault="00167D0F" w:rsidP="00CF1763">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x3: испитаници од женски пол кои не ја прекинале терапијата</w:t>
      </w:r>
    </w:p>
    <w:p w14:paraId="06305B4D" w14:textId="439DF1AB" w:rsidR="00167D0F" w:rsidRPr="00A0721C" w:rsidRDefault="00167D0F" w:rsidP="00CF1763">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х4: испитаници од женски пол кои ја прекинале терапијата.</w:t>
      </w:r>
    </w:p>
    <w:p w14:paraId="31B17EC7" w14:textId="4D76E94D" w:rsidR="00167D0F" w:rsidRPr="00A0721C" w:rsidRDefault="00167D0F" w:rsidP="00CF1763">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Црвено обоена вредност на p: p&lt;0.05 (статистички значајна разлика)</w:t>
      </w:r>
    </w:p>
    <w:p w14:paraId="65C0EBAD" w14:textId="77777777" w:rsidR="00412474" w:rsidRPr="00215667" w:rsidRDefault="00412474" w:rsidP="00CF1763">
      <w:pPr>
        <w:spacing w:after="12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lastRenderedPageBreak/>
        <w:t xml:space="preserve">Пост-хок анализата покажа дека постои статистички значајна разлика во постекстракционото крвавење меѓу мажите кои ја прекинале и мажите кои не ја прекинале терапијата, како и меѓу жените кои ја прекинале и жените кои не ја прекинале терапијата. Разлики не се детектирани меѓу мажите кои ја прекинале и жените кои ја прекинале терапијата пред извршување на хируршката интервенција. </w:t>
      </w:r>
    </w:p>
    <w:p w14:paraId="351E4981" w14:textId="35E96840" w:rsidR="00412474" w:rsidRPr="00215667" w:rsidRDefault="00412474" w:rsidP="00CF1763">
      <w:pPr>
        <w:spacing w:after="12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Со други зборови, постекстракционото крвавење било значајно поголемо кај мажите кои не ја прекинале </w:t>
      </w:r>
      <w:r w:rsidR="00AA3088">
        <w:rPr>
          <w:rFonts w:ascii="Times New Roman" w:hAnsi="Times New Roman" w:cs="Times New Roman"/>
          <w:sz w:val="24"/>
          <w:szCs w:val="24"/>
        </w:rPr>
        <w:t>антикоагулантна</w:t>
      </w:r>
      <w:r w:rsidRPr="00215667">
        <w:rPr>
          <w:rFonts w:ascii="Times New Roman" w:hAnsi="Times New Roman" w:cs="Times New Roman"/>
          <w:sz w:val="24"/>
          <w:szCs w:val="24"/>
        </w:rPr>
        <w:t xml:space="preserve">та/антиагрегационата терапија, како и кај жените кои не ја прекинале антикоагулантната/антиагрегационата терапија. </w:t>
      </w:r>
    </w:p>
    <w:p w14:paraId="65F6A4CA" w14:textId="010DC31A" w:rsidR="00412474" w:rsidRPr="00215667" w:rsidRDefault="00412474" w:rsidP="00CF1763">
      <w:pPr>
        <w:spacing w:after="120"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Во продолжение след</w:t>
      </w:r>
      <w:r w:rsidR="00CF1763">
        <w:rPr>
          <w:rFonts w:ascii="Times New Roman" w:hAnsi="Times New Roman" w:cs="Times New Roman"/>
          <w:sz w:val="24"/>
          <w:szCs w:val="24"/>
        </w:rPr>
        <w:t>ува</w:t>
      </w:r>
      <w:r w:rsidRPr="00215667">
        <w:rPr>
          <w:rFonts w:ascii="Times New Roman" w:hAnsi="Times New Roman" w:cs="Times New Roman"/>
          <w:sz w:val="24"/>
          <w:szCs w:val="24"/>
        </w:rPr>
        <w:t xml:space="preserve"> анализ</w:t>
      </w:r>
      <w:r w:rsidR="00CF1763">
        <w:rPr>
          <w:rFonts w:ascii="Times New Roman" w:hAnsi="Times New Roman" w:cs="Times New Roman"/>
          <w:sz w:val="24"/>
          <w:szCs w:val="24"/>
        </w:rPr>
        <w:t>а</w:t>
      </w:r>
      <w:r w:rsidRPr="00215667">
        <w:rPr>
          <w:rFonts w:ascii="Times New Roman" w:hAnsi="Times New Roman" w:cs="Times New Roman"/>
          <w:sz w:val="24"/>
          <w:szCs w:val="24"/>
        </w:rPr>
        <w:t>та на PEB во зависност од полот и типот на ОАТ (VKA/DOAC vs. аспирин) и во зависност од тоа дали терапијата била прекината или не.</w:t>
      </w:r>
    </w:p>
    <w:p w14:paraId="421CCBCC" w14:textId="77777777" w:rsidR="00412474" w:rsidRPr="00215667" w:rsidRDefault="00412474" w:rsidP="00412474">
      <w:pPr>
        <w:spacing w:line="240" w:lineRule="auto"/>
        <w:rPr>
          <w:rFonts w:ascii="Times New Roman" w:hAnsi="Times New Roman" w:cs="Times New Roman"/>
          <w:sz w:val="24"/>
          <w:szCs w:val="24"/>
        </w:rPr>
      </w:pPr>
    </w:p>
    <w:p w14:paraId="65C338F5" w14:textId="77777777" w:rsidR="00412474" w:rsidRPr="00215667" w:rsidRDefault="00412474" w:rsidP="00412474">
      <w:pPr>
        <w:rPr>
          <w:rFonts w:ascii="Times New Roman" w:hAnsi="Times New Roman" w:cs="Times New Roman"/>
          <w:b/>
          <w:bCs/>
          <w:sz w:val="24"/>
          <w:szCs w:val="24"/>
        </w:rPr>
      </w:pPr>
      <w:r w:rsidRPr="00215667">
        <w:rPr>
          <w:rFonts w:ascii="Times New Roman" w:hAnsi="Times New Roman" w:cs="Times New Roman"/>
          <w:b/>
          <w:bCs/>
          <w:sz w:val="24"/>
          <w:szCs w:val="24"/>
        </w:rPr>
        <w:t>PEB кај корисници на VKA/DOAC во зависност од полот и од тоа дали терапијата е прекината или не</w:t>
      </w:r>
    </w:p>
    <w:p w14:paraId="0D6D05C5" w14:textId="77777777" w:rsidR="00412474" w:rsidRPr="00215667" w:rsidRDefault="00412474" w:rsidP="00412474">
      <w:pPr>
        <w:spacing w:line="240" w:lineRule="auto"/>
        <w:rPr>
          <w:rFonts w:ascii="Times New Roman" w:hAnsi="Times New Roman" w:cs="Times New Roman"/>
          <w:b/>
          <w:bCs/>
          <w:sz w:val="24"/>
          <w:szCs w:val="24"/>
        </w:rPr>
      </w:pPr>
    </w:p>
    <w:p w14:paraId="2A830639" w14:textId="77777777" w:rsidR="00412474" w:rsidRPr="00CF1763" w:rsidRDefault="00412474" w:rsidP="00CF1763">
      <w:pPr>
        <w:spacing w:after="120" w:line="360" w:lineRule="auto"/>
        <w:ind w:firstLine="720"/>
        <w:jc w:val="both"/>
        <w:rPr>
          <w:rFonts w:ascii="Times New Roman" w:hAnsi="Times New Roman" w:cs="Times New Roman"/>
          <w:sz w:val="24"/>
          <w:szCs w:val="24"/>
        </w:rPr>
      </w:pPr>
      <w:r w:rsidRPr="00CF1763">
        <w:rPr>
          <w:rFonts w:ascii="Times New Roman" w:hAnsi="Times New Roman" w:cs="Times New Roman"/>
          <w:sz w:val="24"/>
          <w:szCs w:val="24"/>
        </w:rPr>
        <w:t>Направена е споредба на PEB кај корисниците на VKA/DOAC, во зависност од полот и од тоа дали терапијата била прекината или не.</w:t>
      </w:r>
    </w:p>
    <w:p w14:paraId="7F928043" w14:textId="77777777" w:rsidR="00412474" w:rsidRPr="00CF1763" w:rsidRDefault="00412474" w:rsidP="00CF1763">
      <w:pPr>
        <w:spacing w:after="120" w:line="360" w:lineRule="auto"/>
        <w:ind w:firstLine="720"/>
        <w:jc w:val="both"/>
        <w:rPr>
          <w:rFonts w:ascii="Times New Roman" w:hAnsi="Times New Roman" w:cs="Times New Roman"/>
          <w:sz w:val="24"/>
          <w:szCs w:val="24"/>
        </w:rPr>
      </w:pPr>
      <w:r w:rsidRPr="00CF1763">
        <w:rPr>
          <w:rFonts w:ascii="Times New Roman" w:hAnsi="Times New Roman" w:cs="Times New Roman"/>
          <w:sz w:val="24"/>
          <w:szCs w:val="24"/>
        </w:rPr>
        <w:t>Kruskal-Wallis H тестот покажа дека постои значајна разлика во зависната променлива помеѓу различните групи, χ²(3) = 61.57, p &lt; .001, со просечни ранг-скор вредности од 116.93 за М VKA/DOAC непрекинат, 53.77 за М VKA/DOAC прекинат, 113.82 за Ж VKA/DOAC непрекинат и 55.28 за Ж VKA/DOAC прекинат.</w:t>
      </w:r>
    </w:p>
    <w:p w14:paraId="324F7616" w14:textId="77777777" w:rsidR="00412474" w:rsidRPr="00CF1763" w:rsidRDefault="00412474" w:rsidP="00CF1763">
      <w:pPr>
        <w:spacing w:after="120" w:line="360" w:lineRule="auto"/>
        <w:ind w:firstLine="720"/>
        <w:jc w:val="both"/>
        <w:rPr>
          <w:rFonts w:ascii="Times New Roman" w:hAnsi="Times New Roman" w:cs="Times New Roman"/>
          <w:sz w:val="24"/>
          <w:szCs w:val="24"/>
        </w:rPr>
      </w:pPr>
      <w:r w:rsidRPr="00CF1763">
        <w:rPr>
          <w:rFonts w:ascii="Times New Roman" w:hAnsi="Times New Roman" w:cs="Times New Roman"/>
          <w:sz w:val="24"/>
          <w:szCs w:val="24"/>
        </w:rPr>
        <w:t xml:space="preserve">Пост-хок тестот според </w:t>
      </w:r>
      <w:r w:rsidRPr="00E252A5">
        <w:rPr>
          <w:rFonts w:ascii="Times New Roman" w:hAnsi="Times New Roman" w:cs="Times New Roman"/>
          <w:i/>
          <w:iCs/>
          <w:sz w:val="24"/>
          <w:szCs w:val="24"/>
        </w:rPr>
        <w:t>Dunn</w:t>
      </w:r>
      <w:r w:rsidRPr="00CF1763">
        <w:rPr>
          <w:rFonts w:ascii="Times New Roman" w:hAnsi="Times New Roman" w:cs="Times New Roman"/>
          <w:sz w:val="24"/>
          <w:szCs w:val="24"/>
        </w:rPr>
        <w:t xml:space="preserve">, користејќи </w:t>
      </w:r>
      <w:r w:rsidRPr="00E252A5">
        <w:rPr>
          <w:rFonts w:ascii="Times New Roman" w:hAnsi="Times New Roman" w:cs="Times New Roman"/>
          <w:i/>
          <w:iCs/>
          <w:sz w:val="24"/>
          <w:szCs w:val="24"/>
        </w:rPr>
        <w:t>Bonferroni</w:t>
      </w:r>
      <w:r w:rsidRPr="00CF1763">
        <w:rPr>
          <w:rFonts w:ascii="Times New Roman" w:hAnsi="Times New Roman" w:cs="Times New Roman"/>
          <w:sz w:val="24"/>
          <w:szCs w:val="24"/>
        </w:rPr>
        <w:t xml:space="preserve"> коригирана алфа вредност од 0.0083, укажа дека просечните рангови на следните парови се статистички значајно различни: x1-x2, x1-x4, x2-x3, x3-x4.</w:t>
      </w:r>
    </w:p>
    <w:p w14:paraId="2D720B7A" w14:textId="77777777" w:rsidR="00412474" w:rsidRPr="00CF1763" w:rsidRDefault="00412474" w:rsidP="00CF1763">
      <w:pPr>
        <w:spacing w:after="120" w:line="360" w:lineRule="auto"/>
        <w:ind w:firstLine="720"/>
        <w:jc w:val="both"/>
        <w:rPr>
          <w:rFonts w:ascii="Times New Roman" w:hAnsi="Times New Roman" w:cs="Times New Roman"/>
          <w:sz w:val="24"/>
          <w:szCs w:val="24"/>
        </w:rPr>
      </w:pPr>
      <w:r w:rsidRPr="00CF1763">
        <w:rPr>
          <w:rFonts w:ascii="Times New Roman" w:hAnsi="Times New Roman" w:cs="Times New Roman"/>
          <w:sz w:val="24"/>
          <w:szCs w:val="24"/>
        </w:rPr>
        <w:t>P вредноста изнесува 0.00000 (помала од 0.005), што значи дека постои голема статистичка разлика во испитуваните групи. Со други зборови, разликата помеѓу просечните рангови на одредени групи е доволно голема за да биде статистички значајна.</w:t>
      </w:r>
    </w:p>
    <w:p w14:paraId="0B2F06DD" w14:textId="00BE36C0" w:rsidR="00412474" w:rsidRPr="00CF1763" w:rsidRDefault="00412474" w:rsidP="00CF1763">
      <w:pPr>
        <w:spacing w:after="120" w:line="360" w:lineRule="auto"/>
        <w:ind w:firstLine="720"/>
        <w:jc w:val="both"/>
        <w:rPr>
          <w:rFonts w:ascii="Times New Roman" w:hAnsi="Times New Roman" w:cs="Times New Roman"/>
          <w:sz w:val="24"/>
          <w:szCs w:val="24"/>
        </w:rPr>
      </w:pPr>
      <w:r w:rsidRPr="00CF1763">
        <w:rPr>
          <w:rFonts w:ascii="Times New Roman" w:hAnsi="Times New Roman" w:cs="Times New Roman"/>
          <w:sz w:val="24"/>
          <w:szCs w:val="24"/>
        </w:rPr>
        <w:lastRenderedPageBreak/>
        <w:t>Вредноста на H-тестот изнесува 61.5713, што не се наоѓа во 95</w:t>
      </w:r>
      <w:r w:rsidR="00CF1763">
        <w:rPr>
          <w:rFonts w:ascii="Times New Roman" w:hAnsi="Times New Roman" w:cs="Times New Roman"/>
          <w:sz w:val="24"/>
          <w:szCs w:val="24"/>
        </w:rPr>
        <w:t xml:space="preserve"> </w:t>
      </w:r>
      <w:r w:rsidRPr="00CF1763">
        <w:rPr>
          <w:rFonts w:ascii="Times New Roman" w:hAnsi="Times New Roman" w:cs="Times New Roman"/>
          <w:sz w:val="24"/>
          <w:szCs w:val="24"/>
        </w:rPr>
        <w:t>% регионот на прифаќање: [0, 7.8147]. Забележаниот ефект η² е голем и изнесува 0.46. Ова укажува на тоа дека големината на разликата помеѓу просеците е значителна.</w:t>
      </w:r>
    </w:p>
    <w:p w14:paraId="262700F6" w14:textId="20478822" w:rsidR="00412474" w:rsidRDefault="00412474" w:rsidP="00CF1763">
      <w:pPr>
        <w:spacing w:after="120" w:line="360" w:lineRule="auto"/>
        <w:ind w:firstLine="720"/>
        <w:jc w:val="both"/>
        <w:rPr>
          <w:rFonts w:ascii="Times New Roman" w:hAnsi="Times New Roman" w:cs="Times New Roman"/>
          <w:sz w:val="24"/>
          <w:szCs w:val="24"/>
        </w:rPr>
      </w:pPr>
      <w:r w:rsidRPr="00CF1763">
        <w:rPr>
          <w:rFonts w:ascii="Times New Roman" w:hAnsi="Times New Roman" w:cs="Times New Roman"/>
          <w:sz w:val="24"/>
          <w:szCs w:val="24"/>
        </w:rPr>
        <w:t xml:space="preserve">Дополнителната пост-хок анализа покажа дека PEB е исклучително значајно поголемо кај мажите и кај жените кои ја прекинале терапијата со VKA/DOAC, во споредба со тие кои не ја прекинале. Резултатите се прикажани на графикон бр. </w:t>
      </w:r>
      <w:r w:rsidR="00167D0F" w:rsidRPr="00CF1763">
        <w:rPr>
          <w:rFonts w:ascii="Times New Roman" w:hAnsi="Times New Roman" w:cs="Times New Roman"/>
          <w:sz w:val="24"/>
          <w:szCs w:val="24"/>
        </w:rPr>
        <w:t xml:space="preserve">41 </w:t>
      </w:r>
      <w:r w:rsidRPr="00CF1763">
        <w:rPr>
          <w:rFonts w:ascii="Times New Roman" w:hAnsi="Times New Roman" w:cs="Times New Roman"/>
          <w:sz w:val="24"/>
          <w:szCs w:val="24"/>
        </w:rPr>
        <w:t>и табела бр.</w:t>
      </w:r>
      <w:r w:rsidR="00167D0F" w:rsidRPr="00CF1763">
        <w:rPr>
          <w:rFonts w:ascii="Times New Roman" w:hAnsi="Times New Roman" w:cs="Times New Roman"/>
          <w:sz w:val="24"/>
          <w:szCs w:val="24"/>
        </w:rPr>
        <w:t xml:space="preserve"> 25.</w:t>
      </w:r>
    </w:p>
    <w:p w14:paraId="7886112B" w14:textId="77777777" w:rsidR="00CF1763" w:rsidRDefault="00CF1763" w:rsidP="00CF1763">
      <w:pPr>
        <w:spacing w:after="120" w:line="360" w:lineRule="auto"/>
        <w:ind w:firstLine="720"/>
        <w:jc w:val="center"/>
        <w:rPr>
          <w:rFonts w:ascii="Times New Roman" w:hAnsi="Times New Roman" w:cs="Times New Roman"/>
          <w:sz w:val="24"/>
          <w:szCs w:val="24"/>
        </w:rPr>
      </w:pPr>
    </w:p>
    <w:p w14:paraId="4E1DE3A4" w14:textId="4A4DA3B2" w:rsidR="00CF1763" w:rsidRPr="00CF1763" w:rsidRDefault="00CF1763" w:rsidP="00CF1763">
      <w:pPr>
        <w:spacing w:after="120" w:line="360" w:lineRule="auto"/>
        <w:ind w:firstLine="720"/>
        <w:jc w:val="center"/>
        <w:rPr>
          <w:rFonts w:ascii="Times New Roman" w:hAnsi="Times New Roman" w:cs="Times New Roman"/>
          <w:sz w:val="24"/>
          <w:szCs w:val="24"/>
        </w:rPr>
      </w:pPr>
      <w:r w:rsidRPr="00CF1763">
        <w:rPr>
          <w:rFonts w:ascii="Times New Roman" w:hAnsi="Times New Roman" w:cs="Times New Roman"/>
          <w:sz w:val="24"/>
          <w:szCs w:val="24"/>
        </w:rPr>
        <w:t>Графикон бр. 41</w:t>
      </w:r>
      <w:r>
        <w:rPr>
          <w:rFonts w:ascii="Times New Roman" w:hAnsi="Times New Roman" w:cs="Times New Roman"/>
          <w:sz w:val="24"/>
          <w:szCs w:val="24"/>
        </w:rPr>
        <w:t>-</w:t>
      </w:r>
      <w:r w:rsidRPr="00CF1763">
        <w:rPr>
          <w:rFonts w:ascii="Times New Roman" w:hAnsi="Times New Roman" w:cs="Times New Roman"/>
          <w:sz w:val="24"/>
          <w:szCs w:val="24"/>
        </w:rPr>
        <w:t xml:space="preserve"> Разлики во PEB меѓу испитаниците од машки и женски пол кои примаат антикоагулантна терапија (VKA/DOAC), во зависност од тоа дали терапијата е прекината или не</w:t>
      </w:r>
    </w:p>
    <w:p w14:paraId="415CAB71" w14:textId="3EE0D8AD" w:rsidR="00412474" w:rsidRPr="00215667" w:rsidRDefault="00167D0F" w:rsidP="00412474">
      <w:pPr>
        <w:pStyle w:val="p1"/>
        <w:jc w:val="center"/>
      </w:pPr>
      <w:r w:rsidRPr="00215667">
        <w:rPr>
          <w:noProof/>
          <w:lang w:val="en-US" w:eastAsia="en-US"/>
          <w14:ligatures w14:val="standardContextual"/>
        </w:rPr>
        <w:drawing>
          <wp:inline distT="0" distB="0" distL="0" distR="0" wp14:anchorId="32DF8374" wp14:editId="3130F983">
            <wp:extent cx="5400040" cy="2787650"/>
            <wp:effectExtent l="0" t="0" r="0" b="6350"/>
            <wp:docPr id="1518550312" name="Picture 28"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550312" name="Picture 28" descr="A graph with different colored lines&#10;&#10;AI-generated content may be incorrect."/>
                    <pic:cNvPicPr/>
                  </pic:nvPicPr>
                  <pic:blipFill>
                    <a:blip r:embed="rId93">
                      <a:extLst>
                        <a:ext uri="{28A0092B-C50C-407E-A947-70E740481C1C}">
                          <a14:useLocalDpi xmlns:a14="http://schemas.microsoft.com/office/drawing/2010/main" val="0"/>
                        </a:ext>
                      </a:extLst>
                    </a:blip>
                    <a:stretch>
                      <a:fillRect/>
                    </a:stretch>
                  </pic:blipFill>
                  <pic:spPr>
                    <a:xfrm>
                      <a:off x="0" y="0"/>
                      <a:ext cx="5400040" cy="2787650"/>
                    </a:xfrm>
                    <a:prstGeom prst="rect">
                      <a:avLst/>
                    </a:prstGeom>
                  </pic:spPr>
                </pic:pic>
              </a:graphicData>
            </a:graphic>
          </wp:inline>
        </w:drawing>
      </w:r>
    </w:p>
    <w:p w14:paraId="1B29F23C" w14:textId="51C13899" w:rsidR="00412474" w:rsidRPr="00215667" w:rsidRDefault="00167D0F"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14:ligatures w14:val="standardContextual"/>
        </w:rPr>
        <w:lastRenderedPageBreak/>
        <w:drawing>
          <wp:inline distT="0" distB="0" distL="0" distR="0" wp14:anchorId="03D91B03" wp14:editId="323C59B3">
            <wp:extent cx="3148553" cy="2964887"/>
            <wp:effectExtent l="0" t="0" r="1270" b="0"/>
            <wp:docPr id="956848383" name="Picture 29"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848383" name="Picture 29" descr="A graph with different colored lines&#10;&#10;AI-generated content may be incorrect."/>
                    <pic:cNvPicPr/>
                  </pic:nvPicPr>
                  <pic:blipFill>
                    <a:blip r:embed="rId94">
                      <a:extLst>
                        <a:ext uri="{28A0092B-C50C-407E-A947-70E740481C1C}">
                          <a14:useLocalDpi xmlns:a14="http://schemas.microsoft.com/office/drawing/2010/main" val="0"/>
                        </a:ext>
                      </a:extLst>
                    </a:blip>
                    <a:stretch>
                      <a:fillRect/>
                    </a:stretch>
                  </pic:blipFill>
                  <pic:spPr>
                    <a:xfrm>
                      <a:off x="0" y="0"/>
                      <a:ext cx="3187095" cy="3001180"/>
                    </a:xfrm>
                    <a:prstGeom prst="rect">
                      <a:avLst/>
                    </a:prstGeom>
                  </pic:spPr>
                </pic:pic>
              </a:graphicData>
            </a:graphic>
          </wp:inline>
        </w:drawing>
      </w:r>
    </w:p>
    <w:p w14:paraId="05CC03FA" w14:textId="77777777" w:rsidR="00CF1763" w:rsidRDefault="00CF1763" w:rsidP="00CF1763">
      <w:pPr>
        <w:spacing w:after="120" w:line="360" w:lineRule="auto"/>
        <w:ind w:firstLine="720"/>
        <w:jc w:val="center"/>
        <w:rPr>
          <w:rFonts w:ascii="Times New Roman" w:hAnsi="Times New Roman" w:cs="Times New Roman"/>
          <w:sz w:val="24"/>
          <w:szCs w:val="24"/>
        </w:rPr>
      </w:pPr>
    </w:p>
    <w:p w14:paraId="05585986" w14:textId="5A724172" w:rsidR="00167D0F" w:rsidRPr="00215667" w:rsidRDefault="00167D0F" w:rsidP="00CF1763">
      <w:pPr>
        <w:spacing w:after="120" w:line="360" w:lineRule="auto"/>
        <w:ind w:firstLine="720"/>
        <w:jc w:val="center"/>
        <w:rPr>
          <w:rFonts w:ascii="Times New Roman" w:hAnsi="Times New Roman" w:cs="Times New Roman"/>
          <w:sz w:val="24"/>
          <w:szCs w:val="24"/>
        </w:rPr>
      </w:pPr>
      <w:r w:rsidRPr="00215667">
        <w:rPr>
          <w:rFonts w:ascii="Times New Roman" w:hAnsi="Times New Roman" w:cs="Times New Roman"/>
          <w:sz w:val="24"/>
          <w:szCs w:val="24"/>
        </w:rPr>
        <w:t>Табела бр. 25</w:t>
      </w:r>
      <w:r w:rsidR="00CF1763">
        <w:rPr>
          <w:rFonts w:ascii="Times New Roman" w:hAnsi="Times New Roman" w:cs="Times New Roman"/>
          <w:sz w:val="24"/>
          <w:szCs w:val="24"/>
        </w:rPr>
        <w:t>-</w:t>
      </w:r>
      <w:r w:rsidRPr="00215667">
        <w:rPr>
          <w:rFonts w:ascii="Times New Roman" w:hAnsi="Times New Roman" w:cs="Times New Roman"/>
          <w:sz w:val="24"/>
          <w:szCs w:val="24"/>
        </w:rPr>
        <w:t xml:space="preserve"> Приказ на разликите во PEB меѓу испитуваните групи (испитаници од машки и женски пол) кои примаат антикоагулантна терапија (DOAC/VKA), во зависност од тоа дали ја прекинале терапијата или не (Kruskal-Wallis H тест, пост хок Dunn анализа со Bonferonni корекција).</w:t>
      </w:r>
    </w:p>
    <w:p w14:paraId="33381F09"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43DC1B01" wp14:editId="123862CE">
            <wp:extent cx="5400040" cy="1989455"/>
            <wp:effectExtent l="0" t="0" r="0" b="4445"/>
            <wp:docPr id="411563821" name="Picture 95"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63821" name="Picture 95" descr="A screenshot of a table&#10;&#10;AI-generated content may be incorrect."/>
                    <pic:cNvPicPr/>
                  </pic:nvPicPr>
                  <pic:blipFill>
                    <a:blip r:embed="rId95" cstate="print">
                      <a:extLst>
                        <a:ext uri="{28A0092B-C50C-407E-A947-70E740481C1C}">
                          <a14:useLocalDpi xmlns:a14="http://schemas.microsoft.com/office/drawing/2010/main" val="0"/>
                        </a:ext>
                      </a:extLst>
                    </a:blip>
                    <a:stretch>
                      <a:fillRect/>
                    </a:stretch>
                  </pic:blipFill>
                  <pic:spPr>
                    <a:xfrm>
                      <a:off x="0" y="0"/>
                      <a:ext cx="5400040" cy="1989455"/>
                    </a:xfrm>
                    <a:prstGeom prst="rect">
                      <a:avLst/>
                    </a:prstGeom>
                  </pic:spPr>
                </pic:pic>
              </a:graphicData>
            </a:graphic>
          </wp:inline>
        </w:drawing>
      </w:r>
    </w:p>
    <w:p w14:paraId="1F06A3D9" w14:textId="77777777" w:rsidR="00167D0F" w:rsidRPr="00A0721C" w:rsidRDefault="00167D0F" w:rsidP="00A0721C">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x1: испитаници од машки пол кои не ја прекинале терапијата</w:t>
      </w:r>
    </w:p>
    <w:p w14:paraId="5CC8790C" w14:textId="77777777" w:rsidR="00167D0F" w:rsidRPr="00A0721C" w:rsidRDefault="00167D0F" w:rsidP="00A0721C">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 xml:space="preserve">х2: испитаници од машки пол кои ја прекинале терапијата </w:t>
      </w:r>
    </w:p>
    <w:p w14:paraId="11D8AA90" w14:textId="77777777" w:rsidR="00167D0F" w:rsidRPr="00A0721C" w:rsidRDefault="00167D0F" w:rsidP="00A0721C">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x3: испитаници од женски пол кои не ја прекинале терапијата</w:t>
      </w:r>
    </w:p>
    <w:p w14:paraId="40140AB0" w14:textId="77777777" w:rsidR="00167D0F" w:rsidRPr="00A0721C" w:rsidRDefault="00167D0F" w:rsidP="00A0721C">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х4: испитаници од женски пол кои ја прекинале терапијата.</w:t>
      </w:r>
    </w:p>
    <w:p w14:paraId="5BEADA80" w14:textId="77777777" w:rsidR="00167D0F" w:rsidRPr="00A0721C" w:rsidRDefault="00167D0F" w:rsidP="00A0721C">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Црвено обоена вредност на p: p&lt;0.05 (статистички значајна разлика)</w:t>
      </w:r>
    </w:p>
    <w:p w14:paraId="0B0B74C4" w14:textId="77777777" w:rsidR="00412474" w:rsidRPr="00215667" w:rsidRDefault="00412474" w:rsidP="00412474">
      <w:pPr>
        <w:spacing w:line="240" w:lineRule="auto"/>
        <w:rPr>
          <w:rFonts w:ascii="Times New Roman" w:hAnsi="Times New Roman" w:cs="Times New Roman"/>
          <w:sz w:val="24"/>
          <w:szCs w:val="24"/>
        </w:rPr>
      </w:pPr>
    </w:p>
    <w:p w14:paraId="7899A08E" w14:textId="77777777" w:rsidR="00A0721C" w:rsidRDefault="00A0721C" w:rsidP="00412474">
      <w:pPr>
        <w:spacing w:line="240" w:lineRule="auto"/>
        <w:rPr>
          <w:rFonts w:ascii="Times New Roman" w:hAnsi="Times New Roman" w:cs="Times New Roman"/>
          <w:b/>
          <w:bCs/>
          <w:sz w:val="24"/>
          <w:szCs w:val="24"/>
          <w:lang w:val="en-US"/>
        </w:rPr>
      </w:pPr>
    </w:p>
    <w:p w14:paraId="092F5ED3" w14:textId="77777777" w:rsidR="00A0721C" w:rsidRDefault="00A0721C" w:rsidP="00412474">
      <w:pPr>
        <w:spacing w:line="240" w:lineRule="auto"/>
        <w:rPr>
          <w:rFonts w:ascii="Times New Roman" w:hAnsi="Times New Roman" w:cs="Times New Roman"/>
          <w:b/>
          <w:bCs/>
          <w:sz w:val="24"/>
          <w:szCs w:val="24"/>
          <w:lang w:val="en-US"/>
        </w:rPr>
      </w:pPr>
    </w:p>
    <w:p w14:paraId="518B3B2C" w14:textId="38B169AA"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lastRenderedPageBreak/>
        <w:t>PEB кај корисници на аспирин во зависност од полот и од тоа дали терапијата е прекината или не</w:t>
      </w:r>
    </w:p>
    <w:p w14:paraId="6569FB1F" w14:textId="77777777" w:rsidR="00412474" w:rsidRPr="00215667" w:rsidRDefault="00412474" w:rsidP="00412474">
      <w:pPr>
        <w:spacing w:line="240" w:lineRule="auto"/>
        <w:rPr>
          <w:rFonts w:ascii="Times New Roman" w:hAnsi="Times New Roman" w:cs="Times New Roman"/>
          <w:b/>
          <w:bCs/>
          <w:sz w:val="24"/>
          <w:szCs w:val="24"/>
        </w:rPr>
      </w:pPr>
    </w:p>
    <w:p w14:paraId="2DD3C2EF" w14:textId="77777777" w:rsidR="00412474" w:rsidRPr="00A0721C" w:rsidRDefault="00412474" w:rsidP="00A0721C">
      <w:pPr>
        <w:spacing w:after="120" w:line="360" w:lineRule="auto"/>
        <w:ind w:firstLine="720"/>
        <w:jc w:val="both"/>
        <w:rPr>
          <w:rFonts w:ascii="Times New Roman" w:hAnsi="Times New Roman" w:cs="Times New Roman"/>
          <w:sz w:val="24"/>
          <w:szCs w:val="24"/>
        </w:rPr>
      </w:pPr>
      <w:r w:rsidRPr="00A0721C">
        <w:rPr>
          <w:rFonts w:ascii="Times New Roman" w:hAnsi="Times New Roman" w:cs="Times New Roman"/>
          <w:sz w:val="24"/>
          <w:szCs w:val="24"/>
        </w:rPr>
        <w:t>Направена е споредба на PEB кај корисниците на аспирин, во зависност од полот и од тоа дали терапијата била прекината или не.</w:t>
      </w:r>
    </w:p>
    <w:p w14:paraId="2FEA092A" w14:textId="41F4E392" w:rsidR="00412474" w:rsidRPr="00A0721C" w:rsidRDefault="00412474" w:rsidP="00A0721C">
      <w:pPr>
        <w:spacing w:after="120" w:line="360" w:lineRule="auto"/>
        <w:ind w:firstLine="720"/>
        <w:jc w:val="both"/>
        <w:rPr>
          <w:rFonts w:ascii="Times New Roman" w:hAnsi="Times New Roman" w:cs="Times New Roman"/>
          <w:sz w:val="24"/>
          <w:szCs w:val="24"/>
        </w:rPr>
      </w:pPr>
      <w:r w:rsidRPr="00A0721C">
        <w:rPr>
          <w:rStyle w:val="s1"/>
          <w:rFonts w:ascii="Times New Roman" w:eastAsiaTheme="majorEastAsia" w:hAnsi="Times New Roman" w:cs="Times New Roman"/>
          <w:i/>
          <w:iCs/>
          <w:sz w:val="24"/>
          <w:szCs w:val="24"/>
        </w:rPr>
        <w:t>Kruskal-Wallis H</w:t>
      </w:r>
      <w:r w:rsidRPr="00A0721C">
        <w:rPr>
          <w:rStyle w:val="s1"/>
          <w:rFonts w:ascii="Times New Roman" w:eastAsiaTheme="majorEastAsia" w:hAnsi="Times New Roman" w:cs="Times New Roman"/>
          <w:sz w:val="24"/>
          <w:szCs w:val="24"/>
        </w:rPr>
        <w:t xml:space="preserve"> тестот</w:t>
      </w:r>
      <w:r w:rsidRPr="00A0721C">
        <w:rPr>
          <w:rFonts w:ascii="Times New Roman" w:hAnsi="Times New Roman" w:cs="Times New Roman"/>
          <w:sz w:val="24"/>
          <w:szCs w:val="24"/>
        </w:rPr>
        <w:t xml:space="preserve"> покажа дека постои значајна разлика во зависната променлива помеѓу различните групи, χ²(3) = 21.25, </w:t>
      </w:r>
      <w:r w:rsidRPr="00A0721C">
        <w:rPr>
          <w:rFonts w:ascii="Times New Roman" w:hAnsi="Times New Roman" w:cs="Times New Roman"/>
          <w:i/>
          <w:iCs/>
          <w:sz w:val="24"/>
          <w:szCs w:val="24"/>
        </w:rPr>
        <w:t>p</w:t>
      </w:r>
      <w:r w:rsidRPr="00A0721C">
        <w:rPr>
          <w:rFonts w:ascii="Times New Roman" w:hAnsi="Times New Roman" w:cs="Times New Roman"/>
          <w:sz w:val="24"/>
          <w:szCs w:val="24"/>
        </w:rPr>
        <w:t xml:space="preserve"> &lt; .001, при што средната ранг-оцена изнесуваше 69.5 за </w:t>
      </w:r>
      <w:r w:rsidR="00A0721C">
        <w:rPr>
          <w:rStyle w:val="s1"/>
          <w:rFonts w:ascii="Times New Roman" w:eastAsiaTheme="majorEastAsia" w:hAnsi="Times New Roman" w:cs="Times New Roman"/>
          <w:b/>
          <w:bCs/>
          <w:sz w:val="24"/>
          <w:szCs w:val="24"/>
        </w:rPr>
        <w:t>м</w:t>
      </w:r>
      <w:r w:rsidRPr="00A0721C">
        <w:rPr>
          <w:rStyle w:val="s1"/>
          <w:rFonts w:ascii="Times New Roman" w:eastAsiaTheme="majorEastAsia" w:hAnsi="Times New Roman" w:cs="Times New Roman"/>
          <w:b/>
          <w:bCs/>
          <w:sz w:val="24"/>
          <w:szCs w:val="24"/>
        </w:rPr>
        <w:t>ажи аспирин непрекинат</w:t>
      </w:r>
      <w:r w:rsidRPr="00A0721C">
        <w:rPr>
          <w:rFonts w:ascii="Times New Roman" w:hAnsi="Times New Roman" w:cs="Times New Roman"/>
          <w:sz w:val="24"/>
          <w:szCs w:val="24"/>
        </w:rPr>
        <w:t xml:space="preserve">, 35.45 за </w:t>
      </w:r>
      <w:r w:rsidR="00A0721C">
        <w:rPr>
          <w:rStyle w:val="s1"/>
          <w:rFonts w:ascii="Times New Roman" w:eastAsiaTheme="majorEastAsia" w:hAnsi="Times New Roman" w:cs="Times New Roman"/>
          <w:b/>
          <w:bCs/>
          <w:sz w:val="24"/>
          <w:szCs w:val="24"/>
        </w:rPr>
        <w:t>м</w:t>
      </w:r>
      <w:r w:rsidRPr="00A0721C">
        <w:rPr>
          <w:rStyle w:val="s1"/>
          <w:rFonts w:ascii="Times New Roman" w:eastAsiaTheme="majorEastAsia" w:hAnsi="Times New Roman" w:cs="Times New Roman"/>
          <w:b/>
          <w:bCs/>
          <w:sz w:val="24"/>
          <w:szCs w:val="24"/>
        </w:rPr>
        <w:t>ажи аспирин прекинат</w:t>
      </w:r>
      <w:r w:rsidRPr="00A0721C">
        <w:rPr>
          <w:rFonts w:ascii="Times New Roman" w:hAnsi="Times New Roman" w:cs="Times New Roman"/>
          <w:sz w:val="24"/>
          <w:szCs w:val="24"/>
        </w:rPr>
        <w:t xml:space="preserve">, 69.5 за </w:t>
      </w:r>
      <w:r w:rsidR="00A0721C">
        <w:rPr>
          <w:rStyle w:val="s1"/>
          <w:rFonts w:ascii="Times New Roman" w:eastAsiaTheme="majorEastAsia" w:hAnsi="Times New Roman" w:cs="Times New Roman"/>
          <w:b/>
          <w:bCs/>
          <w:sz w:val="24"/>
          <w:szCs w:val="24"/>
        </w:rPr>
        <w:t>ж</w:t>
      </w:r>
      <w:r w:rsidRPr="00A0721C">
        <w:rPr>
          <w:rStyle w:val="s1"/>
          <w:rFonts w:ascii="Times New Roman" w:eastAsiaTheme="majorEastAsia" w:hAnsi="Times New Roman" w:cs="Times New Roman"/>
          <w:b/>
          <w:bCs/>
          <w:sz w:val="24"/>
          <w:szCs w:val="24"/>
        </w:rPr>
        <w:t>ени аспирин непрекинат</w:t>
      </w:r>
      <w:r w:rsidRPr="00A0721C">
        <w:rPr>
          <w:rFonts w:ascii="Times New Roman" w:hAnsi="Times New Roman" w:cs="Times New Roman"/>
          <w:sz w:val="24"/>
          <w:szCs w:val="24"/>
        </w:rPr>
        <w:t xml:space="preserve">, и 43.27 за </w:t>
      </w:r>
      <w:r w:rsidR="00A0721C">
        <w:rPr>
          <w:rStyle w:val="s1"/>
          <w:rFonts w:ascii="Times New Roman" w:eastAsiaTheme="majorEastAsia" w:hAnsi="Times New Roman" w:cs="Times New Roman"/>
          <w:b/>
          <w:bCs/>
          <w:sz w:val="24"/>
          <w:szCs w:val="24"/>
        </w:rPr>
        <w:t>ж</w:t>
      </w:r>
      <w:r w:rsidRPr="00A0721C">
        <w:rPr>
          <w:rStyle w:val="s1"/>
          <w:rFonts w:ascii="Times New Roman" w:eastAsiaTheme="majorEastAsia" w:hAnsi="Times New Roman" w:cs="Times New Roman"/>
          <w:b/>
          <w:bCs/>
          <w:sz w:val="24"/>
          <w:szCs w:val="24"/>
        </w:rPr>
        <w:t>ени аспирин прекинат</w:t>
      </w:r>
      <w:r w:rsidRPr="00A0721C">
        <w:rPr>
          <w:rFonts w:ascii="Times New Roman" w:hAnsi="Times New Roman" w:cs="Times New Roman"/>
          <w:sz w:val="24"/>
          <w:szCs w:val="24"/>
        </w:rPr>
        <w:t xml:space="preserve">. </w:t>
      </w:r>
    </w:p>
    <w:p w14:paraId="406E6EE4" w14:textId="6ACB3745" w:rsidR="00412474" w:rsidRPr="00A0721C" w:rsidRDefault="00412474" w:rsidP="00A0721C">
      <w:pPr>
        <w:spacing w:after="120" w:line="360" w:lineRule="auto"/>
        <w:ind w:firstLine="720"/>
        <w:jc w:val="both"/>
        <w:rPr>
          <w:rFonts w:ascii="Times New Roman" w:hAnsi="Times New Roman" w:cs="Times New Roman"/>
          <w:sz w:val="24"/>
          <w:szCs w:val="24"/>
        </w:rPr>
      </w:pPr>
      <w:r w:rsidRPr="00A0721C">
        <w:rPr>
          <w:rFonts w:ascii="Times New Roman" w:hAnsi="Times New Roman" w:cs="Times New Roman"/>
          <w:sz w:val="24"/>
          <w:szCs w:val="24"/>
        </w:rPr>
        <w:t xml:space="preserve">Последоватолниот </w:t>
      </w:r>
      <w:r w:rsidRPr="00A0721C">
        <w:rPr>
          <w:rStyle w:val="s1"/>
          <w:rFonts w:ascii="Times New Roman" w:eastAsiaTheme="majorEastAsia" w:hAnsi="Times New Roman" w:cs="Times New Roman"/>
          <w:i/>
          <w:iCs/>
          <w:sz w:val="24"/>
          <w:szCs w:val="24"/>
        </w:rPr>
        <w:t>Dunn</w:t>
      </w:r>
      <w:r w:rsidRPr="00A0721C">
        <w:rPr>
          <w:rStyle w:val="s1"/>
          <w:rFonts w:ascii="Times New Roman" w:eastAsiaTheme="majorEastAsia" w:hAnsi="Times New Roman" w:cs="Times New Roman"/>
          <w:sz w:val="24"/>
          <w:szCs w:val="24"/>
        </w:rPr>
        <w:t>-ов тест</w:t>
      </w:r>
      <w:r w:rsidRPr="00A0721C">
        <w:rPr>
          <w:rFonts w:ascii="Times New Roman" w:hAnsi="Times New Roman" w:cs="Times New Roman"/>
          <w:sz w:val="24"/>
          <w:szCs w:val="24"/>
        </w:rPr>
        <w:t xml:space="preserve">, користејќи </w:t>
      </w:r>
      <w:r w:rsidRPr="00A0721C">
        <w:rPr>
          <w:rFonts w:ascii="Times New Roman" w:hAnsi="Times New Roman" w:cs="Times New Roman"/>
          <w:i/>
          <w:iCs/>
          <w:sz w:val="24"/>
          <w:szCs w:val="24"/>
        </w:rPr>
        <w:t>Bonferroni</w:t>
      </w:r>
      <w:r w:rsidRPr="00A0721C">
        <w:rPr>
          <w:rFonts w:ascii="Times New Roman" w:hAnsi="Times New Roman" w:cs="Times New Roman"/>
          <w:sz w:val="24"/>
          <w:szCs w:val="24"/>
        </w:rPr>
        <w:t>-</w:t>
      </w:r>
      <w:r w:rsidR="00A0721C">
        <w:rPr>
          <w:rFonts w:ascii="Times New Roman" w:hAnsi="Times New Roman" w:cs="Times New Roman"/>
          <w:sz w:val="24"/>
          <w:szCs w:val="24"/>
        </w:rPr>
        <w:t xml:space="preserve"> </w:t>
      </w:r>
      <w:r w:rsidRPr="00A0721C">
        <w:rPr>
          <w:rFonts w:ascii="Times New Roman" w:hAnsi="Times New Roman" w:cs="Times New Roman"/>
          <w:sz w:val="24"/>
          <w:szCs w:val="24"/>
        </w:rPr>
        <w:t xml:space="preserve">коригирано ниво на значајност од α = 0.0083, покажа дека средните рангови на следните парови се статистички значајно различни: </w:t>
      </w:r>
      <w:r w:rsidRPr="00A0721C">
        <w:rPr>
          <w:rStyle w:val="s1"/>
          <w:rFonts w:ascii="Times New Roman" w:eastAsiaTheme="majorEastAsia" w:hAnsi="Times New Roman" w:cs="Times New Roman"/>
          <w:b/>
          <w:bCs/>
          <w:sz w:val="24"/>
          <w:szCs w:val="24"/>
        </w:rPr>
        <w:t>x1-x2</w:t>
      </w:r>
      <w:r w:rsidRPr="00A0721C">
        <w:rPr>
          <w:rFonts w:ascii="Times New Roman" w:hAnsi="Times New Roman" w:cs="Times New Roman"/>
          <w:sz w:val="24"/>
          <w:szCs w:val="24"/>
        </w:rPr>
        <w:t xml:space="preserve"> и </w:t>
      </w:r>
      <w:r w:rsidRPr="00A0721C">
        <w:rPr>
          <w:rStyle w:val="s1"/>
          <w:rFonts w:ascii="Times New Roman" w:eastAsiaTheme="majorEastAsia" w:hAnsi="Times New Roman" w:cs="Times New Roman"/>
          <w:b/>
          <w:bCs/>
          <w:sz w:val="24"/>
          <w:szCs w:val="24"/>
        </w:rPr>
        <w:t>x2-x3</w:t>
      </w:r>
      <w:r w:rsidRPr="00A0721C">
        <w:rPr>
          <w:rFonts w:ascii="Times New Roman" w:hAnsi="Times New Roman" w:cs="Times New Roman"/>
          <w:sz w:val="24"/>
          <w:szCs w:val="24"/>
        </w:rPr>
        <w:t xml:space="preserve">. </w:t>
      </w:r>
    </w:p>
    <w:p w14:paraId="67A10A7A" w14:textId="0FB2F4BE" w:rsidR="00412474" w:rsidRPr="00A0721C" w:rsidRDefault="00412474" w:rsidP="00A0721C">
      <w:pPr>
        <w:spacing w:after="120" w:line="360" w:lineRule="auto"/>
        <w:ind w:firstLine="720"/>
        <w:jc w:val="both"/>
        <w:rPr>
          <w:rFonts w:ascii="Times New Roman" w:hAnsi="Times New Roman" w:cs="Times New Roman"/>
          <w:sz w:val="24"/>
          <w:szCs w:val="24"/>
        </w:rPr>
      </w:pPr>
      <w:r w:rsidRPr="00A0721C">
        <w:rPr>
          <w:rFonts w:ascii="Times New Roman" w:hAnsi="Times New Roman" w:cs="Times New Roman"/>
          <w:sz w:val="24"/>
          <w:szCs w:val="24"/>
        </w:rPr>
        <w:t>P</w:t>
      </w:r>
      <w:r w:rsidR="00A0721C">
        <w:rPr>
          <w:rFonts w:ascii="Times New Roman" w:hAnsi="Times New Roman" w:cs="Times New Roman"/>
          <w:sz w:val="24"/>
          <w:szCs w:val="24"/>
        </w:rPr>
        <w:t xml:space="preserve"> </w:t>
      </w:r>
      <w:r w:rsidRPr="00A0721C">
        <w:rPr>
          <w:rFonts w:ascii="Times New Roman" w:hAnsi="Times New Roman" w:cs="Times New Roman"/>
          <w:sz w:val="24"/>
          <w:szCs w:val="24"/>
        </w:rPr>
        <w:t>=</w:t>
      </w:r>
      <w:r w:rsidR="00A0721C">
        <w:rPr>
          <w:rFonts w:ascii="Times New Roman" w:hAnsi="Times New Roman" w:cs="Times New Roman"/>
          <w:sz w:val="24"/>
          <w:szCs w:val="24"/>
        </w:rPr>
        <w:t xml:space="preserve"> </w:t>
      </w:r>
      <w:r w:rsidRPr="00A0721C">
        <w:rPr>
          <w:rFonts w:ascii="Times New Roman" w:hAnsi="Times New Roman" w:cs="Times New Roman"/>
          <w:sz w:val="24"/>
          <w:szCs w:val="24"/>
        </w:rPr>
        <w:t>0.00009. Бидејќи p</w:t>
      </w:r>
      <w:r w:rsidR="00A0721C">
        <w:rPr>
          <w:rFonts w:ascii="Times New Roman" w:hAnsi="Times New Roman" w:cs="Times New Roman"/>
          <w:sz w:val="24"/>
          <w:szCs w:val="24"/>
        </w:rPr>
        <w:t xml:space="preserve"> </w:t>
      </w:r>
      <w:r w:rsidRPr="00A0721C">
        <w:rPr>
          <w:rFonts w:ascii="Times New Roman" w:hAnsi="Times New Roman" w:cs="Times New Roman"/>
          <w:sz w:val="24"/>
          <w:szCs w:val="24"/>
        </w:rPr>
        <w:t>&lt;</w:t>
      </w:r>
      <w:r w:rsidR="00A0721C">
        <w:rPr>
          <w:rFonts w:ascii="Times New Roman" w:hAnsi="Times New Roman" w:cs="Times New Roman"/>
          <w:sz w:val="24"/>
          <w:szCs w:val="24"/>
        </w:rPr>
        <w:t xml:space="preserve"> </w:t>
      </w:r>
      <w:r w:rsidRPr="00A0721C">
        <w:rPr>
          <w:rFonts w:ascii="Times New Roman" w:hAnsi="Times New Roman" w:cs="Times New Roman"/>
          <w:sz w:val="24"/>
          <w:szCs w:val="24"/>
        </w:rPr>
        <w:t xml:space="preserve">0.005, нултата хипотеза се отфрла. Со други зборови, постои значајна разлика помеѓу средните рангови во испитуваните групи. Постекстракционото крвавење значајно се разликува во испитуваните примероци. Вредноста на статистичкиот тест H изнесува 0.23, што се смета за голема вредност, што покажува голема, значајна разлика меѓу групите. </w:t>
      </w:r>
    </w:p>
    <w:p w14:paraId="3619071B" w14:textId="77777777" w:rsidR="00A0721C" w:rsidRDefault="00412474" w:rsidP="00A0721C">
      <w:pPr>
        <w:spacing w:after="120" w:line="360" w:lineRule="auto"/>
        <w:ind w:firstLine="720"/>
        <w:jc w:val="both"/>
        <w:rPr>
          <w:rFonts w:ascii="Times New Roman" w:hAnsi="Times New Roman" w:cs="Times New Roman"/>
          <w:sz w:val="24"/>
          <w:szCs w:val="24"/>
        </w:rPr>
      </w:pPr>
      <w:r w:rsidRPr="00A0721C">
        <w:rPr>
          <w:rFonts w:ascii="Times New Roman" w:hAnsi="Times New Roman" w:cs="Times New Roman"/>
          <w:sz w:val="24"/>
          <w:szCs w:val="24"/>
        </w:rPr>
        <w:t>Последоватeлната пост-хок анализа покажа дека постои значајна разлика во PEB меѓу мажите кои го прекинале аспиринот и оние кои не го прекинале пред хируршката интервенција, како и меѓу жените кои го прекинале и не го прекинале аспиринот. Разликата во PEB меѓу испитаничките од женслки пол кои го прекинале и не го прекинале аспиринот е помала (p</w:t>
      </w:r>
      <w:r w:rsidR="00A0721C">
        <w:rPr>
          <w:rFonts w:ascii="Times New Roman" w:hAnsi="Times New Roman" w:cs="Times New Roman"/>
          <w:sz w:val="24"/>
          <w:szCs w:val="24"/>
        </w:rPr>
        <w:t xml:space="preserve"> </w:t>
      </w:r>
      <w:r w:rsidRPr="00A0721C">
        <w:rPr>
          <w:rFonts w:ascii="Times New Roman" w:hAnsi="Times New Roman" w:cs="Times New Roman"/>
          <w:sz w:val="24"/>
          <w:szCs w:val="24"/>
        </w:rPr>
        <w:t>=</w:t>
      </w:r>
      <w:r w:rsidR="00A0721C">
        <w:rPr>
          <w:rFonts w:ascii="Times New Roman" w:hAnsi="Times New Roman" w:cs="Times New Roman"/>
          <w:sz w:val="24"/>
          <w:szCs w:val="24"/>
        </w:rPr>
        <w:t xml:space="preserve"> </w:t>
      </w:r>
      <w:r w:rsidRPr="00A0721C">
        <w:rPr>
          <w:rFonts w:ascii="Times New Roman" w:hAnsi="Times New Roman" w:cs="Times New Roman"/>
          <w:sz w:val="24"/>
          <w:szCs w:val="24"/>
        </w:rPr>
        <w:t xml:space="preserve">0.01), но тоа може да се должи на малиот примерок на испитанички од женски пол кои примале аспирин, а не го прекинале пред хируршката интервенција. Резултатите се прикажани во графикон бр. </w:t>
      </w:r>
      <w:r w:rsidR="00167D0F" w:rsidRPr="00A0721C">
        <w:rPr>
          <w:rFonts w:ascii="Times New Roman" w:hAnsi="Times New Roman" w:cs="Times New Roman"/>
          <w:sz w:val="24"/>
          <w:szCs w:val="24"/>
        </w:rPr>
        <w:t xml:space="preserve">42 </w:t>
      </w:r>
      <w:r w:rsidRPr="00A0721C">
        <w:rPr>
          <w:rFonts w:ascii="Times New Roman" w:hAnsi="Times New Roman" w:cs="Times New Roman"/>
          <w:sz w:val="24"/>
          <w:szCs w:val="24"/>
        </w:rPr>
        <w:t>и табела бр.</w:t>
      </w:r>
      <w:r w:rsidR="00167D0F" w:rsidRPr="00A0721C">
        <w:rPr>
          <w:rFonts w:ascii="Times New Roman" w:hAnsi="Times New Roman" w:cs="Times New Roman"/>
          <w:sz w:val="24"/>
          <w:szCs w:val="24"/>
        </w:rPr>
        <w:t xml:space="preserve"> 26</w:t>
      </w:r>
      <w:r w:rsidR="00A0721C" w:rsidRPr="00A0721C">
        <w:rPr>
          <w:rFonts w:ascii="Times New Roman" w:hAnsi="Times New Roman" w:cs="Times New Roman"/>
          <w:sz w:val="24"/>
          <w:szCs w:val="24"/>
        </w:rPr>
        <w:t>.</w:t>
      </w:r>
    </w:p>
    <w:p w14:paraId="03E5303F" w14:textId="77777777" w:rsidR="00A0721C" w:rsidRDefault="00A0721C" w:rsidP="00A0721C">
      <w:pPr>
        <w:spacing w:after="120" w:line="360" w:lineRule="auto"/>
        <w:ind w:firstLine="720"/>
        <w:jc w:val="both"/>
        <w:rPr>
          <w:rFonts w:ascii="Times New Roman" w:hAnsi="Times New Roman" w:cs="Times New Roman"/>
          <w:sz w:val="24"/>
          <w:szCs w:val="24"/>
        </w:rPr>
      </w:pPr>
    </w:p>
    <w:p w14:paraId="4DBE3285" w14:textId="77777777" w:rsidR="00A0721C" w:rsidRDefault="00A0721C" w:rsidP="00A0721C">
      <w:pPr>
        <w:spacing w:after="120" w:line="360" w:lineRule="auto"/>
        <w:ind w:firstLine="720"/>
        <w:jc w:val="both"/>
        <w:rPr>
          <w:rFonts w:ascii="Times New Roman" w:hAnsi="Times New Roman" w:cs="Times New Roman"/>
          <w:sz w:val="24"/>
          <w:szCs w:val="24"/>
        </w:rPr>
      </w:pPr>
    </w:p>
    <w:p w14:paraId="15FC24F1" w14:textId="77777777" w:rsidR="00A0721C" w:rsidRDefault="00A0721C" w:rsidP="00A0721C">
      <w:pPr>
        <w:spacing w:after="120" w:line="360" w:lineRule="auto"/>
        <w:ind w:firstLine="720"/>
        <w:jc w:val="both"/>
        <w:rPr>
          <w:rFonts w:ascii="Times New Roman" w:hAnsi="Times New Roman" w:cs="Times New Roman"/>
          <w:sz w:val="24"/>
          <w:szCs w:val="24"/>
        </w:rPr>
      </w:pPr>
    </w:p>
    <w:p w14:paraId="7FCF358C" w14:textId="77777777" w:rsidR="00A0721C" w:rsidRDefault="00A0721C" w:rsidP="00A0721C">
      <w:pPr>
        <w:spacing w:after="120" w:line="360" w:lineRule="auto"/>
        <w:ind w:firstLine="720"/>
        <w:jc w:val="both"/>
        <w:rPr>
          <w:rFonts w:ascii="Times New Roman" w:hAnsi="Times New Roman" w:cs="Times New Roman"/>
          <w:sz w:val="24"/>
          <w:szCs w:val="24"/>
        </w:rPr>
      </w:pPr>
    </w:p>
    <w:p w14:paraId="7BBCE154" w14:textId="3958B6FD" w:rsidR="00A0721C" w:rsidRPr="00A0721C" w:rsidRDefault="00A0721C" w:rsidP="00A0721C">
      <w:pPr>
        <w:spacing w:after="120" w:line="360" w:lineRule="auto"/>
        <w:ind w:firstLine="720"/>
        <w:jc w:val="center"/>
        <w:rPr>
          <w:rFonts w:ascii="Times New Roman" w:hAnsi="Times New Roman" w:cs="Times New Roman"/>
          <w:sz w:val="24"/>
          <w:szCs w:val="24"/>
        </w:rPr>
      </w:pPr>
      <w:r w:rsidRPr="00A0721C">
        <w:rPr>
          <w:rFonts w:ascii="Times New Roman" w:hAnsi="Times New Roman" w:cs="Times New Roman"/>
          <w:sz w:val="24"/>
          <w:szCs w:val="24"/>
        </w:rPr>
        <w:lastRenderedPageBreak/>
        <w:t>Графикон бр. 42- Разлики во PEB меѓу испитаниците од машки и женски пол кои примаат антиагрегациона терапија (аспирин), во зависност од тоа дали терапијата е прекината или не</w:t>
      </w:r>
    </w:p>
    <w:p w14:paraId="4CE7E311" w14:textId="4B4F23B0" w:rsidR="00412474" w:rsidRPr="00215667" w:rsidRDefault="00167D0F" w:rsidP="00A0721C">
      <w:pPr>
        <w:spacing w:after="120" w:line="360" w:lineRule="auto"/>
        <w:ind w:firstLine="720"/>
        <w:jc w:val="both"/>
      </w:pPr>
      <w:r w:rsidRPr="00215667">
        <w:rPr>
          <w:noProof/>
          <w:lang w:val="en-US"/>
          <w14:ligatures w14:val="standardContextual"/>
        </w:rPr>
        <w:drawing>
          <wp:inline distT="0" distB="0" distL="0" distR="0" wp14:anchorId="4057C3AB" wp14:editId="37B25A70">
            <wp:extent cx="5400040" cy="2729230"/>
            <wp:effectExtent l="0" t="0" r="0" b="1270"/>
            <wp:docPr id="1672631506" name="Picture 31" descr="A graph with green lines and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631506" name="Picture 31" descr="A graph with green lines and red text&#10;&#10;AI-generated content may be incorrect."/>
                    <pic:cNvPicPr/>
                  </pic:nvPicPr>
                  <pic:blipFill>
                    <a:blip r:embed="rId96">
                      <a:extLst>
                        <a:ext uri="{28A0092B-C50C-407E-A947-70E740481C1C}">
                          <a14:useLocalDpi xmlns:a14="http://schemas.microsoft.com/office/drawing/2010/main" val="0"/>
                        </a:ext>
                      </a:extLst>
                    </a:blip>
                    <a:stretch>
                      <a:fillRect/>
                    </a:stretch>
                  </pic:blipFill>
                  <pic:spPr>
                    <a:xfrm>
                      <a:off x="0" y="0"/>
                      <a:ext cx="5400040" cy="2729230"/>
                    </a:xfrm>
                    <a:prstGeom prst="rect">
                      <a:avLst/>
                    </a:prstGeom>
                  </pic:spPr>
                </pic:pic>
              </a:graphicData>
            </a:graphic>
          </wp:inline>
        </w:drawing>
      </w:r>
    </w:p>
    <w:p w14:paraId="76FED3B8" w14:textId="1B117474" w:rsidR="00412474" w:rsidRPr="00215667" w:rsidRDefault="00167D0F" w:rsidP="00167D0F">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14:ligatures w14:val="standardContextual"/>
        </w:rPr>
        <w:drawing>
          <wp:inline distT="0" distB="0" distL="0" distR="0" wp14:anchorId="37EE5CF9" wp14:editId="59C856F6">
            <wp:extent cx="2943229" cy="2686640"/>
            <wp:effectExtent l="0" t="0" r="3175" b="6350"/>
            <wp:docPr id="2120237837" name="Picture 32"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237837" name="Picture 32" descr="A graph with different colored bars&#10;&#10;AI-generated content may be incorrect."/>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969875" cy="2710963"/>
                    </a:xfrm>
                    <a:prstGeom prst="rect">
                      <a:avLst/>
                    </a:prstGeom>
                  </pic:spPr>
                </pic:pic>
              </a:graphicData>
            </a:graphic>
          </wp:inline>
        </w:drawing>
      </w:r>
    </w:p>
    <w:p w14:paraId="2DBFFC54" w14:textId="77777777" w:rsidR="00A0721C" w:rsidRDefault="00A0721C" w:rsidP="00A0721C">
      <w:pPr>
        <w:spacing w:after="120" w:line="360" w:lineRule="auto"/>
        <w:ind w:firstLine="720"/>
        <w:jc w:val="center"/>
        <w:rPr>
          <w:rFonts w:ascii="Times New Roman" w:hAnsi="Times New Roman" w:cs="Times New Roman"/>
          <w:sz w:val="24"/>
          <w:szCs w:val="24"/>
        </w:rPr>
      </w:pPr>
    </w:p>
    <w:p w14:paraId="05AA9781" w14:textId="77777777" w:rsidR="00A0721C" w:rsidRDefault="00A0721C" w:rsidP="00A0721C">
      <w:pPr>
        <w:spacing w:after="120" w:line="360" w:lineRule="auto"/>
        <w:ind w:firstLine="720"/>
        <w:jc w:val="center"/>
        <w:rPr>
          <w:rFonts w:ascii="Times New Roman" w:hAnsi="Times New Roman" w:cs="Times New Roman"/>
          <w:sz w:val="24"/>
          <w:szCs w:val="24"/>
        </w:rPr>
      </w:pPr>
    </w:p>
    <w:p w14:paraId="42DCE359" w14:textId="77777777" w:rsidR="00A0721C" w:rsidRDefault="00A0721C" w:rsidP="00A0721C">
      <w:pPr>
        <w:spacing w:after="120" w:line="360" w:lineRule="auto"/>
        <w:ind w:firstLine="720"/>
        <w:jc w:val="center"/>
        <w:rPr>
          <w:rFonts w:ascii="Times New Roman" w:hAnsi="Times New Roman" w:cs="Times New Roman"/>
          <w:sz w:val="24"/>
          <w:szCs w:val="24"/>
        </w:rPr>
      </w:pPr>
    </w:p>
    <w:p w14:paraId="47B90947" w14:textId="77777777" w:rsidR="00A0721C" w:rsidRDefault="00A0721C" w:rsidP="00A0721C">
      <w:pPr>
        <w:spacing w:after="120" w:line="360" w:lineRule="auto"/>
        <w:ind w:firstLine="720"/>
        <w:jc w:val="center"/>
        <w:rPr>
          <w:rFonts w:ascii="Times New Roman" w:hAnsi="Times New Roman" w:cs="Times New Roman"/>
          <w:sz w:val="24"/>
          <w:szCs w:val="24"/>
        </w:rPr>
      </w:pPr>
    </w:p>
    <w:p w14:paraId="0B3BE0B5" w14:textId="2F0AADC4" w:rsidR="00A0721C" w:rsidRDefault="00167D0F" w:rsidP="00A0721C">
      <w:pPr>
        <w:spacing w:after="120" w:line="360" w:lineRule="auto"/>
        <w:ind w:firstLine="720"/>
        <w:jc w:val="center"/>
        <w:rPr>
          <w:rFonts w:ascii="Times New Roman" w:hAnsi="Times New Roman" w:cs="Times New Roman"/>
          <w:sz w:val="24"/>
          <w:szCs w:val="24"/>
        </w:rPr>
      </w:pPr>
      <w:r w:rsidRPr="00215667">
        <w:rPr>
          <w:rFonts w:ascii="Times New Roman" w:hAnsi="Times New Roman" w:cs="Times New Roman"/>
          <w:sz w:val="24"/>
          <w:szCs w:val="24"/>
        </w:rPr>
        <w:lastRenderedPageBreak/>
        <w:t>Табела бр. 26</w:t>
      </w:r>
      <w:r w:rsidR="00A0721C">
        <w:rPr>
          <w:rFonts w:ascii="Times New Roman" w:hAnsi="Times New Roman" w:cs="Times New Roman"/>
          <w:sz w:val="24"/>
          <w:szCs w:val="24"/>
        </w:rPr>
        <w:t>-</w:t>
      </w:r>
      <w:r w:rsidRPr="00215667">
        <w:rPr>
          <w:rFonts w:ascii="Times New Roman" w:hAnsi="Times New Roman" w:cs="Times New Roman"/>
          <w:sz w:val="24"/>
          <w:szCs w:val="24"/>
        </w:rPr>
        <w:t xml:space="preserve"> Приказ на разликите во PEB меѓу испитуваните групи (испитаници од машки и женски пол) кои примаат антиагрегациона терапија (аспирин), во зависност од тоа дали ја прекинале терапијата или не</w:t>
      </w:r>
    </w:p>
    <w:p w14:paraId="0727D38A" w14:textId="13283B40" w:rsidR="00412474" w:rsidRPr="00215667" w:rsidRDefault="00167D0F" w:rsidP="00A0721C">
      <w:pPr>
        <w:spacing w:after="120" w:line="360" w:lineRule="auto"/>
        <w:ind w:firstLine="720"/>
        <w:jc w:val="center"/>
        <w:rPr>
          <w:rFonts w:ascii="Times New Roman" w:hAnsi="Times New Roman" w:cs="Times New Roman"/>
          <w:sz w:val="24"/>
          <w:szCs w:val="24"/>
        </w:rPr>
      </w:pPr>
      <w:r w:rsidRPr="00215667">
        <w:rPr>
          <w:rFonts w:ascii="Times New Roman" w:hAnsi="Times New Roman" w:cs="Times New Roman"/>
          <w:sz w:val="24"/>
          <w:szCs w:val="24"/>
        </w:rPr>
        <w:t>(</w:t>
      </w:r>
      <w:r w:rsidRPr="00A0721C">
        <w:rPr>
          <w:rFonts w:ascii="Times New Roman" w:hAnsi="Times New Roman" w:cs="Times New Roman"/>
          <w:i/>
          <w:iCs/>
          <w:sz w:val="24"/>
          <w:szCs w:val="24"/>
        </w:rPr>
        <w:t>Kruskal-Wallis H</w:t>
      </w:r>
      <w:r w:rsidRPr="00215667">
        <w:rPr>
          <w:rFonts w:ascii="Times New Roman" w:hAnsi="Times New Roman" w:cs="Times New Roman"/>
          <w:sz w:val="24"/>
          <w:szCs w:val="24"/>
        </w:rPr>
        <w:t xml:space="preserve"> тест, пост хок </w:t>
      </w:r>
      <w:r w:rsidRPr="00A0721C">
        <w:rPr>
          <w:rFonts w:ascii="Times New Roman" w:hAnsi="Times New Roman" w:cs="Times New Roman"/>
          <w:i/>
          <w:iCs/>
          <w:sz w:val="24"/>
          <w:szCs w:val="24"/>
        </w:rPr>
        <w:t>Dunn</w:t>
      </w:r>
      <w:r w:rsidRPr="00215667">
        <w:rPr>
          <w:rFonts w:ascii="Times New Roman" w:hAnsi="Times New Roman" w:cs="Times New Roman"/>
          <w:sz w:val="24"/>
          <w:szCs w:val="24"/>
        </w:rPr>
        <w:t xml:space="preserve"> анализа со </w:t>
      </w:r>
      <w:r w:rsidRPr="00A0721C">
        <w:rPr>
          <w:rFonts w:ascii="Times New Roman" w:hAnsi="Times New Roman" w:cs="Times New Roman"/>
          <w:i/>
          <w:iCs/>
          <w:sz w:val="24"/>
          <w:szCs w:val="24"/>
        </w:rPr>
        <w:t>Bonferonni</w:t>
      </w:r>
      <w:r w:rsidRPr="00215667">
        <w:rPr>
          <w:rFonts w:ascii="Times New Roman" w:hAnsi="Times New Roman" w:cs="Times New Roman"/>
          <w:sz w:val="24"/>
          <w:szCs w:val="24"/>
        </w:rPr>
        <w:t xml:space="preserve"> корекција)</w:t>
      </w:r>
    </w:p>
    <w:p w14:paraId="1DEB0936" w14:textId="77777777"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noProof/>
          <w:sz w:val="24"/>
          <w:szCs w:val="24"/>
          <w:lang w:val="en-US"/>
        </w:rPr>
        <w:drawing>
          <wp:inline distT="0" distB="0" distL="0" distR="0" wp14:anchorId="03469D4B" wp14:editId="5E698C4E">
            <wp:extent cx="5400040" cy="1963420"/>
            <wp:effectExtent l="0" t="0" r="0" b="5080"/>
            <wp:docPr id="1613806506" name="Picture 87" descr="A table with numbers and a few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806506" name="Picture 87" descr="A table with numbers and a few black text&#10;&#10;AI-generated content may be incorrect."/>
                    <pic:cNvPicPr/>
                  </pic:nvPicPr>
                  <pic:blipFill>
                    <a:blip r:embed="rId98" cstate="print">
                      <a:extLst>
                        <a:ext uri="{28A0092B-C50C-407E-A947-70E740481C1C}">
                          <a14:useLocalDpi xmlns:a14="http://schemas.microsoft.com/office/drawing/2010/main" val="0"/>
                        </a:ext>
                      </a:extLst>
                    </a:blip>
                    <a:stretch>
                      <a:fillRect/>
                    </a:stretch>
                  </pic:blipFill>
                  <pic:spPr>
                    <a:xfrm>
                      <a:off x="0" y="0"/>
                      <a:ext cx="5400040" cy="1963420"/>
                    </a:xfrm>
                    <a:prstGeom prst="rect">
                      <a:avLst/>
                    </a:prstGeom>
                  </pic:spPr>
                </pic:pic>
              </a:graphicData>
            </a:graphic>
          </wp:inline>
        </w:drawing>
      </w:r>
    </w:p>
    <w:p w14:paraId="35F97756" w14:textId="77777777" w:rsidR="00167D0F" w:rsidRPr="00A0721C" w:rsidRDefault="00167D0F" w:rsidP="00A0721C">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x1: испитаници од машки пол кои не ја прекинале терапијата</w:t>
      </w:r>
    </w:p>
    <w:p w14:paraId="3E63FB9A" w14:textId="77777777" w:rsidR="00167D0F" w:rsidRPr="00A0721C" w:rsidRDefault="00167D0F" w:rsidP="00A0721C">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 xml:space="preserve">х2: испитаници од машки пол кои ја прекинале терапијата </w:t>
      </w:r>
    </w:p>
    <w:p w14:paraId="1CB8293A" w14:textId="77777777" w:rsidR="00167D0F" w:rsidRPr="00A0721C" w:rsidRDefault="00167D0F" w:rsidP="00A0721C">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x3: испитаници од женски пол кои не ја прекинале терапијата</w:t>
      </w:r>
    </w:p>
    <w:p w14:paraId="60124739" w14:textId="77777777" w:rsidR="00167D0F" w:rsidRPr="00A0721C" w:rsidRDefault="00167D0F" w:rsidP="00A0721C">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х4: испитаници од женски пол кои ја прекинале терапијата.</w:t>
      </w:r>
    </w:p>
    <w:p w14:paraId="3843358B" w14:textId="77777777" w:rsidR="00167D0F" w:rsidRPr="00A0721C" w:rsidRDefault="00167D0F" w:rsidP="00A0721C">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Црвено обоена вредност на p: p&lt;0.05 (статистички значајна разлика)</w:t>
      </w:r>
    </w:p>
    <w:p w14:paraId="5CCD194F" w14:textId="77777777" w:rsidR="00412474" w:rsidRPr="00215667" w:rsidRDefault="00412474" w:rsidP="00412474">
      <w:pPr>
        <w:spacing w:line="240" w:lineRule="auto"/>
        <w:rPr>
          <w:rFonts w:ascii="Times New Roman" w:hAnsi="Times New Roman" w:cs="Times New Roman"/>
          <w:b/>
          <w:bCs/>
          <w:sz w:val="24"/>
          <w:szCs w:val="24"/>
        </w:rPr>
      </w:pPr>
    </w:p>
    <w:p w14:paraId="5433D502" w14:textId="0569D530"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t>Анализа на PEB при различни интервенции кај пациенти кои примаат VKA/DOAC</w:t>
      </w:r>
    </w:p>
    <w:p w14:paraId="25FD1212" w14:textId="77777777" w:rsidR="00A0721C" w:rsidRDefault="00A0721C" w:rsidP="00A0721C">
      <w:pPr>
        <w:spacing w:after="120" w:line="360" w:lineRule="auto"/>
        <w:ind w:firstLine="720"/>
        <w:jc w:val="both"/>
      </w:pPr>
    </w:p>
    <w:p w14:paraId="637F94AD" w14:textId="4D85EDB5" w:rsidR="00412474" w:rsidRPr="00A0721C" w:rsidRDefault="00412474" w:rsidP="00A0721C">
      <w:pPr>
        <w:spacing w:after="120" w:line="360" w:lineRule="auto"/>
        <w:ind w:firstLine="720"/>
        <w:jc w:val="both"/>
        <w:rPr>
          <w:rFonts w:ascii="Times New Roman" w:hAnsi="Times New Roman" w:cs="Times New Roman"/>
          <w:sz w:val="24"/>
          <w:szCs w:val="24"/>
        </w:rPr>
      </w:pPr>
      <w:r w:rsidRPr="00A0721C">
        <w:rPr>
          <w:rFonts w:ascii="Times New Roman" w:hAnsi="Times New Roman" w:cs="Times New Roman"/>
          <w:i/>
          <w:iCs/>
          <w:sz w:val="24"/>
          <w:szCs w:val="24"/>
        </w:rPr>
        <w:t>Kruskal-Wallis H</w:t>
      </w:r>
      <w:r w:rsidRPr="00A0721C">
        <w:rPr>
          <w:rFonts w:ascii="Times New Roman" w:hAnsi="Times New Roman" w:cs="Times New Roman"/>
          <w:sz w:val="24"/>
          <w:szCs w:val="24"/>
        </w:rPr>
        <w:t xml:space="preserve"> тестот покажа дека постои статистички значајна разлика во зависната променлива помеѓу различните групи, χ²(2) = 8.2, p = .017, со средна ранг-оценка од 42.65 за PEB максила VKA, 58.08 за PEB мандибула VKA и 38.83 за PEB оператива VKA. Средните ранг-оценки за секоја група се следните:</w:t>
      </w:r>
    </w:p>
    <w:p w14:paraId="3077A0B8" w14:textId="77777777" w:rsidR="00412474" w:rsidRPr="00215667" w:rsidRDefault="00412474" w:rsidP="00412474">
      <w:pPr>
        <w:pStyle w:val="p1"/>
        <w:numPr>
          <w:ilvl w:val="0"/>
          <w:numId w:val="34"/>
        </w:numPr>
      </w:pPr>
      <w:r w:rsidRPr="00215667">
        <w:t>PEB максила (VKA)</w:t>
      </w:r>
      <w:r w:rsidRPr="00215667">
        <w:rPr>
          <w:rStyle w:val="s1"/>
          <w:rFonts w:eastAsiaTheme="majorEastAsia"/>
        </w:rPr>
        <w:t>: 42.65</w:t>
      </w:r>
    </w:p>
    <w:p w14:paraId="785D6D96" w14:textId="77777777" w:rsidR="00412474" w:rsidRPr="00215667" w:rsidRDefault="00412474" w:rsidP="00412474">
      <w:pPr>
        <w:pStyle w:val="p1"/>
        <w:numPr>
          <w:ilvl w:val="0"/>
          <w:numId w:val="34"/>
        </w:numPr>
      </w:pPr>
      <w:r w:rsidRPr="00215667">
        <w:t>PEB мандибула (VKA)</w:t>
      </w:r>
      <w:r w:rsidRPr="00215667">
        <w:rPr>
          <w:rStyle w:val="s1"/>
          <w:rFonts w:eastAsiaTheme="majorEastAsia"/>
        </w:rPr>
        <w:t>: 58.08</w:t>
      </w:r>
    </w:p>
    <w:p w14:paraId="3341FCEB" w14:textId="77777777" w:rsidR="00412474" w:rsidRPr="00215667" w:rsidRDefault="00412474" w:rsidP="00412474">
      <w:pPr>
        <w:pStyle w:val="p1"/>
        <w:numPr>
          <w:ilvl w:val="0"/>
          <w:numId w:val="34"/>
        </w:numPr>
      </w:pPr>
      <w:r w:rsidRPr="00215667">
        <w:t>PEB оперативна екстракција (VKA)</w:t>
      </w:r>
      <w:r w:rsidRPr="00215667">
        <w:rPr>
          <w:rStyle w:val="s1"/>
          <w:rFonts w:eastAsiaTheme="majorEastAsia"/>
        </w:rPr>
        <w:t>: 38.83</w:t>
      </w:r>
    </w:p>
    <w:p w14:paraId="05908CBB" w14:textId="77777777" w:rsidR="00412474" w:rsidRPr="00A0721C" w:rsidRDefault="00412474" w:rsidP="00A0721C">
      <w:pPr>
        <w:spacing w:after="120" w:line="360" w:lineRule="auto"/>
        <w:ind w:firstLine="720"/>
        <w:jc w:val="both"/>
        <w:rPr>
          <w:rFonts w:ascii="Times New Roman" w:hAnsi="Times New Roman" w:cs="Times New Roman"/>
          <w:sz w:val="24"/>
          <w:szCs w:val="24"/>
        </w:rPr>
      </w:pPr>
      <w:r w:rsidRPr="00A0721C">
        <w:rPr>
          <w:rFonts w:ascii="Times New Roman" w:hAnsi="Times New Roman" w:cs="Times New Roman"/>
          <w:sz w:val="24"/>
          <w:szCs w:val="24"/>
        </w:rPr>
        <w:t xml:space="preserve">Пост-хок </w:t>
      </w:r>
      <w:r w:rsidRPr="00A0721C">
        <w:rPr>
          <w:rFonts w:ascii="Times New Roman" w:hAnsi="Times New Roman" w:cs="Times New Roman"/>
          <w:i/>
          <w:iCs/>
          <w:sz w:val="24"/>
          <w:szCs w:val="24"/>
        </w:rPr>
        <w:t>Dunn</w:t>
      </w:r>
      <w:r w:rsidRPr="00A0721C">
        <w:rPr>
          <w:rFonts w:ascii="Times New Roman" w:hAnsi="Times New Roman" w:cs="Times New Roman"/>
          <w:sz w:val="24"/>
          <w:szCs w:val="24"/>
        </w:rPr>
        <w:t xml:space="preserve"> тестот, со </w:t>
      </w:r>
      <w:r w:rsidRPr="00A0721C">
        <w:rPr>
          <w:rFonts w:ascii="Times New Roman" w:hAnsi="Times New Roman" w:cs="Times New Roman"/>
          <w:i/>
          <w:iCs/>
          <w:sz w:val="24"/>
          <w:szCs w:val="24"/>
        </w:rPr>
        <w:t>Bonferroni</w:t>
      </w:r>
      <w:r w:rsidRPr="00A0721C">
        <w:rPr>
          <w:rFonts w:ascii="Times New Roman" w:hAnsi="Times New Roman" w:cs="Times New Roman"/>
          <w:sz w:val="24"/>
          <w:szCs w:val="24"/>
        </w:rPr>
        <w:t xml:space="preserve"> коригирано алфа-ниво од 0.017, укажа дека средната ранг-оцена на следниот пар е статистички значајно различна: </w:t>
      </w:r>
    </w:p>
    <w:p w14:paraId="15738EBE" w14:textId="77777777" w:rsidR="00412474" w:rsidRPr="00215667" w:rsidRDefault="00412474" w:rsidP="00412474">
      <w:pPr>
        <w:pStyle w:val="p1"/>
        <w:numPr>
          <w:ilvl w:val="0"/>
          <w:numId w:val="35"/>
        </w:numPr>
      </w:pPr>
      <w:r w:rsidRPr="00215667">
        <w:t>PEB максила VKA – PEB мандибула VKA</w:t>
      </w:r>
      <w:r w:rsidRPr="00215667">
        <w:rPr>
          <w:rStyle w:val="s1"/>
          <w:rFonts w:eastAsiaTheme="majorEastAsia"/>
        </w:rPr>
        <w:t xml:space="preserve"> (</w:t>
      </w:r>
      <w:r w:rsidRPr="00215667">
        <w:rPr>
          <w:rStyle w:val="s1"/>
          <w:rFonts w:eastAsiaTheme="majorEastAsia"/>
          <w:i/>
          <w:iCs/>
        </w:rPr>
        <w:t>x1-x2</w:t>
      </w:r>
      <w:r w:rsidRPr="00215667">
        <w:rPr>
          <w:rStyle w:val="s1"/>
          <w:rFonts w:eastAsiaTheme="majorEastAsia"/>
        </w:rPr>
        <w:t xml:space="preserve">) има </w:t>
      </w:r>
      <w:r w:rsidRPr="00215667">
        <w:t>статистички значајна разлика</w:t>
      </w:r>
      <w:r w:rsidRPr="00215667">
        <w:rPr>
          <w:rStyle w:val="s1"/>
          <w:rFonts w:eastAsiaTheme="majorEastAsia"/>
        </w:rPr>
        <w:t xml:space="preserve"> во средните рангови.</w:t>
      </w:r>
    </w:p>
    <w:p w14:paraId="0D37DA54" w14:textId="3646F10B" w:rsidR="00412474" w:rsidRDefault="00412474" w:rsidP="00A0721C">
      <w:pPr>
        <w:spacing w:after="120" w:line="360" w:lineRule="auto"/>
        <w:ind w:firstLine="720"/>
        <w:jc w:val="both"/>
        <w:rPr>
          <w:rFonts w:ascii="Times New Roman" w:hAnsi="Times New Roman" w:cs="Times New Roman"/>
          <w:sz w:val="24"/>
          <w:szCs w:val="24"/>
        </w:rPr>
      </w:pPr>
      <w:r w:rsidRPr="00A0721C">
        <w:rPr>
          <w:rFonts w:ascii="Times New Roman" w:hAnsi="Times New Roman" w:cs="Times New Roman"/>
          <w:sz w:val="24"/>
          <w:szCs w:val="24"/>
        </w:rPr>
        <w:lastRenderedPageBreak/>
        <w:t xml:space="preserve">Овие резултати укажуваат дека локацијата и типот на екстракцијата (максила, мандибула, оперативна) имаат влијание врз сериозноста или фреквенцијата на </w:t>
      </w:r>
      <w:r w:rsidR="001B261B" w:rsidRPr="00A0721C">
        <w:rPr>
          <w:rFonts w:ascii="Times New Roman" w:hAnsi="Times New Roman" w:cs="Times New Roman"/>
          <w:sz w:val="24"/>
          <w:szCs w:val="24"/>
        </w:rPr>
        <w:t>постекстракционо</w:t>
      </w:r>
      <w:r w:rsidRPr="00A0721C">
        <w:rPr>
          <w:rFonts w:ascii="Times New Roman" w:hAnsi="Times New Roman" w:cs="Times New Roman"/>
          <w:sz w:val="24"/>
          <w:szCs w:val="24"/>
        </w:rPr>
        <w:t xml:space="preserve">то </w:t>
      </w:r>
      <w:r w:rsidR="00EC49EB" w:rsidRPr="00A0721C">
        <w:rPr>
          <w:rFonts w:ascii="Times New Roman" w:hAnsi="Times New Roman" w:cs="Times New Roman"/>
          <w:sz w:val="24"/>
          <w:szCs w:val="24"/>
        </w:rPr>
        <w:t>крвавење</w:t>
      </w:r>
      <w:r w:rsidRPr="00A0721C">
        <w:rPr>
          <w:rFonts w:ascii="Times New Roman" w:hAnsi="Times New Roman" w:cs="Times New Roman"/>
          <w:sz w:val="24"/>
          <w:szCs w:val="24"/>
        </w:rPr>
        <w:t xml:space="preserve"> кај пациенти на VKA терапија</w:t>
      </w:r>
      <w:r w:rsidR="00167D0F" w:rsidRPr="00A0721C">
        <w:rPr>
          <w:rFonts w:ascii="Times New Roman" w:hAnsi="Times New Roman" w:cs="Times New Roman"/>
          <w:sz w:val="24"/>
          <w:szCs w:val="24"/>
        </w:rPr>
        <w:t xml:space="preserve"> (графикон бр. 43 и табела бр. 27)</w:t>
      </w:r>
    </w:p>
    <w:p w14:paraId="6981ABB2" w14:textId="0A420379" w:rsidR="00A0721C" w:rsidRPr="00215667" w:rsidRDefault="00A0721C" w:rsidP="00A0721C">
      <w:pPr>
        <w:spacing w:after="120" w:line="360" w:lineRule="auto"/>
        <w:ind w:firstLine="720"/>
        <w:jc w:val="center"/>
        <w:rPr>
          <w:rFonts w:ascii="Times New Roman" w:hAnsi="Times New Roman" w:cs="Times New Roman"/>
          <w:sz w:val="24"/>
          <w:szCs w:val="24"/>
        </w:rPr>
      </w:pPr>
      <w:r w:rsidRPr="00215667">
        <w:rPr>
          <w:rFonts w:ascii="Times New Roman" w:hAnsi="Times New Roman" w:cs="Times New Roman"/>
          <w:sz w:val="24"/>
          <w:szCs w:val="24"/>
        </w:rPr>
        <w:t>Графикон бр. 43</w:t>
      </w:r>
      <w:r>
        <w:rPr>
          <w:rFonts w:ascii="Times New Roman" w:hAnsi="Times New Roman" w:cs="Times New Roman"/>
          <w:sz w:val="24"/>
          <w:szCs w:val="24"/>
        </w:rPr>
        <w:t>-</w:t>
      </w:r>
      <w:r w:rsidRPr="00215667">
        <w:rPr>
          <w:rFonts w:ascii="Times New Roman" w:hAnsi="Times New Roman" w:cs="Times New Roman"/>
          <w:sz w:val="24"/>
          <w:szCs w:val="24"/>
        </w:rPr>
        <w:t xml:space="preserve"> Споредба на PEB кај испитаници кои примаат антикоагулантна терапија (VKA/DOAC) во зависност од типот и локализацијата на интервенцијата</w:t>
      </w:r>
    </w:p>
    <w:p w14:paraId="32BF910C" w14:textId="77777777" w:rsidR="00412474" w:rsidRPr="00215667" w:rsidRDefault="00412474"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578D231D" wp14:editId="016D334C">
            <wp:extent cx="1559974" cy="2435469"/>
            <wp:effectExtent l="0" t="0" r="2540" b="3175"/>
            <wp:docPr id="1266443538" name="Picture 143" descr="A graph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443538" name="Picture 143" descr="A graph with a green line&#10;&#10;AI-generated content may be incorrect."/>
                    <pic:cNvPicPr/>
                  </pic:nvPicPr>
                  <pic:blipFill>
                    <a:blip r:embed="rId99" cstate="print">
                      <a:extLst>
                        <a:ext uri="{28A0092B-C50C-407E-A947-70E740481C1C}">
                          <a14:useLocalDpi xmlns:a14="http://schemas.microsoft.com/office/drawing/2010/main" val="0"/>
                        </a:ext>
                      </a:extLst>
                    </a:blip>
                    <a:stretch>
                      <a:fillRect/>
                    </a:stretch>
                  </pic:blipFill>
                  <pic:spPr>
                    <a:xfrm>
                      <a:off x="0" y="0"/>
                      <a:ext cx="1577163" cy="2462304"/>
                    </a:xfrm>
                    <a:prstGeom prst="rect">
                      <a:avLst/>
                    </a:prstGeom>
                  </pic:spPr>
                </pic:pic>
              </a:graphicData>
            </a:graphic>
          </wp:inline>
        </w:drawing>
      </w:r>
      <w:r w:rsidRPr="00215667">
        <w:rPr>
          <w:rFonts w:ascii="Times New Roman" w:hAnsi="Times New Roman" w:cs="Times New Roman"/>
          <w:b/>
          <w:bCs/>
          <w:noProof/>
          <w:sz w:val="24"/>
          <w:szCs w:val="24"/>
          <w:lang w:val="en-US"/>
          <w14:ligatures w14:val="standardContextual"/>
        </w:rPr>
        <w:drawing>
          <wp:inline distT="0" distB="0" distL="0" distR="0" wp14:anchorId="0D004772" wp14:editId="5555A6B3">
            <wp:extent cx="3676939" cy="2532868"/>
            <wp:effectExtent l="0" t="0" r="0" b="0"/>
            <wp:docPr id="986829342" name="Picture 144" descr="A diagram of a box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829342" name="Picture 144" descr="A diagram of a box plot&#10;&#10;AI-generated content may be incorrect."/>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712171" cy="2557138"/>
                    </a:xfrm>
                    <a:prstGeom prst="rect">
                      <a:avLst/>
                    </a:prstGeom>
                  </pic:spPr>
                </pic:pic>
              </a:graphicData>
            </a:graphic>
          </wp:inline>
        </w:drawing>
      </w:r>
    </w:p>
    <w:p w14:paraId="7A2C4C9A" w14:textId="77777777" w:rsidR="00412474" w:rsidRPr="00215667" w:rsidRDefault="00412474"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4308A6DD" wp14:editId="5D27B6B1">
            <wp:extent cx="3183115" cy="2449097"/>
            <wp:effectExtent l="0" t="0" r="5080" b="2540"/>
            <wp:docPr id="1459785848" name="Picture 145"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85848" name="Picture 145" descr="A graph with numbers and a bar chart&#10;&#10;AI-generated content may be incorrect."/>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3225598" cy="2481783"/>
                    </a:xfrm>
                    <a:prstGeom prst="rect">
                      <a:avLst/>
                    </a:prstGeom>
                  </pic:spPr>
                </pic:pic>
              </a:graphicData>
            </a:graphic>
          </wp:inline>
        </w:drawing>
      </w:r>
    </w:p>
    <w:p w14:paraId="1083A895" w14:textId="77777777" w:rsidR="00412474" w:rsidRPr="00215667" w:rsidRDefault="00412474"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2AAB19C8" wp14:editId="7E246AC0">
            <wp:extent cx="1459523" cy="184083"/>
            <wp:effectExtent l="0" t="0" r="1270" b="0"/>
            <wp:docPr id="901366655"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366655" name="Picture 901366655"/>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1609702" cy="203024"/>
                    </a:xfrm>
                    <a:prstGeom prst="rect">
                      <a:avLst/>
                    </a:prstGeom>
                  </pic:spPr>
                </pic:pic>
              </a:graphicData>
            </a:graphic>
          </wp:inline>
        </w:drawing>
      </w:r>
      <w:r w:rsidRPr="00215667">
        <w:rPr>
          <w:rFonts w:ascii="Times New Roman" w:hAnsi="Times New Roman" w:cs="Times New Roman"/>
          <w:b/>
          <w:bCs/>
          <w:noProof/>
          <w:sz w:val="24"/>
          <w:szCs w:val="24"/>
          <w:lang w:val="en-US"/>
          <w14:ligatures w14:val="standardContextual"/>
        </w:rPr>
        <w:drawing>
          <wp:inline distT="0" distB="0" distL="0" distR="0" wp14:anchorId="4DC28384" wp14:editId="3A3C357F">
            <wp:extent cx="1688123" cy="178420"/>
            <wp:effectExtent l="0" t="0" r="0" b="0"/>
            <wp:docPr id="119064677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646777" name="Picture 1190646777"/>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1909307" cy="201797"/>
                    </a:xfrm>
                    <a:prstGeom prst="rect">
                      <a:avLst/>
                    </a:prstGeom>
                  </pic:spPr>
                </pic:pic>
              </a:graphicData>
            </a:graphic>
          </wp:inline>
        </w:drawing>
      </w:r>
      <w:r w:rsidRPr="00215667">
        <w:rPr>
          <w:rFonts w:ascii="Times New Roman" w:hAnsi="Times New Roman" w:cs="Times New Roman"/>
          <w:b/>
          <w:bCs/>
          <w:noProof/>
          <w:sz w:val="24"/>
          <w:szCs w:val="24"/>
          <w:lang w:val="en-US"/>
          <w14:ligatures w14:val="standardContextual"/>
        </w:rPr>
        <w:drawing>
          <wp:inline distT="0" distB="0" distL="0" distR="0" wp14:anchorId="32DD2693" wp14:editId="691D9C48">
            <wp:extent cx="1705708" cy="170571"/>
            <wp:effectExtent l="0" t="0" r="0" b="0"/>
            <wp:docPr id="1880197882"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197882" name="Picture 1880197882"/>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1974243" cy="197425"/>
                    </a:xfrm>
                    <a:prstGeom prst="rect">
                      <a:avLst/>
                    </a:prstGeom>
                  </pic:spPr>
                </pic:pic>
              </a:graphicData>
            </a:graphic>
          </wp:inline>
        </w:drawing>
      </w:r>
    </w:p>
    <w:p w14:paraId="4BA3EE86" w14:textId="77777777" w:rsidR="00167D0F" w:rsidRPr="00215667" w:rsidRDefault="00167D0F" w:rsidP="00167D0F">
      <w:pPr>
        <w:spacing w:line="240" w:lineRule="auto"/>
        <w:rPr>
          <w:rFonts w:ascii="Times New Roman" w:hAnsi="Times New Roman" w:cs="Times New Roman"/>
          <w:sz w:val="24"/>
          <w:szCs w:val="24"/>
        </w:rPr>
      </w:pPr>
    </w:p>
    <w:p w14:paraId="6336C2FE" w14:textId="77777777" w:rsidR="00A0721C" w:rsidRDefault="00A0721C" w:rsidP="00A0721C">
      <w:pPr>
        <w:spacing w:after="120" w:line="360" w:lineRule="auto"/>
        <w:ind w:firstLine="720"/>
        <w:jc w:val="center"/>
        <w:rPr>
          <w:rFonts w:ascii="Times New Roman" w:hAnsi="Times New Roman" w:cs="Times New Roman"/>
          <w:sz w:val="24"/>
          <w:szCs w:val="24"/>
        </w:rPr>
      </w:pPr>
    </w:p>
    <w:p w14:paraId="57D20C4A" w14:textId="77777777" w:rsidR="00A0721C" w:rsidRDefault="00A0721C" w:rsidP="00A0721C">
      <w:pPr>
        <w:spacing w:after="120" w:line="360" w:lineRule="auto"/>
        <w:ind w:firstLine="720"/>
        <w:jc w:val="center"/>
        <w:rPr>
          <w:rFonts w:ascii="Times New Roman" w:hAnsi="Times New Roman" w:cs="Times New Roman"/>
          <w:sz w:val="24"/>
          <w:szCs w:val="24"/>
        </w:rPr>
      </w:pPr>
    </w:p>
    <w:p w14:paraId="4A6364A1" w14:textId="1FA6A9F0" w:rsidR="00A0721C" w:rsidRDefault="00167D0F" w:rsidP="00A0721C">
      <w:pPr>
        <w:spacing w:after="120" w:line="360" w:lineRule="auto"/>
        <w:ind w:firstLine="720"/>
        <w:jc w:val="center"/>
        <w:rPr>
          <w:rFonts w:ascii="Times New Roman" w:hAnsi="Times New Roman" w:cs="Times New Roman"/>
          <w:sz w:val="24"/>
          <w:szCs w:val="24"/>
        </w:rPr>
      </w:pPr>
      <w:r w:rsidRPr="00215667">
        <w:rPr>
          <w:rFonts w:ascii="Times New Roman" w:hAnsi="Times New Roman" w:cs="Times New Roman"/>
          <w:sz w:val="24"/>
          <w:szCs w:val="24"/>
        </w:rPr>
        <w:lastRenderedPageBreak/>
        <w:t>Табела бр. 27</w:t>
      </w:r>
      <w:r w:rsidR="00A0721C">
        <w:rPr>
          <w:rFonts w:ascii="Times New Roman" w:hAnsi="Times New Roman" w:cs="Times New Roman"/>
          <w:sz w:val="24"/>
          <w:szCs w:val="24"/>
        </w:rPr>
        <w:t>-</w:t>
      </w:r>
      <w:r w:rsidRPr="00215667">
        <w:rPr>
          <w:rFonts w:ascii="Times New Roman" w:hAnsi="Times New Roman" w:cs="Times New Roman"/>
          <w:sz w:val="24"/>
          <w:szCs w:val="24"/>
        </w:rPr>
        <w:t xml:space="preserve"> Приказ на разликите во PEB меѓу испитаниците кои примаат антикоагулантна терапија (VKA/DOAC), во зависност од типот на интервенцијата</w:t>
      </w:r>
    </w:p>
    <w:p w14:paraId="57F0A744" w14:textId="38059CF6" w:rsidR="00167D0F" w:rsidRPr="00215667" w:rsidRDefault="00167D0F" w:rsidP="00A0721C">
      <w:pPr>
        <w:spacing w:after="120" w:line="360" w:lineRule="auto"/>
        <w:ind w:firstLine="720"/>
        <w:jc w:val="center"/>
        <w:rPr>
          <w:rFonts w:ascii="Times New Roman" w:hAnsi="Times New Roman" w:cs="Times New Roman"/>
          <w:sz w:val="24"/>
          <w:szCs w:val="24"/>
        </w:rPr>
      </w:pPr>
      <w:r w:rsidRPr="00215667">
        <w:rPr>
          <w:rFonts w:ascii="Times New Roman" w:hAnsi="Times New Roman" w:cs="Times New Roman"/>
          <w:sz w:val="24"/>
          <w:szCs w:val="24"/>
        </w:rPr>
        <w:t>(Kruskal-Wallis H тест, пост хок Dunn анализа со Bonferonni корекција)</w:t>
      </w:r>
    </w:p>
    <w:p w14:paraId="2ED821C1" w14:textId="77777777" w:rsidR="00412474" w:rsidRPr="00215667" w:rsidRDefault="00412474"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30016FEB" wp14:editId="37DAC2A2">
            <wp:extent cx="5400040" cy="1179830"/>
            <wp:effectExtent l="0" t="0" r="0" b="1270"/>
            <wp:docPr id="1305798586" name="Picture 149"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798586" name="Picture 149" descr="A screenshot of a table&#10;&#10;AI-generated content may be incorrect."/>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5400040" cy="1179830"/>
                    </a:xfrm>
                    <a:prstGeom prst="rect">
                      <a:avLst/>
                    </a:prstGeom>
                  </pic:spPr>
                </pic:pic>
              </a:graphicData>
            </a:graphic>
          </wp:inline>
        </w:drawing>
      </w:r>
    </w:p>
    <w:p w14:paraId="3493B7DD" w14:textId="042253D6" w:rsidR="00412474" w:rsidRPr="00A0721C" w:rsidRDefault="00167D0F" w:rsidP="00A0721C">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х1: испитаници кај кои е извршена екстракција на заб во горната вилица</w:t>
      </w:r>
    </w:p>
    <w:p w14:paraId="20E56822" w14:textId="399E5B8E" w:rsidR="00167D0F" w:rsidRPr="00A0721C" w:rsidRDefault="00167D0F" w:rsidP="00A0721C">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х2: испитаници кај кои е извршена екстракција на заб во долната вилица</w:t>
      </w:r>
    </w:p>
    <w:p w14:paraId="13FBCB1E" w14:textId="778A5217" w:rsidR="00167D0F" w:rsidRPr="00A0721C" w:rsidRDefault="00167D0F" w:rsidP="00A0721C">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х3: испитаници кај кои е извршена оперативна екстракција на заб</w:t>
      </w:r>
    </w:p>
    <w:p w14:paraId="62F67F3C" w14:textId="77777777" w:rsidR="00167D0F" w:rsidRPr="00A0721C" w:rsidRDefault="00167D0F" w:rsidP="00A0721C">
      <w:pPr>
        <w:spacing w:after="0" w:line="240" w:lineRule="auto"/>
        <w:rPr>
          <w:rFonts w:ascii="Times New Roman" w:hAnsi="Times New Roman" w:cs="Times New Roman"/>
          <w:sz w:val="20"/>
          <w:szCs w:val="20"/>
        </w:rPr>
      </w:pPr>
      <w:r w:rsidRPr="00A0721C">
        <w:rPr>
          <w:rFonts w:ascii="Times New Roman" w:hAnsi="Times New Roman" w:cs="Times New Roman"/>
          <w:sz w:val="20"/>
          <w:szCs w:val="20"/>
        </w:rPr>
        <w:t>Црвено обоена вредност на p: p&lt;0.05 (статистички значајна разлика)</w:t>
      </w:r>
    </w:p>
    <w:p w14:paraId="07ADBCD3" w14:textId="77777777" w:rsidR="00167D0F" w:rsidRPr="00215667" w:rsidRDefault="00167D0F" w:rsidP="00167D0F">
      <w:pPr>
        <w:spacing w:line="240" w:lineRule="auto"/>
        <w:rPr>
          <w:rFonts w:ascii="Times New Roman" w:hAnsi="Times New Roman" w:cs="Times New Roman"/>
          <w:sz w:val="24"/>
          <w:szCs w:val="24"/>
        </w:rPr>
      </w:pPr>
    </w:p>
    <w:p w14:paraId="22016F74" w14:textId="4DFF503D" w:rsidR="00412474" w:rsidRPr="00A0721C" w:rsidRDefault="00412474" w:rsidP="00A0721C">
      <w:pPr>
        <w:spacing w:line="360" w:lineRule="auto"/>
        <w:ind w:firstLine="720"/>
        <w:jc w:val="both"/>
        <w:rPr>
          <w:rFonts w:ascii="Times New Roman" w:hAnsi="Times New Roman" w:cs="Times New Roman"/>
          <w:b/>
          <w:sz w:val="24"/>
          <w:szCs w:val="24"/>
        </w:rPr>
      </w:pPr>
      <w:r w:rsidRPr="00A0721C">
        <w:rPr>
          <w:rFonts w:ascii="Times New Roman" w:hAnsi="Times New Roman" w:cs="Times New Roman"/>
          <w:b/>
          <w:sz w:val="24"/>
          <w:szCs w:val="24"/>
        </w:rPr>
        <w:t>Направена е споредба на PEB кај пациентите кои примаат VKA</w:t>
      </w:r>
      <w:r w:rsidR="00167D0F" w:rsidRPr="00A0721C">
        <w:rPr>
          <w:rFonts w:ascii="Times New Roman" w:hAnsi="Times New Roman" w:cs="Times New Roman"/>
          <w:b/>
          <w:sz w:val="24"/>
          <w:szCs w:val="24"/>
        </w:rPr>
        <w:t>/DOAC</w:t>
      </w:r>
      <w:r w:rsidRPr="00A0721C">
        <w:rPr>
          <w:rFonts w:ascii="Times New Roman" w:hAnsi="Times New Roman" w:cs="Times New Roman"/>
          <w:b/>
          <w:sz w:val="24"/>
          <w:szCs w:val="24"/>
        </w:rPr>
        <w:t xml:space="preserve">, а кои не ја прекинале терапијата, во зависност од тоа која интервенција е извршена. </w:t>
      </w:r>
    </w:p>
    <w:p w14:paraId="045C4C5C" w14:textId="713F4F5E" w:rsidR="00412474" w:rsidRPr="00215667" w:rsidRDefault="00412474" w:rsidP="00A0721C">
      <w:pPr>
        <w:pStyle w:val="p1"/>
        <w:spacing w:line="360" w:lineRule="auto"/>
        <w:ind w:firstLine="720"/>
        <w:jc w:val="both"/>
      </w:pPr>
      <w:r w:rsidRPr="00A0721C">
        <w:rPr>
          <w:bCs/>
          <w:i/>
          <w:iCs/>
        </w:rPr>
        <w:t>Mann-Whitney U</w:t>
      </w:r>
      <w:r w:rsidRPr="00215667">
        <w:rPr>
          <w:bCs/>
        </w:rPr>
        <w:t xml:space="preserve"> тестот покажа дека </w:t>
      </w:r>
      <w:r w:rsidRPr="00215667">
        <w:rPr>
          <w:rStyle w:val="s1"/>
          <w:rFonts w:eastAsiaTheme="majorEastAsia"/>
        </w:rPr>
        <w:t>вредноста на p е 0.3146 (p(x≤Z) = 0.1573).</w:t>
      </w:r>
      <w:r w:rsidRPr="00215667">
        <w:t xml:space="preserve"> Ова значи дека веројатноста за грешка од прв вид, односно одбивање на точната нулта хипотеза (H₀), е преголема: 0.3146 (31.46%). Статистиката на тестот Z изнесува -1.0056, што се наоѓа во 95</w:t>
      </w:r>
      <w:r w:rsidR="00A0721C">
        <w:t xml:space="preserve"> </w:t>
      </w:r>
      <w:r w:rsidRPr="00215667">
        <w:t>% интервал на прифаќање: [-1.96 : 1.96]. Вредноста U = 48, исто така се наоѓа во 95</w:t>
      </w:r>
      <w:r w:rsidR="00A0721C">
        <w:t xml:space="preserve"> </w:t>
      </w:r>
      <w:r w:rsidRPr="00215667">
        <w:t>% интервал на прифаќање: [34.7398 : 91.2602].</w:t>
      </w:r>
      <w:r w:rsidR="00A0721C">
        <w:t xml:space="preserve"> </w:t>
      </w:r>
      <w:r w:rsidRPr="00215667">
        <w:t>Со оглед на тоа што p &gt; α, нултата хипотеза не може да се отфрли.</w:t>
      </w:r>
    </w:p>
    <w:p w14:paraId="63EA214A" w14:textId="24D4C528" w:rsidR="00412474" w:rsidRDefault="00412474" w:rsidP="00A0721C">
      <w:pPr>
        <w:pStyle w:val="p1"/>
        <w:spacing w:line="360" w:lineRule="auto"/>
        <w:ind w:firstLine="720"/>
        <w:jc w:val="both"/>
      </w:pPr>
      <w:r w:rsidRPr="00215667">
        <w:t xml:space="preserve">Се претпоставува дека случајно избраната вредност од популацијата на </w:t>
      </w:r>
      <w:r w:rsidRPr="00215667">
        <w:rPr>
          <w:rStyle w:val="s1"/>
          <w:rFonts w:eastAsiaTheme="majorEastAsia"/>
        </w:rPr>
        <w:t>PEB максила VKA (непрекинат)</w:t>
      </w:r>
      <w:r w:rsidRPr="00215667">
        <w:t xml:space="preserve"> е еднаква на случајно избраната вредност од популацијата на </w:t>
      </w:r>
      <w:r w:rsidRPr="00215667">
        <w:rPr>
          <w:rStyle w:val="s1"/>
          <w:rFonts w:eastAsiaTheme="majorEastAsia"/>
        </w:rPr>
        <w:t>PEB мандибула VKA (непрекинат)</w:t>
      </w:r>
      <w:r w:rsidRPr="00215667">
        <w:t xml:space="preserve">. Со други зборови, разликата помеѓу вредностите на овие две групи не е доволно голема за да биде статистички значајна. </w:t>
      </w:r>
      <w:r w:rsidRPr="00215667">
        <w:rPr>
          <w:rStyle w:val="s1"/>
          <w:rFonts w:eastAsiaTheme="majorEastAsia"/>
        </w:rPr>
        <w:t>Стандардираниот ефект (Z/√(n₁+n₂))</w:t>
      </w:r>
      <w:r w:rsidRPr="00215667">
        <w:t xml:space="preserve"> е мал (0.2), што укажува на мала големина на ефектот, односно дека разликата помеѓу вредностите на </w:t>
      </w:r>
      <w:r w:rsidRPr="00215667">
        <w:rPr>
          <w:rStyle w:val="s1"/>
          <w:rFonts w:eastAsiaTheme="majorEastAsia"/>
        </w:rPr>
        <w:t>PEB максила VKA</w:t>
      </w:r>
      <w:r w:rsidRPr="00215667">
        <w:t xml:space="preserve"> и </w:t>
      </w:r>
      <w:r w:rsidRPr="00215667">
        <w:rPr>
          <w:rStyle w:val="s1"/>
          <w:rFonts w:eastAsiaTheme="majorEastAsia"/>
        </w:rPr>
        <w:t>PEB мандибула VKA</w:t>
      </w:r>
      <w:r w:rsidRPr="00215667">
        <w:t xml:space="preserve"> е мала</w:t>
      </w:r>
      <w:r w:rsidR="00167D0F" w:rsidRPr="00215667">
        <w:t xml:space="preserve"> (графикон бр. 44)</w:t>
      </w:r>
      <w:r w:rsidR="00A0721C">
        <w:t>.</w:t>
      </w:r>
    </w:p>
    <w:p w14:paraId="1DD5D906" w14:textId="77777777" w:rsidR="00A0721C" w:rsidRDefault="00A0721C" w:rsidP="00A0721C">
      <w:pPr>
        <w:spacing w:after="120" w:line="360" w:lineRule="auto"/>
        <w:ind w:firstLine="720"/>
        <w:jc w:val="center"/>
        <w:rPr>
          <w:rFonts w:ascii="Times New Roman" w:hAnsi="Times New Roman" w:cs="Times New Roman"/>
          <w:bCs/>
          <w:sz w:val="24"/>
          <w:szCs w:val="24"/>
        </w:rPr>
      </w:pPr>
    </w:p>
    <w:p w14:paraId="276D1AB7" w14:textId="294D902E" w:rsidR="00A0721C" w:rsidRPr="00215667" w:rsidRDefault="00A0721C" w:rsidP="00A0721C">
      <w:pPr>
        <w:spacing w:after="120" w:line="360" w:lineRule="auto"/>
        <w:ind w:firstLine="720"/>
        <w:jc w:val="center"/>
        <w:rPr>
          <w:rFonts w:ascii="Times New Roman" w:hAnsi="Times New Roman" w:cs="Times New Roman"/>
          <w:bCs/>
          <w:sz w:val="24"/>
          <w:szCs w:val="24"/>
        </w:rPr>
      </w:pPr>
      <w:r w:rsidRPr="00215667">
        <w:rPr>
          <w:rFonts w:ascii="Times New Roman" w:hAnsi="Times New Roman" w:cs="Times New Roman"/>
          <w:bCs/>
          <w:sz w:val="24"/>
          <w:szCs w:val="24"/>
        </w:rPr>
        <w:lastRenderedPageBreak/>
        <w:t>Графикон бр. 44</w:t>
      </w:r>
      <w:r>
        <w:rPr>
          <w:rFonts w:ascii="Times New Roman" w:hAnsi="Times New Roman" w:cs="Times New Roman"/>
          <w:bCs/>
          <w:sz w:val="24"/>
          <w:szCs w:val="24"/>
        </w:rPr>
        <w:t>-</w:t>
      </w:r>
      <w:r w:rsidRPr="00215667">
        <w:rPr>
          <w:rFonts w:ascii="Times New Roman" w:hAnsi="Times New Roman" w:cs="Times New Roman"/>
          <w:bCs/>
          <w:sz w:val="24"/>
          <w:szCs w:val="24"/>
        </w:rPr>
        <w:t xml:space="preserve"> Споредба на PEB кај пациенти кои примаат антикоагулантна терапија (VKA/DOAC), а не ја прекинале терапијата, во зависност од типот на извршена интервенција</w:t>
      </w:r>
    </w:p>
    <w:p w14:paraId="280BF2BE" w14:textId="77777777" w:rsidR="00412474" w:rsidRPr="00215667" w:rsidRDefault="00412474" w:rsidP="00412474">
      <w:pPr>
        <w:pStyle w:val="p1"/>
        <w:jc w:val="center"/>
      </w:pPr>
      <w:r w:rsidRPr="00215667">
        <w:rPr>
          <w:noProof/>
          <w:lang w:val="en-US" w:eastAsia="en-US"/>
          <w14:ligatures w14:val="standardContextual"/>
        </w:rPr>
        <w:drawing>
          <wp:inline distT="0" distB="0" distL="0" distR="0" wp14:anchorId="2A58D483" wp14:editId="2CDD79F6">
            <wp:extent cx="995518" cy="1547739"/>
            <wp:effectExtent l="0" t="0" r="0" b="1905"/>
            <wp:docPr id="95865267" name="Picture 150"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65267" name="Picture 150" descr="A graph of a normal distribution&#10;&#10;AI-generated content may be incorrect."/>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1106024" cy="1719543"/>
                    </a:xfrm>
                    <a:prstGeom prst="rect">
                      <a:avLst/>
                    </a:prstGeom>
                  </pic:spPr>
                </pic:pic>
              </a:graphicData>
            </a:graphic>
          </wp:inline>
        </w:drawing>
      </w:r>
      <w:r w:rsidRPr="00215667">
        <w:rPr>
          <w:noProof/>
          <w:lang w:val="en-US" w:eastAsia="en-US"/>
          <w14:ligatures w14:val="standardContextual"/>
        </w:rPr>
        <w:drawing>
          <wp:inline distT="0" distB="0" distL="0" distR="0" wp14:anchorId="479C9A13" wp14:editId="49DDC9C6">
            <wp:extent cx="4352192" cy="1450901"/>
            <wp:effectExtent l="0" t="0" r="4445" b="0"/>
            <wp:docPr id="1007849329" name="Picture 151"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49329" name="Picture 151" descr="A graph with different colored squares&#10;&#10;AI-generated content may be incorrect."/>
                    <pic:cNvPicPr/>
                  </pic:nvPicPr>
                  <pic:blipFill>
                    <a:blip r:embed="rId107" cstate="print">
                      <a:extLst>
                        <a:ext uri="{28A0092B-C50C-407E-A947-70E740481C1C}">
                          <a14:useLocalDpi xmlns:a14="http://schemas.microsoft.com/office/drawing/2010/main" val="0"/>
                        </a:ext>
                      </a:extLst>
                    </a:blip>
                    <a:stretch>
                      <a:fillRect/>
                    </a:stretch>
                  </pic:blipFill>
                  <pic:spPr>
                    <a:xfrm>
                      <a:off x="0" y="0"/>
                      <a:ext cx="4467324" cy="1489283"/>
                    </a:xfrm>
                    <a:prstGeom prst="rect">
                      <a:avLst/>
                    </a:prstGeom>
                  </pic:spPr>
                </pic:pic>
              </a:graphicData>
            </a:graphic>
          </wp:inline>
        </w:drawing>
      </w:r>
    </w:p>
    <w:p w14:paraId="6D6C3B36" w14:textId="77777777" w:rsidR="00412474" w:rsidRPr="00215667" w:rsidRDefault="00412474" w:rsidP="00412474">
      <w:pPr>
        <w:pStyle w:val="p1"/>
        <w:jc w:val="center"/>
      </w:pPr>
      <w:r w:rsidRPr="00215667">
        <w:rPr>
          <w:noProof/>
          <w:lang w:val="en-US" w:eastAsia="en-US"/>
          <w14:ligatures w14:val="standardContextual"/>
        </w:rPr>
        <w:drawing>
          <wp:inline distT="0" distB="0" distL="0" distR="0" wp14:anchorId="00F5C9F3" wp14:editId="70512F90">
            <wp:extent cx="4975904" cy="1815643"/>
            <wp:effectExtent l="0" t="0" r="2540" b="635"/>
            <wp:docPr id="114633973" name="Picture 153" descr="A graph with a blue and grey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33973" name="Picture 153" descr="A graph with a blue and grey bar&#10;&#10;AI-generated content may be incorrect."/>
                    <pic:cNvPicPr/>
                  </pic:nvPicPr>
                  <pic:blipFill>
                    <a:blip r:embed="rId108">
                      <a:extLst>
                        <a:ext uri="{28A0092B-C50C-407E-A947-70E740481C1C}">
                          <a14:useLocalDpi xmlns:a14="http://schemas.microsoft.com/office/drawing/2010/main" val="0"/>
                        </a:ext>
                      </a:extLst>
                    </a:blip>
                    <a:stretch>
                      <a:fillRect/>
                    </a:stretch>
                  </pic:blipFill>
                  <pic:spPr>
                    <a:xfrm>
                      <a:off x="0" y="0"/>
                      <a:ext cx="5072765" cy="1850986"/>
                    </a:xfrm>
                    <a:prstGeom prst="rect">
                      <a:avLst/>
                    </a:prstGeom>
                  </pic:spPr>
                </pic:pic>
              </a:graphicData>
            </a:graphic>
          </wp:inline>
        </w:drawing>
      </w:r>
    </w:p>
    <w:p w14:paraId="689565CC" w14:textId="77777777" w:rsidR="00412474" w:rsidRPr="00215667" w:rsidRDefault="00412474" w:rsidP="00A0721C">
      <w:pPr>
        <w:spacing w:line="360" w:lineRule="auto"/>
        <w:ind w:firstLine="720"/>
        <w:jc w:val="both"/>
        <w:rPr>
          <w:rStyle w:val="s1"/>
          <w:rFonts w:ascii="Times New Roman" w:eastAsiaTheme="majorEastAsia" w:hAnsi="Times New Roman" w:cs="Times New Roman"/>
          <w:bCs/>
          <w:sz w:val="24"/>
          <w:szCs w:val="24"/>
        </w:rPr>
      </w:pPr>
      <w:r w:rsidRPr="00215667">
        <w:rPr>
          <w:rFonts w:ascii="Times New Roman" w:hAnsi="Times New Roman" w:cs="Times New Roman"/>
          <w:bCs/>
          <w:sz w:val="24"/>
          <w:szCs w:val="24"/>
        </w:rPr>
        <w:t xml:space="preserve">Направена е споредба на PEB кај пациентите кои примаат VKA/DOAC, а кои ја прекинале терапијата, во зависност од тоа која интервенција е извршена. </w:t>
      </w:r>
      <w:r w:rsidRPr="00A0721C">
        <w:rPr>
          <w:rFonts w:ascii="Times New Roman" w:hAnsi="Times New Roman" w:cs="Times New Roman"/>
          <w:bCs/>
          <w:i/>
          <w:iCs/>
          <w:sz w:val="24"/>
          <w:szCs w:val="24"/>
        </w:rPr>
        <w:t>Kruskal-Wallis H</w:t>
      </w:r>
      <w:r w:rsidRPr="00215667">
        <w:rPr>
          <w:rFonts w:ascii="Times New Roman" w:hAnsi="Times New Roman" w:cs="Times New Roman"/>
          <w:bCs/>
          <w:sz w:val="24"/>
          <w:szCs w:val="24"/>
        </w:rPr>
        <w:t xml:space="preserve"> тестот покажа дека не постои статистички значајна разлика во зависната променлива помеѓу различните групи</w:t>
      </w:r>
      <w:r w:rsidRPr="00215667">
        <w:rPr>
          <w:rStyle w:val="s1"/>
          <w:rFonts w:ascii="Times New Roman" w:hAnsi="Times New Roman" w:cs="Times New Roman"/>
          <w:bCs/>
          <w:sz w:val="24"/>
          <w:szCs w:val="24"/>
        </w:rPr>
        <w:t xml:space="preserve">, χ²(2) = 5.78, </w:t>
      </w:r>
      <w:r w:rsidRPr="00215667">
        <w:rPr>
          <w:rStyle w:val="s1"/>
          <w:rFonts w:ascii="Times New Roman" w:hAnsi="Times New Roman" w:cs="Times New Roman"/>
          <w:bCs/>
          <w:i/>
          <w:iCs/>
          <w:sz w:val="24"/>
          <w:szCs w:val="24"/>
        </w:rPr>
        <w:t>p</w:t>
      </w:r>
      <w:r w:rsidRPr="00215667">
        <w:rPr>
          <w:rStyle w:val="s1"/>
          <w:rFonts w:ascii="Times New Roman" w:hAnsi="Times New Roman" w:cs="Times New Roman"/>
          <w:bCs/>
          <w:sz w:val="24"/>
          <w:szCs w:val="24"/>
        </w:rPr>
        <w:t xml:space="preserve"> = 0.056, со средна ранг-оценка од 32.33 за </w:t>
      </w:r>
      <w:r w:rsidRPr="00215667">
        <w:rPr>
          <w:rFonts w:ascii="Times New Roman" w:hAnsi="Times New Roman" w:cs="Times New Roman"/>
          <w:bCs/>
          <w:sz w:val="24"/>
          <w:szCs w:val="24"/>
        </w:rPr>
        <w:t>PEB максила VKA прекинат</w:t>
      </w:r>
      <w:r w:rsidRPr="00215667">
        <w:rPr>
          <w:rStyle w:val="s1"/>
          <w:rFonts w:ascii="Times New Roman" w:hAnsi="Times New Roman" w:cs="Times New Roman"/>
          <w:bCs/>
          <w:sz w:val="24"/>
          <w:szCs w:val="24"/>
        </w:rPr>
        <w:t xml:space="preserve">, 43.68 за </w:t>
      </w:r>
      <w:r w:rsidRPr="00215667">
        <w:rPr>
          <w:rFonts w:ascii="Times New Roman" w:hAnsi="Times New Roman" w:cs="Times New Roman"/>
          <w:bCs/>
          <w:sz w:val="24"/>
          <w:szCs w:val="24"/>
        </w:rPr>
        <w:t>PEB мандибула VKA прекинат</w:t>
      </w:r>
      <w:r w:rsidRPr="00215667">
        <w:rPr>
          <w:rStyle w:val="s1"/>
          <w:rFonts w:ascii="Times New Roman" w:hAnsi="Times New Roman" w:cs="Times New Roman"/>
          <w:bCs/>
          <w:sz w:val="24"/>
          <w:szCs w:val="24"/>
        </w:rPr>
        <w:t xml:space="preserve">, и 38.5 за </w:t>
      </w:r>
      <w:r w:rsidRPr="00215667">
        <w:rPr>
          <w:rFonts w:ascii="Times New Roman" w:hAnsi="Times New Roman" w:cs="Times New Roman"/>
          <w:bCs/>
          <w:sz w:val="24"/>
          <w:szCs w:val="24"/>
        </w:rPr>
        <w:t>PEB оператива VKA прекинат</w:t>
      </w:r>
      <w:r w:rsidRPr="00215667">
        <w:rPr>
          <w:rStyle w:val="s1"/>
          <w:rFonts w:ascii="Times New Roman" w:hAnsi="Times New Roman" w:cs="Times New Roman"/>
          <w:bCs/>
          <w:sz w:val="24"/>
          <w:szCs w:val="24"/>
        </w:rPr>
        <w:t>.</w:t>
      </w:r>
    </w:p>
    <w:p w14:paraId="466F2F88" w14:textId="61F40A89" w:rsidR="00412474" w:rsidRPr="00215667" w:rsidRDefault="00412474" w:rsidP="00A0721C">
      <w:pPr>
        <w:pStyle w:val="p1"/>
        <w:spacing w:line="360" w:lineRule="auto"/>
        <w:ind w:firstLine="720"/>
        <w:jc w:val="both"/>
      </w:pPr>
      <w:r w:rsidRPr="00A0721C">
        <w:rPr>
          <w:i/>
          <w:iCs/>
        </w:rPr>
        <w:t>Kruskal-Wallis H</w:t>
      </w:r>
      <w:r w:rsidRPr="00215667">
        <w:t xml:space="preserve"> тестот покажа дека не постои статистички значајна разлика во </w:t>
      </w:r>
      <w:r w:rsidR="001B261B" w:rsidRPr="00215667">
        <w:t>постекстракционо</w:t>
      </w:r>
      <w:r w:rsidRPr="00215667">
        <w:t xml:space="preserve">то </w:t>
      </w:r>
      <w:r w:rsidR="00EC49EB" w:rsidRPr="00215667">
        <w:t>крвавење</w:t>
      </w:r>
      <w:r w:rsidRPr="00215667">
        <w:t xml:space="preserve"> (PEB) меѓу групите пациенти кај кои е прекината терапијата со варфарин (VKA), χ²(2) = 5.78, </w:t>
      </w:r>
      <w:r w:rsidRPr="00215667">
        <w:rPr>
          <w:i/>
          <w:iCs/>
        </w:rPr>
        <w:t>p</w:t>
      </w:r>
      <w:r w:rsidRPr="00215667">
        <w:t xml:space="preserve"> = 0.056. Средната ранг-оценка за пациентите со екстракција во </w:t>
      </w:r>
      <w:r w:rsidRPr="00215667">
        <w:rPr>
          <w:rStyle w:val="s1"/>
          <w:rFonts w:eastAsiaTheme="majorEastAsia"/>
          <w:b/>
          <w:bCs/>
        </w:rPr>
        <w:t>максила</w:t>
      </w:r>
      <w:r w:rsidRPr="00215667">
        <w:t xml:space="preserve"> изнесуваше 32.33, за оние со екстракција во </w:t>
      </w:r>
      <w:r w:rsidRPr="00215667">
        <w:rPr>
          <w:rStyle w:val="s1"/>
          <w:rFonts w:eastAsiaTheme="majorEastAsia"/>
          <w:b/>
          <w:bCs/>
        </w:rPr>
        <w:t>мандибула</w:t>
      </w:r>
      <w:r w:rsidRPr="00215667">
        <w:t xml:space="preserve"> 43.68, а за </w:t>
      </w:r>
      <w:r w:rsidRPr="00215667">
        <w:rPr>
          <w:rStyle w:val="s1"/>
          <w:rFonts w:eastAsiaTheme="majorEastAsia"/>
          <w:b/>
          <w:bCs/>
        </w:rPr>
        <w:t>оперативните екстракции</w:t>
      </w:r>
      <w:r w:rsidRPr="00215667">
        <w:t xml:space="preserve"> 38.5.</w:t>
      </w:r>
    </w:p>
    <w:p w14:paraId="327F47E1" w14:textId="75F5BA57" w:rsidR="00412474" w:rsidRPr="00215667" w:rsidRDefault="00412474" w:rsidP="003B53E6">
      <w:pPr>
        <w:pStyle w:val="p1"/>
        <w:spacing w:line="360" w:lineRule="auto"/>
        <w:ind w:firstLine="720"/>
        <w:jc w:val="both"/>
      </w:pPr>
      <w:r w:rsidRPr="00215667">
        <w:t xml:space="preserve">Иако се забележува одредена разлика во средните рангови, вредноста на </w:t>
      </w:r>
      <w:r w:rsidRPr="00215667">
        <w:rPr>
          <w:i/>
          <w:iCs/>
        </w:rPr>
        <w:t>p</w:t>
      </w:r>
      <w:r w:rsidRPr="00215667">
        <w:t xml:space="preserve"> е поголема од традиционалното ниво на значајност (</w:t>
      </w:r>
      <w:r w:rsidRPr="00215667">
        <w:rPr>
          <w:i/>
          <w:iCs/>
        </w:rPr>
        <w:t>α</w:t>
      </w:r>
      <w:r w:rsidRPr="00215667">
        <w:t xml:space="preserve"> = 0.05), што укажува дека </w:t>
      </w:r>
      <w:r w:rsidRPr="00215667">
        <w:lastRenderedPageBreak/>
        <w:t xml:space="preserve">разликите не се доволно изразени за да се сметаат за статистички значајни. Со други зборови, врз основа на овие податоци, не можеме со сигурност да тврдиме дека локализацијата или типот на екстракција има значаен ефект врз инциденцата на </w:t>
      </w:r>
      <w:r w:rsidR="001B261B" w:rsidRPr="00215667">
        <w:t>постекстракционо</w:t>
      </w:r>
      <w:r w:rsidRPr="00215667">
        <w:t xml:space="preserve"> </w:t>
      </w:r>
      <w:r w:rsidR="00EC49EB" w:rsidRPr="00215667">
        <w:t>крвавење</w:t>
      </w:r>
      <w:r w:rsidRPr="00215667">
        <w:t xml:space="preserve"> кај пациенти со прекината VKA терапија.</w:t>
      </w:r>
    </w:p>
    <w:p w14:paraId="57F5438D" w14:textId="5133E3D9" w:rsidR="00412474" w:rsidRDefault="00412474" w:rsidP="003B53E6">
      <w:pPr>
        <w:pStyle w:val="p1"/>
        <w:spacing w:line="360" w:lineRule="auto"/>
        <w:ind w:firstLine="720"/>
        <w:jc w:val="both"/>
      </w:pPr>
      <w:r w:rsidRPr="00215667">
        <w:t xml:space="preserve">Сепак, вредноста на </w:t>
      </w:r>
      <w:r w:rsidRPr="00215667">
        <w:rPr>
          <w:i/>
          <w:iCs/>
        </w:rPr>
        <w:t>p</w:t>
      </w:r>
      <w:r w:rsidRPr="00215667">
        <w:t xml:space="preserve"> (0.056) е блиска до границата на значајност, што може да укаже на можен тренд кој би можел да добие статистичка значајност со поголем примерок или со понатамошно истражување</w:t>
      </w:r>
      <w:r w:rsidR="00167D0F" w:rsidRPr="00215667">
        <w:t xml:space="preserve"> (графикон бр. 45).</w:t>
      </w:r>
    </w:p>
    <w:p w14:paraId="78DAD377" w14:textId="04A268CA" w:rsidR="003B53E6" w:rsidRPr="00215667" w:rsidRDefault="003B53E6" w:rsidP="003B53E6">
      <w:pPr>
        <w:spacing w:after="120" w:line="360" w:lineRule="auto"/>
        <w:ind w:firstLine="720"/>
        <w:jc w:val="center"/>
        <w:rPr>
          <w:rFonts w:ascii="Times New Roman" w:hAnsi="Times New Roman" w:cs="Times New Roman"/>
          <w:bCs/>
          <w:sz w:val="24"/>
          <w:szCs w:val="24"/>
        </w:rPr>
      </w:pPr>
      <w:r w:rsidRPr="00215667">
        <w:rPr>
          <w:rFonts w:ascii="Times New Roman" w:hAnsi="Times New Roman" w:cs="Times New Roman"/>
          <w:bCs/>
          <w:sz w:val="24"/>
          <w:szCs w:val="24"/>
        </w:rPr>
        <w:t>Графикон бр. 45</w:t>
      </w:r>
      <w:r>
        <w:rPr>
          <w:rFonts w:ascii="Times New Roman" w:hAnsi="Times New Roman" w:cs="Times New Roman"/>
          <w:bCs/>
          <w:sz w:val="24"/>
          <w:szCs w:val="24"/>
        </w:rPr>
        <w:t>-</w:t>
      </w:r>
      <w:r w:rsidRPr="00215667">
        <w:rPr>
          <w:rFonts w:ascii="Times New Roman" w:hAnsi="Times New Roman" w:cs="Times New Roman"/>
          <w:bCs/>
          <w:sz w:val="24"/>
          <w:szCs w:val="24"/>
        </w:rPr>
        <w:t xml:space="preserve"> Споредба на PEB кај пациенти кои примаат антикоагулантна терапија (VKA/DOAC) сумарно, во зависност од типот на извршена интервенција</w:t>
      </w:r>
    </w:p>
    <w:p w14:paraId="772D56A1" w14:textId="77777777" w:rsidR="00412474" w:rsidRPr="00215667" w:rsidRDefault="00412474" w:rsidP="00412474">
      <w:pPr>
        <w:spacing w:line="240" w:lineRule="auto"/>
        <w:jc w:val="center"/>
        <w:rPr>
          <w:rFonts w:ascii="Times New Roman" w:hAnsi="Times New Roman" w:cs="Times New Roman"/>
          <w:bCs/>
          <w:sz w:val="24"/>
          <w:szCs w:val="24"/>
        </w:rPr>
      </w:pPr>
      <w:r w:rsidRPr="00215667">
        <w:rPr>
          <w:rFonts w:ascii="Times New Roman" w:hAnsi="Times New Roman" w:cs="Times New Roman"/>
          <w:bCs/>
          <w:noProof/>
          <w:sz w:val="24"/>
          <w:szCs w:val="24"/>
          <w:lang w:val="en-US"/>
          <w14:ligatures w14:val="standardContextual"/>
        </w:rPr>
        <w:drawing>
          <wp:inline distT="0" distB="0" distL="0" distR="0" wp14:anchorId="759AA1AB" wp14:editId="48391A2D">
            <wp:extent cx="1389184" cy="2200887"/>
            <wp:effectExtent l="0" t="0" r="0" b="0"/>
            <wp:docPr id="121631308" name="Picture 154" descr="A graph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31308" name="Picture 154" descr="A graph with a green line&#10;&#10;AI-generated content may be incorrect."/>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1412881" cy="2238431"/>
                    </a:xfrm>
                    <a:prstGeom prst="rect">
                      <a:avLst/>
                    </a:prstGeom>
                  </pic:spPr>
                </pic:pic>
              </a:graphicData>
            </a:graphic>
          </wp:inline>
        </w:drawing>
      </w:r>
      <w:r w:rsidRPr="00215667">
        <w:rPr>
          <w:rFonts w:ascii="Times New Roman" w:hAnsi="Times New Roman" w:cs="Times New Roman"/>
          <w:bCs/>
          <w:noProof/>
          <w:sz w:val="24"/>
          <w:szCs w:val="24"/>
          <w:lang w:val="en-US"/>
          <w14:ligatures w14:val="standardContextual"/>
        </w:rPr>
        <w:drawing>
          <wp:inline distT="0" distB="0" distL="0" distR="0" wp14:anchorId="51AE1054" wp14:editId="1DB55A82">
            <wp:extent cx="3596507" cy="2261773"/>
            <wp:effectExtent l="0" t="0" r="0" b="0"/>
            <wp:docPr id="2073545482" name="Picture 155" descr="A diagram of a box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45482" name="Picture 155" descr="A diagram of a box plot&#10;&#10;AI-generated content may be incorrect."/>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3650549" cy="2295759"/>
                    </a:xfrm>
                    <a:prstGeom prst="rect">
                      <a:avLst/>
                    </a:prstGeom>
                  </pic:spPr>
                </pic:pic>
              </a:graphicData>
            </a:graphic>
          </wp:inline>
        </w:drawing>
      </w:r>
    </w:p>
    <w:p w14:paraId="21615999" w14:textId="77777777" w:rsidR="00412474" w:rsidRPr="00215667" w:rsidRDefault="00412474" w:rsidP="00412474">
      <w:pPr>
        <w:spacing w:line="240" w:lineRule="auto"/>
        <w:jc w:val="center"/>
        <w:rPr>
          <w:rFonts w:ascii="Times New Roman" w:hAnsi="Times New Roman" w:cs="Times New Roman"/>
          <w:bCs/>
          <w:sz w:val="24"/>
          <w:szCs w:val="24"/>
        </w:rPr>
      </w:pPr>
      <w:r w:rsidRPr="00215667">
        <w:rPr>
          <w:rFonts w:ascii="Times New Roman" w:hAnsi="Times New Roman" w:cs="Times New Roman"/>
          <w:bCs/>
          <w:noProof/>
          <w:sz w:val="24"/>
          <w:szCs w:val="24"/>
          <w:lang w:val="en-US"/>
          <w14:ligatures w14:val="standardContextual"/>
        </w:rPr>
        <w:drawing>
          <wp:inline distT="0" distB="0" distL="0" distR="0" wp14:anchorId="515DE798" wp14:editId="1A8A9F2B">
            <wp:extent cx="2836367" cy="2062236"/>
            <wp:effectExtent l="0" t="0" r="0" b="0"/>
            <wp:docPr id="1575636684" name="Picture 156"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36684" name="Picture 156" descr="A graph with different colored bars&#10;&#10;AI-generated content may be incorrect."/>
                    <pic:cNvPicPr/>
                  </pic:nvPicPr>
                  <pic:blipFill>
                    <a:blip r:embed="rId111" cstate="print">
                      <a:extLst>
                        <a:ext uri="{28A0092B-C50C-407E-A947-70E740481C1C}">
                          <a14:useLocalDpi xmlns:a14="http://schemas.microsoft.com/office/drawing/2010/main" val="0"/>
                        </a:ext>
                      </a:extLst>
                    </a:blip>
                    <a:stretch>
                      <a:fillRect/>
                    </a:stretch>
                  </pic:blipFill>
                  <pic:spPr>
                    <a:xfrm>
                      <a:off x="0" y="0"/>
                      <a:ext cx="2863387" cy="2081882"/>
                    </a:xfrm>
                    <a:prstGeom prst="rect">
                      <a:avLst/>
                    </a:prstGeom>
                  </pic:spPr>
                </pic:pic>
              </a:graphicData>
            </a:graphic>
          </wp:inline>
        </w:drawing>
      </w:r>
    </w:p>
    <w:p w14:paraId="2EB706D8" w14:textId="77777777" w:rsidR="00412474" w:rsidRPr="00215667" w:rsidRDefault="00412474" w:rsidP="00412474">
      <w:pPr>
        <w:spacing w:line="240" w:lineRule="auto"/>
        <w:jc w:val="center"/>
        <w:rPr>
          <w:rFonts w:ascii="Times New Roman" w:hAnsi="Times New Roman" w:cs="Times New Roman"/>
          <w:bCs/>
          <w:sz w:val="24"/>
          <w:szCs w:val="24"/>
        </w:rPr>
      </w:pPr>
      <w:r w:rsidRPr="00215667">
        <w:rPr>
          <w:rFonts w:ascii="Times New Roman" w:hAnsi="Times New Roman" w:cs="Times New Roman"/>
          <w:bCs/>
          <w:noProof/>
          <w:sz w:val="24"/>
          <w:szCs w:val="24"/>
          <w:lang w:val="en-US"/>
          <w14:ligatures w14:val="standardContextual"/>
        </w:rPr>
        <w:drawing>
          <wp:inline distT="0" distB="0" distL="0" distR="0" wp14:anchorId="5308EC24" wp14:editId="185811C6">
            <wp:extent cx="1626577" cy="199486"/>
            <wp:effectExtent l="0" t="0" r="0" b="3810"/>
            <wp:docPr id="133701016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010167" name="Picture 1337010167"/>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741218" cy="213546"/>
                    </a:xfrm>
                    <a:prstGeom prst="rect">
                      <a:avLst/>
                    </a:prstGeom>
                  </pic:spPr>
                </pic:pic>
              </a:graphicData>
            </a:graphic>
          </wp:inline>
        </w:drawing>
      </w:r>
      <w:r w:rsidRPr="00215667">
        <w:rPr>
          <w:rFonts w:ascii="Times New Roman" w:hAnsi="Times New Roman" w:cs="Times New Roman"/>
          <w:bCs/>
          <w:noProof/>
          <w:sz w:val="24"/>
          <w:szCs w:val="24"/>
          <w:lang w:val="en-US"/>
          <w14:ligatures w14:val="standardContextual"/>
        </w:rPr>
        <w:drawing>
          <wp:inline distT="0" distB="0" distL="0" distR="0" wp14:anchorId="05AE939A" wp14:editId="1561370A">
            <wp:extent cx="1987061" cy="246260"/>
            <wp:effectExtent l="0" t="0" r="0" b="0"/>
            <wp:docPr id="653532523" name="Picture 158"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532523" name="Picture 158" descr="A black text on a white background&#10;&#10;AI-generated content may be incorrect."/>
                    <pic:cNvPicPr/>
                  </pic:nvPicPr>
                  <pic:blipFill>
                    <a:blip r:embed="rId113">
                      <a:extLst>
                        <a:ext uri="{28A0092B-C50C-407E-A947-70E740481C1C}">
                          <a14:useLocalDpi xmlns:a14="http://schemas.microsoft.com/office/drawing/2010/main" val="0"/>
                        </a:ext>
                      </a:extLst>
                    </a:blip>
                    <a:stretch>
                      <a:fillRect/>
                    </a:stretch>
                  </pic:blipFill>
                  <pic:spPr>
                    <a:xfrm>
                      <a:off x="0" y="0"/>
                      <a:ext cx="2077550" cy="257474"/>
                    </a:xfrm>
                    <a:prstGeom prst="rect">
                      <a:avLst/>
                    </a:prstGeom>
                  </pic:spPr>
                </pic:pic>
              </a:graphicData>
            </a:graphic>
          </wp:inline>
        </w:drawing>
      </w:r>
      <w:r w:rsidRPr="00215667">
        <w:rPr>
          <w:rFonts w:ascii="Times New Roman" w:hAnsi="Times New Roman" w:cs="Times New Roman"/>
          <w:bCs/>
          <w:noProof/>
          <w:sz w:val="24"/>
          <w:szCs w:val="24"/>
          <w:lang w:val="en-US"/>
          <w14:ligatures w14:val="standardContextual"/>
        </w:rPr>
        <w:drawing>
          <wp:inline distT="0" distB="0" distL="0" distR="0" wp14:anchorId="4D894809" wp14:editId="269D4D19">
            <wp:extent cx="1846384" cy="219614"/>
            <wp:effectExtent l="0" t="0" r="0" b="0"/>
            <wp:docPr id="627198481"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198481" name="Picture 627198481"/>
                    <pic:cNvPicPr/>
                  </pic:nvPicPr>
                  <pic:blipFill>
                    <a:blip r:embed="rId114">
                      <a:extLst>
                        <a:ext uri="{28A0092B-C50C-407E-A947-70E740481C1C}">
                          <a14:useLocalDpi xmlns:a14="http://schemas.microsoft.com/office/drawing/2010/main" val="0"/>
                        </a:ext>
                      </a:extLst>
                    </a:blip>
                    <a:stretch>
                      <a:fillRect/>
                    </a:stretch>
                  </pic:blipFill>
                  <pic:spPr>
                    <a:xfrm>
                      <a:off x="0" y="0"/>
                      <a:ext cx="1944866" cy="231328"/>
                    </a:xfrm>
                    <a:prstGeom prst="rect">
                      <a:avLst/>
                    </a:prstGeom>
                  </pic:spPr>
                </pic:pic>
              </a:graphicData>
            </a:graphic>
          </wp:inline>
        </w:drawing>
      </w:r>
    </w:p>
    <w:p w14:paraId="74F27928" w14:textId="77777777" w:rsidR="00412474" w:rsidRPr="00215667" w:rsidRDefault="00412474" w:rsidP="00412474">
      <w:pPr>
        <w:spacing w:line="240" w:lineRule="auto"/>
        <w:rPr>
          <w:rFonts w:ascii="Times New Roman" w:hAnsi="Times New Roman" w:cs="Times New Roman"/>
          <w:b/>
          <w:bCs/>
          <w:sz w:val="24"/>
          <w:szCs w:val="24"/>
        </w:rPr>
      </w:pPr>
    </w:p>
    <w:p w14:paraId="151EEF51" w14:textId="77777777" w:rsidR="00412474" w:rsidRPr="00215667" w:rsidRDefault="00412474" w:rsidP="003B53E6">
      <w:pPr>
        <w:spacing w:line="240" w:lineRule="auto"/>
        <w:jc w:val="both"/>
        <w:rPr>
          <w:rFonts w:ascii="Times New Roman" w:hAnsi="Times New Roman" w:cs="Times New Roman"/>
          <w:b/>
          <w:bCs/>
          <w:sz w:val="24"/>
          <w:szCs w:val="24"/>
        </w:rPr>
      </w:pPr>
      <w:r w:rsidRPr="00215667">
        <w:rPr>
          <w:rFonts w:ascii="Times New Roman" w:hAnsi="Times New Roman" w:cs="Times New Roman"/>
          <w:b/>
          <w:bCs/>
          <w:sz w:val="24"/>
          <w:szCs w:val="24"/>
        </w:rPr>
        <w:lastRenderedPageBreak/>
        <w:t>Анализа на PEB при различни интервенции кај пациенти кои примаат аспирин</w:t>
      </w:r>
    </w:p>
    <w:p w14:paraId="5C50B1EC" w14:textId="77777777" w:rsidR="003B53E6" w:rsidRDefault="003B53E6" w:rsidP="003B53E6">
      <w:pPr>
        <w:pStyle w:val="p1"/>
        <w:spacing w:line="360" w:lineRule="auto"/>
        <w:ind w:firstLine="720"/>
        <w:jc w:val="both"/>
      </w:pPr>
    </w:p>
    <w:p w14:paraId="5ECFAC99" w14:textId="4BDC4505" w:rsidR="00412474" w:rsidRPr="00215667" w:rsidRDefault="00412474" w:rsidP="003B53E6">
      <w:pPr>
        <w:pStyle w:val="p1"/>
        <w:spacing w:line="360" w:lineRule="auto"/>
        <w:ind w:firstLine="720"/>
        <w:jc w:val="both"/>
      </w:pPr>
      <w:r w:rsidRPr="003B53E6">
        <w:rPr>
          <w:i/>
          <w:iCs/>
        </w:rPr>
        <w:t>Kruskal-Wallis H</w:t>
      </w:r>
      <w:r w:rsidRPr="00215667">
        <w:t xml:space="preserve"> тестот покажа дека нема статистички значајна разлика во зависната променлива помеѓу различните групи пациенти, χ²(2) = 3.03, </w:t>
      </w:r>
      <w:r w:rsidRPr="00215667">
        <w:rPr>
          <w:i/>
          <w:iCs/>
        </w:rPr>
        <w:t>p</w:t>
      </w:r>
      <w:r w:rsidRPr="00215667">
        <w:t xml:space="preserve"> = 0.220. Средната ранг-оценка беше 45.93 за групата со </w:t>
      </w:r>
      <w:r w:rsidR="001B261B" w:rsidRPr="00215667">
        <w:t>постекстракционо</w:t>
      </w:r>
      <w:r w:rsidRPr="00215667">
        <w:t xml:space="preserve"> </w:t>
      </w:r>
      <w:r w:rsidR="00EC49EB" w:rsidRPr="00215667">
        <w:t>крвавење</w:t>
      </w:r>
      <w:r w:rsidRPr="00215667">
        <w:t xml:space="preserve"> (PEB) кај пациенти со аспирин во максила, 37.59 за PEB во мандибула, и 44.57 за PEB кај оператива аспирин прекинат.</w:t>
      </w:r>
    </w:p>
    <w:p w14:paraId="601D4FEF" w14:textId="3F4240CB" w:rsidR="00412474" w:rsidRPr="00215667" w:rsidRDefault="00412474" w:rsidP="003B53E6">
      <w:pPr>
        <w:pStyle w:val="p1"/>
        <w:spacing w:line="360" w:lineRule="auto"/>
        <w:ind w:firstLine="720"/>
        <w:jc w:val="both"/>
      </w:pPr>
      <w:r w:rsidRPr="00215667">
        <w:t xml:space="preserve">Бидејќи вредноста на </w:t>
      </w:r>
      <w:r w:rsidRPr="00215667">
        <w:rPr>
          <w:i/>
          <w:iCs/>
        </w:rPr>
        <w:t>p</w:t>
      </w:r>
      <w:r w:rsidRPr="00215667">
        <w:t xml:space="preserve"> е поголема од 0.05, не постои доволна статистичка основа да се заклучи дека има значајни разлики во инциденцата на постекстракционо </w:t>
      </w:r>
      <w:r w:rsidR="00EC49EB" w:rsidRPr="00215667">
        <w:t>крвавење</w:t>
      </w:r>
      <w:r w:rsidRPr="00215667">
        <w:t xml:space="preserve"> помеѓу различните локации или типови на процедури во рамките на пациентите кои користат аспирин.</w:t>
      </w:r>
    </w:p>
    <w:p w14:paraId="5F90624F" w14:textId="1EC69429" w:rsidR="00412474" w:rsidRDefault="00412474" w:rsidP="003B53E6">
      <w:pPr>
        <w:pStyle w:val="p1"/>
        <w:spacing w:line="360" w:lineRule="auto"/>
        <w:ind w:firstLine="720"/>
        <w:jc w:val="both"/>
      </w:pPr>
      <w:r w:rsidRPr="00215667">
        <w:t xml:space="preserve">Со други зборови, според овие податоци, локацијата на екстракцијата (максила, мандибула) не влијае значајно на ризикот од </w:t>
      </w:r>
      <w:r w:rsidR="00EC49EB" w:rsidRPr="00215667">
        <w:t>крвавење</w:t>
      </w:r>
      <w:r w:rsidRPr="00215667">
        <w:t xml:space="preserve"> по екстракција</w:t>
      </w:r>
      <w:r w:rsidR="00167D0F" w:rsidRPr="00215667">
        <w:t xml:space="preserve"> (графикон бр. 46 и табела бр. 28)</w:t>
      </w:r>
      <w:r w:rsidR="003B53E6">
        <w:t>.</w:t>
      </w:r>
    </w:p>
    <w:p w14:paraId="264CAC76" w14:textId="10D439EC" w:rsidR="003B53E6" w:rsidRPr="00215667" w:rsidRDefault="003B53E6" w:rsidP="003B53E6">
      <w:pPr>
        <w:spacing w:line="360" w:lineRule="auto"/>
        <w:jc w:val="center"/>
        <w:rPr>
          <w:rFonts w:ascii="Times New Roman" w:hAnsi="Times New Roman" w:cs="Times New Roman"/>
          <w:bCs/>
          <w:sz w:val="24"/>
          <w:szCs w:val="24"/>
        </w:rPr>
      </w:pPr>
      <w:r w:rsidRPr="00215667">
        <w:rPr>
          <w:rFonts w:ascii="Times New Roman" w:hAnsi="Times New Roman" w:cs="Times New Roman"/>
          <w:bCs/>
          <w:sz w:val="24"/>
          <w:szCs w:val="24"/>
        </w:rPr>
        <w:t>Графикон бр. 46</w:t>
      </w:r>
      <w:r>
        <w:rPr>
          <w:rFonts w:ascii="Times New Roman" w:hAnsi="Times New Roman" w:cs="Times New Roman"/>
          <w:bCs/>
          <w:sz w:val="24"/>
          <w:szCs w:val="24"/>
        </w:rPr>
        <w:t>-</w:t>
      </w:r>
      <w:r w:rsidRPr="00215667">
        <w:rPr>
          <w:rFonts w:ascii="Times New Roman" w:hAnsi="Times New Roman" w:cs="Times New Roman"/>
          <w:bCs/>
          <w:sz w:val="24"/>
          <w:szCs w:val="24"/>
        </w:rPr>
        <w:t xml:space="preserve"> Споредба на PEB кај пациенти кои примаат антиагрегациона терапија (аспирин) и не ја прекинале терапијата, во зависност од типот на извршена интервенција</w:t>
      </w:r>
    </w:p>
    <w:p w14:paraId="41184C69" w14:textId="77777777" w:rsidR="00412474" w:rsidRPr="00215667" w:rsidRDefault="00412474"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7BA38B06" wp14:editId="4C19684E">
            <wp:extent cx="1271995" cy="2171700"/>
            <wp:effectExtent l="0" t="0" r="0" b="0"/>
            <wp:docPr id="85791355" name="Picture 160" descr="A graph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791355" name="Picture 160" descr="A graph with a green line&#10;&#10;AI-generated content may be incorrect."/>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299164" cy="2218086"/>
                    </a:xfrm>
                    <a:prstGeom prst="rect">
                      <a:avLst/>
                    </a:prstGeom>
                  </pic:spPr>
                </pic:pic>
              </a:graphicData>
            </a:graphic>
          </wp:inline>
        </w:drawing>
      </w:r>
      <w:r w:rsidRPr="00215667">
        <w:rPr>
          <w:rFonts w:ascii="Times New Roman" w:hAnsi="Times New Roman" w:cs="Times New Roman"/>
          <w:b/>
          <w:bCs/>
          <w:noProof/>
          <w:sz w:val="24"/>
          <w:szCs w:val="24"/>
          <w:lang w:val="en-US"/>
          <w14:ligatures w14:val="standardContextual"/>
        </w:rPr>
        <w:drawing>
          <wp:inline distT="0" distB="0" distL="0" distR="0" wp14:anchorId="05C34D3C" wp14:editId="3076A28E">
            <wp:extent cx="3702663" cy="2301973"/>
            <wp:effectExtent l="0" t="0" r="6350" b="0"/>
            <wp:docPr id="428225381" name="Picture 161" descr="A diagram of a box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8225381" name="Picture 161" descr="A diagram of a box plot&#10;&#10;AI-generated content may be incorrect."/>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3729602" cy="2318721"/>
                    </a:xfrm>
                    <a:prstGeom prst="rect">
                      <a:avLst/>
                    </a:prstGeom>
                  </pic:spPr>
                </pic:pic>
              </a:graphicData>
            </a:graphic>
          </wp:inline>
        </w:drawing>
      </w:r>
    </w:p>
    <w:p w14:paraId="5C383E92" w14:textId="77777777" w:rsidR="00412474" w:rsidRPr="00215667" w:rsidRDefault="00412474"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lastRenderedPageBreak/>
        <w:drawing>
          <wp:inline distT="0" distB="0" distL="0" distR="0" wp14:anchorId="5246FE6C" wp14:editId="75CF8709">
            <wp:extent cx="2899573" cy="2192069"/>
            <wp:effectExtent l="0" t="0" r="0" b="5080"/>
            <wp:docPr id="1740041015" name="Picture 162"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041015" name="Picture 162" descr="A graph with different colored bars&#10;&#10;AI-generated content may be incorrect."/>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941240" cy="2223569"/>
                    </a:xfrm>
                    <a:prstGeom prst="rect">
                      <a:avLst/>
                    </a:prstGeom>
                  </pic:spPr>
                </pic:pic>
              </a:graphicData>
            </a:graphic>
          </wp:inline>
        </w:drawing>
      </w:r>
    </w:p>
    <w:p w14:paraId="74C54C7D" w14:textId="77777777" w:rsidR="00412474" w:rsidRPr="00215667" w:rsidRDefault="00412474"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4982FA15" wp14:editId="40C0D4D7">
            <wp:extent cx="1090246" cy="174680"/>
            <wp:effectExtent l="0" t="0" r="2540" b="3175"/>
            <wp:docPr id="1613331613" name="Picture 16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31613" name="Picture 163" descr="A black text on a white background&#10;&#10;AI-generated content may be incorrect."/>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177722" cy="188695"/>
                    </a:xfrm>
                    <a:prstGeom prst="rect">
                      <a:avLst/>
                    </a:prstGeom>
                  </pic:spPr>
                </pic:pic>
              </a:graphicData>
            </a:graphic>
          </wp:inline>
        </w:drawing>
      </w:r>
      <w:r w:rsidRPr="00215667">
        <w:rPr>
          <w:rFonts w:ascii="Times New Roman" w:hAnsi="Times New Roman" w:cs="Times New Roman"/>
          <w:b/>
          <w:bCs/>
          <w:noProof/>
          <w:sz w:val="24"/>
          <w:szCs w:val="24"/>
          <w:lang w:val="en-US"/>
          <w14:ligatures w14:val="standardContextual"/>
        </w:rPr>
        <w:drawing>
          <wp:inline distT="0" distB="0" distL="0" distR="0" wp14:anchorId="40B21472" wp14:editId="665AF109">
            <wp:extent cx="1318846" cy="170597"/>
            <wp:effectExtent l="0" t="0" r="2540" b="0"/>
            <wp:docPr id="154441278" name="Picture 164"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1278" name="Picture 164" descr="A black text on a white background&#10;&#10;AI-generated content may be incorrect."/>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404194" cy="181637"/>
                    </a:xfrm>
                    <a:prstGeom prst="rect">
                      <a:avLst/>
                    </a:prstGeom>
                  </pic:spPr>
                </pic:pic>
              </a:graphicData>
            </a:graphic>
          </wp:inline>
        </w:drawing>
      </w:r>
      <w:r w:rsidRPr="00215667">
        <w:rPr>
          <w:rFonts w:ascii="Times New Roman" w:hAnsi="Times New Roman" w:cs="Times New Roman"/>
          <w:b/>
          <w:bCs/>
          <w:noProof/>
          <w:sz w:val="24"/>
          <w:szCs w:val="24"/>
          <w:lang w:val="en-US"/>
          <w14:ligatures w14:val="standardContextual"/>
        </w:rPr>
        <w:drawing>
          <wp:inline distT="0" distB="0" distL="0" distR="0" wp14:anchorId="17E92C12" wp14:editId="45B25B07">
            <wp:extent cx="1359110" cy="173355"/>
            <wp:effectExtent l="0" t="0" r="0" b="4445"/>
            <wp:docPr id="2026621818" name="Picture 165"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21818" name="Picture 165" descr="A black text on a white background&#10;&#10;AI-generated content may be incorrect."/>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519045" cy="193755"/>
                    </a:xfrm>
                    <a:prstGeom prst="rect">
                      <a:avLst/>
                    </a:prstGeom>
                  </pic:spPr>
                </pic:pic>
              </a:graphicData>
            </a:graphic>
          </wp:inline>
        </w:drawing>
      </w:r>
    </w:p>
    <w:p w14:paraId="5014555D" w14:textId="77777777" w:rsidR="00412474" w:rsidRPr="00215667" w:rsidRDefault="00412474" w:rsidP="00412474">
      <w:pPr>
        <w:spacing w:line="240" w:lineRule="auto"/>
        <w:jc w:val="center"/>
        <w:rPr>
          <w:rFonts w:ascii="Times New Roman" w:hAnsi="Times New Roman" w:cs="Times New Roman"/>
          <w:b/>
          <w:bCs/>
          <w:sz w:val="24"/>
          <w:szCs w:val="24"/>
        </w:rPr>
      </w:pPr>
    </w:p>
    <w:p w14:paraId="01B5BD10" w14:textId="77777777" w:rsidR="003B53E6" w:rsidRDefault="00167D0F" w:rsidP="003B53E6">
      <w:pPr>
        <w:spacing w:line="360" w:lineRule="auto"/>
        <w:jc w:val="center"/>
        <w:rPr>
          <w:rFonts w:ascii="Times New Roman" w:hAnsi="Times New Roman" w:cs="Times New Roman"/>
          <w:sz w:val="24"/>
          <w:szCs w:val="24"/>
        </w:rPr>
      </w:pPr>
      <w:r w:rsidRPr="00215667">
        <w:rPr>
          <w:rFonts w:ascii="Times New Roman" w:hAnsi="Times New Roman" w:cs="Times New Roman"/>
          <w:sz w:val="24"/>
          <w:szCs w:val="24"/>
        </w:rPr>
        <w:t>Табела бр. 28</w:t>
      </w:r>
      <w:r w:rsidR="003B53E6">
        <w:rPr>
          <w:rFonts w:ascii="Times New Roman" w:hAnsi="Times New Roman" w:cs="Times New Roman"/>
          <w:sz w:val="24"/>
          <w:szCs w:val="24"/>
        </w:rPr>
        <w:t>-</w:t>
      </w:r>
      <w:r w:rsidRPr="00215667">
        <w:rPr>
          <w:rFonts w:ascii="Times New Roman" w:hAnsi="Times New Roman" w:cs="Times New Roman"/>
          <w:sz w:val="24"/>
          <w:szCs w:val="24"/>
        </w:rPr>
        <w:t xml:space="preserve"> Приказ на разликите во PEB меѓу испитаниците кои примаат антиагрегациона терапија (аспирин), во зависност од типот на интервенцијата</w:t>
      </w:r>
    </w:p>
    <w:p w14:paraId="6965D4FE" w14:textId="39A17296" w:rsidR="00167D0F" w:rsidRPr="00215667" w:rsidRDefault="00167D0F" w:rsidP="003B53E6">
      <w:pPr>
        <w:spacing w:line="360" w:lineRule="auto"/>
        <w:jc w:val="center"/>
        <w:rPr>
          <w:rFonts w:ascii="Times New Roman" w:hAnsi="Times New Roman" w:cs="Times New Roman"/>
          <w:sz w:val="24"/>
          <w:szCs w:val="24"/>
        </w:rPr>
      </w:pPr>
      <w:r w:rsidRPr="00215667">
        <w:rPr>
          <w:rFonts w:ascii="Times New Roman" w:hAnsi="Times New Roman" w:cs="Times New Roman"/>
          <w:sz w:val="24"/>
          <w:szCs w:val="24"/>
        </w:rPr>
        <w:t>(</w:t>
      </w:r>
      <w:r w:rsidRPr="003B53E6">
        <w:rPr>
          <w:rFonts w:ascii="Times New Roman" w:hAnsi="Times New Roman" w:cs="Times New Roman"/>
          <w:i/>
          <w:iCs/>
          <w:sz w:val="24"/>
          <w:szCs w:val="24"/>
        </w:rPr>
        <w:t>Kruskal-Wallis H</w:t>
      </w:r>
      <w:r w:rsidRPr="00215667">
        <w:rPr>
          <w:rFonts w:ascii="Times New Roman" w:hAnsi="Times New Roman" w:cs="Times New Roman"/>
          <w:sz w:val="24"/>
          <w:szCs w:val="24"/>
        </w:rPr>
        <w:t xml:space="preserve"> тест, пост хок </w:t>
      </w:r>
      <w:r w:rsidRPr="003B53E6">
        <w:rPr>
          <w:rFonts w:ascii="Times New Roman" w:hAnsi="Times New Roman" w:cs="Times New Roman"/>
          <w:i/>
          <w:iCs/>
          <w:sz w:val="24"/>
          <w:szCs w:val="24"/>
        </w:rPr>
        <w:t>Dunn</w:t>
      </w:r>
      <w:r w:rsidRPr="00215667">
        <w:rPr>
          <w:rFonts w:ascii="Times New Roman" w:hAnsi="Times New Roman" w:cs="Times New Roman"/>
          <w:sz w:val="24"/>
          <w:szCs w:val="24"/>
        </w:rPr>
        <w:t xml:space="preserve"> анализа со </w:t>
      </w:r>
      <w:r w:rsidRPr="003B53E6">
        <w:rPr>
          <w:rFonts w:ascii="Times New Roman" w:hAnsi="Times New Roman" w:cs="Times New Roman"/>
          <w:i/>
          <w:iCs/>
          <w:sz w:val="24"/>
          <w:szCs w:val="24"/>
        </w:rPr>
        <w:t>Bonferonni</w:t>
      </w:r>
      <w:r w:rsidRPr="00215667">
        <w:rPr>
          <w:rFonts w:ascii="Times New Roman" w:hAnsi="Times New Roman" w:cs="Times New Roman"/>
          <w:sz w:val="24"/>
          <w:szCs w:val="24"/>
        </w:rPr>
        <w:t xml:space="preserve"> корекција)</w:t>
      </w:r>
    </w:p>
    <w:p w14:paraId="371BB7AA" w14:textId="77777777"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7B3BC3E3" wp14:editId="57D8EBCB">
            <wp:extent cx="5400040" cy="1172845"/>
            <wp:effectExtent l="0" t="0" r="0" b="0"/>
            <wp:docPr id="1417479004" name="Picture 166"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479004" name="Picture 166" descr="A screenshot of a graph&#10;&#10;AI-generated content may be incorrect."/>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5400040" cy="1172845"/>
                    </a:xfrm>
                    <a:prstGeom prst="rect">
                      <a:avLst/>
                    </a:prstGeom>
                  </pic:spPr>
                </pic:pic>
              </a:graphicData>
            </a:graphic>
          </wp:inline>
        </w:drawing>
      </w:r>
    </w:p>
    <w:p w14:paraId="3A61EF3A" w14:textId="77777777" w:rsidR="00167D0F" w:rsidRPr="003B53E6" w:rsidRDefault="00167D0F" w:rsidP="003B53E6">
      <w:pPr>
        <w:spacing w:after="0" w:line="240" w:lineRule="auto"/>
        <w:rPr>
          <w:rFonts w:ascii="Times New Roman" w:hAnsi="Times New Roman" w:cs="Times New Roman"/>
          <w:sz w:val="20"/>
          <w:szCs w:val="20"/>
        </w:rPr>
      </w:pPr>
      <w:r w:rsidRPr="003B53E6">
        <w:rPr>
          <w:rFonts w:ascii="Times New Roman" w:hAnsi="Times New Roman" w:cs="Times New Roman"/>
          <w:sz w:val="20"/>
          <w:szCs w:val="20"/>
        </w:rPr>
        <w:t>х1: испитаници кај кои е извршена екстракција на заб во горната вилица</w:t>
      </w:r>
    </w:p>
    <w:p w14:paraId="5A234E66" w14:textId="77777777" w:rsidR="00167D0F" w:rsidRPr="003B53E6" w:rsidRDefault="00167D0F" w:rsidP="003B53E6">
      <w:pPr>
        <w:spacing w:after="0" w:line="240" w:lineRule="auto"/>
        <w:rPr>
          <w:rFonts w:ascii="Times New Roman" w:hAnsi="Times New Roman" w:cs="Times New Roman"/>
          <w:sz w:val="20"/>
          <w:szCs w:val="20"/>
        </w:rPr>
      </w:pPr>
      <w:r w:rsidRPr="003B53E6">
        <w:rPr>
          <w:rFonts w:ascii="Times New Roman" w:hAnsi="Times New Roman" w:cs="Times New Roman"/>
          <w:sz w:val="20"/>
          <w:szCs w:val="20"/>
        </w:rPr>
        <w:t>х2: испитаници кај кои е извршена екстракција на заб во долната вилица</w:t>
      </w:r>
    </w:p>
    <w:p w14:paraId="5ED8B343" w14:textId="62923F2D" w:rsidR="00167D0F" w:rsidRPr="003B53E6" w:rsidRDefault="00167D0F" w:rsidP="003B53E6">
      <w:pPr>
        <w:spacing w:after="0" w:line="240" w:lineRule="auto"/>
        <w:rPr>
          <w:rFonts w:ascii="Times New Roman" w:hAnsi="Times New Roman" w:cs="Times New Roman"/>
          <w:sz w:val="20"/>
          <w:szCs w:val="20"/>
        </w:rPr>
      </w:pPr>
      <w:r w:rsidRPr="003B53E6">
        <w:rPr>
          <w:rFonts w:ascii="Times New Roman" w:hAnsi="Times New Roman" w:cs="Times New Roman"/>
          <w:sz w:val="20"/>
          <w:szCs w:val="20"/>
        </w:rPr>
        <w:t>х3: испитаници кај кои е извршена оперативна екстракција на заб</w:t>
      </w:r>
    </w:p>
    <w:p w14:paraId="3D61B74B" w14:textId="77777777" w:rsidR="00412474" w:rsidRPr="00215667" w:rsidRDefault="00412474" w:rsidP="003B53E6">
      <w:pPr>
        <w:pStyle w:val="p1"/>
        <w:spacing w:line="360" w:lineRule="auto"/>
        <w:ind w:firstLine="720"/>
        <w:jc w:val="both"/>
      </w:pPr>
      <w:r w:rsidRPr="00215667">
        <w:t xml:space="preserve">Кај пациентите кои примаат аспирин и не ја прекинале терапијата пред интервенцијата, Mann-Whitney U тестот покажа дека </w:t>
      </w:r>
      <w:r w:rsidRPr="00215667">
        <w:rPr>
          <w:i/>
          <w:iCs/>
        </w:rPr>
        <w:t>p</w:t>
      </w:r>
      <w:r w:rsidRPr="00215667">
        <w:t xml:space="preserve">-вредноста изнесува 0.1416, (p(x ≤ Z) = 0.9292). Ова значи дека шансата за грешка од тип I, односно отфрлање на точна нулта хипотеза (H0), е доста висока — 14.16%. Тест статистиката Z изнесува 1.4699, што се наоѓа во 95% интервалот на прифаќање: [-1.96 : 1.96]. Вредноста на U е 16.5, која исто така е во интервалот на прифаќање: [3.1665 : 17.8335]. Со оглед на тоа што </w:t>
      </w:r>
      <w:r w:rsidRPr="00215667">
        <w:rPr>
          <w:i/>
          <w:iCs/>
        </w:rPr>
        <w:t>p</w:t>
      </w:r>
      <w:r w:rsidRPr="00215667">
        <w:t>-вредноста е поголема од α (обично 0.05), нултата хипотеза не може да се отфрли.</w:t>
      </w:r>
    </w:p>
    <w:p w14:paraId="68C19D79" w14:textId="3A8E7756" w:rsidR="00412474" w:rsidRDefault="00412474" w:rsidP="003B53E6">
      <w:pPr>
        <w:pStyle w:val="p1"/>
        <w:spacing w:line="360" w:lineRule="auto"/>
        <w:ind w:firstLine="720"/>
        <w:jc w:val="both"/>
      </w:pPr>
      <w:r w:rsidRPr="00215667">
        <w:t xml:space="preserve">Ова значи дека се претпоставува дека случајно избраната вредност од популацијата на пациенти со </w:t>
      </w:r>
      <w:r w:rsidR="001B261B" w:rsidRPr="00215667">
        <w:t>постекстракционо</w:t>
      </w:r>
      <w:r w:rsidRPr="00215667">
        <w:t xml:space="preserve"> </w:t>
      </w:r>
      <w:r w:rsidR="00EC49EB" w:rsidRPr="00215667">
        <w:t>крвавење</w:t>
      </w:r>
      <w:r w:rsidRPr="00215667">
        <w:t xml:space="preserve"> (PEB) во максила кои </w:t>
      </w:r>
      <w:r w:rsidRPr="00215667">
        <w:lastRenderedPageBreak/>
        <w:t>користат аспирин непрекинато, е статистички еднаква на случајно избраната вредност од популацијата на пациенти со PEB во мандибула со истиот третман. Со други зборови, разликата помеѓу вредностите на PEB кај овие две групи не е доволно голема за да се смета за статистички значајна</w:t>
      </w:r>
      <w:r w:rsidR="00167D0F" w:rsidRPr="00215667">
        <w:t xml:space="preserve"> (графикон бр. 47).</w:t>
      </w:r>
    </w:p>
    <w:p w14:paraId="73037F56" w14:textId="1289F680" w:rsidR="003B53E6" w:rsidRPr="00215667" w:rsidRDefault="003B53E6" w:rsidP="003B53E6">
      <w:pPr>
        <w:spacing w:line="360" w:lineRule="auto"/>
        <w:jc w:val="center"/>
        <w:rPr>
          <w:rFonts w:ascii="Times New Roman" w:hAnsi="Times New Roman" w:cs="Times New Roman"/>
          <w:bCs/>
          <w:sz w:val="24"/>
          <w:szCs w:val="24"/>
        </w:rPr>
      </w:pPr>
      <w:r w:rsidRPr="00215667">
        <w:rPr>
          <w:rFonts w:ascii="Times New Roman" w:hAnsi="Times New Roman" w:cs="Times New Roman"/>
          <w:bCs/>
          <w:sz w:val="24"/>
          <w:szCs w:val="24"/>
        </w:rPr>
        <w:t>Графикон бр. 47</w:t>
      </w:r>
      <w:r>
        <w:rPr>
          <w:rFonts w:ascii="Times New Roman" w:hAnsi="Times New Roman" w:cs="Times New Roman"/>
          <w:bCs/>
          <w:sz w:val="24"/>
          <w:szCs w:val="24"/>
        </w:rPr>
        <w:t>-</w:t>
      </w:r>
      <w:r w:rsidRPr="00215667">
        <w:rPr>
          <w:rFonts w:ascii="Times New Roman" w:hAnsi="Times New Roman" w:cs="Times New Roman"/>
          <w:bCs/>
          <w:sz w:val="24"/>
          <w:szCs w:val="24"/>
        </w:rPr>
        <w:t xml:space="preserve"> Споредба на PEB кај пациенти кои примаат антиагрегациона терапија (аспирин) и не ја прекинале терапијата, во зависност од типот на извршена интервенција</w:t>
      </w:r>
    </w:p>
    <w:p w14:paraId="66C31401"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14:ligatures w14:val="standardContextual"/>
        </w:rPr>
        <w:drawing>
          <wp:inline distT="0" distB="0" distL="0" distR="0" wp14:anchorId="5026C9CA" wp14:editId="7B1825CB">
            <wp:extent cx="1036668" cy="1651687"/>
            <wp:effectExtent l="0" t="0" r="5080" b="0"/>
            <wp:docPr id="355631053" name="Picture 167" descr="A graph of a normal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631053" name="Picture 167" descr="A graph of a normal distribution&#10;&#10;AI-generated content may be incorrect."/>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1077984" cy="1717514"/>
                    </a:xfrm>
                    <a:prstGeom prst="rect">
                      <a:avLst/>
                    </a:prstGeom>
                  </pic:spPr>
                </pic:pic>
              </a:graphicData>
            </a:graphic>
          </wp:inline>
        </w:drawing>
      </w:r>
      <w:r w:rsidRPr="00215667">
        <w:rPr>
          <w:rFonts w:ascii="Times New Roman" w:hAnsi="Times New Roman" w:cs="Times New Roman"/>
          <w:noProof/>
          <w:sz w:val="24"/>
          <w:szCs w:val="24"/>
          <w:lang w:val="en-US"/>
          <w14:ligatures w14:val="standardContextual"/>
        </w:rPr>
        <w:drawing>
          <wp:inline distT="0" distB="0" distL="0" distR="0" wp14:anchorId="686ECDA9" wp14:editId="7DD4C267">
            <wp:extent cx="4308231" cy="1590762"/>
            <wp:effectExtent l="0" t="0" r="0" b="0"/>
            <wp:docPr id="26596550" name="Picture 168" descr="A graph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96550" name="Picture 168" descr="A graph with different colored squares&#10;&#10;AI-generated content may be incorrect."/>
                    <pic:cNvPicPr/>
                  </pic:nvPicPr>
                  <pic:blipFill>
                    <a:blip r:embed="rId123">
                      <a:extLst>
                        <a:ext uri="{28A0092B-C50C-407E-A947-70E740481C1C}">
                          <a14:useLocalDpi xmlns:a14="http://schemas.microsoft.com/office/drawing/2010/main" val="0"/>
                        </a:ext>
                      </a:extLst>
                    </a:blip>
                    <a:stretch>
                      <a:fillRect/>
                    </a:stretch>
                  </pic:blipFill>
                  <pic:spPr>
                    <a:xfrm>
                      <a:off x="0" y="0"/>
                      <a:ext cx="4382817" cy="1618302"/>
                    </a:xfrm>
                    <a:prstGeom prst="rect">
                      <a:avLst/>
                    </a:prstGeom>
                  </pic:spPr>
                </pic:pic>
              </a:graphicData>
            </a:graphic>
          </wp:inline>
        </w:drawing>
      </w:r>
    </w:p>
    <w:p w14:paraId="64E35D87"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14:ligatures w14:val="standardContextual"/>
        </w:rPr>
        <w:drawing>
          <wp:inline distT="0" distB="0" distL="0" distR="0" wp14:anchorId="6632ECD7" wp14:editId="4AB4E4DF">
            <wp:extent cx="5400040" cy="1991360"/>
            <wp:effectExtent l="0" t="0" r="0" b="2540"/>
            <wp:docPr id="1993409508" name="Picture 169" descr="A graph with a blue and grey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409508" name="Picture 169" descr="A graph with a blue and grey square&#10;&#10;AI-generated content may be incorrect."/>
                    <pic:cNvPicPr/>
                  </pic:nvPicPr>
                  <pic:blipFill>
                    <a:blip r:embed="rId124">
                      <a:extLst>
                        <a:ext uri="{28A0092B-C50C-407E-A947-70E740481C1C}">
                          <a14:useLocalDpi xmlns:a14="http://schemas.microsoft.com/office/drawing/2010/main" val="0"/>
                        </a:ext>
                      </a:extLst>
                    </a:blip>
                    <a:stretch>
                      <a:fillRect/>
                    </a:stretch>
                  </pic:blipFill>
                  <pic:spPr>
                    <a:xfrm>
                      <a:off x="0" y="0"/>
                      <a:ext cx="5400040" cy="1991360"/>
                    </a:xfrm>
                    <a:prstGeom prst="rect">
                      <a:avLst/>
                    </a:prstGeom>
                  </pic:spPr>
                </pic:pic>
              </a:graphicData>
            </a:graphic>
          </wp:inline>
        </w:drawing>
      </w:r>
    </w:p>
    <w:p w14:paraId="5D841527" w14:textId="34BE1FDB" w:rsidR="00412474" w:rsidRPr="00215667" w:rsidRDefault="00412474" w:rsidP="003B53E6">
      <w:pPr>
        <w:pStyle w:val="p1"/>
        <w:spacing w:line="360" w:lineRule="auto"/>
        <w:ind w:firstLine="720"/>
        <w:jc w:val="both"/>
      </w:pPr>
      <w:r w:rsidRPr="00215667">
        <w:t xml:space="preserve">Кај пациентите кои ја прекинале терапијата со аспирин, </w:t>
      </w:r>
      <w:r w:rsidRPr="003B53E6">
        <w:rPr>
          <w:i/>
          <w:iCs/>
        </w:rPr>
        <w:t>Kruskal-Wallis H</w:t>
      </w:r>
      <w:r w:rsidRPr="00215667">
        <w:t xml:space="preserve"> тестот покажа дека не постои статистички значајна разлика во зависната променлива помеѓу различните групи, χ²(2) = 1.6, p = 0.448. Средните рангови за </w:t>
      </w:r>
      <w:r w:rsidR="001B261B" w:rsidRPr="00215667">
        <w:t>постекстракционо</w:t>
      </w:r>
      <w:r w:rsidRPr="00215667">
        <w:t xml:space="preserve"> </w:t>
      </w:r>
      <w:r w:rsidR="00EC49EB" w:rsidRPr="00215667">
        <w:t>крвавење</w:t>
      </w:r>
      <w:r w:rsidRPr="00215667">
        <w:t xml:space="preserve"> беа 38.48 за PEB максила аспирин прекинат, 34.51 за PEB мандибула аспирин прекинат и 42.86 за PEB оператива аспирин прекинат.</w:t>
      </w:r>
    </w:p>
    <w:p w14:paraId="2F2C4F56" w14:textId="504AADC5" w:rsidR="00412474" w:rsidRPr="00215667" w:rsidRDefault="00412474" w:rsidP="003B53E6">
      <w:pPr>
        <w:pStyle w:val="p1"/>
        <w:spacing w:line="360" w:lineRule="auto"/>
        <w:ind w:firstLine="720"/>
        <w:jc w:val="both"/>
      </w:pPr>
      <w:r w:rsidRPr="00215667">
        <w:t xml:space="preserve">Поради вредноста на p-податоците (0.448), која е значително поголема од традиционалното ниво на значајност (0.05), не можеме да ја одбиеме нултата хипотеза. Ова укажува дека нема доволна статистичка поддршка за заклучок дека постои разлика во </w:t>
      </w:r>
      <w:r w:rsidR="00EC49EB" w:rsidRPr="00215667">
        <w:t>крвавење</w:t>
      </w:r>
      <w:r w:rsidRPr="00215667">
        <w:t>то по екстракција помеѓу наведените групи.</w:t>
      </w:r>
    </w:p>
    <w:p w14:paraId="51EC6BBC" w14:textId="27BD620F" w:rsidR="00412474" w:rsidRDefault="00412474" w:rsidP="003B53E6">
      <w:pPr>
        <w:pStyle w:val="p1"/>
        <w:spacing w:line="360" w:lineRule="auto"/>
        <w:ind w:firstLine="720"/>
        <w:jc w:val="both"/>
      </w:pPr>
      <w:r w:rsidRPr="00215667">
        <w:lastRenderedPageBreak/>
        <w:t xml:space="preserve">Со други зборови, резултатите сугерираат дека </w:t>
      </w:r>
      <w:r w:rsidR="00167D0F" w:rsidRPr="00215667">
        <w:t>кај пациентите кои ја прекинале терапијата</w:t>
      </w:r>
      <w:r w:rsidRPr="00215667">
        <w:t xml:space="preserve"> со аспирин не</w:t>
      </w:r>
      <w:r w:rsidR="00167D0F" w:rsidRPr="00215667">
        <w:t xml:space="preserve">ма </w:t>
      </w:r>
      <w:r w:rsidRPr="00215667">
        <w:t>различн</w:t>
      </w:r>
      <w:r w:rsidR="00167D0F" w:rsidRPr="00215667">
        <w:t>а</w:t>
      </w:r>
      <w:r w:rsidRPr="00215667">
        <w:t xml:space="preserve"> инциденца на </w:t>
      </w:r>
      <w:r w:rsidR="00167D0F" w:rsidRPr="00215667">
        <w:t xml:space="preserve">силно </w:t>
      </w:r>
      <w:r w:rsidR="001B261B" w:rsidRPr="00215667">
        <w:t>постекстракционо</w:t>
      </w:r>
      <w:r w:rsidRPr="00215667">
        <w:t xml:space="preserve"> </w:t>
      </w:r>
      <w:r w:rsidR="00EC49EB" w:rsidRPr="00215667">
        <w:t>крвавење</w:t>
      </w:r>
      <w:r w:rsidRPr="00215667">
        <w:t xml:space="preserve"> во зависност од тоа дали екстракцијата е на горната вилица, долната вилица или е оперативна процедура</w:t>
      </w:r>
      <w:r w:rsidR="00167D0F" w:rsidRPr="00215667">
        <w:t xml:space="preserve"> (графикон бр. 48 и табела бр. 29).</w:t>
      </w:r>
    </w:p>
    <w:p w14:paraId="66D6A02D" w14:textId="216B5E34" w:rsidR="003B53E6" w:rsidRPr="00215667" w:rsidRDefault="003B53E6" w:rsidP="003B53E6">
      <w:pPr>
        <w:spacing w:line="360" w:lineRule="auto"/>
        <w:jc w:val="center"/>
        <w:rPr>
          <w:rFonts w:ascii="Times New Roman" w:hAnsi="Times New Roman" w:cs="Times New Roman"/>
          <w:bCs/>
          <w:sz w:val="24"/>
          <w:szCs w:val="24"/>
        </w:rPr>
      </w:pPr>
      <w:r w:rsidRPr="00215667">
        <w:rPr>
          <w:rFonts w:ascii="Times New Roman" w:hAnsi="Times New Roman" w:cs="Times New Roman"/>
          <w:bCs/>
          <w:sz w:val="24"/>
          <w:szCs w:val="24"/>
        </w:rPr>
        <w:t>Графикон бр. 48</w:t>
      </w:r>
      <w:r>
        <w:rPr>
          <w:rFonts w:ascii="Times New Roman" w:hAnsi="Times New Roman" w:cs="Times New Roman"/>
          <w:bCs/>
          <w:sz w:val="24"/>
          <w:szCs w:val="24"/>
        </w:rPr>
        <w:t>-</w:t>
      </w:r>
      <w:r w:rsidRPr="00215667">
        <w:rPr>
          <w:rFonts w:ascii="Times New Roman" w:hAnsi="Times New Roman" w:cs="Times New Roman"/>
          <w:bCs/>
          <w:sz w:val="24"/>
          <w:szCs w:val="24"/>
        </w:rPr>
        <w:t xml:space="preserve"> Споредба на PEB кај пациенти кои примаат антиагрегациона терапија (аспирин) и ја прекинале терапијата, во зависност од типот на извршена интервенција</w:t>
      </w:r>
    </w:p>
    <w:p w14:paraId="75EDEECC"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14:ligatures w14:val="standardContextual"/>
        </w:rPr>
        <w:drawing>
          <wp:inline distT="0" distB="0" distL="0" distR="0" wp14:anchorId="18BD2704" wp14:editId="7DEB415C">
            <wp:extent cx="1345223" cy="2163675"/>
            <wp:effectExtent l="0" t="0" r="1270" b="0"/>
            <wp:docPr id="1606822686" name="Picture 170" descr="A graph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822686" name="Picture 170" descr="A graph with a green line&#10;&#10;AI-generated content may be incorrect."/>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1376302" cy="2213663"/>
                    </a:xfrm>
                    <a:prstGeom prst="rect">
                      <a:avLst/>
                    </a:prstGeom>
                  </pic:spPr>
                </pic:pic>
              </a:graphicData>
            </a:graphic>
          </wp:inline>
        </w:drawing>
      </w:r>
      <w:r w:rsidRPr="00215667">
        <w:rPr>
          <w:rFonts w:ascii="Times New Roman" w:hAnsi="Times New Roman" w:cs="Times New Roman"/>
          <w:noProof/>
          <w:sz w:val="24"/>
          <w:szCs w:val="24"/>
          <w:lang w:val="en-US"/>
          <w14:ligatures w14:val="standardContextual"/>
        </w:rPr>
        <w:drawing>
          <wp:inline distT="0" distB="0" distL="0" distR="0" wp14:anchorId="14482F60" wp14:editId="5890FE3B">
            <wp:extent cx="3525170" cy="2264996"/>
            <wp:effectExtent l="0" t="0" r="5715" b="0"/>
            <wp:docPr id="1632868689" name="Picture 171" descr="A green and white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868689" name="Picture 171" descr="A green and white bar chart&#10;&#10;AI-generated content may be incorrect."/>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3555880" cy="2284728"/>
                    </a:xfrm>
                    <a:prstGeom prst="rect">
                      <a:avLst/>
                    </a:prstGeom>
                  </pic:spPr>
                </pic:pic>
              </a:graphicData>
            </a:graphic>
          </wp:inline>
        </w:drawing>
      </w:r>
    </w:p>
    <w:p w14:paraId="43EF10B4"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14:ligatures w14:val="standardContextual"/>
        </w:rPr>
        <w:drawing>
          <wp:inline distT="0" distB="0" distL="0" distR="0" wp14:anchorId="44B44F6A" wp14:editId="28851DD4">
            <wp:extent cx="3164025" cy="2386623"/>
            <wp:effectExtent l="0" t="0" r="0" b="1270"/>
            <wp:docPr id="1909112281" name="Picture 172"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12281" name="Picture 172" descr="A graph with different colored bars&#10;&#10;AI-generated content may be incorrect."/>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3204410" cy="2417085"/>
                    </a:xfrm>
                    <a:prstGeom prst="rect">
                      <a:avLst/>
                    </a:prstGeom>
                  </pic:spPr>
                </pic:pic>
              </a:graphicData>
            </a:graphic>
          </wp:inline>
        </w:drawing>
      </w:r>
    </w:p>
    <w:p w14:paraId="4560A853" w14:textId="77777777" w:rsidR="00412474" w:rsidRPr="00215667" w:rsidRDefault="00412474"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3A0F72BA" wp14:editId="7DB127C0">
            <wp:extent cx="1090246" cy="174680"/>
            <wp:effectExtent l="0" t="0" r="2540" b="3175"/>
            <wp:docPr id="1055946088" name="Picture 16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331613" name="Picture 163" descr="A black text on a white background&#10;&#10;AI-generated content may be incorrect."/>
                    <pic:cNvPicPr/>
                  </pic:nvPicPr>
                  <pic:blipFill>
                    <a:blip r:embed="rId118" cstate="print">
                      <a:extLst>
                        <a:ext uri="{28A0092B-C50C-407E-A947-70E740481C1C}">
                          <a14:useLocalDpi xmlns:a14="http://schemas.microsoft.com/office/drawing/2010/main" val="0"/>
                        </a:ext>
                      </a:extLst>
                    </a:blip>
                    <a:stretch>
                      <a:fillRect/>
                    </a:stretch>
                  </pic:blipFill>
                  <pic:spPr>
                    <a:xfrm>
                      <a:off x="0" y="0"/>
                      <a:ext cx="1177722" cy="188695"/>
                    </a:xfrm>
                    <a:prstGeom prst="rect">
                      <a:avLst/>
                    </a:prstGeom>
                  </pic:spPr>
                </pic:pic>
              </a:graphicData>
            </a:graphic>
          </wp:inline>
        </w:drawing>
      </w:r>
      <w:r w:rsidRPr="00215667">
        <w:rPr>
          <w:rFonts w:ascii="Times New Roman" w:hAnsi="Times New Roman" w:cs="Times New Roman"/>
          <w:b/>
          <w:bCs/>
          <w:noProof/>
          <w:sz w:val="24"/>
          <w:szCs w:val="24"/>
          <w:lang w:val="en-US"/>
          <w14:ligatures w14:val="standardContextual"/>
        </w:rPr>
        <w:drawing>
          <wp:inline distT="0" distB="0" distL="0" distR="0" wp14:anchorId="104EFD52" wp14:editId="53435141">
            <wp:extent cx="1318846" cy="170597"/>
            <wp:effectExtent l="0" t="0" r="2540" b="0"/>
            <wp:docPr id="1853823733" name="Picture 164"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41278" name="Picture 164" descr="A black text on a white background&#10;&#10;AI-generated content may be incorrect."/>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404194" cy="181637"/>
                    </a:xfrm>
                    <a:prstGeom prst="rect">
                      <a:avLst/>
                    </a:prstGeom>
                  </pic:spPr>
                </pic:pic>
              </a:graphicData>
            </a:graphic>
          </wp:inline>
        </w:drawing>
      </w:r>
      <w:r w:rsidRPr="00215667">
        <w:rPr>
          <w:rFonts w:ascii="Times New Roman" w:hAnsi="Times New Roman" w:cs="Times New Roman"/>
          <w:b/>
          <w:bCs/>
          <w:noProof/>
          <w:sz w:val="24"/>
          <w:szCs w:val="24"/>
          <w:lang w:val="en-US"/>
          <w14:ligatures w14:val="standardContextual"/>
        </w:rPr>
        <w:drawing>
          <wp:inline distT="0" distB="0" distL="0" distR="0" wp14:anchorId="0922206A" wp14:editId="35A342B8">
            <wp:extent cx="1359110" cy="173355"/>
            <wp:effectExtent l="0" t="0" r="0" b="4445"/>
            <wp:docPr id="1796636516" name="Picture 165"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621818" name="Picture 165" descr="A black text on a white background&#10;&#10;AI-generated content may be incorrect."/>
                    <pic:cNvPicPr/>
                  </pic:nvPicPr>
                  <pic:blipFill>
                    <a:blip r:embed="rId120" cstate="print">
                      <a:extLst>
                        <a:ext uri="{28A0092B-C50C-407E-A947-70E740481C1C}">
                          <a14:useLocalDpi xmlns:a14="http://schemas.microsoft.com/office/drawing/2010/main" val="0"/>
                        </a:ext>
                      </a:extLst>
                    </a:blip>
                    <a:stretch>
                      <a:fillRect/>
                    </a:stretch>
                  </pic:blipFill>
                  <pic:spPr>
                    <a:xfrm>
                      <a:off x="0" y="0"/>
                      <a:ext cx="1519045" cy="193755"/>
                    </a:xfrm>
                    <a:prstGeom prst="rect">
                      <a:avLst/>
                    </a:prstGeom>
                  </pic:spPr>
                </pic:pic>
              </a:graphicData>
            </a:graphic>
          </wp:inline>
        </w:drawing>
      </w:r>
    </w:p>
    <w:p w14:paraId="1BAE61C9" w14:textId="77777777" w:rsidR="003B53E6" w:rsidRDefault="003B53E6" w:rsidP="003B53E6">
      <w:pPr>
        <w:spacing w:line="360" w:lineRule="auto"/>
        <w:jc w:val="center"/>
        <w:rPr>
          <w:rFonts w:ascii="Times New Roman" w:hAnsi="Times New Roman" w:cs="Times New Roman"/>
          <w:sz w:val="24"/>
          <w:szCs w:val="24"/>
        </w:rPr>
      </w:pPr>
    </w:p>
    <w:p w14:paraId="2D0550F3" w14:textId="77777777" w:rsidR="003B53E6" w:rsidRDefault="003B53E6" w:rsidP="003B53E6">
      <w:pPr>
        <w:spacing w:line="360" w:lineRule="auto"/>
        <w:jc w:val="center"/>
        <w:rPr>
          <w:rFonts w:ascii="Times New Roman" w:hAnsi="Times New Roman" w:cs="Times New Roman"/>
          <w:sz w:val="24"/>
          <w:szCs w:val="24"/>
        </w:rPr>
      </w:pPr>
    </w:p>
    <w:p w14:paraId="28265750" w14:textId="460BB5BD" w:rsidR="00412474" w:rsidRPr="00215667" w:rsidRDefault="00167D0F" w:rsidP="003B53E6">
      <w:pPr>
        <w:spacing w:line="360" w:lineRule="auto"/>
        <w:jc w:val="center"/>
        <w:rPr>
          <w:rFonts w:ascii="Times New Roman" w:hAnsi="Times New Roman" w:cs="Times New Roman"/>
          <w:sz w:val="24"/>
          <w:szCs w:val="24"/>
        </w:rPr>
      </w:pPr>
      <w:r w:rsidRPr="00215667">
        <w:rPr>
          <w:rFonts w:ascii="Times New Roman" w:hAnsi="Times New Roman" w:cs="Times New Roman"/>
          <w:sz w:val="24"/>
          <w:szCs w:val="24"/>
        </w:rPr>
        <w:lastRenderedPageBreak/>
        <w:t>Табела бр. 29</w:t>
      </w:r>
      <w:r w:rsidR="003B53E6">
        <w:rPr>
          <w:rFonts w:ascii="Times New Roman" w:hAnsi="Times New Roman" w:cs="Times New Roman"/>
          <w:sz w:val="24"/>
          <w:szCs w:val="24"/>
        </w:rPr>
        <w:t>-</w:t>
      </w:r>
      <w:r w:rsidRPr="00215667">
        <w:rPr>
          <w:rFonts w:ascii="Times New Roman" w:hAnsi="Times New Roman" w:cs="Times New Roman"/>
          <w:sz w:val="24"/>
          <w:szCs w:val="24"/>
        </w:rPr>
        <w:t xml:space="preserve"> Приказ на разликите во PEB меѓу испитаниците кои примаат антиагрегациона терапија (аспирин) и кои ја прекинале терапијата во зависност од типот на интервенцијата</w:t>
      </w:r>
      <w:r w:rsidR="00AF6275">
        <w:rPr>
          <w:rFonts w:ascii="Times New Roman" w:hAnsi="Times New Roman" w:cs="Times New Roman"/>
          <w:sz w:val="24"/>
          <w:szCs w:val="24"/>
        </w:rPr>
        <w:t xml:space="preserve"> </w:t>
      </w:r>
      <w:r w:rsidRPr="00215667">
        <w:rPr>
          <w:rFonts w:ascii="Times New Roman" w:hAnsi="Times New Roman" w:cs="Times New Roman"/>
          <w:sz w:val="24"/>
          <w:szCs w:val="24"/>
        </w:rPr>
        <w:t xml:space="preserve"> (</w:t>
      </w:r>
      <w:r w:rsidRPr="003B53E6">
        <w:rPr>
          <w:rFonts w:ascii="Times New Roman" w:hAnsi="Times New Roman" w:cs="Times New Roman"/>
          <w:i/>
          <w:iCs/>
          <w:sz w:val="24"/>
          <w:szCs w:val="24"/>
        </w:rPr>
        <w:t>Kruskal-Wallis H</w:t>
      </w:r>
      <w:r w:rsidRPr="00215667">
        <w:rPr>
          <w:rFonts w:ascii="Times New Roman" w:hAnsi="Times New Roman" w:cs="Times New Roman"/>
          <w:sz w:val="24"/>
          <w:szCs w:val="24"/>
        </w:rPr>
        <w:t xml:space="preserve"> тест, пост хок </w:t>
      </w:r>
      <w:r w:rsidRPr="003B53E6">
        <w:rPr>
          <w:rFonts w:ascii="Times New Roman" w:hAnsi="Times New Roman" w:cs="Times New Roman"/>
          <w:i/>
          <w:iCs/>
          <w:sz w:val="24"/>
          <w:szCs w:val="24"/>
        </w:rPr>
        <w:t>Dunn</w:t>
      </w:r>
      <w:r w:rsidRPr="00215667">
        <w:rPr>
          <w:rFonts w:ascii="Times New Roman" w:hAnsi="Times New Roman" w:cs="Times New Roman"/>
          <w:sz w:val="24"/>
          <w:szCs w:val="24"/>
        </w:rPr>
        <w:t xml:space="preserve"> анализа со </w:t>
      </w:r>
      <w:r w:rsidRPr="003B53E6">
        <w:rPr>
          <w:rFonts w:ascii="Times New Roman" w:hAnsi="Times New Roman" w:cs="Times New Roman"/>
          <w:i/>
          <w:iCs/>
          <w:sz w:val="24"/>
          <w:szCs w:val="24"/>
        </w:rPr>
        <w:t>Bonferonni</w:t>
      </w:r>
      <w:r w:rsidRPr="00215667">
        <w:rPr>
          <w:rFonts w:ascii="Times New Roman" w:hAnsi="Times New Roman" w:cs="Times New Roman"/>
          <w:sz w:val="24"/>
          <w:szCs w:val="24"/>
        </w:rPr>
        <w:t xml:space="preserve"> корекција)</w:t>
      </w:r>
    </w:p>
    <w:p w14:paraId="61F065C3"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14:ligatures w14:val="standardContextual"/>
        </w:rPr>
        <w:drawing>
          <wp:inline distT="0" distB="0" distL="0" distR="0" wp14:anchorId="71E401C8" wp14:editId="4BCECE9B">
            <wp:extent cx="5400040" cy="1146175"/>
            <wp:effectExtent l="0" t="0" r="0" b="0"/>
            <wp:docPr id="1474501431" name="Picture 173" descr="A screenshot of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01431" name="Picture 173" descr="A screenshot of a table&#10;&#10;AI-generated content may be incorrect."/>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400040" cy="1146175"/>
                    </a:xfrm>
                    <a:prstGeom prst="rect">
                      <a:avLst/>
                    </a:prstGeom>
                  </pic:spPr>
                </pic:pic>
              </a:graphicData>
            </a:graphic>
          </wp:inline>
        </w:drawing>
      </w:r>
    </w:p>
    <w:p w14:paraId="74578718" w14:textId="77777777" w:rsidR="00167D0F" w:rsidRPr="003B53E6" w:rsidRDefault="00167D0F" w:rsidP="003B53E6">
      <w:pPr>
        <w:spacing w:after="0" w:line="240" w:lineRule="auto"/>
        <w:rPr>
          <w:rFonts w:ascii="Times New Roman" w:hAnsi="Times New Roman" w:cs="Times New Roman"/>
          <w:sz w:val="20"/>
          <w:szCs w:val="20"/>
        </w:rPr>
      </w:pPr>
      <w:r w:rsidRPr="003B53E6">
        <w:rPr>
          <w:rFonts w:ascii="Times New Roman" w:hAnsi="Times New Roman" w:cs="Times New Roman"/>
          <w:sz w:val="20"/>
          <w:szCs w:val="20"/>
        </w:rPr>
        <w:t>х1: испитаници кај кои е извршена екстракција на заб во горната вилица</w:t>
      </w:r>
    </w:p>
    <w:p w14:paraId="5CE6A39F" w14:textId="77777777" w:rsidR="00167D0F" w:rsidRPr="003B53E6" w:rsidRDefault="00167D0F" w:rsidP="003B53E6">
      <w:pPr>
        <w:spacing w:after="0" w:line="240" w:lineRule="auto"/>
        <w:rPr>
          <w:rFonts w:ascii="Times New Roman" w:hAnsi="Times New Roman" w:cs="Times New Roman"/>
          <w:sz w:val="20"/>
          <w:szCs w:val="20"/>
        </w:rPr>
      </w:pPr>
      <w:r w:rsidRPr="003B53E6">
        <w:rPr>
          <w:rFonts w:ascii="Times New Roman" w:hAnsi="Times New Roman" w:cs="Times New Roman"/>
          <w:sz w:val="20"/>
          <w:szCs w:val="20"/>
        </w:rPr>
        <w:t>х2: испитаници кај кои е извршена екстракција на заб во долната вилица</w:t>
      </w:r>
    </w:p>
    <w:p w14:paraId="171FE700" w14:textId="77777777" w:rsidR="00167D0F" w:rsidRPr="003B53E6" w:rsidRDefault="00167D0F" w:rsidP="003B53E6">
      <w:pPr>
        <w:spacing w:after="0" w:line="240" w:lineRule="auto"/>
        <w:rPr>
          <w:rFonts w:ascii="Times New Roman" w:hAnsi="Times New Roman" w:cs="Times New Roman"/>
          <w:sz w:val="20"/>
          <w:szCs w:val="20"/>
        </w:rPr>
      </w:pPr>
      <w:r w:rsidRPr="003B53E6">
        <w:rPr>
          <w:rFonts w:ascii="Times New Roman" w:hAnsi="Times New Roman" w:cs="Times New Roman"/>
          <w:sz w:val="20"/>
          <w:szCs w:val="20"/>
        </w:rPr>
        <w:t>х3: испитаници кај кои е извршена оперативна екстракција на заб</w:t>
      </w:r>
    </w:p>
    <w:p w14:paraId="5E7CD18A" w14:textId="77777777" w:rsidR="00412474" w:rsidRPr="00215667" w:rsidRDefault="00412474" w:rsidP="00412474">
      <w:pPr>
        <w:spacing w:line="240" w:lineRule="auto"/>
        <w:jc w:val="center"/>
        <w:rPr>
          <w:rFonts w:ascii="Times New Roman" w:hAnsi="Times New Roman" w:cs="Times New Roman"/>
          <w:sz w:val="24"/>
          <w:szCs w:val="24"/>
        </w:rPr>
      </w:pPr>
    </w:p>
    <w:p w14:paraId="757F83F4" w14:textId="77777777"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t>Анализа на PEB при различни вредности на INR</w:t>
      </w:r>
    </w:p>
    <w:p w14:paraId="37F62C44" w14:textId="77777777" w:rsidR="00412474" w:rsidRPr="00215667" w:rsidRDefault="00412474" w:rsidP="003B53E6">
      <w:pPr>
        <w:pStyle w:val="p1"/>
        <w:spacing w:line="360" w:lineRule="auto"/>
        <w:ind w:firstLine="720"/>
        <w:jc w:val="both"/>
      </w:pPr>
      <w:r w:rsidRPr="00215667">
        <w:t xml:space="preserve">Влијанието на вредноста на INR врз PEB го анализиравме двонасочно. Во првиот сет анализи направивме споредба меѓу четирите групи на INR во зависност од степенот на PEB. При оваа анализа, </w:t>
      </w:r>
      <w:r w:rsidRPr="003B53E6">
        <w:rPr>
          <w:i/>
          <w:iCs/>
        </w:rPr>
        <w:t>Kruskal-Wallis H</w:t>
      </w:r>
      <w:r w:rsidRPr="00215667">
        <w:t xml:space="preserve"> тестот покажа дека постои значајна разлика во зависната променлива помеѓу различните групи, χ²(3) = 70.73, p &lt; .001, со просечна ранг-оценка од 77.88 за PEB 1, 80.52 за PEB 2, 142.66 за PEB 3 и 174.5 за PEB 4.</w:t>
      </w:r>
    </w:p>
    <w:p w14:paraId="4DE6E23E" w14:textId="3C382A65" w:rsidR="00167D0F" w:rsidRDefault="00412474" w:rsidP="003B53E6">
      <w:pPr>
        <w:pStyle w:val="p1"/>
        <w:spacing w:line="360" w:lineRule="auto"/>
        <w:ind w:firstLine="720"/>
        <w:jc w:val="both"/>
      </w:pPr>
      <w:r w:rsidRPr="00215667">
        <w:t xml:space="preserve">Пост-хок </w:t>
      </w:r>
      <w:r w:rsidRPr="003B53E6">
        <w:rPr>
          <w:i/>
          <w:iCs/>
        </w:rPr>
        <w:t>Dunn</w:t>
      </w:r>
      <w:r w:rsidRPr="00215667">
        <w:t xml:space="preserve"> тестот, користејќи </w:t>
      </w:r>
      <w:r w:rsidRPr="003B53E6">
        <w:rPr>
          <w:i/>
          <w:iCs/>
        </w:rPr>
        <w:t>Bonferroni</w:t>
      </w:r>
      <w:r w:rsidRPr="00215667">
        <w:t xml:space="preserve"> коригирана алфа вредност од 0.0083, укажа дека просечните рангови на следните парови се статистички значајно различни: x1–x3, x1–x4, x2–x3, x2–x4</w:t>
      </w:r>
      <w:r w:rsidR="00167D0F" w:rsidRPr="00215667">
        <w:t xml:space="preserve"> (графикон бр. 49 и табела бр. 30)</w:t>
      </w:r>
      <w:r w:rsidR="003B53E6">
        <w:t>.</w:t>
      </w:r>
    </w:p>
    <w:p w14:paraId="4E558BDD" w14:textId="77777777" w:rsidR="003B53E6" w:rsidRDefault="003B53E6" w:rsidP="003B53E6">
      <w:pPr>
        <w:spacing w:line="360" w:lineRule="auto"/>
        <w:jc w:val="center"/>
        <w:rPr>
          <w:rFonts w:ascii="Times New Roman" w:hAnsi="Times New Roman" w:cs="Times New Roman"/>
          <w:bCs/>
          <w:sz w:val="24"/>
          <w:szCs w:val="24"/>
        </w:rPr>
      </w:pPr>
    </w:p>
    <w:p w14:paraId="2E96D32F" w14:textId="77777777" w:rsidR="003B53E6" w:rsidRDefault="003B53E6" w:rsidP="003B53E6">
      <w:pPr>
        <w:spacing w:line="360" w:lineRule="auto"/>
        <w:jc w:val="center"/>
        <w:rPr>
          <w:rFonts w:ascii="Times New Roman" w:hAnsi="Times New Roman" w:cs="Times New Roman"/>
          <w:bCs/>
          <w:sz w:val="24"/>
          <w:szCs w:val="24"/>
        </w:rPr>
      </w:pPr>
    </w:p>
    <w:p w14:paraId="3B9D796B" w14:textId="77777777" w:rsidR="003B53E6" w:rsidRDefault="003B53E6" w:rsidP="003B53E6">
      <w:pPr>
        <w:spacing w:line="360" w:lineRule="auto"/>
        <w:jc w:val="center"/>
        <w:rPr>
          <w:rFonts w:ascii="Times New Roman" w:hAnsi="Times New Roman" w:cs="Times New Roman"/>
          <w:bCs/>
          <w:sz w:val="24"/>
          <w:szCs w:val="24"/>
        </w:rPr>
      </w:pPr>
    </w:p>
    <w:p w14:paraId="17D49FA7" w14:textId="77777777" w:rsidR="003B53E6" w:rsidRDefault="003B53E6" w:rsidP="003B53E6">
      <w:pPr>
        <w:spacing w:line="360" w:lineRule="auto"/>
        <w:jc w:val="center"/>
        <w:rPr>
          <w:rFonts w:ascii="Times New Roman" w:hAnsi="Times New Roman" w:cs="Times New Roman"/>
          <w:bCs/>
          <w:sz w:val="24"/>
          <w:szCs w:val="24"/>
        </w:rPr>
      </w:pPr>
    </w:p>
    <w:p w14:paraId="623B002A" w14:textId="77777777" w:rsidR="003B53E6" w:rsidRDefault="003B53E6" w:rsidP="003B53E6">
      <w:pPr>
        <w:spacing w:line="360" w:lineRule="auto"/>
        <w:jc w:val="center"/>
        <w:rPr>
          <w:rFonts w:ascii="Times New Roman" w:hAnsi="Times New Roman" w:cs="Times New Roman"/>
          <w:bCs/>
          <w:sz w:val="24"/>
          <w:szCs w:val="24"/>
        </w:rPr>
      </w:pPr>
    </w:p>
    <w:p w14:paraId="4A80350C" w14:textId="52FD8097" w:rsidR="003B53E6" w:rsidRPr="00215667" w:rsidRDefault="003B53E6" w:rsidP="003B53E6">
      <w:pPr>
        <w:spacing w:line="360" w:lineRule="auto"/>
        <w:jc w:val="center"/>
        <w:rPr>
          <w:rFonts w:ascii="Times New Roman" w:hAnsi="Times New Roman" w:cs="Times New Roman"/>
          <w:bCs/>
          <w:sz w:val="24"/>
          <w:szCs w:val="24"/>
        </w:rPr>
      </w:pPr>
      <w:r w:rsidRPr="00215667">
        <w:rPr>
          <w:rFonts w:ascii="Times New Roman" w:hAnsi="Times New Roman" w:cs="Times New Roman"/>
          <w:bCs/>
          <w:sz w:val="24"/>
          <w:szCs w:val="24"/>
        </w:rPr>
        <w:lastRenderedPageBreak/>
        <w:t>Графикон бр. 49</w:t>
      </w:r>
      <w:r>
        <w:rPr>
          <w:rFonts w:ascii="Times New Roman" w:hAnsi="Times New Roman" w:cs="Times New Roman"/>
          <w:bCs/>
          <w:sz w:val="24"/>
          <w:szCs w:val="24"/>
        </w:rPr>
        <w:t>-</w:t>
      </w:r>
      <w:r w:rsidRPr="00215667">
        <w:rPr>
          <w:rFonts w:ascii="Times New Roman" w:hAnsi="Times New Roman" w:cs="Times New Roman"/>
          <w:bCs/>
          <w:sz w:val="24"/>
          <w:szCs w:val="24"/>
        </w:rPr>
        <w:t xml:space="preserve"> Приказ на степенот на INR (група на INR според поставената метолодогија) кај сите пациенти кои примаат антикоагулантна или антиагрегациона терапија, во зависност од забележаното PEB</w:t>
      </w:r>
    </w:p>
    <w:p w14:paraId="36FE07DB" w14:textId="77777777" w:rsidR="003B53E6" w:rsidRPr="00215667" w:rsidRDefault="003B53E6" w:rsidP="003B53E6">
      <w:pPr>
        <w:pStyle w:val="p1"/>
        <w:spacing w:line="360" w:lineRule="auto"/>
        <w:ind w:firstLine="720"/>
        <w:jc w:val="both"/>
      </w:pPr>
    </w:p>
    <w:p w14:paraId="7A0CF382" w14:textId="2E27F4CB" w:rsidR="00412474" w:rsidRPr="00215667" w:rsidRDefault="00167D0F" w:rsidP="00412474">
      <w:pPr>
        <w:pStyle w:val="p1"/>
      </w:pPr>
      <w:r w:rsidRPr="00215667">
        <w:rPr>
          <w:noProof/>
          <w:lang w:val="en-US" w:eastAsia="en-US"/>
          <w14:ligatures w14:val="standardContextual"/>
        </w:rPr>
        <w:drawing>
          <wp:inline distT="0" distB="0" distL="0" distR="0" wp14:anchorId="14EDEF5D" wp14:editId="7E76C9C8">
            <wp:extent cx="5400040" cy="2821305"/>
            <wp:effectExtent l="0" t="0" r="0" b="0"/>
            <wp:docPr id="1299451013" name="Picture 34"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51013" name="Picture 34" descr="A graph with lines and numbers&#10;&#10;AI-generated content may be incorrect."/>
                    <pic:cNvPicPr/>
                  </pic:nvPicPr>
                  <pic:blipFill>
                    <a:blip r:embed="rId129">
                      <a:extLst>
                        <a:ext uri="{28A0092B-C50C-407E-A947-70E740481C1C}">
                          <a14:useLocalDpi xmlns:a14="http://schemas.microsoft.com/office/drawing/2010/main" val="0"/>
                        </a:ext>
                      </a:extLst>
                    </a:blip>
                    <a:stretch>
                      <a:fillRect/>
                    </a:stretch>
                  </pic:blipFill>
                  <pic:spPr>
                    <a:xfrm>
                      <a:off x="0" y="0"/>
                      <a:ext cx="5400040" cy="2821305"/>
                    </a:xfrm>
                    <a:prstGeom prst="rect">
                      <a:avLst/>
                    </a:prstGeom>
                  </pic:spPr>
                </pic:pic>
              </a:graphicData>
            </a:graphic>
          </wp:inline>
        </w:drawing>
      </w:r>
    </w:p>
    <w:p w14:paraId="5DE6B504" w14:textId="473920CD" w:rsidR="00412474" w:rsidRPr="00215667" w:rsidRDefault="00167D0F" w:rsidP="00167D0F">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drawing>
          <wp:inline distT="0" distB="0" distL="0" distR="0" wp14:anchorId="75AC403F" wp14:editId="3A66A436">
            <wp:extent cx="3685881" cy="2457254"/>
            <wp:effectExtent l="0" t="0" r="0" b="0"/>
            <wp:docPr id="921928914" name="Picture 35"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28914" name="Picture 35" descr="A graph with different colored bars&#10;&#10;AI-generated content may be incorrect."/>
                    <pic:cNvPicPr/>
                  </pic:nvPicPr>
                  <pic:blipFill>
                    <a:blip r:embed="rId130">
                      <a:extLst>
                        <a:ext uri="{28A0092B-C50C-407E-A947-70E740481C1C}">
                          <a14:useLocalDpi xmlns:a14="http://schemas.microsoft.com/office/drawing/2010/main" val="0"/>
                        </a:ext>
                      </a:extLst>
                    </a:blip>
                    <a:stretch>
                      <a:fillRect/>
                    </a:stretch>
                  </pic:blipFill>
                  <pic:spPr>
                    <a:xfrm>
                      <a:off x="0" y="0"/>
                      <a:ext cx="3709005" cy="2472670"/>
                    </a:xfrm>
                    <a:prstGeom prst="rect">
                      <a:avLst/>
                    </a:prstGeom>
                  </pic:spPr>
                </pic:pic>
              </a:graphicData>
            </a:graphic>
          </wp:inline>
        </w:drawing>
      </w:r>
    </w:p>
    <w:p w14:paraId="76BB3EC7" w14:textId="13D2CEF8" w:rsidR="00412474" w:rsidRPr="00215667" w:rsidRDefault="00412474" w:rsidP="00412474">
      <w:pPr>
        <w:spacing w:line="240" w:lineRule="auto"/>
        <w:jc w:val="center"/>
        <w:rPr>
          <w:rFonts w:ascii="Times New Roman" w:hAnsi="Times New Roman" w:cs="Times New Roman"/>
          <w:b/>
          <w:bCs/>
          <w:sz w:val="24"/>
          <w:szCs w:val="24"/>
        </w:rPr>
      </w:pPr>
    </w:p>
    <w:p w14:paraId="086460D1" w14:textId="7B07D55C" w:rsidR="00412474" w:rsidRPr="00215667" w:rsidRDefault="00167D0F" w:rsidP="003B53E6">
      <w:pPr>
        <w:spacing w:line="360" w:lineRule="auto"/>
        <w:jc w:val="center"/>
        <w:rPr>
          <w:rFonts w:ascii="Times New Roman" w:hAnsi="Times New Roman" w:cs="Times New Roman"/>
          <w:sz w:val="24"/>
          <w:szCs w:val="24"/>
        </w:rPr>
      </w:pPr>
      <w:r w:rsidRPr="00215667">
        <w:rPr>
          <w:rFonts w:ascii="Times New Roman" w:hAnsi="Times New Roman" w:cs="Times New Roman"/>
          <w:sz w:val="24"/>
          <w:szCs w:val="24"/>
        </w:rPr>
        <w:t>Табела бр. 30</w:t>
      </w:r>
      <w:r w:rsidR="003B53E6">
        <w:rPr>
          <w:rFonts w:ascii="Times New Roman" w:hAnsi="Times New Roman" w:cs="Times New Roman"/>
          <w:sz w:val="24"/>
          <w:szCs w:val="24"/>
        </w:rPr>
        <w:t>-</w:t>
      </w:r>
      <w:r w:rsidRPr="00215667">
        <w:rPr>
          <w:rFonts w:ascii="Times New Roman" w:hAnsi="Times New Roman" w:cs="Times New Roman"/>
          <w:sz w:val="24"/>
          <w:szCs w:val="24"/>
        </w:rPr>
        <w:t xml:space="preserve"> Приказ на разликите во степенот (групата) на INR при различно PEB кај сите пациенти кои примаат антикоагулантна или антиагрегациона терапија (</w:t>
      </w:r>
      <w:r w:rsidRPr="00AF6275">
        <w:rPr>
          <w:rFonts w:ascii="Times New Roman" w:hAnsi="Times New Roman" w:cs="Times New Roman"/>
          <w:i/>
          <w:iCs/>
          <w:sz w:val="24"/>
          <w:szCs w:val="24"/>
        </w:rPr>
        <w:t>Kruskal-Wallis H</w:t>
      </w:r>
      <w:r w:rsidRPr="00215667">
        <w:rPr>
          <w:rFonts w:ascii="Times New Roman" w:hAnsi="Times New Roman" w:cs="Times New Roman"/>
          <w:sz w:val="24"/>
          <w:szCs w:val="24"/>
        </w:rPr>
        <w:t xml:space="preserve"> тест, пост хок </w:t>
      </w:r>
      <w:r w:rsidRPr="00AF6275">
        <w:rPr>
          <w:rFonts w:ascii="Times New Roman" w:hAnsi="Times New Roman" w:cs="Times New Roman"/>
          <w:i/>
          <w:iCs/>
          <w:sz w:val="24"/>
          <w:szCs w:val="24"/>
        </w:rPr>
        <w:t>Dunn</w:t>
      </w:r>
      <w:r w:rsidRPr="00215667">
        <w:rPr>
          <w:rFonts w:ascii="Times New Roman" w:hAnsi="Times New Roman" w:cs="Times New Roman"/>
          <w:sz w:val="24"/>
          <w:szCs w:val="24"/>
        </w:rPr>
        <w:t xml:space="preserve"> анализа со </w:t>
      </w:r>
      <w:r w:rsidRPr="00AF6275">
        <w:rPr>
          <w:rFonts w:ascii="Times New Roman" w:hAnsi="Times New Roman" w:cs="Times New Roman"/>
          <w:i/>
          <w:iCs/>
          <w:sz w:val="24"/>
          <w:szCs w:val="24"/>
        </w:rPr>
        <w:t>Bonferonni</w:t>
      </w:r>
      <w:r w:rsidRPr="00215667">
        <w:rPr>
          <w:rFonts w:ascii="Times New Roman" w:hAnsi="Times New Roman" w:cs="Times New Roman"/>
          <w:sz w:val="24"/>
          <w:szCs w:val="24"/>
        </w:rPr>
        <w:t xml:space="preserve"> корекција)</w:t>
      </w:r>
    </w:p>
    <w:p w14:paraId="0DE2E375" w14:textId="77777777"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noProof/>
          <w:sz w:val="24"/>
          <w:szCs w:val="24"/>
          <w:lang w:val="en-US"/>
        </w:rPr>
        <w:lastRenderedPageBreak/>
        <w:drawing>
          <wp:inline distT="0" distB="0" distL="0" distR="0" wp14:anchorId="6675CC2D" wp14:editId="44A6BDDE">
            <wp:extent cx="4935488" cy="1796264"/>
            <wp:effectExtent l="0" t="0" r="5080" b="0"/>
            <wp:docPr id="1771093123" name="Picture 33" descr="A table with numbers and a few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93123" name="Picture 33" descr="A table with numbers and a few black text&#10;&#10;AI-generated content may be incorrect."/>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4956395" cy="1803873"/>
                    </a:xfrm>
                    <a:prstGeom prst="rect">
                      <a:avLst/>
                    </a:prstGeom>
                  </pic:spPr>
                </pic:pic>
              </a:graphicData>
            </a:graphic>
          </wp:inline>
        </w:drawing>
      </w:r>
    </w:p>
    <w:p w14:paraId="3CC8804A" w14:textId="324A5D95" w:rsidR="00167D0F" w:rsidRPr="00AF6275" w:rsidRDefault="00167D0F" w:rsidP="00AF6275">
      <w:pPr>
        <w:spacing w:after="0" w:line="240" w:lineRule="auto"/>
        <w:rPr>
          <w:rFonts w:ascii="Times New Roman" w:hAnsi="Times New Roman" w:cs="Times New Roman"/>
          <w:sz w:val="20"/>
          <w:szCs w:val="20"/>
        </w:rPr>
      </w:pPr>
      <w:r w:rsidRPr="00AF6275">
        <w:rPr>
          <w:rFonts w:ascii="Times New Roman" w:hAnsi="Times New Roman" w:cs="Times New Roman"/>
          <w:sz w:val="20"/>
          <w:szCs w:val="20"/>
        </w:rPr>
        <w:t>х1: INR група кај PEB 1</w:t>
      </w:r>
    </w:p>
    <w:p w14:paraId="72EE6B53" w14:textId="4B7DB5C8" w:rsidR="00167D0F" w:rsidRPr="00AF6275" w:rsidRDefault="00167D0F" w:rsidP="00AF6275">
      <w:pPr>
        <w:spacing w:after="0" w:line="240" w:lineRule="auto"/>
        <w:rPr>
          <w:rFonts w:ascii="Times New Roman" w:hAnsi="Times New Roman" w:cs="Times New Roman"/>
          <w:sz w:val="20"/>
          <w:szCs w:val="20"/>
        </w:rPr>
      </w:pPr>
      <w:r w:rsidRPr="00AF6275">
        <w:rPr>
          <w:rFonts w:ascii="Times New Roman" w:hAnsi="Times New Roman" w:cs="Times New Roman"/>
          <w:sz w:val="20"/>
          <w:szCs w:val="20"/>
        </w:rPr>
        <w:t>х2: INR група кај PEB 2</w:t>
      </w:r>
    </w:p>
    <w:p w14:paraId="3F984431" w14:textId="07E2AB18" w:rsidR="00167D0F" w:rsidRPr="00AF6275" w:rsidRDefault="00167D0F" w:rsidP="00AF6275">
      <w:pPr>
        <w:spacing w:after="0" w:line="240" w:lineRule="auto"/>
        <w:rPr>
          <w:rFonts w:ascii="Times New Roman" w:hAnsi="Times New Roman" w:cs="Times New Roman"/>
          <w:sz w:val="20"/>
          <w:szCs w:val="20"/>
        </w:rPr>
      </w:pPr>
      <w:r w:rsidRPr="00AF6275">
        <w:rPr>
          <w:rFonts w:ascii="Times New Roman" w:hAnsi="Times New Roman" w:cs="Times New Roman"/>
          <w:sz w:val="20"/>
          <w:szCs w:val="20"/>
        </w:rPr>
        <w:t>х3: INR група кај PEB 3</w:t>
      </w:r>
    </w:p>
    <w:p w14:paraId="7BC6B494" w14:textId="31D14C98" w:rsidR="00167D0F" w:rsidRPr="00AF6275" w:rsidRDefault="00167D0F" w:rsidP="00AF6275">
      <w:pPr>
        <w:spacing w:after="0" w:line="240" w:lineRule="auto"/>
        <w:rPr>
          <w:rFonts w:ascii="Times New Roman" w:hAnsi="Times New Roman" w:cs="Times New Roman"/>
          <w:sz w:val="20"/>
          <w:szCs w:val="20"/>
        </w:rPr>
      </w:pPr>
      <w:r w:rsidRPr="00AF6275">
        <w:rPr>
          <w:rFonts w:ascii="Times New Roman" w:hAnsi="Times New Roman" w:cs="Times New Roman"/>
          <w:sz w:val="20"/>
          <w:szCs w:val="20"/>
        </w:rPr>
        <w:t>x4: INR група кај PEB 4</w:t>
      </w:r>
    </w:p>
    <w:p w14:paraId="136EE721" w14:textId="72283534" w:rsidR="00167D0F" w:rsidRPr="00AF6275" w:rsidRDefault="00167D0F" w:rsidP="00AF6275">
      <w:pPr>
        <w:spacing w:after="0" w:line="240" w:lineRule="auto"/>
        <w:rPr>
          <w:rFonts w:ascii="Times New Roman" w:hAnsi="Times New Roman" w:cs="Times New Roman"/>
          <w:sz w:val="20"/>
          <w:szCs w:val="20"/>
        </w:rPr>
      </w:pPr>
      <w:r w:rsidRPr="00AF6275">
        <w:rPr>
          <w:rFonts w:ascii="Times New Roman" w:hAnsi="Times New Roman" w:cs="Times New Roman"/>
          <w:sz w:val="20"/>
          <w:szCs w:val="20"/>
        </w:rPr>
        <w:t>Црвено означена вредност на p: p&lt;0.05 (статистички значајна разлика)</w:t>
      </w:r>
    </w:p>
    <w:p w14:paraId="543CB574" w14:textId="77777777" w:rsidR="00412474" w:rsidRPr="00215667" w:rsidRDefault="00412474" w:rsidP="00412474">
      <w:pPr>
        <w:spacing w:line="240" w:lineRule="auto"/>
        <w:rPr>
          <w:rFonts w:ascii="Times New Roman" w:hAnsi="Times New Roman" w:cs="Times New Roman"/>
          <w:b/>
          <w:bCs/>
          <w:sz w:val="24"/>
          <w:szCs w:val="24"/>
        </w:rPr>
      </w:pPr>
    </w:p>
    <w:p w14:paraId="3809F497" w14:textId="02BE24B7" w:rsidR="00412474" w:rsidRPr="00215667" w:rsidRDefault="00412474" w:rsidP="00AF6275">
      <w:pPr>
        <w:pStyle w:val="p1"/>
        <w:spacing w:line="360" w:lineRule="auto"/>
        <w:ind w:firstLine="720"/>
        <w:jc w:val="both"/>
      </w:pPr>
      <w:r w:rsidRPr="00215667">
        <w:t xml:space="preserve">Гледано од другиот аспект, направивме и анализа на степенот на PEB во зависност од групата на INR. </w:t>
      </w:r>
      <w:r w:rsidRPr="00AF6275">
        <w:rPr>
          <w:i/>
          <w:iCs/>
        </w:rPr>
        <w:t>Kruskal-Wallis H</w:t>
      </w:r>
      <w:r w:rsidRPr="00215667">
        <w:t xml:space="preserve"> тестот покажа дека постои значајна разлика во зависната променлива помеѓу различните групи, χ²(3) = 66.97, p &lt; .001, со средни рангови од 61.33 за INR група 1 (&lt;</w:t>
      </w:r>
      <w:r w:rsidR="00AF6275">
        <w:t xml:space="preserve"> </w:t>
      </w:r>
      <w:r w:rsidRPr="00215667">
        <w:t>0.96), 76.11 за INR група 2 (0.96–1.2), 88.02 за INR група 3 (1.2–1.6), и 172.5 за INR група 4 (&gt;</w:t>
      </w:r>
      <w:r w:rsidR="00AF6275">
        <w:t xml:space="preserve"> </w:t>
      </w:r>
      <w:r w:rsidRPr="00215667">
        <w:t>1.6).</w:t>
      </w:r>
    </w:p>
    <w:p w14:paraId="6515DB04" w14:textId="6243DE9C" w:rsidR="00167D0F" w:rsidRDefault="00412474" w:rsidP="00AF6275">
      <w:pPr>
        <w:pStyle w:val="p1"/>
        <w:spacing w:line="360" w:lineRule="auto"/>
        <w:ind w:firstLine="720"/>
        <w:jc w:val="both"/>
      </w:pPr>
      <w:r w:rsidRPr="00215667">
        <w:t xml:space="preserve">Пост-хок анализата според </w:t>
      </w:r>
      <w:r w:rsidR="00AF6275" w:rsidRPr="00AF6275">
        <w:rPr>
          <w:i/>
          <w:iCs/>
        </w:rPr>
        <w:t>Dunn</w:t>
      </w:r>
      <w:r w:rsidR="00AF6275">
        <w:t xml:space="preserve">-виот </w:t>
      </w:r>
      <w:r w:rsidRPr="00215667">
        <w:t xml:space="preserve">тест со </w:t>
      </w:r>
      <w:r w:rsidRPr="00AF6275">
        <w:rPr>
          <w:i/>
          <w:iCs/>
        </w:rPr>
        <w:t>Bonferroni</w:t>
      </w:r>
      <w:r w:rsidRPr="00215667">
        <w:t xml:space="preserve"> коригирано ниво на значајност од 0.0083 укажа дека средните рангови на следните парови се статистички значајно различни: x1-x4, x2-x4, x3-x4</w:t>
      </w:r>
      <w:r w:rsidR="00167D0F" w:rsidRPr="00215667">
        <w:rPr>
          <w:b/>
          <w:bCs/>
        </w:rPr>
        <w:t xml:space="preserve"> (</w:t>
      </w:r>
      <w:r w:rsidR="00167D0F" w:rsidRPr="00215667">
        <w:t>графикон бр. 50).</w:t>
      </w:r>
    </w:p>
    <w:p w14:paraId="2A8BA95F" w14:textId="7E25FCC8" w:rsidR="00AF6275" w:rsidRPr="00215667" w:rsidRDefault="00AF6275" w:rsidP="00AF6275">
      <w:pPr>
        <w:spacing w:line="360" w:lineRule="auto"/>
        <w:jc w:val="center"/>
        <w:rPr>
          <w:rFonts w:ascii="Times New Roman" w:hAnsi="Times New Roman" w:cs="Times New Roman"/>
          <w:bCs/>
          <w:sz w:val="24"/>
          <w:szCs w:val="24"/>
        </w:rPr>
      </w:pPr>
      <w:r w:rsidRPr="00215667">
        <w:rPr>
          <w:rFonts w:ascii="Times New Roman" w:hAnsi="Times New Roman" w:cs="Times New Roman"/>
          <w:bCs/>
          <w:sz w:val="24"/>
          <w:szCs w:val="24"/>
        </w:rPr>
        <w:t>Графикон бр. 50</w:t>
      </w:r>
      <w:r>
        <w:rPr>
          <w:rFonts w:ascii="Times New Roman" w:hAnsi="Times New Roman" w:cs="Times New Roman"/>
          <w:bCs/>
          <w:sz w:val="24"/>
          <w:szCs w:val="24"/>
        </w:rPr>
        <w:t>-</w:t>
      </w:r>
      <w:r w:rsidRPr="00215667">
        <w:rPr>
          <w:rFonts w:ascii="Times New Roman" w:hAnsi="Times New Roman" w:cs="Times New Roman"/>
          <w:bCs/>
          <w:sz w:val="24"/>
          <w:szCs w:val="24"/>
        </w:rPr>
        <w:t xml:space="preserve"> Приказ на степенот на PEB кај сите пациенти кои примаат антикоагулантна или антиагрегациона терапија, во зависност од групата на INR</w:t>
      </w:r>
    </w:p>
    <w:p w14:paraId="70F90956" w14:textId="308B24F7" w:rsidR="00412474" w:rsidRPr="00215667" w:rsidRDefault="00167D0F" w:rsidP="00AF6275">
      <w:pPr>
        <w:pStyle w:val="p1"/>
        <w:jc w:val="center"/>
      </w:pPr>
      <w:r w:rsidRPr="00215667">
        <w:rPr>
          <w:noProof/>
          <w:lang w:val="en-US" w:eastAsia="en-US"/>
          <w14:ligatures w14:val="standardContextual"/>
        </w:rPr>
        <w:drawing>
          <wp:inline distT="0" distB="0" distL="0" distR="0" wp14:anchorId="5E3C0DE9" wp14:editId="2EE4DE30">
            <wp:extent cx="4710988" cy="2302312"/>
            <wp:effectExtent l="0" t="0" r="0" b="3175"/>
            <wp:docPr id="40922507" name="Picture 3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2507" name="Picture 37" descr="A graph with numbers and lines&#10;&#10;AI-generated content may be incorrect."/>
                    <pic:cNvPicPr/>
                  </pic:nvPicPr>
                  <pic:blipFill>
                    <a:blip r:embed="rId132">
                      <a:extLst>
                        <a:ext uri="{28A0092B-C50C-407E-A947-70E740481C1C}">
                          <a14:useLocalDpi xmlns:a14="http://schemas.microsoft.com/office/drawing/2010/main" val="0"/>
                        </a:ext>
                      </a:extLst>
                    </a:blip>
                    <a:stretch>
                      <a:fillRect/>
                    </a:stretch>
                  </pic:blipFill>
                  <pic:spPr>
                    <a:xfrm>
                      <a:off x="0" y="0"/>
                      <a:ext cx="4747511" cy="2320161"/>
                    </a:xfrm>
                    <a:prstGeom prst="rect">
                      <a:avLst/>
                    </a:prstGeom>
                  </pic:spPr>
                </pic:pic>
              </a:graphicData>
            </a:graphic>
          </wp:inline>
        </w:drawing>
      </w:r>
    </w:p>
    <w:p w14:paraId="23C97B29" w14:textId="4F0C21EE" w:rsidR="00412474" w:rsidRPr="00215667" w:rsidRDefault="00167D0F"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14:ligatures w14:val="standardContextual"/>
        </w:rPr>
        <w:lastRenderedPageBreak/>
        <w:drawing>
          <wp:inline distT="0" distB="0" distL="0" distR="0" wp14:anchorId="0A61FB2A" wp14:editId="2341F8EE">
            <wp:extent cx="3940405" cy="3277802"/>
            <wp:effectExtent l="0" t="0" r="0" b="0"/>
            <wp:docPr id="48351323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3513231" name="Picture 483513231"/>
                    <pic:cNvPicPr/>
                  </pic:nvPicPr>
                  <pic:blipFill>
                    <a:blip r:embed="rId133">
                      <a:extLst>
                        <a:ext uri="{28A0092B-C50C-407E-A947-70E740481C1C}">
                          <a14:useLocalDpi xmlns:a14="http://schemas.microsoft.com/office/drawing/2010/main" val="0"/>
                        </a:ext>
                      </a:extLst>
                    </a:blip>
                    <a:stretch>
                      <a:fillRect/>
                    </a:stretch>
                  </pic:blipFill>
                  <pic:spPr>
                    <a:xfrm>
                      <a:off x="0" y="0"/>
                      <a:ext cx="3976657" cy="3307958"/>
                    </a:xfrm>
                    <a:prstGeom prst="rect">
                      <a:avLst/>
                    </a:prstGeom>
                  </pic:spPr>
                </pic:pic>
              </a:graphicData>
            </a:graphic>
          </wp:inline>
        </w:drawing>
      </w:r>
    </w:p>
    <w:p w14:paraId="0386A1C0" w14:textId="6F70D601" w:rsidR="00412474" w:rsidRDefault="00412474" w:rsidP="00AF6275">
      <w:pPr>
        <w:pStyle w:val="p1"/>
        <w:spacing w:line="360" w:lineRule="auto"/>
        <w:ind w:firstLine="720"/>
        <w:jc w:val="both"/>
      </w:pPr>
      <w:r w:rsidRPr="00215667">
        <w:t xml:space="preserve">Резултатите од Пирсоновата корелација укажуваат на значајна, силна и позитивна врска помеѓу групата ИНР и ПЕБ, r(183) = 0.592, p &lt; 0.001. Со други зборови, вредноста на PEB значајно и правопропорционално се зголемува со зголемување на вредноста на INR (линеарен графикон </w:t>
      </w:r>
      <w:r w:rsidR="00167D0F" w:rsidRPr="00215667">
        <w:t>51</w:t>
      </w:r>
      <w:r w:rsidRPr="00215667">
        <w:t>).</w:t>
      </w:r>
    </w:p>
    <w:p w14:paraId="18F5C9C4" w14:textId="507A92D1" w:rsidR="00AF6275" w:rsidRPr="00215667" w:rsidRDefault="00AF6275" w:rsidP="00AF6275">
      <w:pPr>
        <w:spacing w:line="360" w:lineRule="auto"/>
        <w:jc w:val="center"/>
        <w:rPr>
          <w:rFonts w:ascii="Times New Roman" w:hAnsi="Times New Roman" w:cs="Times New Roman"/>
          <w:sz w:val="24"/>
          <w:szCs w:val="24"/>
        </w:rPr>
      </w:pPr>
      <w:r w:rsidRPr="00215667">
        <w:rPr>
          <w:rFonts w:ascii="Times New Roman" w:hAnsi="Times New Roman" w:cs="Times New Roman"/>
          <w:sz w:val="24"/>
          <w:szCs w:val="24"/>
        </w:rPr>
        <w:t>Графикон бр. 51</w:t>
      </w:r>
      <w:r>
        <w:rPr>
          <w:rFonts w:ascii="Times New Roman" w:hAnsi="Times New Roman" w:cs="Times New Roman"/>
          <w:sz w:val="24"/>
          <w:szCs w:val="24"/>
        </w:rPr>
        <w:t>-</w:t>
      </w:r>
      <w:r w:rsidRPr="00215667">
        <w:rPr>
          <w:rFonts w:ascii="Times New Roman" w:hAnsi="Times New Roman" w:cs="Times New Roman"/>
          <w:sz w:val="24"/>
          <w:szCs w:val="24"/>
        </w:rPr>
        <w:t xml:space="preserve"> Пирсонова корелација меѓу степенот на INR и степенот на PEB кај пациенти кои примаат ОАТ</w:t>
      </w:r>
    </w:p>
    <w:p w14:paraId="5EF7EBA9" w14:textId="77777777"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noProof/>
          <w:sz w:val="24"/>
          <w:szCs w:val="24"/>
          <w:lang w:val="en-US"/>
        </w:rPr>
        <w:drawing>
          <wp:inline distT="0" distB="0" distL="0" distR="0" wp14:anchorId="4E7B0D25" wp14:editId="61B41117">
            <wp:extent cx="5300281" cy="1756373"/>
            <wp:effectExtent l="0" t="0" r="0" b="0"/>
            <wp:docPr id="220338810" name="Picture 43" descr="A graph with a line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338810" name="Picture 43" descr="A graph with a line and red dots&#10;&#10;AI-generated content may be incorrect."/>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5416027" cy="1794728"/>
                    </a:xfrm>
                    <a:prstGeom prst="rect">
                      <a:avLst/>
                    </a:prstGeom>
                  </pic:spPr>
                </pic:pic>
              </a:graphicData>
            </a:graphic>
          </wp:inline>
        </w:drawing>
      </w:r>
    </w:p>
    <w:p w14:paraId="11CB5FD5" w14:textId="77777777" w:rsidR="00412474" w:rsidRPr="00215667" w:rsidRDefault="00412474" w:rsidP="00412474">
      <w:pPr>
        <w:spacing w:line="240" w:lineRule="auto"/>
        <w:rPr>
          <w:rFonts w:ascii="Times New Roman" w:hAnsi="Times New Roman" w:cs="Times New Roman"/>
          <w:b/>
          <w:bCs/>
          <w:sz w:val="24"/>
          <w:szCs w:val="24"/>
        </w:rPr>
      </w:pPr>
    </w:p>
    <w:p w14:paraId="72DA3180" w14:textId="77777777" w:rsidR="00AF6275" w:rsidRDefault="00AF6275" w:rsidP="00AF6275">
      <w:pPr>
        <w:jc w:val="both"/>
        <w:rPr>
          <w:rFonts w:ascii="Times New Roman" w:hAnsi="Times New Roman" w:cs="Times New Roman"/>
          <w:b/>
          <w:bCs/>
          <w:sz w:val="24"/>
          <w:szCs w:val="24"/>
        </w:rPr>
      </w:pPr>
    </w:p>
    <w:p w14:paraId="0F12FB2D" w14:textId="77777777" w:rsidR="00AF6275" w:rsidRDefault="00AF6275" w:rsidP="00AF6275">
      <w:pPr>
        <w:jc w:val="both"/>
        <w:rPr>
          <w:rFonts w:ascii="Times New Roman" w:hAnsi="Times New Roman" w:cs="Times New Roman"/>
          <w:b/>
          <w:bCs/>
          <w:sz w:val="24"/>
          <w:szCs w:val="24"/>
        </w:rPr>
      </w:pPr>
    </w:p>
    <w:p w14:paraId="7263AE62" w14:textId="77777777" w:rsidR="00AF6275" w:rsidRDefault="00AF6275" w:rsidP="00AF6275">
      <w:pPr>
        <w:jc w:val="both"/>
        <w:rPr>
          <w:rFonts w:ascii="Times New Roman" w:hAnsi="Times New Roman" w:cs="Times New Roman"/>
          <w:b/>
          <w:bCs/>
          <w:sz w:val="24"/>
          <w:szCs w:val="24"/>
        </w:rPr>
      </w:pPr>
    </w:p>
    <w:p w14:paraId="42282E25" w14:textId="663AA1F2" w:rsidR="00412474" w:rsidRPr="00215667" w:rsidRDefault="00412474" w:rsidP="00AF6275">
      <w:pPr>
        <w:jc w:val="both"/>
        <w:rPr>
          <w:rFonts w:ascii="Times New Roman" w:hAnsi="Times New Roman" w:cs="Times New Roman"/>
          <w:b/>
          <w:bCs/>
          <w:sz w:val="24"/>
          <w:szCs w:val="24"/>
        </w:rPr>
      </w:pPr>
      <w:r w:rsidRPr="00215667">
        <w:rPr>
          <w:rFonts w:ascii="Times New Roman" w:hAnsi="Times New Roman" w:cs="Times New Roman"/>
          <w:b/>
          <w:bCs/>
          <w:sz w:val="24"/>
          <w:szCs w:val="24"/>
        </w:rPr>
        <w:lastRenderedPageBreak/>
        <w:t xml:space="preserve">Разлики во </w:t>
      </w:r>
      <w:r w:rsidR="00AF6275">
        <w:rPr>
          <w:rFonts w:ascii="Times New Roman" w:hAnsi="Times New Roman" w:cs="Times New Roman"/>
          <w:b/>
          <w:bCs/>
          <w:sz w:val="24"/>
          <w:szCs w:val="24"/>
          <w:lang w:val="en-US"/>
        </w:rPr>
        <w:t>PEB</w:t>
      </w:r>
      <w:r w:rsidRPr="00215667">
        <w:rPr>
          <w:rFonts w:ascii="Times New Roman" w:hAnsi="Times New Roman" w:cs="Times New Roman"/>
          <w:b/>
          <w:bCs/>
          <w:sz w:val="24"/>
          <w:szCs w:val="24"/>
        </w:rPr>
        <w:t xml:space="preserve"> кај пациенти во зависност од типот на терапија и вредноста на INR</w:t>
      </w:r>
    </w:p>
    <w:p w14:paraId="1A7F0B06" w14:textId="77777777" w:rsidR="00412474" w:rsidRPr="00215667" w:rsidRDefault="00412474" w:rsidP="00412474">
      <w:pPr>
        <w:spacing w:line="240" w:lineRule="auto"/>
        <w:rPr>
          <w:rFonts w:ascii="Times New Roman" w:hAnsi="Times New Roman" w:cs="Times New Roman"/>
          <w:b/>
          <w:bCs/>
          <w:sz w:val="24"/>
          <w:szCs w:val="24"/>
        </w:rPr>
      </w:pPr>
    </w:p>
    <w:p w14:paraId="16D6A6E5" w14:textId="77777777" w:rsidR="00412474" w:rsidRPr="00215667" w:rsidRDefault="00412474" w:rsidP="00AF6275">
      <w:pPr>
        <w:spacing w:line="360" w:lineRule="auto"/>
        <w:ind w:firstLine="720"/>
        <w:jc w:val="both"/>
        <w:rPr>
          <w:rFonts w:ascii="Times New Roman" w:hAnsi="Times New Roman" w:cs="Times New Roman"/>
          <w:sz w:val="24"/>
          <w:szCs w:val="24"/>
        </w:rPr>
      </w:pPr>
      <w:r w:rsidRPr="00215667">
        <w:rPr>
          <w:rFonts w:ascii="Times New Roman" w:hAnsi="Times New Roman" w:cs="Times New Roman"/>
          <w:sz w:val="24"/>
          <w:szCs w:val="24"/>
        </w:rPr>
        <w:t xml:space="preserve">Направена е анализа на PEB кај пациентите со различни вредности (групирања) на INR и во зависност од тоа дали примаат VKA/DOAC или аспирин. </w:t>
      </w:r>
    </w:p>
    <w:p w14:paraId="43CD5E22" w14:textId="77777777" w:rsidR="00412474" w:rsidRPr="00215667" w:rsidRDefault="00412474" w:rsidP="00AF6275">
      <w:pPr>
        <w:pStyle w:val="p1"/>
        <w:spacing w:line="360" w:lineRule="auto"/>
        <w:ind w:firstLine="720"/>
        <w:jc w:val="both"/>
      </w:pPr>
      <w:r w:rsidRPr="00215667">
        <w:t xml:space="preserve">Кај пациентите кои примаат VKA, </w:t>
      </w:r>
      <w:r w:rsidRPr="00AF6275">
        <w:rPr>
          <w:i/>
          <w:iCs/>
        </w:rPr>
        <w:t>Kruskal-Wallis H</w:t>
      </w:r>
      <w:r w:rsidRPr="00215667">
        <w:t xml:space="preserve"> тестот покажа дека постои значајна разлика во зависната променлива меѓу различните групи, χ²(2) = 54.17, p &lt; .001, со просечни рангови од 41.88 за PEB кај INR 2, VKA/DOAC, 40.41 за PEB кај INR 3, VKA/DOAC, и 90.23 за PEB кај INR 4, VKA/DOAC.</w:t>
      </w:r>
    </w:p>
    <w:p w14:paraId="38A10802" w14:textId="77777777" w:rsidR="00412474" w:rsidRPr="00215667" w:rsidRDefault="00412474" w:rsidP="00AF6275">
      <w:pPr>
        <w:pStyle w:val="p1"/>
        <w:spacing w:line="360" w:lineRule="auto"/>
        <w:ind w:firstLine="720"/>
        <w:jc w:val="both"/>
      </w:pPr>
      <w:r w:rsidRPr="00215667">
        <w:t xml:space="preserve">Пост-хок </w:t>
      </w:r>
      <w:r w:rsidRPr="00AF6275">
        <w:rPr>
          <w:i/>
          <w:iCs/>
        </w:rPr>
        <w:t>Dunn</w:t>
      </w:r>
      <w:r w:rsidRPr="00215667">
        <w:t xml:space="preserve"> тестот, користејќи </w:t>
      </w:r>
      <w:r w:rsidRPr="00AF6275">
        <w:rPr>
          <w:i/>
          <w:iCs/>
        </w:rPr>
        <w:t>Bonferroni</w:t>
      </w:r>
      <w:r w:rsidRPr="00215667">
        <w:t xml:space="preserve"> коригирана алфа вредност од 0.017, укажа дека просечните рангови на следните парови се статистички значајно различни: x1–x3 и x2–x3. Тоа значи дека постои значајно поголемо PEB кај пациентите кои примаат VKA/DOAC во INR групата 4 во споредба со групата INR 2 и 3. Во оваа група испитаници кои примаат VKA/DOAC, не се евидентираа пациенти со INR вредност од група 1 (под 0.96). </w:t>
      </w:r>
    </w:p>
    <w:p w14:paraId="14BCFD69" w14:textId="5B26B487" w:rsidR="00412474" w:rsidRDefault="00412474" w:rsidP="00AF6275">
      <w:pPr>
        <w:pStyle w:val="p1"/>
        <w:spacing w:line="360" w:lineRule="auto"/>
        <w:ind w:firstLine="720"/>
        <w:jc w:val="both"/>
      </w:pPr>
      <w:r w:rsidRPr="00215667">
        <w:t>Вредноста на p во целиот тест изнесува 0.0000 (p</w:t>
      </w:r>
      <w:r w:rsidR="00AF6275">
        <w:t xml:space="preserve"> </w:t>
      </w:r>
      <w:r w:rsidRPr="00215667">
        <w:t>&lt;</w:t>
      </w:r>
      <w:r w:rsidR="00AF6275">
        <w:t xml:space="preserve"> </w:t>
      </w:r>
      <w:r w:rsidRPr="00215667">
        <w:t>0.05), а вредноста на H е 54.1732, што не припаѓа во регионот од 95</w:t>
      </w:r>
      <w:r w:rsidR="00AF6275">
        <w:t xml:space="preserve"> </w:t>
      </w:r>
      <w:r w:rsidRPr="00215667">
        <w:t>% прифатливост. Забележаниот ефект η² е голем и изнесува 0.53. Ова укажува на тоа дека големината на разликата помеѓу меди</w:t>
      </w:r>
      <w:r w:rsidR="00AF6275">
        <w:t>ј</w:t>
      </w:r>
      <w:r w:rsidRPr="00215667">
        <w:t xml:space="preserve">аните е значителна. Разликите меѓу трите групи се прикажани на графикон бр. </w:t>
      </w:r>
      <w:r w:rsidR="00167D0F" w:rsidRPr="00215667">
        <w:t>52.</w:t>
      </w:r>
      <w:r w:rsidRPr="00215667">
        <w:t xml:space="preserve"> </w:t>
      </w:r>
    </w:p>
    <w:p w14:paraId="526F2D88" w14:textId="77777777" w:rsidR="00AF6275" w:rsidRDefault="00AF6275" w:rsidP="00AF6275">
      <w:pPr>
        <w:spacing w:line="360" w:lineRule="auto"/>
        <w:jc w:val="center"/>
        <w:rPr>
          <w:rFonts w:ascii="Times New Roman" w:hAnsi="Times New Roman" w:cs="Times New Roman"/>
          <w:bCs/>
          <w:sz w:val="24"/>
          <w:szCs w:val="24"/>
        </w:rPr>
      </w:pPr>
    </w:p>
    <w:p w14:paraId="465C9BD3" w14:textId="77777777" w:rsidR="00AF6275" w:rsidRDefault="00AF6275" w:rsidP="00AF6275">
      <w:pPr>
        <w:spacing w:line="360" w:lineRule="auto"/>
        <w:jc w:val="center"/>
        <w:rPr>
          <w:rFonts w:ascii="Times New Roman" w:hAnsi="Times New Roman" w:cs="Times New Roman"/>
          <w:bCs/>
          <w:sz w:val="24"/>
          <w:szCs w:val="24"/>
        </w:rPr>
      </w:pPr>
    </w:p>
    <w:p w14:paraId="56A659A9" w14:textId="77777777" w:rsidR="00AF6275" w:rsidRDefault="00AF6275" w:rsidP="00AF6275">
      <w:pPr>
        <w:spacing w:line="360" w:lineRule="auto"/>
        <w:jc w:val="center"/>
        <w:rPr>
          <w:rFonts w:ascii="Times New Roman" w:hAnsi="Times New Roman" w:cs="Times New Roman"/>
          <w:bCs/>
          <w:sz w:val="24"/>
          <w:szCs w:val="24"/>
        </w:rPr>
      </w:pPr>
    </w:p>
    <w:p w14:paraId="62072890" w14:textId="77777777" w:rsidR="00AF6275" w:rsidRDefault="00AF6275" w:rsidP="00AF6275">
      <w:pPr>
        <w:spacing w:line="360" w:lineRule="auto"/>
        <w:jc w:val="center"/>
        <w:rPr>
          <w:rFonts w:ascii="Times New Roman" w:hAnsi="Times New Roman" w:cs="Times New Roman"/>
          <w:bCs/>
          <w:sz w:val="24"/>
          <w:szCs w:val="24"/>
        </w:rPr>
      </w:pPr>
    </w:p>
    <w:p w14:paraId="2C6AD831" w14:textId="77777777" w:rsidR="00AF6275" w:rsidRDefault="00AF6275" w:rsidP="00AF6275">
      <w:pPr>
        <w:spacing w:line="360" w:lineRule="auto"/>
        <w:jc w:val="center"/>
        <w:rPr>
          <w:rFonts w:ascii="Times New Roman" w:hAnsi="Times New Roman" w:cs="Times New Roman"/>
          <w:bCs/>
          <w:sz w:val="24"/>
          <w:szCs w:val="24"/>
        </w:rPr>
      </w:pPr>
    </w:p>
    <w:p w14:paraId="5A0E6AE5" w14:textId="77777777" w:rsidR="00AF6275" w:rsidRDefault="00AF6275" w:rsidP="00AF6275">
      <w:pPr>
        <w:spacing w:line="360" w:lineRule="auto"/>
        <w:jc w:val="center"/>
        <w:rPr>
          <w:rFonts w:ascii="Times New Roman" w:hAnsi="Times New Roman" w:cs="Times New Roman"/>
          <w:bCs/>
          <w:sz w:val="24"/>
          <w:szCs w:val="24"/>
        </w:rPr>
      </w:pPr>
    </w:p>
    <w:p w14:paraId="38EC7109" w14:textId="19F4A945" w:rsidR="00AF6275" w:rsidRPr="00AF6275" w:rsidRDefault="00AF6275" w:rsidP="00AF6275">
      <w:pPr>
        <w:spacing w:line="360" w:lineRule="auto"/>
        <w:jc w:val="center"/>
        <w:rPr>
          <w:rFonts w:ascii="Times New Roman" w:hAnsi="Times New Roman" w:cs="Times New Roman"/>
          <w:bCs/>
          <w:sz w:val="24"/>
          <w:szCs w:val="24"/>
        </w:rPr>
      </w:pPr>
      <w:r w:rsidRPr="00215667">
        <w:rPr>
          <w:rFonts w:ascii="Times New Roman" w:hAnsi="Times New Roman" w:cs="Times New Roman"/>
          <w:bCs/>
          <w:sz w:val="24"/>
          <w:szCs w:val="24"/>
        </w:rPr>
        <w:lastRenderedPageBreak/>
        <w:t>Графикон бр. 52</w:t>
      </w:r>
      <w:r>
        <w:rPr>
          <w:rFonts w:ascii="Times New Roman" w:hAnsi="Times New Roman" w:cs="Times New Roman"/>
          <w:bCs/>
          <w:sz w:val="24"/>
          <w:szCs w:val="24"/>
        </w:rPr>
        <w:t>-</w:t>
      </w:r>
      <w:r w:rsidRPr="00215667">
        <w:rPr>
          <w:rFonts w:ascii="Times New Roman" w:hAnsi="Times New Roman" w:cs="Times New Roman"/>
          <w:bCs/>
          <w:sz w:val="24"/>
          <w:szCs w:val="24"/>
        </w:rPr>
        <w:t xml:space="preserve"> Приказ на степенот на PEB при различна група на INR, кај пациенти кои примаат антикоагулантна терапија (VKA/DOAC)</w:t>
      </w:r>
    </w:p>
    <w:p w14:paraId="31525FF7" w14:textId="77777777" w:rsidR="00412474" w:rsidRPr="00215667" w:rsidRDefault="00412474" w:rsidP="00412474">
      <w:pPr>
        <w:pStyle w:val="p1"/>
        <w:jc w:val="center"/>
      </w:pPr>
      <w:r w:rsidRPr="00215667">
        <w:rPr>
          <w:noProof/>
          <w:lang w:val="en-US" w:eastAsia="en-US"/>
          <w14:ligatures w14:val="standardContextual"/>
        </w:rPr>
        <w:drawing>
          <wp:inline distT="0" distB="0" distL="0" distR="0" wp14:anchorId="54009897" wp14:editId="4D1F4BAB">
            <wp:extent cx="1485900" cy="2348846"/>
            <wp:effectExtent l="0" t="0" r="0" b="1270"/>
            <wp:docPr id="631444853" name="Picture 96" descr="A graph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444853" name="Picture 96" descr="A graph with a green line&#10;&#10;AI-generated content may be incorrect."/>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485900" cy="2348846"/>
                    </a:xfrm>
                    <a:prstGeom prst="rect">
                      <a:avLst/>
                    </a:prstGeom>
                  </pic:spPr>
                </pic:pic>
              </a:graphicData>
            </a:graphic>
          </wp:inline>
        </w:drawing>
      </w:r>
      <w:r w:rsidRPr="00215667">
        <w:rPr>
          <w:noProof/>
          <w:lang w:val="en-US" w:eastAsia="en-US"/>
          <w14:ligatures w14:val="standardContextual"/>
        </w:rPr>
        <w:drawing>
          <wp:inline distT="0" distB="0" distL="0" distR="0" wp14:anchorId="073AEF53" wp14:editId="2878B6A2">
            <wp:extent cx="3648449" cy="2436447"/>
            <wp:effectExtent l="0" t="0" r="0" b="2540"/>
            <wp:docPr id="2006385982" name="Picture 97" descr="A diagram of a box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385982" name="Picture 97" descr="A diagram of a box plot&#10;&#10;AI-generated content may be incorrect."/>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648449" cy="2436447"/>
                    </a:xfrm>
                    <a:prstGeom prst="rect">
                      <a:avLst/>
                    </a:prstGeom>
                  </pic:spPr>
                </pic:pic>
              </a:graphicData>
            </a:graphic>
          </wp:inline>
        </w:drawing>
      </w:r>
    </w:p>
    <w:p w14:paraId="403850C3" w14:textId="77777777" w:rsidR="00412474" w:rsidRPr="00215667" w:rsidRDefault="00412474" w:rsidP="00412474">
      <w:pPr>
        <w:pStyle w:val="p1"/>
        <w:jc w:val="center"/>
      </w:pPr>
      <w:r w:rsidRPr="00215667">
        <w:rPr>
          <w:noProof/>
          <w:lang w:val="en-US" w:eastAsia="en-US"/>
          <w14:ligatures w14:val="standardContextual"/>
        </w:rPr>
        <w:drawing>
          <wp:inline distT="0" distB="0" distL="0" distR="0" wp14:anchorId="2DFADE21" wp14:editId="0C286219">
            <wp:extent cx="3200400" cy="2522987"/>
            <wp:effectExtent l="0" t="0" r="0" b="4445"/>
            <wp:docPr id="2133208811" name="Picture 98"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208811" name="Picture 98" descr="A graph of a bar graph&#10;&#10;AI-generated content may be incorrect."/>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3224047" cy="2541629"/>
                    </a:xfrm>
                    <a:prstGeom prst="rect">
                      <a:avLst/>
                    </a:prstGeom>
                  </pic:spPr>
                </pic:pic>
              </a:graphicData>
            </a:graphic>
          </wp:inline>
        </w:drawing>
      </w:r>
    </w:p>
    <w:p w14:paraId="4B7F0E00" w14:textId="77777777"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t xml:space="preserve"> </w:t>
      </w:r>
      <w:r w:rsidRPr="00215667">
        <w:rPr>
          <w:rFonts w:ascii="Times New Roman" w:hAnsi="Times New Roman" w:cs="Times New Roman"/>
          <w:b/>
          <w:bCs/>
          <w:noProof/>
          <w:sz w:val="24"/>
          <w:szCs w:val="24"/>
          <w:lang w:val="en-US"/>
        </w:rPr>
        <w:drawing>
          <wp:inline distT="0" distB="0" distL="0" distR="0" wp14:anchorId="0447FEDA" wp14:editId="59089349">
            <wp:extent cx="1676399" cy="175846"/>
            <wp:effectExtent l="0" t="0" r="635" b="2540"/>
            <wp:docPr id="82012462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124622" name="Picture 820124622"/>
                    <pic:cNvPicPr/>
                  </pic:nvPicPr>
                  <pic:blipFill>
                    <a:blip r:embed="rId138" cstate="print">
                      <a:extLst>
                        <a:ext uri="{28A0092B-C50C-407E-A947-70E740481C1C}">
                          <a14:useLocalDpi xmlns:a14="http://schemas.microsoft.com/office/drawing/2010/main" val="0"/>
                        </a:ext>
                      </a:extLst>
                    </a:blip>
                    <a:stretch>
                      <a:fillRect/>
                    </a:stretch>
                  </pic:blipFill>
                  <pic:spPr>
                    <a:xfrm>
                      <a:off x="0" y="0"/>
                      <a:ext cx="1945019" cy="204023"/>
                    </a:xfrm>
                    <a:prstGeom prst="rect">
                      <a:avLst/>
                    </a:prstGeom>
                  </pic:spPr>
                </pic:pic>
              </a:graphicData>
            </a:graphic>
          </wp:inline>
        </w:drawing>
      </w:r>
      <w:r w:rsidRPr="00215667">
        <w:rPr>
          <w:rFonts w:ascii="Times New Roman" w:hAnsi="Times New Roman" w:cs="Times New Roman"/>
          <w:b/>
          <w:bCs/>
          <w:noProof/>
          <w:sz w:val="24"/>
          <w:szCs w:val="24"/>
          <w:lang w:val="en-US"/>
        </w:rPr>
        <w:drawing>
          <wp:inline distT="0" distB="0" distL="0" distR="0" wp14:anchorId="39074A29" wp14:editId="67B4DD49">
            <wp:extent cx="1881554" cy="206906"/>
            <wp:effectExtent l="0" t="0" r="0" b="0"/>
            <wp:docPr id="150061973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619734" name="Picture 1500619734"/>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043265" cy="224689"/>
                    </a:xfrm>
                    <a:prstGeom prst="rect">
                      <a:avLst/>
                    </a:prstGeom>
                  </pic:spPr>
                </pic:pic>
              </a:graphicData>
            </a:graphic>
          </wp:inline>
        </w:drawing>
      </w:r>
      <w:r w:rsidRPr="00215667">
        <w:rPr>
          <w:rFonts w:ascii="Times New Roman" w:hAnsi="Times New Roman" w:cs="Times New Roman"/>
          <w:b/>
          <w:bCs/>
          <w:noProof/>
          <w:sz w:val="24"/>
          <w:szCs w:val="24"/>
          <w:lang w:val="en-US"/>
        </w:rPr>
        <w:drawing>
          <wp:inline distT="0" distB="0" distL="0" distR="0" wp14:anchorId="209A23EC" wp14:editId="5460C583">
            <wp:extent cx="1468315" cy="160180"/>
            <wp:effectExtent l="0" t="0" r="5080" b="5080"/>
            <wp:docPr id="1331745060"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45060" name="Picture 1331745060"/>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1609485" cy="175580"/>
                    </a:xfrm>
                    <a:prstGeom prst="rect">
                      <a:avLst/>
                    </a:prstGeom>
                  </pic:spPr>
                </pic:pic>
              </a:graphicData>
            </a:graphic>
          </wp:inline>
        </w:drawing>
      </w:r>
    </w:p>
    <w:p w14:paraId="6448E293" w14:textId="77777777" w:rsidR="00412474" w:rsidRPr="00215667" w:rsidRDefault="00412474" w:rsidP="00412474">
      <w:pPr>
        <w:spacing w:line="240" w:lineRule="auto"/>
        <w:rPr>
          <w:rFonts w:ascii="Times New Roman" w:hAnsi="Times New Roman" w:cs="Times New Roman"/>
          <w:b/>
          <w:bCs/>
          <w:sz w:val="24"/>
          <w:szCs w:val="24"/>
        </w:rPr>
      </w:pPr>
    </w:p>
    <w:p w14:paraId="5B2913AB" w14:textId="77777777" w:rsidR="00412474" w:rsidRPr="00215667" w:rsidRDefault="00412474" w:rsidP="00AF6275">
      <w:pPr>
        <w:spacing w:line="360" w:lineRule="auto"/>
        <w:ind w:firstLine="720"/>
        <w:jc w:val="both"/>
        <w:rPr>
          <w:rFonts w:ascii="Times New Roman" w:hAnsi="Times New Roman" w:cs="Times New Roman"/>
          <w:b/>
          <w:bCs/>
          <w:sz w:val="24"/>
          <w:szCs w:val="24"/>
        </w:rPr>
      </w:pPr>
      <w:r w:rsidRPr="00215667">
        <w:rPr>
          <w:rFonts w:ascii="Times New Roman" w:hAnsi="Times New Roman" w:cs="Times New Roman"/>
          <w:b/>
          <w:bCs/>
          <w:sz w:val="24"/>
          <w:szCs w:val="24"/>
        </w:rPr>
        <w:t>Направена е и анализа на вредностите на INR при различен степен на PEB во групата пациенти кои примаат VKA/DOAC.</w:t>
      </w:r>
    </w:p>
    <w:p w14:paraId="51E46109" w14:textId="77777777" w:rsidR="00412474" w:rsidRPr="00215667" w:rsidRDefault="00412474" w:rsidP="00AF6275">
      <w:pPr>
        <w:pStyle w:val="p1"/>
        <w:spacing w:line="360" w:lineRule="auto"/>
        <w:ind w:firstLine="720"/>
        <w:jc w:val="both"/>
      </w:pPr>
      <w:r w:rsidRPr="00AF6275">
        <w:rPr>
          <w:i/>
          <w:iCs/>
        </w:rPr>
        <w:t>Kruskal-Wallis H</w:t>
      </w:r>
      <w:r w:rsidRPr="00215667">
        <w:t xml:space="preserve"> тестот покажа дека постои статистички значајна разлика во зависната варијабла помеѓу различните групи, χ²(3) = 58.07, p &lt; .001. Средните ранг-вредности беа 43.93 за INR групата кај PEB1 (VKA/DOAC), 36.5 за INR </w:t>
      </w:r>
      <w:r w:rsidRPr="00215667">
        <w:lastRenderedPageBreak/>
        <w:t>групата кај PEB2 (VKA/DOAC), 73.3 за INR групата кај PEB3 (VKA/DOAC), и 91.5 за INR групата кај PEB4 (VKA/DOAC).</w:t>
      </w:r>
    </w:p>
    <w:p w14:paraId="416B6EE9" w14:textId="77777777" w:rsidR="00412474" w:rsidRPr="00215667" w:rsidRDefault="00412474" w:rsidP="00AF6275">
      <w:pPr>
        <w:pStyle w:val="p1"/>
        <w:spacing w:line="360" w:lineRule="auto"/>
        <w:ind w:firstLine="720"/>
        <w:jc w:val="both"/>
      </w:pPr>
      <w:r w:rsidRPr="00215667">
        <w:t xml:space="preserve">Дополнителната анализа со </w:t>
      </w:r>
      <w:r w:rsidRPr="00AF6275">
        <w:rPr>
          <w:i/>
          <w:iCs/>
        </w:rPr>
        <w:t xml:space="preserve">Dunn’s </w:t>
      </w:r>
      <w:r w:rsidRPr="00215667">
        <w:t xml:space="preserve">пост-хок тест, користејќи </w:t>
      </w:r>
      <w:r w:rsidRPr="00AF6275">
        <w:rPr>
          <w:i/>
          <w:iCs/>
        </w:rPr>
        <w:t>Bonferroni</w:t>
      </w:r>
      <w:r w:rsidRPr="00215667">
        <w:t xml:space="preserve"> коригиран праг на значајност од α = 0.0083, укажа на статистички значајни разлики во средните рангови помеѓу следните парови групи: x1–x3, x1–x4, x2–x3 и x2–x4.</w:t>
      </w:r>
    </w:p>
    <w:p w14:paraId="518AB5EA" w14:textId="46A54FD3" w:rsidR="00412474" w:rsidRDefault="00412474" w:rsidP="00AF6275">
      <w:pPr>
        <w:pStyle w:val="p1"/>
        <w:spacing w:line="360" w:lineRule="auto"/>
        <w:ind w:firstLine="720"/>
        <w:jc w:val="both"/>
      </w:pPr>
      <w:r w:rsidRPr="00215667">
        <w:t>Вредноста на p во целиот тест изнесува 0.0000 (p</w:t>
      </w:r>
      <w:r w:rsidR="00AF6275">
        <w:t xml:space="preserve"> </w:t>
      </w:r>
      <w:r w:rsidRPr="00215667">
        <w:t>&lt;</w:t>
      </w:r>
      <w:r w:rsidR="00AF6275">
        <w:t xml:space="preserve"> </w:t>
      </w:r>
      <w:r w:rsidRPr="00215667">
        <w:t>0.05), а вредноста на H е 58.0704, што не припаѓа во регионот од 95</w:t>
      </w:r>
      <w:r w:rsidR="00AF6275">
        <w:t xml:space="preserve"> </w:t>
      </w:r>
      <w:r w:rsidRPr="00215667">
        <w:t xml:space="preserve">% прифатливост. Забележаниот ефект η² е голем и изнесува 0.56. Ова укажува на тоа дека големината на разликата помеѓу </w:t>
      </w:r>
      <w:r w:rsidR="00E21550">
        <w:t>медијани</w:t>
      </w:r>
      <w:r w:rsidRPr="00215667">
        <w:t xml:space="preserve">те е значителна. Разликите меѓу трите групи се прикажани на графикон бр. </w:t>
      </w:r>
      <w:r w:rsidR="00167D0F" w:rsidRPr="00215667">
        <w:t>53.</w:t>
      </w:r>
      <w:r w:rsidRPr="00215667">
        <w:t xml:space="preserve"> </w:t>
      </w:r>
    </w:p>
    <w:p w14:paraId="54DF348B" w14:textId="404815CA" w:rsidR="00AF6275" w:rsidRPr="00215667" w:rsidRDefault="00AF6275" w:rsidP="00AF6275">
      <w:pPr>
        <w:spacing w:line="360" w:lineRule="auto"/>
        <w:jc w:val="center"/>
        <w:rPr>
          <w:rFonts w:ascii="Times New Roman" w:hAnsi="Times New Roman" w:cs="Times New Roman"/>
          <w:bCs/>
          <w:sz w:val="24"/>
          <w:szCs w:val="24"/>
        </w:rPr>
      </w:pPr>
      <w:r w:rsidRPr="00215667">
        <w:rPr>
          <w:rFonts w:ascii="Times New Roman" w:hAnsi="Times New Roman" w:cs="Times New Roman"/>
          <w:bCs/>
          <w:sz w:val="24"/>
          <w:szCs w:val="24"/>
        </w:rPr>
        <w:t>Графикон бр. 53</w:t>
      </w:r>
      <w:r>
        <w:rPr>
          <w:rFonts w:ascii="Times New Roman" w:hAnsi="Times New Roman" w:cs="Times New Roman"/>
          <w:bCs/>
          <w:sz w:val="24"/>
          <w:szCs w:val="24"/>
        </w:rPr>
        <w:t>-</w:t>
      </w:r>
      <w:r w:rsidRPr="00215667">
        <w:rPr>
          <w:rFonts w:ascii="Times New Roman" w:hAnsi="Times New Roman" w:cs="Times New Roman"/>
          <w:bCs/>
          <w:sz w:val="24"/>
          <w:szCs w:val="24"/>
        </w:rPr>
        <w:t xml:space="preserve"> Разлики во групите на INR во зависност од степенот на PEB, кај пациенти кои примаат антикоагулантна терапија (VKA/DOAC)</w:t>
      </w:r>
    </w:p>
    <w:p w14:paraId="5171A09B" w14:textId="77777777" w:rsidR="00412474" w:rsidRPr="00215667" w:rsidRDefault="00412474" w:rsidP="00412474">
      <w:pPr>
        <w:spacing w:line="240" w:lineRule="auto"/>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1F8615F2" wp14:editId="7604B935">
            <wp:extent cx="1529861" cy="2368004"/>
            <wp:effectExtent l="0" t="0" r="0" b="0"/>
            <wp:docPr id="1945084772" name="Picture 102" descr="A graph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84772" name="Picture 102" descr="A graph with a green line&#10;&#10;AI-generated content may be incorrect."/>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1573041" cy="2434841"/>
                    </a:xfrm>
                    <a:prstGeom prst="rect">
                      <a:avLst/>
                    </a:prstGeom>
                  </pic:spPr>
                </pic:pic>
              </a:graphicData>
            </a:graphic>
          </wp:inline>
        </w:drawing>
      </w:r>
      <w:r w:rsidRPr="00215667">
        <w:rPr>
          <w:rFonts w:ascii="Times New Roman" w:hAnsi="Times New Roman" w:cs="Times New Roman"/>
          <w:noProof/>
          <w:sz w:val="24"/>
          <w:szCs w:val="24"/>
          <w:lang w:val="en-US"/>
        </w:rPr>
        <w:drawing>
          <wp:inline distT="0" distB="0" distL="0" distR="0" wp14:anchorId="2E420D5B" wp14:editId="37073380">
            <wp:extent cx="3624387" cy="2369234"/>
            <wp:effectExtent l="0" t="0" r="0" b="5715"/>
            <wp:docPr id="63300064" name="Picture 103" descr="A diagram of a box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0064" name="Picture 103" descr="A diagram of a box plot&#10;&#10;AI-generated content may be incorrect."/>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3668412" cy="2398013"/>
                    </a:xfrm>
                    <a:prstGeom prst="rect">
                      <a:avLst/>
                    </a:prstGeom>
                  </pic:spPr>
                </pic:pic>
              </a:graphicData>
            </a:graphic>
          </wp:inline>
        </w:drawing>
      </w:r>
    </w:p>
    <w:p w14:paraId="0F2B48E8"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lastRenderedPageBreak/>
        <w:drawing>
          <wp:inline distT="0" distB="0" distL="0" distR="0" wp14:anchorId="2A4F8E5E" wp14:editId="388C56C3">
            <wp:extent cx="3087015" cy="2315261"/>
            <wp:effectExtent l="0" t="0" r="0" b="8890"/>
            <wp:docPr id="43097500" name="Picture 104"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97500" name="Picture 104" descr="A graph with different colored bars&#10;&#10;AI-generated content may be incorrect."/>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102288" cy="2326716"/>
                    </a:xfrm>
                    <a:prstGeom prst="rect">
                      <a:avLst/>
                    </a:prstGeom>
                  </pic:spPr>
                </pic:pic>
              </a:graphicData>
            </a:graphic>
          </wp:inline>
        </w:drawing>
      </w:r>
    </w:p>
    <w:p w14:paraId="0A98A3A8"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5674F29A" wp14:editId="306C145B">
            <wp:extent cx="1556238" cy="219807"/>
            <wp:effectExtent l="0" t="0" r="0" b="0"/>
            <wp:docPr id="99573733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737335" name="Picture 995737335"/>
                    <pic:cNvPicPr/>
                  </pic:nvPicPr>
                  <pic:blipFill rotWithShape="1">
                    <a:blip r:embed="rId144" cstate="print">
                      <a:extLst>
                        <a:ext uri="{28A0092B-C50C-407E-A947-70E740481C1C}">
                          <a14:useLocalDpi xmlns:a14="http://schemas.microsoft.com/office/drawing/2010/main" val="0"/>
                        </a:ext>
                      </a:extLst>
                    </a:blip>
                    <a:srcRect r="16392" b="-3329"/>
                    <a:stretch>
                      <a:fillRect/>
                    </a:stretch>
                  </pic:blipFill>
                  <pic:spPr bwMode="auto">
                    <a:xfrm>
                      <a:off x="0" y="0"/>
                      <a:ext cx="1694008" cy="239266"/>
                    </a:xfrm>
                    <a:prstGeom prst="rect">
                      <a:avLst/>
                    </a:prstGeom>
                    <a:ln>
                      <a:noFill/>
                    </a:ln>
                    <a:extLst>
                      <a:ext uri="{53640926-AAD7-44D8-BBD7-CCE9431645EC}">
                        <a14:shadowObscured xmlns:a14="http://schemas.microsoft.com/office/drawing/2010/main"/>
                      </a:ext>
                    </a:extLst>
                  </pic:spPr>
                </pic:pic>
              </a:graphicData>
            </a:graphic>
          </wp:inline>
        </w:drawing>
      </w:r>
      <w:r w:rsidRPr="00215667">
        <w:rPr>
          <w:rFonts w:ascii="Times New Roman" w:hAnsi="Times New Roman" w:cs="Times New Roman"/>
          <w:noProof/>
          <w:sz w:val="24"/>
          <w:szCs w:val="24"/>
          <w:lang w:val="en-US"/>
        </w:rPr>
        <w:drawing>
          <wp:inline distT="0" distB="0" distL="0" distR="0" wp14:anchorId="162965EE" wp14:editId="21AE2271">
            <wp:extent cx="1688123" cy="254977"/>
            <wp:effectExtent l="0" t="0" r="1270" b="0"/>
            <wp:docPr id="285141081"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141081" name="Picture 285141081"/>
                    <pic:cNvPicPr/>
                  </pic:nvPicPr>
                  <pic:blipFill rotWithShape="1">
                    <a:blip r:embed="rId145" cstate="print">
                      <a:extLst>
                        <a:ext uri="{28A0092B-C50C-407E-A947-70E740481C1C}">
                          <a14:useLocalDpi xmlns:a14="http://schemas.microsoft.com/office/drawing/2010/main" val="0"/>
                        </a:ext>
                      </a:extLst>
                    </a:blip>
                    <a:srcRect r="17097" b="-3490"/>
                    <a:stretch>
                      <a:fillRect/>
                    </a:stretch>
                  </pic:blipFill>
                  <pic:spPr bwMode="auto">
                    <a:xfrm>
                      <a:off x="0" y="0"/>
                      <a:ext cx="1801991" cy="272176"/>
                    </a:xfrm>
                    <a:prstGeom prst="rect">
                      <a:avLst/>
                    </a:prstGeom>
                    <a:ln>
                      <a:noFill/>
                    </a:ln>
                    <a:extLst>
                      <a:ext uri="{53640926-AAD7-44D8-BBD7-CCE9431645EC}">
                        <a14:shadowObscured xmlns:a14="http://schemas.microsoft.com/office/drawing/2010/main"/>
                      </a:ext>
                    </a:extLst>
                  </pic:spPr>
                </pic:pic>
              </a:graphicData>
            </a:graphic>
          </wp:inline>
        </w:drawing>
      </w:r>
    </w:p>
    <w:p w14:paraId="1CCB206D"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7E33F5BB" wp14:editId="24746E09">
            <wp:extent cx="1582616" cy="219808"/>
            <wp:effectExtent l="0" t="0" r="5080" b="0"/>
            <wp:docPr id="1030045343"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045343" name="Picture 1030045343"/>
                    <pic:cNvPicPr/>
                  </pic:nvPicPr>
                  <pic:blipFill rotWithShape="1">
                    <a:blip r:embed="rId146" cstate="print">
                      <a:extLst>
                        <a:ext uri="{28A0092B-C50C-407E-A947-70E740481C1C}">
                          <a14:useLocalDpi xmlns:a14="http://schemas.microsoft.com/office/drawing/2010/main" val="0"/>
                        </a:ext>
                      </a:extLst>
                    </a:blip>
                    <a:srcRect r="17336" b="-3329"/>
                    <a:stretch>
                      <a:fillRect/>
                    </a:stretch>
                  </pic:blipFill>
                  <pic:spPr bwMode="auto">
                    <a:xfrm>
                      <a:off x="0" y="0"/>
                      <a:ext cx="1721419" cy="239086"/>
                    </a:xfrm>
                    <a:prstGeom prst="rect">
                      <a:avLst/>
                    </a:prstGeom>
                    <a:ln>
                      <a:noFill/>
                    </a:ln>
                    <a:extLst>
                      <a:ext uri="{53640926-AAD7-44D8-BBD7-CCE9431645EC}">
                        <a14:shadowObscured xmlns:a14="http://schemas.microsoft.com/office/drawing/2010/main"/>
                      </a:ext>
                    </a:extLst>
                  </pic:spPr>
                </pic:pic>
              </a:graphicData>
            </a:graphic>
          </wp:inline>
        </w:drawing>
      </w:r>
      <w:r w:rsidRPr="00215667">
        <w:rPr>
          <w:rFonts w:ascii="Times New Roman" w:hAnsi="Times New Roman" w:cs="Times New Roman"/>
          <w:noProof/>
          <w:sz w:val="24"/>
          <w:szCs w:val="24"/>
          <w:lang w:val="en-US"/>
        </w:rPr>
        <w:drawing>
          <wp:inline distT="0" distB="0" distL="0" distR="0" wp14:anchorId="4C8CA6D8" wp14:editId="4AE977D9">
            <wp:extent cx="1617785" cy="198755"/>
            <wp:effectExtent l="0" t="0" r="0" b="4445"/>
            <wp:docPr id="917968115"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968115" name="Picture 917968115"/>
                    <pic:cNvPicPr/>
                  </pic:nvPicPr>
                  <pic:blipFill rotWithShape="1">
                    <a:blip r:embed="rId147" cstate="print">
                      <a:extLst>
                        <a:ext uri="{28A0092B-C50C-407E-A947-70E740481C1C}">
                          <a14:useLocalDpi xmlns:a14="http://schemas.microsoft.com/office/drawing/2010/main" val="0"/>
                        </a:ext>
                      </a:extLst>
                    </a:blip>
                    <a:srcRect t="1" r="16295" b="-1"/>
                    <a:stretch>
                      <a:fillRect/>
                    </a:stretch>
                  </pic:blipFill>
                  <pic:spPr bwMode="auto">
                    <a:xfrm>
                      <a:off x="0" y="0"/>
                      <a:ext cx="1831905" cy="225061"/>
                    </a:xfrm>
                    <a:prstGeom prst="rect">
                      <a:avLst/>
                    </a:prstGeom>
                    <a:ln>
                      <a:noFill/>
                    </a:ln>
                    <a:extLst>
                      <a:ext uri="{53640926-AAD7-44D8-BBD7-CCE9431645EC}">
                        <a14:shadowObscured xmlns:a14="http://schemas.microsoft.com/office/drawing/2010/main"/>
                      </a:ext>
                    </a:extLst>
                  </pic:spPr>
                </pic:pic>
              </a:graphicData>
            </a:graphic>
          </wp:inline>
        </w:drawing>
      </w:r>
    </w:p>
    <w:p w14:paraId="385E34EF" w14:textId="4CC9986C" w:rsidR="00412474" w:rsidRDefault="00412474" w:rsidP="00E21550">
      <w:pPr>
        <w:pStyle w:val="p1"/>
        <w:spacing w:line="360" w:lineRule="auto"/>
        <w:ind w:firstLine="720"/>
        <w:jc w:val="both"/>
      </w:pPr>
      <w:r w:rsidRPr="00215667">
        <w:t xml:space="preserve">Резултатите од Пирсоновата корелациска анализа укажаа на статистички значајна и силна позитивна врска помеѓу INR групата и </w:t>
      </w:r>
      <w:r w:rsidR="001B261B" w:rsidRPr="00215667">
        <w:t>постекстракционо</w:t>
      </w:r>
      <w:r w:rsidRPr="00215667">
        <w:t xml:space="preserve">то </w:t>
      </w:r>
      <w:r w:rsidR="00EC49EB" w:rsidRPr="00215667">
        <w:t>крвавење</w:t>
      </w:r>
      <w:r w:rsidRPr="00215667">
        <w:t xml:space="preserve"> (PEB) кај пациенти третирани со VKA/DOAC, r(100) = .634, p &lt; .001.</w:t>
      </w:r>
      <w:r w:rsidR="00167D0F" w:rsidRPr="00215667">
        <w:t xml:space="preserve"> (графикон бр. 54).</w:t>
      </w:r>
    </w:p>
    <w:p w14:paraId="578DF923" w14:textId="3F6CCDBC" w:rsidR="00E21550" w:rsidRPr="00215667" w:rsidRDefault="00E21550" w:rsidP="00E21550">
      <w:pPr>
        <w:spacing w:line="360" w:lineRule="auto"/>
        <w:jc w:val="center"/>
        <w:rPr>
          <w:rFonts w:ascii="Times New Roman" w:hAnsi="Times New Roman" w:cs="Times New Roman"/>
          <w:bCs/>
          <w:sz w:val="24"/>
          <w:szCs w:val="24"/>
        </w:rPr>
      </w:pPr>
      <w:r w:rsidRPr="00215667">
        <w:rPr>
          <w:rFonts w:ascii="Times New Roman" w:hAnsi="Times New Roman" w:cs="Times New Roman"/>
          <w:bCs/>
          <w:sz w:val="24"/>
          <w:szCs w:val="24"/>
        </w:rPr>
        <w:t>Графикон бр. 54</w:t>
      </w:r>
      <w:r>
        <w:rPr>
          <w:rFonts w:ascii="Times New Roman" w:hAnsi="Times New Roman" w:cs="Times New Roman"/>
          <w:bCs/>
          <w:sz w:val="24"/>
          <w:szCs w:val="24"/>
        </w:rPr>
        <w:t>-</w:t>
      </w:r>
      <w:r w:rsidRPr="00215667">
        <w:rPr>
          <w:rFonts w:ascii="Times New Roman" w:hAnsi="Times New Roman" w:cs="Times New Roman"/>
          <w:bCs/>
          <w:sz w:val="24"/>
          <w:szCs w:val="24"/>
        </w:rPr>
        <w:t xml:space="preserve"> Пирсонова корелација меѓу групата на INR и степенот на PEB кај пациенти кои примаат антикоагулантна терапија (VKA/DOAC)</w:t>
      </w:r>
    </w:p>
    <w:p w14:paraId="11218946" w14:textId="77777777" w:rsidR="00412474" w:rsidRPr="00215667" w:rsidRDefault="00412474"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rPr>
        <w:drawing>
          <wp:inline distT="0" distB="0" distL="0" distR="0" wp14:anchorId="79A78F54" wp14:editId="2C327F01">
            <wp:extent cx="5327512" cy="1776046"/>
            <wp:effectExtent l="0" t="0" r="0" b="2540"/>
            <wp:docPr id="97925709" name="Picture 109" descr="A graph with a line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25709" name="Picture 109" descr="A graph with a line and red dots&#10;&#10;AI-generated content may be incorrect."/>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417723" cy="1806120"/>
                    </a:xfrm>
                    <a:prstGeom prst="rect">
                      <a:avLst/>
                    </a:prstGeom>
                  </pic:spPr>
                </pic:pic>
              </a:graphicData>
            </a:graphic>
          </wp:inline>
        </w:drawing>
      </w:r>
    </w:p>
    <w:p w14:paraId="222A1263" w14:textId="77777777" w:rsidR="00167D0F" w:rsidRPr="00215667" w:rsidRDefault="00167D0F" w:rsidP="00412474">
      <w:pPr>
        <w:spacing w:line="240" w:lineRule="auto"/>
        <w:jc w:val="center"/>
        <w:rPr>
          <w:rFonts w:ascii="Times New Roman" w:hAnsi="Times New Roman" w:cs="Times New Roman"/>
          <w:b/>
          <w:bCs/>
          <w:sz w:val="24"/>
          <w:szCs w:val="24"/>
        </w:rPr>
      </w:pPr>
    </w:p>
    <w:p w14:paraId="4E9BEABE" w14:textId="1F9D5896" w:rsidR="00412474" w:rsidRDefault="00412474" w:rsidP="00E21550">
      <w:pPr>
        <w:pStyle w:val="p1"/>
        <w:spacing w:line="360" w:lineRule="auto"/>
        <w:ind w:firstLine="720"/>
        <w:jc w:val="both"/>
      </w:pPr>
      <w:r w:rsidRPr="00215667">
        <w:t xml:space="preserve">Кај групата испитаници кои примаат аспирин, </w:t>
      </w:r>
      <w:r w:rsidRPr="00E21550">
        <w:rPr>
          <w:i/>
          <w:iCs/>
        </w:rPr>
        <w:t>Kruskal-Wallis H</w:t>
      </w:r>
      <w:r w:rsidRPr="00215667">
        <w:t xml:space="preserve"> тестот покажа дека не постои статистички значајна разлика во зависната варијабла помеѓу различните групи, χ²(2) = 4.14, p = .126. Средните ранг-вредности беа 35.17 за PEB кај INR1 (аспирин), 38.46 за PEB кај INR2 (аспирин), и 47.95 за PEB кај INR3 (аспирин). Вредноста на p изнесува 0.126. Вредноста на H е 4.1426, што </w:t>
      </w:r>
      <w:r w:rsidRPr="00215667">
        <w:lastRenderedPageBreak/>
        <w:t>припаѓа на регионот од 95</w:t>
      </w:r>
      <w:r w:rsidR="00E21550">
        <w:t xml:space="preserve"> </w:t>
      </w:r>
      <w:r w:rsidRPr="00215667">
        <w:t>% прифатливост на нултата хипотеза. Забележаниот ефект η² е мал и изнесува 0.027. Ова укажува на тоа дека големината на разликата помеѓу меди</w:t>
      </w:r>
      <w:r w:rsidR="00E21550">
        <w:t>ј</w:t>
      </w:r>
      <w:r w:rsidRPr="00215667">
        <w:t xml:space="preserve">аните е мала. Разликите меѓу трите групи се прикажани на графикон бр. </w:t>
      </w:r>
      <w:r w:rsidR="00167D0F" w:rsidRPr="00215667">
        <w:t>55.</w:t>
      </w:r>
    </w:p>
    <w:p w14:paraId="08AE2F34" w14:textId="03140B46" w:rsidR="00E21550" w:rsidRPr="00215667" w:rsidRDefault="00E21550" w:rsidP="00E21550">
      <w:pPr>
        <w:spacing w:line="360" w:lineRule="auto"/>
        <w:jc w:val="center"/>
        <w:rPr>
          <w:rFonts w:ascii="Times New Roman" w:hAnsi="Times New Roman" w:cs="Times New Roman"/>
          <w:bCs/>
          <w:sz w:val="24"/>
          <w:szCs w:val="24"/>
        </w:rPr>
      </w:pPr>
      <w:r w:rsidRPr="00215667">
        <w:rPr>
          <w:rFonts w:ascii="Times New Roman" w:hAnsi="Times New Roman" w:cs="Times New Roman"/>
          <w:bCs/>
          <w:sz w:val="24"/>
          <w:szCs w:val="24"/>
        </w:rPr>
        <w:t>Графикон бр. 55</w:t>
      </w:r>
      <w:r>
        <w:rPr>
          <w:rFonts w:ascii="Times New Roman" w:hAnsi="Times New Roman" w:cs="Times New Roman"/>
          <w:bCs/>
          <w:sz w:val="24"/>
          <w:szCs w:val="24"/>
        </w:rPr>
        <w:t>-</w:t>
      </w:r>
      <w:r w:rsidRPr="00215667">
        <w:rPr>
          <w:rFonts w:ascii="Times New Roman" w:hAnsi="Times New Roman" w:cs="Times New Roman"/>
          <w:bCs/>
          <w:sz w:val="24"/>
          <w:szCs w:val="24"/>
        </w:rPr>
        <w:t xml:space="preserve"> Приказ на степенот на PEB при различна група на INR, кај пациенти кои примаат антиагрегациона терапија (аспирин)</w:t>
      </w:r>
    </w:p>
    <w:p w14:paraId="4E894A39" w14:textId="77777777" w:rsidR="00412474" w:rsidRPr="00215667" w:rsidRDefault="00412474" w:rsidP="00412474">
      <w:pPr>
        <w:pStyle w:val="p1"/>
        <w:jc w:val="center"/>
      </w:pPr>
      <w:r w:rsidRPr="00215667">
        <w:rPr>
          <w:noProof/>
          <w:lang w:val="en-US" w:eastAsia="en-US"/>
          <w14:ligatures w14:val="standardContextual"/>
        </w:rPr>
        <w:drawing>
          <wp:inline distT="0" distB="0" distL="0" distR="0" wp14:anchorId="283F1C03" wp14:editId="18225FFB">
            <wp:extent cx="1322705" cy="2214866"/>
            <wp:effectExtent l="0" t="0" r="0" b="0"/>
            <wp:docPr id="865655490" name="Picture 120" descr="A graph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655490" name="Picture 120" descr="A graph with a green line&#10;&#10;AI-generated content may be incorrect."/>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1346796" cy="2255206"/>
                    </a:xfrm>
                    <a:prstGeom prst="rect">
                      <a:avLst/>
                    </a:prstGeom>
                  </pic:spPr>
                </pic:pic>
              </a:graphicData>
            </a:graphic>
          </wp:inline>
        </w:drawing>
      </w:r>
      <w:r w:rsidRPr="00215667">
        <w:rPr>
          <w:noProof/>
          <w:lang w:val="en-US" w:eastAsia="en-US"/>
          <w14:ligatures w14:val="standardContextual"/>
        </w:rPr>
        <w:drawing>
          <wp:inline distT="0" distB="0" distL="0" distR="0" wp14:anchorId="79C8DF32" wp14:editId="2A277827">
            <wp:extent cx="3803156" cy="2367134"/>
            <wp:effectExtent l="0" t="0" r="0" b="0"/>
            <wp:docPr id="1951303647" name="Picture 121" descr="A diagram of a box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303647" name="Picture 121" descr="A diagram of a box plot&#10;&#10;AI-generated content may be incorrect."/>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3848519" cy="2395369"/>
                    </a:xfrm>
                    <a:prstGeom prst="rect">
                      <a:avLst/>
                    </a:prstGeom>
                  </pic:spPr>
                </pic:pic>
              </a:graphicData>
            </a:graphic>
          </wp:inline>
        </w:drawing>
      </w:r>
    </w:p>
    <w:p w14:paraId="03F14653" w14:textId="77777777" w:rsidR="00412474" w:rsidRPr="00215667" w:rsidRDefault="00412474"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rPr>
        <w:drawing>
          <wp:inline distT="0" distB="0" distL="0" distR="0" wp14:anchorId="473934BA" wp14:editId="2048D086">
            <wp:extent cx="3694266" cy="2742028"/>
            <wp:effectExtent l="0" t="0" r="1905" b="1270"/>
            <wp:docPr id="1441260724" name="Picture 122"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60724" name="Picture 122" descr="A graph with different colored bars&#10;&#10;AI-generated content may be incorrect."/>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3729585" cy="2768243"/>
                    </a:xfrm>
                    <a:prstGeom prst="rect">
                      <a:avLst/>
                    </a:prstGeom>
                  </pic:spPr>
                </pic:pic>
              </a:graphicData>
            </a:graphic>
          </wp:inline>
        </w:drawing>
      </w:r>
    </w:p>
    <w:p w14:paraId="5A239AEB" w14:textId="77777777" w:rsidR="00412474" w:rsidRPr="00215667" w:rsidRDefault="00412474" w:rsidP="00412474">
      <w:pPr>
        <w:spacing w:line="240" w:lineRule="auto"/>
        <w:jc w:val="center"/>
        <w:rPr>
          <w:rFonts w:ascii="Times New Roman" w:hAnsi="Times New Roman" w:cs="Times New Roman"/>
          <w:b/>
          <w:bCs/>
          <w:sz w:val="24"/>
          <w:szCs w:val="24"/>
        </w:rPr>
      </w:pPr>
      <w:r w:rsidRPr="00215667">
        <w:rPr>
          <w:rFonts w:ascii="Times New Roman" w:hAnsi="Times New Roman" w:cs="Times New Roman"/>
          <w:b/>
          <w:bCs/>
          <w:noProof/>
          <w:sz w:val="24"/>
          <w:szCs w:val="24"/>
          <w:lang w:val="en-US"/>
        </w:rPr>
        <w:drawing>
          <wp:inline distT="0" distB="0" distL="0" distR="0" wp14:anchorId="78D3A97E" wp14:editId="6B1A4420">
            <wp:extent cx="1327638" cy="205691"/>
            <wp:effectExtent l="0" t="0" r="0" b="0"/>
            <wp:docPr id="1448388958" name="Picture 12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88958" name="Picture 123" descr="A black text on a white background&#10;&#10;AI-generated content may be incorrect."/>
                    <pic:cNvPicPr/>
                  </pic:nvPicPr>
                  <pic:blipFill rotWithShape="1">
                    <a:blip r:embed="rId152" cstate="print">
                      <a:extLst>
                        <a:ext uri="{28A0092B-C50C-407E-A947-70E740481C1C}">
                          <a14:useLocalDpi xmlns:a14="http://schemas.microsoft.com/office/drawing/2010/main" val="0"/>
                        </a:ext>
                      </a:extLst>
                    </a:blip>
                    <a:srcRect l="1" r="17535" b="-790"/>
                    <a:stretch>
                      <a:fillRect/>
                    </a:stretch>
                  </pic:blipFill>
                  <pic:spPr bwMode="auto">
                    <a:xfrm>
                      <a:off x="0" y="0"/>
                      <a:ext cx="1423989" cy="220619"/>
                    </a:xfrm>
                    <a:prstGeom prst="rect">
                      <a:avLst/>
                    </a:prstGeom>
                    <a:ln>
                      <a:noFill/>
                    </a:ln>
                    <a:extLst>
                      <a:ext uri="{53640926-AAD7-44D8-BBD7-CCE9431645EC}">
                        <a14:shadowObscured xmlns:a14="http://schemas.microsoft.com/office/drawing/2010/main"/>
                      </a:ext>
                    </a:extLst>
                  </pic:spPr>
                </pic:pic>
              </a:graphicData>
            </a:graphic>
          </wp:inline>
        </w:drawing>
      </w:r>
      <w:r w:rsidRPr="00215667">
        <w:rPr>
          <w:rFonts w:ascii="Times New Roman" w:hAnsi="Times New Roman" w:cs="Times New Roman"/>
          <w:b/>
          <w:bCs/>
          <w:noProof/>
          <w:sz w:val="24"/>
          <w:szCs w:val="24"/>
          <w:lang w:val="en-US"/>
        </w:rPr>
        <w:drawing>
          <wp:inline distT="0" distB="0" distL="0" distR="0" wp14:anchorId="69B47B7B" wp14:editId="4BF20143">
            <wp:extent cx="1573823" cy="239395"/>
            <wp:effectExtent l="0" t="0" r="1270" b="1905"/>
            <wp:docPr id="1692373324" name="Picture 124"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373324" name="Picture 124" descr="A black text on a white background&#10;&#10;AI-generated content may be incorrect."/>
                    <pic:cNvPicPr/>
                  </pic:nvPicPr>
                  <pic:blipFill rotWithShape="1">
                    <a:blip r:embed="rId153">
                      <a:extLst>
                        <a:ext uri="{28A0092B-C50C-407E-A947-70E740481C1C}">
                          <a14:useLocalDpi xmlns:a14="http://schemas.microsoft.com/office/drawing/2010/main" val="0"/>
                        </a:ext>
                      </a:extLst>
                    </a:blip>
                    <a:srcRect r="17055"/>
                    <a:stretch>
                      <a:fillRect/>
                    </a:stretch>
                  </pic:blipFill>
                  <pic:spPr bwMode="auto">
                    <a:xfrm>
                      <a:off x="0" y="0"/>
                      <a:ext cx="1643430" cy="249983"/>
                    </a:xfrm>
                    <a:prstGeom prst="rect">
                      <a:avLst/>
                    </a:prstGeom>
                    <a:ln>
                      <a:noFill/>
                    </a:ln>
                    <a:extLst>
                      <a:ext uri="{53640926-AAD7-44D8-BBD7-CCE9431645EC}">
                        <a14:shadowObscured xmlns:a14="http://schemas.microsoft.com/office/drawing/2010/main"/>
                      </a:ext>
                    </a:extLst>
                  </pic:spPr>
                </pic:pic>
              </a:graphicData>
            </a:graphic>
          </wp:inline>
        </w:drawing>
      </w:r>
      <w:r w:rsidRPr="00215667">
        <w:rPr>
          <w:rFonts w:ascii="Times New Roman" w:hAnsi="Times New Roman" w:cs="Times New Roman"/>
          <w:b/>
          <w:bCs/>
          <w:noProof/>
          <w:sz w:val="24"/>
          <w:szCs w:val="24"/>
          <w:lang w:val="en-US"/>
        </w:rPr>
        <w:drawing>
          <wp:inline distT="0" distB="0" distL="0" distR="0" wp14:anchorId="1E27508B" wp14:editId="654998DE">
            <wp:extent cx="1521069" cy="258445"/>
            <wp:effectExtent l="0" t="0" r="3175" b="0"/>
            <wp:docPr id="1939743018" name="Picture 125"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743018" name="Picture 125" descr="A black text on a white background&#10;&#10;AI-generated content may be incorrect."/>
                    <pic:cNvPicPr/>
                  </pic:nvPicPr>
                  <pic:blipFill rotWithShape="1">
                    <a:blip r:embed="rId154">
                      <a:extLst>
                        <a:ext uri="{28A0092B-C50C-407E-A947-70E740481C1C}">
                          <a14:useLocalDpi xmlns:a14="http://schemas.microsoft.com/office/drawing/2010/main" val="0"/>
                        </a:ext>
                      </a:extLst>
                    </a:blip>
                    <a:srcRect r="17106"/>
                    <a:stretch>
                      <a:fillRect/>
                    </a:stretch>
                  </pic:blipFill>
                  <pic:spPr bwMode="auto">
                    <a:xfrm>
                      <a:off x="0" y="0"/>
                      <a:ext cx="1605355" cy="272766"/>
                    </a:xfrm>
                    <a:prstGeom prst="rect">
                      <a:avLst/>
                    </a:prstGeom>
                    <a:ln>
                      <a:noFill/>
                    </a:ln>
                    <a:extLst>
                      <a:ext uri="{53640926-AAD7-44D8-BBD7-CCE9431645EC}">
                        <a14:shadowObscured xmlns:a14="http://schemas.microsoft.com/office/drawing/2010/main"/>
                      </a:ext>
                    </a:extLst>
                  </pic:spPr>
                </pic:pic>
              </a:graphicData>
            </a:graphic>
          </wp:inline>
        </w:drawing>
      </w:r>
    </w:p>
    <w:p w14:paraId="22FB0F20" w14:textId="77777777" w:rsidR="00412474" w:rsidRPr="00215667" w:rsidRDefault="00412474" w:rsidP="00412474">
      <w:pPr>
        <w:spacing w:line="240" w:lineRule="auto"/>
        <w:rPr>
          <w:rFonts w:ascii="Times New Roman" w:hAnsi="Times New Roman" w:cs="Times New Roman"/>
          <w:sz w:val="24"/>
          <w:szCs w:val="24"/>
        </w:rPr>
      </w:pPr>
    </w:p>
    <w:p w14:paraId="14800BBB" w14:textId="77777777" w:rsidR="00412474" w:rsidRPr="00215667" w:rsidRDefault="00412474" w:rsidP="00E21550">
      <w:pPr>
        <w:spacing w:line="360" w:lineRule="auto"/>
        <w:ind w:firstLine="720"/>
        <w:jc w:val="both"/>
        <w:rPr>
          <w:rFonts w:ascii="Times New Roman" w:hAnsi="Times New Roman" w:cs="Times New Roman"/>
          <w:b/>
          <w:bCs/>
          <w:sz w:val="24"/>
          <w:szCs w:val="24"/>
        </w:rPr>
      </w:pPr>
      <w:r w:rsidRPr="00215667">
        <w:rPr>
          <w:rFonts w:ascii="Times New Roman" w:hAnsi="Times New Roman" w:cs="Times New Roman"/>
          <w:b/>
          <w:bCs/>
          <w:sz w:val="24"/>
          <w:szCs w:val="24"/>
        </w:rPr>
        <w:t>Направена е и анализа на вредностите на INR при различен степен на PEB во групата пациенти кои примаат аспирин.</w:t>
      </w:r>
    </w:p>
    <w:p w14:paraId="0F4EB4E4" w14:textId="77777777" w:rsidR="00412474" w:rsidRPr="00215667" w:rsidRDefault="00412474" w:rsidP="00E21550">
      <w:pPr>
        <w:pStyle w:val="p1"/>
        <w:spacing w:line="360" w:lineRule="auto"/>
        <w:ind w:firstLine="720"/>
        <w:jc w:val="both"/>
      </w:pPr>
      <w:r w:rsidRPr="00E21550">
        <w:rPr>
          <w:i/>
          <w:iCs/>
        </w:rPr>
        <w:lastRenderedPageBreak/>
        <w:t>Kruskal-Wallis H</w:t>
      </w:r>
      <w:r w:rsidRPr="00215667">
        <w:t xml:space="preserve"> тестот покажа дека постои статистички значајна разлика во зависната варијабла помеѓу различните групи, χ²(2) = 7.43, p = .024. Средните ранг-вредности изнесуваа 38.41 за INR кај PEB1 (аспирин), 43.46 за INR кај PEB2 (аспирин), и 67.5 за INR кај PEB3 (аспирин).</w:t>
      </w:r>
    </w:p>
    <w:p w14:paraId="597E4BE5" w14:textId="77777777" w:rsidR="00412474" w:rsidRPr="00215667" w:rsidRDefault="00412474" w:rsidP="00E21550">
      <w:pPr>
        <w:pStyle w:val="p1"/>
        <w:spacing w:line="360" w:lineRule="auto"/>
        <w:ind w:firstLine="720"/>
        <w:jc w:val="both"/>
      </w:pPr>
      <w:r w:rsidRPr="00215667">
        <w:t xml:space="preserve">Дополнителната анализа со </w:t>
      </w:r>
      <w:r w:rsidRPr="00E21550">
        <w:rPr>
          <w:i/>
          <w:iCs/>
        </w:rPr>
        <w:t>Dunn’s</w:t>
      </w:r>
      <w:r w:rsidRPr="00215667">
        <w:t xml:space="preserve"> пост-хок тест, применувајќи </w:t>
      </w:r>
      <w:r w:rsidRPr="00E21550">
        <w:rPr>
          <w:i/>
          <w:iCs/>
        </w:rPr>
        <w:t>Bonferroni</w:t>
      </w:r>
      <w:r w:rsidRPr="00215667">
        <w:t>-коригиран праг на значајност од α = 0.017, покажа статистички значајна разлика во средните рангови помеѓу следниот пар групи: x1 – x3.</w:t>
      </w:r>
    </w:p>
    <w:p w14:paraId="5D326B74" w14:textId="62620E3D" w:rsidR="00412474" w:rsidRDefault="00412474" w:rsidP="00E21550">
      <w:pPr>
        <w:pStyle w:val="p1"/>
        <w:spacing w:line="360" w:lineRule="auto"/>
        <w:ind w:firstLine="720"/>
        <w:jc w:val="both"/>
      </w:pPr>
      <w:r w:rsidRPr="00215667">
        <w:t xml:space="preserve"> Вредноста на p во целиот тест изнесува 0.024 (p</w:t>
      </w:r>
      <w:r w:rsidR="00E21550">
        <w:t xml:space="preserve"> </w:t>
      </w:r>
      <w:r w:rsidRPr="00215667">
        <w:t>&lt;</w:t>
      </w:r>
      <w:r w:rsidR="00E21550">
        <w:t xml:space="preserve"> </w:t>
      </w:r>
      <w:r w:rsidRPr="00215667">
        <w:t>0.05), а вредноста на H е 7.4252, што не припаѓа во регионот од 95</w:t>
      </w:r>
      <w:r w:rsidR="00E21550">
        <w:t xml:space="preserve"> </w:t>
      </w:r>
      <w:r w:rsidRPr="00215667">
        <w:t xml:space="preserve">% прифатливост. Забележаниот ефект η² е среден и изнесува 0.068. Ова укажува на тоа дека големината на разликата помеѓу </w:t>
      </w:r>
      <w:r w:rsidR="00E21550">
        <w:t>медијани</w:t>
      </w:r>
      <w:r w:rsidRPr="00215667">
        <w:t xml:space="preserve">те е средна. Разликите меѓу трите групи се прикажани на графикон бр. </w:t>
      </w:r>
      <w:r w:rsidR="00167D0F" w:rsidRPr="00215667">
        <w:t>56.</w:t>
      </w:r>
    </w:p>
    <w:p w14:paraId="4CDC2D1F" w14:textId="12B57160" w:rsidR="00E21550" w:rsidRPr="00215667" w:rsidRDefault="00E21550" w:rsidP="00E21550">
      <w:pPr>
        <w:spacing w:line="360" w:lineRule="auto"/>
        <w:jc w:val="center"/>
        <w:rPr>
          <w:rFonts w:ascii="Times New Roman" w:hAnsi="Times New Roman" w:cs="Times New Roman"/>
          <w:bCs/>
          <w:sz w:val="24"/>
          <w:szCs w:val="24"/>
        </w:rPr>
      </w:pPr>
      <w:r w:rsidRPr="00215667">
        <w:rPr>
          <w:rFonts w:ascii="Times New Roman" w:hAnsi="Times New Roman" w:cs="Times New Roman"/>
          <w:bCs/>
          <w:sz w:val="24"/>
          <w:szCs w:val="24"/>
        </w:rPr>
        <w:t>Графикон бр. 56</w:t>
      </w:r>
      <w:r>
        <w:rPr>
          <w:rFonts w:ascii="Times New Roman" w:hAnsi="Times New Roman" w:cs="Times New Roman"/>
          <w:bCs/>
          <w:sz w:val="24"/>
          <w:szCs w:val="24"/>
        </w:rPr>
        <w:t>-</w:t>
      </w:r>
      <w:r w:rsidRPr="00215667">
        <w:rPr>
          <w:rFonts w:ascii="Times New Roman" w:hAnsi="Times New Roman" w:cs="Times New Roman"/>
          <w:bCs/>
          <w:sz w:val="24"/>
          <w:szCs w:val="24"/>
        </w:rPr>
        <w:t xml:space="preserve"> Разлики во групите на INR во зависност од степенот на PEB, кај пациенти кои примаат антигрегациона терапија (аспирин)</w:t>
      </w:r>
    </w:p>
    <w:p w14:paraId="7251241E" w14:textId="77777777" w:rsidR="00412474" w:rsidRPr="00215667" w:rsidRDefault="00412474" w:rsidP="00412474">
      <w:pPr>
        <w:pStyle w:val="p1"/>
        <w:jc w:val="center"/>
      </w:pPr>
      <w:r w:rsidRPr="00215667">
        <w:rPr>
          <w:noProof/>
          <w:lang w:val="en-US" w:eastAsia="en-US"/>
          <w14:ligatures w14:val="standardContextual"/>
        </w:rPr>
        <w:drawing>
          <wp:inline distT="0" distB="0" distL="0" distR="0" wp14:anchorId="537A7B93" wp14:editId="1CE3AB11">
            <wp:extent cx="1578476" cy="2460889"/>
            <wp:effectExtent l="0" t="0" r="0" b="3175"/>
            <wp:docPr id="1754239001" name="Picture 117" descr="A graph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239001" name="Picture 117" descr="A graph with a green line&#10;&#10;AI-generated content may be incorrect."/>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1614635" cy="2517263"/>
                    </a:xfrm>
                    <a:prstGeom prst="rect">
                      <a:avLst/>
                    </a:prstGeom>
                  </pic:spPr>
                </pic:pic>
              </a:graphicData>
            </a:graphic>
          </wp:inline>
        </w:drawing>
      </w:r>
      <w:r w:rsidRPr="00215667">
        <w:rPr>
          <w:noProof/>
          <w:lang w:val="en-US" w:eastAsia="en-US"/>
          <w14:ligatures w14:val="standardContextual"/>
        </w:rPr>
        <w:drawing>
          <wp:inline distT="0" distB="0" distL="0" distR="0" wp14:anchorId="65267DE5" wp14:editId="10B8A86A">
            <wp:extent cx="3452993" cy="2558073"/>
            <wp:effectExtent l="0" t="0" r="1905" b="0"/>
            <wp:docPr id="673962186" name="Picture 118" descr="A diagram of a box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962186" name="Picture 118" descr="A diagram of a box plot&#10;&#10;AI-generated content may be incorrect."/>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3525823" cy="2612027"/>
                    </a:xfrm>
                    <a:prstGeom prst="rect">
                      <a:avLst/>
                    </a:prstGeom>
                  </pic:spPr>
                </pic:pic>
              </a:graphicData>
            </a:graphic>
          </wp:inline>
        </w:drawing>
      </w:r>
    </w:p>
    <w:p w14:paraId="2DE39114" w14:textId="77777777" w:rsidR="00412474" w:rsidRPr="00215667" w:rsidRDefault="00412474" w:rsidP="00412474">
      <w:pPr>
        <w:pStyle w:val="p1"/>
        <w:jc w:val="center"/>
      </w:pPr>
      <w:r w:rsidRPr="00215667">
        <w:rPr>
          <w:noProof/>
          <w:lang w:val="en-US" w:eastAsia="en-US"/>
          <w14:ligatures w14:val="standardContextual"/>
        </w:rPr>
        <w:lastRenderedPageBreak/>
        <w:drawing>
          <wp:inline distT="0" distB="0" distL="0" distR="0" wp14:anchorId="1721A567" wp14:editId="53F23C4E">
            <wp:extent cx="3859823" cy="2828600"/>
            <wp:effectExtent l="0" t="0" r="1270" b="3810"/>
            <wp:docPr id="1100754690" name="Picture 119" descr="A graph with blue and green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754690" name="Picture 119" descr="A graph with blue and green bars&#10;&#10;AI-generated content may be incorrect."/>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3882524" cy="2845236"/>
                    </a:xfrm>
                    <a:prstGeom prst="rect">
                      <a:avLst/>
                    </a:prstGeom>
                  </pic:spPr>
                </pic:pic>
              </a:graphicData>
            </a:graphic>
          </wp:inline>
        </w:drawing>
      </w:r>
    </w:p>
    <w:p w14:paraId="0E41819D" w14:textId="77777777" w:rsidR="00412474" w:rsidRPr="00215667" w:rsidRDefault="00412474" w:rsidP="00412474">
      <w:pPr>
        <w:pStyle w:val="p1"/>
        <w:jc w:val="center"/>
      </w:pPr>
      <w:r w:rsidRPr="00215667">
        <w:rPr>
          <w:noProof/>
          <w:lang w:val="en-US" w:eastAsia="en-US"/>
          <w14:ligatures w14:val="standardContextual"/>
        </w:rPr>
        <w:drawing>
          <wp:inline distT="0" distB="0" distL="0" distR="0" wp14:anchorId="411B96E9" wp14:editId="5A793599">
            <wp:extent cx="1564768" cy="248285"/>
            <wp:effectExtent l="0" t="0" r="0" b="5715"/>
            <wp:docPr id="332242776"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42776" name="Picture 332242776"/>
                    <pic:cNvPicPr/>
                  </pic:nvPicPr>
                  <pic:blipFill rotWithShape="1">
                    <a:blip r:embed="rId158">
                      <a:extLst>
                        <a:ext uri="{28A0092B-C50C-407E-A947-70E740481C1C}">
                          <a14:useLocalDpi xmlns:a14="http://schemas.microsoft.com/office/drawing/2010/main" val="0"/>
                        </a:ext>
                      </a:extLst>
                    </a:blip>
                    <a:srcRect t="1" r="25550" b="769"/>
                    <a:stretch>
                      <a:fillRect/>
                    </a:stretch>
                  </pic:blipFill>
                  <pic:spPr bwMode="auto">
                    <a:xfrm>
                      <a:off x="0" y="0"/>
                      <a:ext cx="1659088" cy="263251"/>
                    </a:xfrm>
                    <a:prstGeom prst="rect">
                      <a:avLst/>
                    </a:prstGeom>
                    <a:ln>
                      <a:noFill/>
                    </a:ln>
                    <a:extLst>
                      <a:ext uri="{53640926-AAD7-44D8-BBD7-CCE9431645EC}">
                        <a14:shadowObscured xmlns:a14="http://schemas.microsoft.com/office/drawing/2010/main"/>
                      </a:ext>
                    </a:extLst>
                  </pic:spPr>
                </pic:pic>
              </a:graphicData>
            </a:graphic>
          </wp:inline>
        </w:drawing>
      </w:r>
      <w:r w:rsidRPr="00215667">
        <w:rPr>
          <w:noProof/>
          <w:lang w:val="en-US" w:eastAsia="en-US"/>
          <w14:ligatures w14:val="standardContextual"/>
        </w:rPr>
        <w:drawing>
          <wp:inline distT="0" distB="0" distL="0" distR="0" wp14:anchorId="770A026C" wp14:editId="560BF340">
            <wp:extent cx="1582095" cy="248285"/>
            <wp:effectExtent l="0" t="0" r="5715" b="5715"/>
            <wp:docPr id="102193099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930995" name="Picture 114"/>
                    <pic:cNvPicPr/>
                  </pic:nvPicPr>
                  <pic:blipFill rotWithShape="1">
                    <a:blip r:embed="rId159">
                      <a:extLst>
                        <a:ext uri="{28A0092B-C50C-407E-A947-70E740481C1C}">
                          <a14:useLocalDpi xmlns:a14="http://schemas.microsoft.com/office/drawing/2010/main" val="0"/>
                        </a:ext>
                      </a:extLst>
                    </a:blip>
                    <a:srcRect t="769" r="28418" b="1"/>
                    <a:stretch>
                      <a:fillRect/>
                    </a:stretch>
                  </pic:blipFill>
                  <pic:spPr bwMode="auto">
                    <a:xfrm>
                      <a:off x="0" y="0"/>
                      <a:ext cx="1627434" cy="255400"/>
                    </a:xfrm>
                    <a:prstGeom prst="rect">
                      <a:avLst/>
                    </a:prstGeom>
                    <a:ln>
                      <a:noFill/>
                    </a:ln>
                    <a:extLst>
                      <a:ext uri="{53640926-AAD7-44D8-BBD7-CCE9431645EC}">
                        <a14:shadowObscured xmlns:a14="http://schemas.microsoft.com/office/drawing/2010/main"/>
                      </a:ext>
                    </a:extLst>
                  </pic:spPr>
                </pic:pic>
              </a:graphicData>
            </a:graphic>
          </wp:inline>
        </w:drawing>
      </w:r>
      <w:r w:rsidRPr="00215667">
        <w:rPr>
          <w:noProof/>
          <w:lang w:val="en-US" w:eastAsia="en-US"/>
          <w14:ligatures w14:val="standardContextual"/>
        </w:rPr>
        <w:drawing>
          <wp:inline distT="0" distB="0" distL="0" distR="0" wp14:anchorId="237FCE6B" wp14:editId="791EB57C">
            <wp:extent cx="1776046" cy="249756"/>
            <wp:effectExtent l="0" t="0" r="2540" b="4445"/>
            <wp:docPr id="1942622296" name="Picture 115" descr="A black letter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622296" name="Picture 115" descr="A black letter with a white background&#10;&#10;AI-generated content may be incorrect."/>
                    <pic:cNvPicPr/>
                  </pic:nvPicPr>
                  <pic:blipFill>
                    <a:blip r:embed="rId160">
                      <a:extLst>
                        <a:ext uri="{28A0092B-C50C-407E-A947-70E740481C1C}">
                          <a14:useLocalDpi xmlns:a14="http://schemas.microsoft.com/office/drawing/2010/main" val="0"/>
                        </a:ext>
                      </a:extLst>
                    </a:blip>
                    <a:stretch>
                      <a:fillRect/>
                    </a:stretch>
                  </pic:blipFill>
                  <pic:spPr>
                    <a:xfrm>
                      <a:off x="0" y="0"/>
                      <a:ext cx="1837927" cy="258458"/>
                    </a:xfrm>
                    <a:prstGeom prst="rect">
                      <a:avLst/>
                    </a:prstGeom>
                  </pic:spPr>
                </pic:pic>
              </a:graphicData>
            </a:graphic>
          </wp:inline>
        </w:drawing>
      </w:r>
    </w:p>
    <w:p w14:paraId="625C4123" w14:textId="77777777" w:rsidR="00167D0F" w:rsidRPr="00215667" w:rsidRDefault="00167D0F" w:rsidP="00412474">
      <w:pPr>
        <w:pStyle w:val="p1"/>
        <w:jc w:val="center"/>
      </w:pPr>
    </w:p>
    <w:p w14:paraId="0216133E" w14:textId="4B108BF9" w:rsidR="00412474" w:rsidRDefault="00412474" w:rsidP="00E21550">
      <w:pPr>
        <w:pStyle w:val="p1"/>
        <w:spacing w:line="360" w:lineRule="auto"/>
        <w:ind w:firstLine="720"/>
        <w:jc w:val="both"/>
      </w:pPr>
      <w:r w:rsidRPr="00215667">
        <w:t xml:space="preserve">Резултатите од Пирсоновата корелациска анализа покажаа статистички значајна, слаба позитивна врска помеѓу INR групата и </w:t>
      </w:r>
      <w:r w:rsidR="001B261B" w:rsidRPr="00215667">
        <w:t>постекстракционо</w:t>
      </w:r>
      <w:r w:rsidRPr="00215667">
        <w:t xml:space="preserve">то </w:t>
      </w:r>
      <w:r w:rsidR="00EC49EB" w:rsidRPr="00215667">
        <w:t>крвавење</w:t>
      </w:r>
      <w:r w:rsidRPr="00215667">
        <w:t xml:space="preserve"> (PEB) кај пациенти третирани со аспирин, r(81) = .248, p = .024.</w:t>
      </w:r>
      <w:r w:rsidR="00167D0F" w:rsidRPr="00215667">
        <w:t xml:space="preserve"> (графикон бр. 57).</w:t>
      </w:r>
    </w:p>
    <w:p w14:paraId="26266261" w14:textId="6EC14437" w:rsidR="00E21550" w:rsidRPr="00215667" w:rsidRDefault="00E21550" w:rsidP="00E21550">
      <w:pPr>
        <w:spacing w:line="360" w:lineRule="auto"/>
        <w:jc w:val="center"/>
        <w:rPr>
          <w:rFonts w:ascii="Times New Roman" w:hAnsi="Times New Roman" w:cs="Times New Roman"/>
          <w:sz w:val="24"/>
          <w:szCs w:val="24"/>
        </w:rPr>
      </w:pPr>
      <w:r w:rsidRPr="00215667">
        <w:rPr>
          <w:rFonts w:ascii="Times New Roman" w:hAnsi="Times New Roman" w:cs="Times New Roman"/>
          <w:sz w:val="24"/>
          <w:szCs w:val="24"/>
        </w:rPr>
        <w:t>Графикон бр. 57</w:t>
      </w:r>
      <w:r>
        <w:rPr>
          <w:rFonts w:ascii="Times New Roman" w:hAnsi="Times New Roman" w:cs="Times New Roman"/>
          <w:sz w:val="24"/>
          <w:szCs w:val="24"/>
        </w:rPr>
        <w:t>-</w:t>
      </w:r>
      <w:r w:rsidRPr="00215667">
        <w:rPr>
          <w:rFonts w:ascii="Times New Roman" w:hAnsi="Times New Roman" w:cs="Times New Roman"/>
          <w:sz w:val="24"/>
          <w:szCs w:val="24"/>
        </w:rPr>
        <w:t xml:space="preserve"> Пирсонова корелација меѓу групата на INR и степенот на PEB кај пациенти кои примаат аспирин</w:t>
      </w:r>
    </w:p>
    <w:p w14:paraId="23ECF5A3" w14:textId="77777777"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noProof/>
          <w:sz w:val="24"/>
          <w:szCs w:val="24"/>
          <w:lang w:val="en-US"/>
        </w:rPr>
        <w:drawing>
          <wp:inline distT="0" distB="0" distL="0" distR="0" wp14:anchorId="2A25555A" wp14:editId="7548288C">
            <wp:extent cx="5400040" cy="1847850"/>
            <wp:effectExtent l="0" t="0" r="0" b="6350"/>
            <wp:docPr id="1715459228" name="Picture 126" descr="A graph with a line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459228" name="Picture 126" descr="A graph with a line and red dots&#10;&#10;AI-generated content may be incorrect."/>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5418784" cy="1854264"/>
                    </a:xfrm>
                    <a:prstGeom prst="rect">
                      <a:avLst/>
                    </a:prstGeom>
                  </pic:spPr>
                </pic:pic>
              </a:graphicData>
            </a:graphic>
          </wp:inline>
        </w:drawing>
      </w:r>
    </w:p>
    <w:p w14:paraId="6BF5449A" w14:textId="77777777" w:rsidR="00412474" w:rsidRPr="00215667" w:rsidRDefault="00412474" w:rsidP="00412474">
      <w:pPr>
        <w:spacing w:line="240" w:lineRule="auto"/>
        <w:rPr>
          <w:rFonts w:ascii="Times New Roman" w:hAnsi="Times New Roman" w:cs="Times New Roman"/>
          <w:b/>
          <w:bCs/>
          <w:sz w:val="24"/>
          <w:szCs w:val="24"/>
        </w:rPr>
      </w:pPr>
    </w:p>
    <w:p w14:paraId="7A56625E" w14:textId="77777777" w:rsidR="00E21550" w:rsidRDefault="00E21550" w:rsidP="00412474">
      <w:pPr>
        <w:spacing w:line="240" w:lineRule="auto"/>
        <w:rPr>
          <w:rFonts w:ascii="Times New Roman" w:hAnsi="Times New Roman" w:cs="Times New Roman"/>
          <w:b/>
          <w:bCs/>
          <w:sz w:val="24"/>
          <w:szCs w:val="24"/>
        </w:rPr>
      </w:pPr>
    </w:p>
    <w:p w14:paraId="6909798B" w14:textId="77777777" w:rsidR="00E21550" w:rsidRDefault="00E21550" w:rsidP="00412474">
      <w:pPr>
        <w:spacing w:line="240" w:lineRule="auto"/>
        <w:rPr>
          <w:rFonts w:ascii="Times New Roman" w:hAnsi="Times New Roman" w:cs="Times New Roman"/>
          <w:b/>
          <w:bCs/>
          <w:sz w:val="24"/>
          <w:szCs w:val="24"/>
        </w:rPr>
      </w:pPr>
    </w:p>
    <w:p w14:paraId="3B55B9E9" w14:textId="5F08A0B0"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lastRenderedPageBreak/>
        <w:t>Влијание на HAS-BLED индексот врз PEB</w:t>
      </w:r>
    </w:p>
    <w:p w14:paraId="22DADE85" w14:textId="4047456A" w:rsidR="001B261B" w:rsidRPr="00215667" w:rsidRDefault="001B261B" w:rsidP="00FA7E6F">
      <w:pPr>
        <w:pStyle w:val="p1"/>
        <w:spacing w:line="360" w:lineRule="auto"/>
        <w:ind w:firstLine="720"/>
        <w:jc w:val="both"/>
      </w:pPr>
      <w:r w:rsidRPr="00215667">
        <w:t>Направена е споредба на вредностите на HAS-BLED индексот во зависност од степенот на PEB.</w:t>
      </w:r>
    </w:p>
    <w:p w14:paraId="62CA041F" w14:textId="146FDF6C" w:rsidR="00412474" w:rsidRPr="00215667" w:rsidRDefault="00412474" w:rsidP="00FA7E6F">
      <w:pPr>
        <w:pStyle w:val="p1"/>
        <w:spacing w:line="360" w:lineRule="auto"/>
        <w:ind w:firstLine="720"/>
        <w:jc w:val="both"/>
      </w:pPr>
      <w:r w:rsidRPr="00FA7E6F">
        <w:rPr>
          <w:i/>
          <w:iCs/>
        </w:rPr>
        <w:t>Kruskal-Wallis H</w:t>
      </w:r>
      <w:r w:rsidRPr="00215667">
        <w:t xml:space="preserve"> тестот покажа дека постои значајна разлика во зависната променлива помеѓу различните групи, χ²(3) = 96.05, p &lt; .001, со средна ранг-оценка од 59.69 за PEB 1, 93.56 за PEB 2, 153.74 за PEB 3, и 176.25 за PEB 4. Пост-хок </w:t>
      </w:r>
      <w:r w:rsidRPr="00FA7E6F">
        <w:rPr>
          <w:i/>
          <w:iCs/>
        </w:rPr>
        <w:t>Dunn</w:t>
      </w:r>
      <w:r w:rsidRPr="00215667">
        <w:t xml:space="preserve"> тестот со </w:t>
      </w:r>
      <w:r w:rsidRPr="00FA7E6F">
        <w:rPr>
          <w:i/>
          <w:iCs/>
        </w:rPr>
        <w:t>Bonferroni</w:t>
      </w:r>
      <w:r w:rsidRPr="00215667">
        <w:t xml:space="preserve"> коригиранo алфа-ниво од 0.0083 покажа дека средните рангови на следните парови се статистички значајно различни: x1-x2, x1-x3, x1-x4, x2-x3, x2-x4.</w:t>
      </w:r>
    </w:p>
    <w:p w14:paraId="7B0D095A" w14:textId="4C10E738" w:rsidR="00412474" w:rsidRPr="00215667" w:rsidRDefault="00412474" w:rsidP="00FA7E6F">
      <w:pPr>
        <w:pStyle w:val="p1"/>
        <w:spacing w:line="360" w:lineRule="auto"/>
        <w:ind w:firstLine="720"/>
        <w:jc w:val="both"/>
      </w:pPr>
      <w:r w:rsidRPr="00215667">
        <w:t xml:space="preserve">Резултатите од </w:t>
      </w:r>
      <w:r w:rsidRPr="00FA7E6F">
        <w:rPr>
          <w:i/>
          <w:iCs/>
        </w:rPr>
        <w:t>Kruskal-Wallis H</w:t>
      </w:r>
      <w:r w:rsidRPr="00215667">
        <w:t xml:space="preserve"> тестот укажуваат дека постои </w:t>
      </w:r>
      <w:r w:rsidRPr="00215667">
        <w:rPr>
          <w:rStyle w:val="s1"/>
          <w:rFonts w:eastAsiaTheme="majorEastAsia"/>
        </w:rPr>
        <w:t>статистички значајна разлика во зависната променлива</w:t>
      </w:r>
      <w:r w:rsidRPr="00215667">
        <w:t xml:space="preserve"> (HAS-BLED индекс) помеѓу групите класифицирани според PEB (степени на </w:t>
      </w:r>
      <w:r w:rsidR="00EC49EB" w:rsidRPr="00215667">
        <w:t>крвавење</w:t>
      </w:r>
      <w:r w:rsidRPr="00215667">
        <w:t xml:space="preserve">), χ²(3) = 96.05, </w:t>
      </w:r>
      <w:r w:rsidRPr="00215667">
        <w:rPr>
          <w:i/>
          <w:iCs/>
        </w:rPr>
        <w:t>p</w:t>
      </w:r>
      <w:r w:rsidRPr="00215667">
        <w:t xml:space="preserve"> &lt; 0.001. Средните рангови за групите се зголемуваат со повисок степен на PEB:</w:t>
      </w:r>
    </w:p>
    <w:p w14:paraId="3E2CB7B5" w14:textId="77777777" w:rsidR="00412474" w:rsidRPr="00215667" w:rsidRDefault="00412474" w:rsidP="00412474">
      <w:pPr>
        <w:pStyle w:val="p1"/>
        <w:numPr>
          <w:ilvl w:val="0"/>
          <w:numId w:val="31"/>
        </w:numPr>
      </w:pPr>
      <w:r w:rsidRPr="00215667">
        <w:t>PEB 1 → 59.69</w:t>
      </w:r>
    </w:p>
    <w:p w14:paraId="549077E4" w14:textId="77777777" w:rsidR="00412474" w:rsidRPr="00215667" w:rsidRDefault="00412474" w:rsidP="00412474">
      <w:pPr>
        <w:pStyle w:val="p1"/>
        <w:numPr>
          <w:ilvl w:val="0"/>
          <w:numId w:val="31"/>
        </w:numPr>
      </w:pPr>
      <w:r w:rsidRPr="00215667">
        <w:t>PEB 2 → 93.56</w:t>
      </w:r>
    </w:p>
    <w:p w14:paraId="45543733" w14:textId="77777777" w:rsidR="00412474" w:rsidRPr="00215667" w:rsidRDefault="00412474" w:rsidP="00412474">
      <w:pPr>
        <w:pStyle w:val="p1"/>
        <w:numPr>
          <w:ilvl w:val="0"/>
          <w:numId w:val="31"/>
        </w:numPr>
      </w:pPr>
      <w:r w:rsidRPr="00215667">
        <w:t>PEB 3 → 153.74</w:t>
      </w:r>
    </w:p>
    <w:p w14:paraId="4AD68368" w14:textId="77777777" w:rsidR="00412474" w:rsidRPr="00215667" w:rsidRDefault="00412474" w:rsidP="00412474">
      <w:pPr>
        <w:pStyle w:val="p1"/>
        <w:numPr>
          <w:ilvl w:val="0"/>
          <w:numId w:val="31"/>
        </w:numPr>
      </w:pPr>
      <w:r w:rsidRPr="00215667">
        <w:t>PEB 4 → 176.25</w:t>
      </w:r>
    </w:p>
    <w:p w14:paraId="227C0B7E" w14:textId="465F95CC" w:rsidR="00412474" w:rsidRPr="00215667" w:rsidRDefault="00412474" w:rsidP="00FA7E6F">
      <w:pPr>
        <w:pStyle w:val="p1"/>
        <w:spacing w:line="360" w:lineRule="auto"/>
        <w:ind w:firstLine="720"/>
        <w:jc w:val="both"/>
      </w:pPr>
      <w:r w:rsidRPr="00215667">
        <w:rPr>
          <w:rStyle w:val="s3"/>
          <w:rFonts w:eastAsiaTheme="majorEastAsia"/>
        </w:rPr>
        <w:t xml:space="preserve">Овој тренд укажува на тоа дека </w:t>
      </w:r>
      <w:r w:rsidRPr="00215667">
        <w:t>со секој повисок степен на PEB, се зголемува просечното ниво на испитуваната зависна променлива</w:t>
      </w:r>
      <w:r w:rsidRPr="00215667">
        <w:rPr>
          <w:rStyle w:val="s3"/>
          <w:rFonts w:eastAsiaTheme="majorEastAsia"/>
        </w:rPr>
        <w:t xml:space="preserve"> (вредност на HAS-BLED)</w:t>
      </w:r>
      <w:r w:rsidR="00FA7E6F">
        <w:rPr>
          <w:rStyle w:val="s3"/>
          <w:rFonts w:eastAsiaTheme="majorEastAsia"/>
        </w:rPr>
        <w:t>.</w:t>
      </w:r>
    </w:p>
    <w:p w14:paraId="0BD1AB08" w14:textId="77777777" w:rsidR="00412474" w:rsidRPr="00215667" w:rsidRDefault="00412474" w:rsidP="00FA7E6F">
      <w:pPr>
        <w:pStyle w:val="p1"/>
        <w:spacing w:line="360" w:lineRule="auto"/>
        <w:ind w:firstLine="720"/>
        <w:jc w:val="both"/>
      </w:pPr>
      <w:r w:rsidRPr="00215667">
        <w:t xml:space="preserve">Дополнително, </w:t>
      </w:r>
      <w:r w:rsidRPr="00FA7E6F">
        <w:rPr>
          <w:rStyle w:val="s1"/>
          <w:rFonts w:eastAsiaTheme="majorEastAsia"/>
          <w:i/>
          <w:iCs/>
        </w:rPr>
        <w:t>Dunn</w:t>
      </w:r>
      <w:r w:rsidRPr="00215667">
        <w:rPr>
          <w:rStyle w:val="s1"/>
          <w:rFonts w:eastAsiaTheme="majorEastAsia"/>
        </w:rPr>
        <w:t xml:space="preserve"> пост-хок анализата со </w:t>
      </w:r>
      <w:r w:rsidRPr="00FA7E6F">
        <w:rPr>
          <w:rStyle w:val="s1"/>
          <w:rFonts w:eastAsiaTheme="majorEastAsia"/>
          <w:i/>
          <w:iCs/>
        </w:rPr>
        <w:t>Bonferroni</w:t>
      </w:r>
      <w:r w:rsidRPr="00215667">
        <w:rPr>
          <w:rStyle w:val="s1"/>
          <w:rFonts w:eastAsiaTheme="majorEastAsia"/>
        </w:rPr>
        <w:t xml:space="preserve"> корекција</w:t>
      </w:r>
      <w:r w:rsidRPr="00215667">
        <w:t xml:space="preserve"> (алфа = 0.0083) откри дека разликите во ранговите на HAS-BLED помеѓу следните парови на групи се </w:t>
      </w:r>
      <w:r w:rsidRPr="00215667">
        <w:rPr>
          <w:rStyle w:val="s1"/>
          <w:rFonts w:eastAsiaTheme="majorEastAsia"/>
        </w:rPr>
        <w:t>статистички значајни</w:t>
      </w:r>
      <w:r w:rsidRPr="00215667">
        <w:t>:</w:t>
      </w:r>
    </w:p>
    <w:p w14:paraId="059B059C" w14:textId="77777777" w:rsidR="00412474" w:rsidRPr="00215667" w:rsidRDefault="00412474" w:rsidP="00412474">
      <w:pPr>
        <w:pStyle w:val="p1"/>
        <w:numPr>
          <w:ilvl w:val="0"/>
          <w:numId w:val="32"/>
        </w:numPr>
      </w:pPr>
      <w:r w:rsidRPr="00215667">
        <w:t>PEB 1 – PEB 2</w:t>
      </w:r>
    </w:p>
    <w:p w14:paraId="2732F1E3" w14:textId="77777777" w:rsidR="00412474" w:rsidRPr="00215667" w:rsidRDefault="00412474" w:rsidP="00412474">
      <w:pPr>
        <w:pStyle w:val="p1"/>
        <w:numPr>
          <w:ilvl w:val="0"/>
          <w:numId w:val="32"/>
        </w:numPr>
      </w:pPr>
      <w:r w:rsidRPr="00215667">
        <w:t>PEB 1 – PEB 3</w:t>
      </w:r>
    </w:p>
    <w:p w14:paraId="68765E7D" w14:textId="77777777" w:rsidR="00412474" w:rsidRPr="00215667" w:rsidRDefault="00412474" w:rsidP="00412474">
      <w:pPr>
        <w:pStyle w:val="p1"/>
        <w:numPr>
          <w:ilvl w:val="0"/>
          <w:numId w:val="32"/>
        </w:numPr>
      </w:pPr>
      <w:r w:rsidRPr="00215667">
        <w:t>PEB 1 – PEB 4</w:t>
      </w:r>
    </w:p>
    <w:p w14:paraId="2013D720" w14:textId="77777777" w:rsidR="00412474" w:rsidRPr="00215667" w:rsidRDefault="00412474" w:rsidP="00412474">
      <w:pPr>
        <w:pStyle w:val="p1"/>
        <w:numPr>
          <w:ilvl w:val="0"/>
          <w:numId w:val="32"/>
        </w:numPr>
      </w:pPr>
      <w:r w:rsidRPr="00215667">
        <w:t>PEB 2 – PEB 3</w:t>
      </w:r>
    </w:p>
    <w:p w14:paraId="3430A7D0" w14:textId="77777777" w:rsidR="00412474" w:rsidRPr="00215667" w:rsidRDefault="00412474" w:rsidP="00412474">
      <w:pPr>
        <w:pStyle w:val="p1"/>
        <w:numPr>
          <w:ilvl w:val="0"/>
          <w:numId w:val="32"/>
        </w:numPr>
      </w:pPr>
      <w:r w:rsidRPr="00215667">
        <w:t>PEB 2 – PEB 4</w:t>
      </w:r>
    </w:p>
    <w:p w14:paraId="49A2B173" w14:textId="77777777" w:rsidR="00412474" w:rsidRPr="00215667" w:rsidRDefault="00412474" w:rsidP="00412474">
      <w:pPr>
        <w:pStyle w:val="p3"/>
      </w:pPr>
    </w:p>
    <w:p w14:paraId="017E6F49" w14:textId="44F012A9" w:rsidR="00412474" w:rsidRPr="00215667" w:rsidRDefault="00412474" w:rsidP="00FA7E6F">
      <w:pPr>
        <w:pStyle w:val="p1"/>
        <w:spacing w:line="360" w:lineRule="auto"/>
        <w:ind w:firstLine="720"/>
        <w:jc w:val="both"/>
      </w:pPr>
      <w:r w:rsidRPr="00215667">
        <w:lastRenderedPageBreak/>
        <w:t xml:space="preserve">Овие резултати покажуваат дека повисоките категории на PEB се поврзани со значајно повисоки вредности на зависната променлива, што укажува на </w:t>
      </w:r>
      <w:r w:rsidRPr="00215667">
        <w:rPr>
          <w:rStyle w:val="s1"/>
          <w:rFonts w:eastAsiaTheme="majorEastAsia"/>
          <w:b/>
          <w:bCs/>
        </w:rPr>
        <w:t xml:space="preserve">јасен и прогресивен пораст на ризикот/сериозноста со повисок степен на </w:t>
      </w:r>
      <w:r w:rsidR="00EC49EB" w:rsidRPr="00215667">
        <w:rPr>
          <w:rStyle w:val="s1"/>
          <w:rFonts w:eastAsiaTheme="majorEastAsia"/>
          <w:b/>
          <w:bCs/>
        </w:rPr>
        <w:t>крвавење</w:t>
      </w:r>
      <w:r w:rsidR="001B261B" w:rsidRPr="00215667">
        <w:rPr>
          <w:rStyle w:val="s1"/>
          <w:rFonts w:eastAsiaTheme="majorEastAsia"/>
          <w:b/>
          <w:bCs/>
        </w:rPr>
        <w:t xml:space="preserve"> при повисоки вредности на HAS-BLED индексот</w:t>
      </w:r>
      <w:r w:rsidRPr="00215667">
        <w:t xml:space="preserve">. Ова има потенцијална клиничка вредност за предвидување на </w:t>
      </w:r>
      <w:r w:rsidR="00F00F01">
        <w:t>постекстракциони</w:t>
      </w:r>
      <w:r w:rsidRPr="00215667">
        <w:t xml:space="preserve"> компликации</w:t>
      </w:r>
      <w:r w:rsidR="001B261B" w:rsidRPr="00215667">
        <w:t xml:space="preserve"> (графикон бр. 58 и табела бр. 31).</w:t>
      </w:r>
    </w:p>
    <w:p w14:paraId="11EA4AF4" w14:textId="54B2DFB0" w:rsidR="00FA7E6F" w:rsidRPr="00215667" w:rsidRDefault="00FA7E6F" w:rsidP="00FA7E6F">
      <w:pPr>
        <w:spacing w:line="360" w:lineRule="auto"/>
        <w:jc w:val="center"/>
        <w:rPr>
          <w:rFonts w:ascii="Times New Roman" w:hAnsi="Times New Roman" w:cs="Times New Roman"/>
          <w:bCs/>
          <w:sz w:val="24"/>
          <w:szCs w:val="24"/>
        </w:rPr>
      </w:pPr>
      <w:r w:rsidRPr="00215667">
        <w:rPr>
          <w:rFonts w:ascii="Times New Roman" w:hAnsi="Times New Roman" w:cs="Times New Roman"/>
          <w:bCs/>
          <w:sz w:val="24"/>
          <w:szCs w:val="24"/>
        </w:rPr>
        <w:t>Графикон бр. 58</w:t>
      </w:r>
      <w:r>
        <w:rPr>
          <w:rFonts w:ascii="Times New Roman" w:hAnsi="Times New Roman" w:cs="Times New Roman"/>
          <w:bCs/>
          <w:sz w:val="24"/>
          <w:szCs w:val="24"/>
        </w:rPr>
        <w:t>-</w:t>
      </w:r>
      <w:r w:rsidRPr="00215667">
        <w:rPr>
          <w:rFonts w:ascii="Times New Roman" w:hAnsi="Times New Roman" w:cs="Times New Roman"/>
          <w:bCs/>
          <w:sz w:val="24"/>
          <w:szCs w:val="24"/>
        </w:rPr>
        <w:t xml:space="preserve"> Анализа на HAS-BLED индексот во зависност од степенот на PEB, кај сите пациенти кои примаат антикоагулантна и антиагрегациона терапија</w:t>
      </w:r>
    </w:p>
    <w:p w14:paraId="06D65D44" w14:textId="326C5454" w:rsidR="00412474" w:rsidRPr="00215667" w:rsidRDefault="001B261B" w:rsidP="00412474">
      <w:pPr>
        <w:spacing w:line="240" w:lineRule="auto"/>
        <w:rPr>
          <w:rFonts w:ascii="Times New Roman" w:hAnsi="Times New Roman" w:cs="Times New Roman"/>
          <w:sz w:val="24"/>
          <w:szCs w:val="24"/>
        </w:rPr>
      </w:pPr>
      <w:r w:rsidRPr="00215667">
        <w:rPr>
          <w:rFonts w:ascii="Times New Roman" w:hAnsi="Times New Roman" w:cs="Times New Roman"/>
          <w:noProof/>
          <w:sz w:val="24"/>
          <w:szCs w:val="24"/>
          <w:lang w:val="en-US"/>
          <w14:ligatures w14:val="standardContextual"/>
        </w:rPr>
        <w:drawing>
          <wp:inline distT="0" distB="0" distL="0" distR="0" wp14:anchorId="27DDA7B1" wp14:editId="2CE51406">
            <wp:extent cx="5400040" cy="2920365"/>
            <wp:effectExtent l="0" t="0" r="0" b="635"/>
            <wp:docPr id="1163104718" name="Picture 4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104718" name="Picture 41" descr="A diagram of a graph&#10;&#10;AI-generated content may be incorrect."/>
                    <pic:cNvPicPr/>
                  </pic:nvPicPr>
                  <pic:blipFill>
                    <a:blip r:embed="rId162">
                      <a:extLst>
                        <a:ext uri="{28A0092B-C50C-407E-A947-70E740481C1C}">
                          <a14:useLocalDpi xmlns:a14="http://schemas.microsoft.com/office/drawing/2010/main" val="0"/>
                        </a:ext>
                      </a:extLst>
                    </a:blip>
                    <a:stretch>
                      <a:fillRect/>
                    </a:stretch>
                  </pic:blipFill>
                  <pic:spPr>
                    <a:xfrm>
                      <a:off x="0" y="0"/>
                      <a:ext cx="5400040" cy="2920365"/>
                    </a:xfrm>
                    <a:prstGeom prst="rect">
                      <a:avLst/>
                    </a:prstGeom>
                  </pic:spPr>
                </pic:pic>
              </a:graphicData>
            </a:graphic>
          </wp:inline>
        </w:drawing>
      </w:r>
      <w:r w:rsidRPr="00215667">
        <w:rPr>
          <w:rFonts w:ascii="Times New Roman" w:hAnsi="Times New Roman" w:cs="Times New Roman"/>
          <w:noProof/>
          <w:sz w:val="24"/>
          <w:szCs w:val="24"/>
          <w14:ligatures w14:val="standardContextual"/>
        </w:rPr>
        <w:t xml:space="preserve"> </w:t>
      </w:r>
    </w:p>
    <w:p w14:paraId="68C4BDD0" w14:textId="75FA86D4" w:rsidR="00412474" w:rsidRPr="00215667" w:rsidRDefault="001B261B" w:rsidP="001B261B">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14:ligatures w14:val="standardContextual"/>
        </w:rPr>
        <w:drawing>
          <wp:inline distT="0" distB="0" distL="0" distR="0" wp14:anchorId="27135852" wp14:editId="3DFE1040">
            <wp:extent cx="3497345" cy="2897730"/>
            <wp:effectExtent l="0" t="0" r="0" b="0"/>
            <wp:docPr id="1779314609" name="Picture 42"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14609" name="Picture 42" descr="A graph of different colored bars&#10;&#10;AI-generated content may be incorrect."/>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3519322" cy="2915939"/>
                    </a:xfrm>
                    <a:prstGeom prst="rect">
                      <a:avLst/>
                    </a:prstGeom>
                  </pic:spPr>
                </pic:pic>
              </a:graphicData>
            </a:graphic>
          </wp:inline>
        </w:drawing>
      </w:r>
    </w:p>
    <w:p w14:paraId="16CDF72C" w14:textId="15756953" w:rsidR="00412474" w:rsidRPr="00215667" w:rsidRDefault="001B261B" w:rsidP="00FA7E6F">
      <w:pPr>
        <w:spacing w:line="36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14:ligatures w14:val="standardContextual"/>
        </w:rPr>
        <w:lastRenderedPageBreak/>
        <mc:AlternateContent>
          <mc:Choice Requires="wps">
            <w:drawing>
              <wp:anchor distT="0" distB="0" distL="114300" distR="114300" simplePos="0" relativeHeight="251659264" behindDoc="0" locked="0" layoutInCell="1" allowOverlap="1" wp14:anchorId="59B1F125" wp14:editId="23D81DF0">
                <wp:simplePos x="0" y="0"/>
                <wp:positionH relativeFrom="column">
                  <wp:posOffset>2478660</wp:posOffset>
                </wp:positionH>
                <wp:positionV relativeFrom="paragraph">
                  <wp:posOffset>3013435</wp:posOffset>
                </wp:positionV>
                <wp:extent cx="1366887" cy="301658"/>
                <wp:effectExtent l="0" t="0" r="0" b="0"/>
                <wp:wrapNone/>
                <wp:docPr id="295477601" name="Text Box 40"/>
                <wp:cNvGraphicFramePr/>
                <a:graphic xmlns:a="http://schemas.openxmlformats.org/drawingml/2006/main">
                  <a:graphicData uri="http://schemas.microsoft.com/office/word/2010/wordprocessingShape">
                    <wps:wsp>
                      <wps:cNvSpPr txBox="1"/>
                      <wps:spPr>
                        <a:xfrm>
                          <a:off x="0" y="0"/>
                          <a:ext cx="1366887" cy="301658"/>
                        </a:xfrm>
                        <a:prstGeom prst="rect">
                          <a:avLst/>
                        </a:prstGeom>
                        <a:noFill/>
                        <a:ln w="6350">
                          <a:noFill/>
                        </a:ln>
                      </wps:spPr>
                      <wps:txbx>
                        <w:txbxContent>
                          <w:p w14:paraId="574E9392" w14:textId="77777777" w:rsidR="00562A37" w:rsidRPr="001B261B" w:rsidRDefault="00562A37" w:rsidP="001B261B">
                            <w:pPr>
                              <w:rPr>
                                <w:rFonts w:ascii="Times New Roman" w:hAnsi="Times New Roman" w:cs="Times New Roman"/>
                              </w:rPr>
                            </w:pPr>
                            <w:r w:rsidRPr="001B261B">
                              <w:rPr>
                                <w:rFonts w:ascii="Times New Roman" w:hAnsi="Times New Roman" w:cs="Times New Roman"/>
                                <w:lang w:val="en-US"/>
                              </w:rPr>
                              <w:t>HAS-BLED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9B1F125" id="_x0000_t202" coordsize="21600,21600" o:spt="202" path="m,l,21600r21600,l21600,xe">
                <v:stroke joinstyle="miter"/>
                <v:path gradientshapeok="t" o:connecttype="rect"/>
              </v:shapetype>
              <v:shape id="Text Box 40" o:spid="_x0000_s1026" type="#_x0000_t202" style="position:absolute;left:0;text-align:left;margin-left:195.15pt;margin-top:237.3pt;width:107.65pt;height:23.7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ub8FgIAACw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" filled="f" stroked="f" strokeweight=".5pt">
                <v:textbox>
                  <w:txbxContent>
                    <w:p w14:paraId="574E9392" w14:textId="77777777" w:rsidR="00562A37" w:rsidRPr="001B261B" w:rsidRDefault="00562A37" w:rsidP="001B261B">
                      <w:pPr>
                        <w:rPr>
                          <w:rFonts w:ascii="Times New Roman" w:hAnsi="Times New Roman" w:cs="Times New Roman"/>
                        </w:rPr>
                      </w:pPr>
                      <w:r w:rsidRPr="001B261B">
                        <w:rPr>
                          <w:rFonts w:ascii="Times New Roman" w:hAnsi="Times New Roman" w:cs="Times New Roman"/>
                          <w:lang w:val="en-US"/>
                        </w:rPr>
                        <w:t>HAS-BLED</w:t>
                      </w:r>
                    </w:p>
                  </w:txbxContent>
                </v:textbox>
              </v:shape>
            </w:pict>
          </mc:Fallback>
        </mc:AlternateContent>
      </w:r>
      <w:r w:rsidRPr="00215667">
        <w:rPr>
          <w:rFonts w:ascii="Times New Roman" w:hAnsi="Times New Roman" w:cs="Times New Roman"/>
          <w:sz w:val="24"/>
          <w:szCs w:val="24"/>
        </w:rPr>
        <w:t>Табела бр. 31</w:t>
      </w:r>
      <w:r w:rsidR="00FA7E6F">
        <w:rPr>
          <w:rFonts w:ascii="Times New Roman" w:hAnsi="Times New Roman" w:cs="Times New Roman"/>
          <w:sz w:val="24"/>
          <w:szCs w:val="24"/>
        </w:rPr>
        <w:t>-</w:t>
      </w:r>
      <w:r w:rsidRPr="00215667">
        <w:rPr>
          <w:rFonts w:ascii="Times New Roman" w:hAnsi="Times New Roman" w:cs="Times New Roman"/>
          <w:sz w:val="24"/>
          <w:szCs w:val="24"/>
        </w:rPr>
        <w:t xml:space="preserve"> Приказ на разликите во вредноста на HAS-BLED индексот врз основа на степенот на PEB кај сите пациенти кои примаат антикоагулантна/антиагрегациона терапија</w:t>
      </w:r>
      <w:r w:rsidR="00FA7E6F">
        <w:rPr>
          <w:rFonts w:ascii="Times New Roman" w:hAnsi="Times New Roman" w:cs="Times New Roman"/>
          <w:sz w:val="24"/>
          <w:szCs w:val="24"/>
        </w:rPr>
        <w:t xml:space="preserve"> (</w:t>
      </w:r>
      <w:r w:rsidRPr="00FA7E6F">
        <w:rPr>
          <w:rFonts w:ascii="Times New Roman" w:hAnsi="Times New Roman" w:cs="Times New Roman"/>
          <w:i/>
          <w:iCs/>
          <w:sz w:val="24"/>
          <w:szCs w:val="24"/>
        </w:rPr>
        <w:t>Kruskal-Wallis H</w:t>
      </w:r>
      <w:r w:rsidRPr="00215667">
        <w:rPr>
          <w:rFonts w:ascii="Times New Roman" w:hAnsi="Times New Roman" w:cs="Times New Roman"/>
          <w:sz w:val="24"/>
          <w:szCs w:val="24"/>
        </w:rPr>
        <w:t xml:space="preserve"> тест, пост-хок </w:t>
      </w:r>
      <w:r w:rsidRPr="00FA7E6F">
        <w:rPr>
          <w:rFonts w:ascii="Times New Roman" w:hAnsi="Times New Roman" w:cs="Times New Roman"/>
          <w:i/>
          <w:iCs/>
          <w:sz w:val="24"/>
          <w:szCs w:val="24"/>
        </w:rPr>
        <w:t>Dunn</w:t>
      </w:r>
      <w:r w:rsidRPr="00215667">
        <w:rPr>
          <w:rFonts w:ascii="Times New Roman" w:hAnsi="Times New Roman" w:cs="Times New Roman"/>
          <w:sz w:val="24"/>
          <w:szCs w:val="24"/>
        </w:rPr>
        <w:t xml:space="preserve"> анализа со </w:t>
      </w:r>
      <w:r w:rsidRPr="00FA7E6F">
        <w:rPr>
          <w:rFonts w:ascii="Times New Roman" w:hAnsi="Times New Roman" w:cs="Times New Roman"/>
          <w:i/>
          <w:iCs/>
          <w:sz w:val="24"/>
          <w:szCs w:val="24"/>
        </w:rPr>
        <w:t>Bonferonni</w:t>
      </w:r>
      <w:r w:rsidRPr="00215667">
        <w:rPr>
          <w:rFonts w:ascii="Times New Roman" w:hAnsi="Times New Roman" w:cs="Times New Roman"/>
          <w:sz w:val="24"/>
          <w:szCs w:val="24"/>
        </w:rPr>
        <w:t xml:space="preserve"> корекција</w:t>
      </w:r>
      <w:r w:rsidR="00FA7E6F">
        <w:rPr>
          <w:rFonts w:ascii="Times New Roman" w:hAnsi="Times New Roman" w:cs="Times New Roman"/>
          <w:sz w:val="24"/>
          <w:szCs w:val="24"/>
        </w:rPr>
        <w:t>)</w:t>
      </w:r>
    </w:p>
    <w:p w14:paraId="769015D1"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3B257BB6" wp14:editId="03D78865">
            <wp:extent cx="4967021" cy="2512677"/>
            <wp:effectExtent l="0" t="0" r="5080" b="2540"/>
            <wp:docPr id="1930752625" name="Picture 17" descr="A screenshot of a data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52625" name="Picture 17" descr="A screenshot of a data sheet&#10;&#10;AI-generated content may be incorrect."/>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4977795" cy="2518127"/>
                    </a:xfrm>
                    <a:prstGeom prst="rect">
                      <a:avLst/>
                    </a:prstGeom>
                  </pic:spPr>
                </pic:pic>
              </a:graphicData>
            </a:graphic>
          </wp:inline>
        </w:drawing>
      </w:r>
    </w:p>
    <w:p w14:paraId="10A1F408" w14:textId="2A7B62D4" w:rsidR="00412474" w:rsidRPr="00FA7E6F" w:rsidRDefault="001B261B" w:rsidP="00FA7E6F">
      <w:pPr>
        <w:spacing w:after="0" w:line="240" w:lineRule="auto"/>
        <w:rPr>
          <w:rFonts w:ascii="Times New Roman" w:hAnsi="Times New Roman" w:cs="Times New Roman"/>
          <w:sz w:val="20"/>
          <w:szCs w:val="20"/>
        </w:rPr>
      </w:pPr>
      <w:r w:rsidRPr="00FA7E6F">
        <w:rPr>
          <w:rFonts w:ascii="Times New Roman" w:hAnsi="Times New Roman" w:cs="Times New Roman"/>
          <w:sz w:val="20"/>
          <w:szCs w:val="20"/>
        </w:rPr>
        <w:t>х1: вредност на HAS-BLED индекс при PEB1</w:t>
      </w:r>
    </w:p>
    <w:p w14:paraId="3390DB21" w14:textId="5DB4392B" w:rsidR="001B261B" w:rsidRPr="00FA7E6F" w:rsidRDefault="001B261B" w:rsidP="00FA7E6F">
      <w:pPr>
        <w:spacing w:after="0" w:line="240" w:lineRule="auto"/>
        <w:rPr>
          <w:rFonts w:ascii="Times New Roman" w:hAnsi="Times New Roman" w:cs="Times New Roman"/>
          <w:sz w:val="20"/>
          <w:szCs w:val="20"/>
        </w:rPr>
      </w:pPr>
      <w:r w:rsidRPr="00FA7E6F">
        <w:rPr>
          <w:rFonts w:ascii="Times New Roman" w:hAnsi="Times New Roman" w:cs="Times New Roman"/>
          <w:sz w:val="20"/>
          <w:szCs w:val="20"/>
        </w:rPr>
        <w:t>х2: вредност на HAS-BLED индекс при PEB2</w:t>
      </w:r>
    </w:p>
    <w:p w14:paraId="124FA696" w14:textId="14B6881C" w:rsidR="001B261B" w:rsidRPr="00FA7E6F" w:rsidRDefault="001B261B" w:rsidP="00FA7E6F">
      <w:pPr>
        <w:spacing w:after="0" w:line="240" w:lineRule="auto"/>
        <w:rPr>
          <w:rFonts w:ascii="Times New Roman" w:hAnsi="Times New Roman" w:cs="Times New Roman"/>
          <w:sz w:val="20"/>
          <w:szCs w:val="20"/>
        </w:rPr>
      </w:pPr>
      <w:r w:rsidRPr="00FA7E6F">
        <w:rPr>
          <w:rFonts w:ascii="Times New Roman" w:hAnsi="Times New Roman" w:cs="Times New Roman"/>
          <w:sz w:val="20"/>
          <w:szCs w:val="20"/>
        </w:rPr>
        <w:t>х3: вредност на HAS-BLED индекс при PEB3</w:t>
      </w:r>
    </w:p>
    <w:p w14:paraId="72340259" w14:textId="7C26A07F" w:rsidR="001B261B" w:rsidRPr="00FA7E6F" w:rsidRDefault="001B261B" w:rsidP="00FA7E6F">
      <w:pPr>
        <w:spacing w:after="0" w:line="240" w:lineRule="auto"/>
        <w:rPr>
          <w:rFonts w:ascii="Times New Roman" w:hAnsi="Times New Roman" w:cs="Times New Roman"/>
          <w:sz w:val="20"/>
          <w:szCs w:val="20"/>
        </w:rPr>
      </w:pPr>
      <w:r w:rsidRPr="00FA7E6F">
        <w:rPr>
          <w:rFonts w:ascii="Times New Roman" w:hAnsi="Times New Roman" w:cs="Times New Roman"/>
          <w:sz w:val="20"/>
          <w:szCs w:val="20"/>
        </w:rPr>
        <w:t>х4: вредност на HAS-BLED индекс при PEB4</w:t>
      </w:r>
    </w:p>
    <w:p w14:paraId="7138FCE1" w14:textId="19FA5ABB" w:rsidR="001B261B" w:rsidRPr="00FA7E6F" w:rsidRDefault="001B261B" w:rsidP="00FA7E6F">
      <w:pPr>
        <w:spacing w:after="0" w:line="240" w:lineRule="auto"/>
        <w:rPr>
          <w:rFonts w:ascii="Times New Roman" w:hAnsi="Times New Roman" w:cs="Times New Roman"/>
          <w:sz w:val="20"/>
          <w:szCs w:val="20"/>
        </w:rPr>
      </w:pPr>
      <w:r w:rsidRPr="00FA7E6F">
        <w:rPr>
          <w:rFonts w:ascii="Times New Roman" w:hAnsi="Times New Roman" w:cs="Times New Roman"/>
          <w:sz w:val="20"/>
          <w:szCs w:val="20"/>
        </w:rPr>
        <w:t>Црвено обоена вредност на p: p</w:t>
      </w:r>
      <w:r w:rsidR="00FA7E6F">
        <w:rPr>
          <w:rFonts w:ascii="Times New Roman" w:hAnsi="Times New Roman" w:cs="Times New Roman"/>
          <w:sz w:val="20"/>
          <w:szCs w:val="20"/>
        </w:rPr>
        <w:t xml:space="preserve"> </w:t>
      </w:r>
      <w:r w:rsidRPr="00FA7E6F">
        <w:rPr>
          <w:rFonts w:ascii="Times New Roman" w:hAnsi="Times New Roman" w:cs="Times New Roman"/>
          <w:sz w:val="20"/>
          <w:szCs w:val="20"/>
        </w:rPr>
        <w:t>&lt;</w:t>
      </w:r>
      <w:r w:rsidR="00FA7E6F">
        <w:rPr>
          <w:rFonts w:ascii="Times New Roman" w:hAnsi="Times New Roman" w:cs="Times New Roman"/>
          <w:sz w:val="20"/>
          <w:szCs w:val="20"/>
        </w:rPr>
        <w:t xml:space="preserve"> </w:t>
      </w:r>
      <w:r w:rsidRPr="00FA7E6F">
        <w:rPr>
          <w:rFonts w:ascii="Times New Roman" w:hAnsi="Times New Roman" w:cs="Times New Roman"/>
          <w:sz w:val="20"/>
          <w:szCs w:val="20"/>
        </w:rPr>
        <w:t>0.05 (статистички значајна разлика)</w:t>
      </w:r>
    </w:p>
    <w:p w14:paraId="31A21F20" w14:textId="77777777" w:rsidR="001B261B" w:rsidRPr="00215667" w:rsidRDefault="001B261B" w:rsidP="00412474">
      <w:pPr>
        <w:spacing w:line="240" w:lineRule="auto"/>
        <w:rPr>
          <w:rFonts w:ascii="Times New Roman" w:hAnsi="Times New Roman" w:cs="Times New Roman"/>
          <w:sz w:val="24"/>
          <w:szCs w:val="24"/>
        </w:rPr>
      </w:pPr>
    </w:p>
    <w:p w14:paraId="301B892F" w14:textId="0ADB6DE7" w:rsidR="00412474" w:rsidRDefault="00412474" w:rsidP="00FA7E6F">
      <w:pPr>
        <w:pStyle w:val="p1"/>
        <w:spacing w:line="360" w:lineRule="auto"/>
        <w:ind w:firstLine="720"/>
        <w:jc w:val="both"/>
      </w:pPr>
      <w:r w:rsidRPr="00215667">
        <w:t>Резултатите од Пирсоновата корелација покажаа дека постои значајна силна позитивна врска помеѓу PEB и HAS-BLED индексот, (r(183) = .811, p &lt; .001), со тоа што HAS-BLED индексот е значајно поголем кај повисоките вредности на PEB</w:t>
      </w:r>
      <w:r w:rsidR="001B261B" w:rsidRPr="00215667">
        <w:t xml:space="preserve"> (графикон бр. 59).</w:t>
      </w:r>
    </w:p>
    <w:p w14:paraId="3555EF92" w14:textId="057FEFD8" w:rsidR="00412474" w:rsidRPr="00215667" w:rsidRDefault="00FA7E6F" w:rsidP="00FA7E6F">
      <w:pPr>
        <w:pStyle w:val="p1"/>
        <w:spacing w:line="360" w:lineRule="auto"/>
        <w:jc w:val="center"/>
      </w:pPr>
      <w:r w:rsidRPr="00215667">
        <w:rPr>
          <w:bCs/>
        </w:rPr>
        <w:t>Графикон бр. 59</w:t>
      </w:r>
      <w:r>
        <w:rPr>
          <w:bCs/>
        </w:rPr>
        <w:t>-</w:t>
      </w:r>
      <w:r w:rsidRPr="00215667">
        <w:rPr>
          <w:bCs/>
        </w:rPr>
        <w:t xml:space="preserve"> Пирсонова корелација меѓу вредност на HAS-BLED индексот и</w:t>
      </w:r>
      <w:r>
        <w:rPr>
          <w:bCs/>
        </w:rPr>
        <w:t xml:space="preserve"> </w:t>
      </w:r>
      <w:r w:rsidRPr="00215667">
        <w:rPr>
          <w:bCs/>
        </w:rPr>
        <w:t>вредноста на PEB кај сите пациенти кои примаат</w:t>
      </w:r>
      <w:r>
        <w:rPr>
          <w:bCs/>
        </w:rPr>
        <w:t xml:space="preserve"> </w:t>
      </w:r>
      <w:r w:rsidRPr="00215667">
        <w:rPr>
          <w:bCs/>
        </w:rPr>
        <w:t>антикоагулантна/антиагрегациона терапија</w:t>
      </w:r>
      <w:r w:rsidR="00412474" w:rsidRPr="00215667">
        <w:rPr>
          <w:noProof/>
          <w:lang w:val="en-US"/>
        </w:rPr>
        <w:drawing>
          <wp:inline distT="0" distB="0" distL="0" distR="0" wp14:anchorId="4B42C537" wp14:editId="0D6F59DF">
            <wp:extent cx="4892506" cy="1638605"/>
            <wp:effectExtent l="0" t="0" r="3810" b="0"/>
            <wp:docPr id="1208656492" name="Picture 18" descr="A graph with a line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656492" name="Picture 18" descr="A graph with a line and red dots&#10;&#10;AI-generated content may be incorrect."/>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4922325" cy="1648592"/>
                    </a:xfrm>
                    <a:prstGeom prst="rect">
                      <a:avLst/>
                    </a:prstGeom>
                  </pic:spPr>
                </pic:pic>
              </a:graphicData>
            </a:graphic>
          </wp:inline>
        </w:drawing>
      </w:r>
    </w:p>
    <w:p w14:paraId="3CD47C45" w14:textId="77777777"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lastRenderedPageBreak/>
        <w:t>Влијание на HAS-BLED индексот врз PEB, во зависност од типот на терапија</w:t>
      </w:r>
    </w:p>
    <w:p w14:paraId="3EB040CD" w14:textId="77777777" w:rsidR="00412474" w:rsidRPr="00215667" w:rsidRDefault="00412474" w:rsidP="00412474">
      <w:pPr>
        <w:spacing w:line="240" w:lineRule="auto"/>
        <w:rPr>
          <w:rFonts w:ascii="Times New Roman" w:hAnsi="Times New Roman" w:cs="Times New Roman"/>
          <w:sz w:val="24"/>
          <w:szCs w:val="24"/>
        </w:rPr>
      </w:pPr>
    </w:p>
    <w:p w14:paraId="0AB2DB3B" w14:textId="77777777" w:rsidR="00412474" w:rsidRPr="00215667" w:rsidRDefault="00412474" w:rsidP="00FA7E6F">
      <w:pPr>
        <w:pStyle w:val="p1"/>
        <w:spacing w:line="360" w:lineRule="auto"/>
        <w:ind w:firstLine="720"/>
        <w:jc w:val="both"/>
      </w:pPr>
      <w:r w:rsidRPr="00215667">
        <w:t>Направена е анализа на влијанието на вредноста на HAS-BLED индексот врз постекстракционото крвавење, во зависност од тоа дали пациентите примале VKA/DOAC или аспирин.</w:t>
      </w:r>
    </w:p>
    <w:p w14:paraId="0A912959" w14:textId="56C1F197" w:rsidR="00412474" w:rsidRPr="00215667" w:rsidRDefault="00412474" w:rsidP="00FA7E6F">
      <w:pPr>
        <w:pStyle w:val="p1"/>
        <w:spacing w:line="360" w:lineRule="auto"/>
        <w:ind w:firstLine="720"/>
        <w:jc w:val="both"/>
      </w:pPr>
      <w:r w:rsidRPr="00215667">
        <w:t xml:space="preserve">Направена </w:t>
      </w:r>
      <w:r w:rsidR="00FA7E6F">
        <w:t>е</w:t>
      </w:r>
      <w:r w:rsidRPr="00215667">
        <w:t xml:space="preserve"> анализа на HAS-BLED индексот во зависност од степенот на PEB во групата пациенти кои употребуваат VKA/DOAC.</w:t>
      </w:r>
    </w:p>
    <w:p w14:paraId="7DEBF6AC" w14:textId="1A93DE9B" w:rsidR="00412474" w:rsidRPr="00215667" w:rsidRDefault="00412474" w:rsidP="00FA7E6F">
      <w:pPr>
        <w:pStyle w:val="p1"/>
        <w:spacing w:line="360" w:lineRule="auto"/>
        <w:ind w:firstLine="720"/>
        <w:jc w:val="both"/>
      </w:pPr>
      <w:r w:rsidRPr="00215667">
        <w:rPr>
          <w:rStyle w:val="s1"/>
          <w:rFonts w:eastAsiaTheme="majorEastAsia"/>
        </w:rPr>
        <w:t xml:space="preserve">Тестот на </w:t>
      </w:r>
      <w:r w:rsidRPr="00FA7E6F">
        <w:rPr>
          <w:rStyle w:val="s1"/>
          <w:rFonts w:eastAsiaTheme="majorEastAsia"/>
          <w:i/>
          <w:iCs/>
        </w:rPr>
        <w:t>Kruskal-Wallis H</w:t>
      </w:r>
      <w:r w:rsidRPr="00215667">
        <w:t xml:space="preserve"> покажа дека постои статистички значајна разлика во зависната променлива меѓу различните групи, χ²(3) = 68.54, </w:t>
      </w:r>
      <w:r w:rsidRPr="00215667">
        <w:rPr>
          <w:i/>
          <w:iCs/>
        </w:rPr>
        <w:t>p</w:t>
      </w:r>
      <w:r w:rsidRPr="00215667">
        <w:t xml:space="preserve"> &lt; 0.001. Средната ранг-вредност изнесуваше:</w:t>
      </w:r>
    </w:p>
    <w:p w14:paraId="60631F4A" w14:textId="77777777" w:rsidR="00412474" w:rsidRPr="00215667" w:rsidRDefault="00412474" w:rsidP="00412474">
      <w:pPr>
        <w:pStyle w:val="p1"/>
        <w:numPr>
          <w:ilvl w:val="0"/>
          <w:numId w:val="28"/>
        </w:numPr>
      </w:pPr>
      <w:r w:rsidRPr="00215667">
        <w:rPr>
          <w:rStyle w:val="s1"/>
          <w:rFonts w:eastAsiaTheme="majorEastAsia"/>
        </w:rPr>
        <w:t xml:space="preserve">26 за </w:t>
      </w:r>
      <w:r w:rsidRPr="00215667">
        <w:t>HAS-BLED PEB1 VKA</w:t>
      </w:r>
    </w:p>
    <w:p w14:paraId="55B44EFF" w14:textId="77777777" w:rsidR="00412474" w:rsidRPr="00215667" w:rsidRDefault="00412474" w:rsidP="00412474">
      <w:pPr>
        <w:pStyle w:val="p1"/>
        <w:numPr>
          <w:ilvl w:val="0"/>
          <w:numId w:val="28"/>
        </w:numPr>
      </w:pPr>
      <w:r w:rsidRPr="00215667">
        <w:rPr>
          <w:rStyle w:val="s1"/>
          <w:rFonts w:eastAsiaTheme="majorEastAsia"/>
        </w:rPr>
        <w:t xml:space="preserve">45.67 за </w:t>
      </w:r>
      <w:r w:rsidRPr="00215667">
        <w:t>HAS-BLED PEB2 VKA</w:t>
      </w:r>
    </w:p>
    <w:p w14:paraId="014762CF" w14:textId="77777777" w:rsidR="00412474" w:rsidRPr="00215667" w:rsidRDefault="00412474" w:rsidP="00412474">
      <w:pPr>
        <w:pStyle w:val="p1"/>
        <w:numPr>
          <w:ilvl w:val="0"/>
          <w:numId w:val="28"/>
        </w:numPr>
      </w:pPr>
      <w:r w:rsidRPr="00215667">
        <w:rPr>
          <w:rStyle w:val="s1"/>
          <w:rFonts w:eastAsiaTheme="majorEastAsia"/>
        </w:rPr>
        <w:t xml:space="preserve">77.17 за </w:t>
      </w:r>
      <w:r w:rsidRPr="00215667">
        <w:t>HAS-BLED PEB3 VKA</w:t>
      </w:r>
    </w:p>
    <w:p w14:paraId="2AA64E55" w14:textId="77777777" w:rsidR="00412474" w:rsidRPr="00215667" w:rsidRDefault="00412474" w:rsidP="00412474">
      <w:pPr>
        <w:pStyle w:val="p1"/>
        <w:numPr>
          <w:ilvl w:val="0"/>
          <w:numId w:val="28"/>
        </w:numPr>
      </w:pPr>
      <w:r w:rsidRPr="00215667">
        <w:rPr>
          <w:rStyle w:val="s1"/>
          <w:rFonts w:eastAsiaTheme="majorEastAsia"/>
        </w:rPr>
        <w:t xml:space="preserve">93.75 за </w:t>
      </w:r>
      <w:r w:rsidRPr="00215667">
        <w:t>HAS-BLED PEB4 VKA</w:t>
      </w:r>
    </w:p>
    <w:p w14:paraId="4917D005" w14:textId="77777777" w:rsidR="00412474" w:rsidRPr="00215667" w:rsidRDefault="00412474" w:rsidP="00FA7E6F">
      <w:pPr>
        <w:pStyle w:val="p1"/>
        <w:spacing w:line="360" w:lineRule="auto"/>
        <w:ind w:firstLine="720"/>
        <w:jc w:val="both"/>
      </w:pPr>
      <w:r w:rsidRPr="00215667">
        <w:rPr>
          <w:rStyle w:val="s1"/>
          <w:rFonts w:eastAsiaTheme="majorEastAsia"/>
        </w:rPr>
        <w:t>Дополнителната анализа (</w:t>
      </w:r>
      <w:r w:rsidRPr="00FA7E6F">
        <w:rPr>
          <w:rStyle w:val="s1"/>
          <w:rFonts w:eastAsiaTheme="majorEastAsia"/>
          <w:i/>
          <w:iCs/>
        </w:rPr>
        <w:t>Post-Hoc Dunn’s</w:t>
      </w:r>
      <w:r w:rsidRPr="00215667">
        <w:rPr>
          <w:rStyle w:val="s1"/>
          <w:rFonts w:eastAsiaTheme="majorEastAsia"/>
        </w:rPr>
        <w:t xml:space="preserve"> тест)</w:t>
      </w:r>
      <w:r w:rsidRPr="00215667">
        <w:t xml:space="preserve"> со примена на </w:t>
      </w:r>
      <w:r w:rsidRPr="00FA7E6F">
        <w:rPr>
          <w:rStyle w:val="s1"/>
          <w:rFonts w:eastAsiaTheme="majorEastAsia"/>
          <w:i/>
          <w:iCs/>
        </w:rPr>
        <w:t>Bonferroni</w:t>
      </w:r>
      <w:r w:rsidRPr="00215667">
        <w:rPr>
          <w:rStyle w:val="s1"/>
          <w:rFonts w:eastAsiaTheme="majorEastAsia"/>
        </w:rPr>
        <w:t xml:space="preserve"> коригирана алфа вредност од 0.0083</w:t>
      </w:r>
      <w:r w:rsidRPr="00215667">
        <w:t xml:space="preserve"> укажа дека средните рангови на следните парови се статистички значајно различни:</w:t>
      </w:r>
    </w:p>
    <w:p w14:paraId="31943D8D" w14:textId="77777777" w:rsidR="00412474" w:rsidRPr="00215667" w:rsidRDefault="00412474" w:rsidP="00412474">
      <w:pPr>
        <w:pStyle w:val="p1"/>
        <w:numPr>
          <w:ilvl w:val="0"/>
          <w:numId w:val="29"/>
        </w:numPr>
      </w:pPr>
      <w:r w:rsidRPr="00215667">
        <w:t>x1–x2</w:t>
      </w:r>
    </w:p>
    <w:p w14:paraId="1F0A1168" w14:textId="77777777" w:rsidR="00412474" w:rsidRPr="00215667" w:rsidRDefault="00412474" w:rsidP="00412474">
      <w:pPr>
        <w:pStyle w:val="p1"/>
        <w:numPr>
          <w:ilvl w:val="0"/>
          <w:numId w:val="29"/>
        </w:numPr>
      </w:pPr>
      <w:r w:rsidRPr="00215667">
        <w:t>x1–x3</w:t>
      </w:r>
    </w:p>
    <w:p w14:paraId="604A8BAF" w14:textId="77777777" w:rsidR="00412474" w:rsidRPr="00215667" w:rsidRDefault="00412474" w:rsidP="00412474">
      <w:pPr>
        <w:pStyle w:val="p1"/>
        <w:numPr>
          <w:ilvl w:val="0"/>
          <w:numId w:val="29"/>
        </w:numPr>
      </w:pPr>
      <w:r w:rsidRPr="00215667">
        <w:t>x1–x4</w:t>
      </w:r>
    </w:p>
    <w:p w14:paraId="26DDAEAA" w14:textId="77777777" w:rsidR="00412474" w:rsidRPr="00215667" w:rsidRDefault="00412474" w:rsidP="00412474">
      <w:pPr>
        <w:pStyle w:val="p1"/>
        <w:numPr>
          <w:ilvl w:val="0"/>
          <w:numId w:val="29"/>
        </w:numPr>
      </w:pPr>
      <w:r w:rsidRPr="00215667">
        <w:t>x2–x3</w:t>
      </w:r>
    </w:p>
    <w:p w14:paraId="21826D6D" w14:textId="77777777" w:rsidR="00412474" w:rsidRPr="00215667" w:rsidRDefault="00412474" w:rsidP="00412474">
      <w:pPr>
        <w:pStyle w:val="p1"/>
        <w:numPr>
          <w:ilvl w:val="0"/>
          <w:numId w:val="29"/>
        </w:numPr>
      </w:pPr>
      <w:r w:rsidRPr="00215667">
        <w:t>x2–x4</w:t>
      </w:r>
    </w:p>
    <w:p w14:paraId="23ACB4E2" w14:textId="7AD7CFFC" w:rsidR="00412474" w:rsidRDefault="00412474" w:rsidP="00FA7E6F">
      <w:pPr>
        <w:pStyle w:val="p1"/>
        <w:spacing w:line="360" w:lineRule="auto"/>
        <w:ind w:firstLine="720"/>
        <w:jc w:val="both"/>
      </w:pPr>
      <w:r w:rsidRPr="00215667">
        <w:t xml:space="preserve">Овие резултати укажуваат на тоа дека повисоките HAS-BLED групи се поврзани со повисок ризик од поекстракционо </w:t>
      </w:r>
      <w:r w:rsidR="00EC49EB" w:rsidRPr="00215667">
        <w:t>крвавење</w:t>
      </w:r>
      <w:r w:rsidRPr="00215667">
        <w:t xml:space="preserve"> кај пациенти третирани со VKA, при што секој повисок степен на HAS-BLED значајно се разликува од пониските групи според рангирањето на ризик</w:t>
      </w:r>
      <w:r w:rsidR="001B261B" w:rsidRPr="00215667">
        <w:t xml:space="preserve"> (графикон бр. 60)</w:t>
      </w:r>
      <w:r w:rsidR="00FA7E6F">
        <w:t>.</w:t>
      </w:r>
    </w:p>
    <w:p w14:paraId="3BC41B14" w14:textId="1782BBE7" w:rsidR="00FA7E6F" w:rsidRPr="00215667" w:rsidRDefault="00FA7E6F" w:rsidP="00FA7E6F">
      <w:pPr>
        <w:pStyle w:val="p1"/>
        <w:spacing w:line="360" w:lineRule="auto"/>
        <w:jc w:val="center"/>
        <w:rPr>
          <w:bCs/>
        </w:rPr>
      </w:pPr>
      <w:r w:rsidRPr="00215667">
        <w:rPr>
          <w:bCs/>
        </w:rPr>
        <w:t>Графикон бр. 60</w:t>
      </w:r>
      <w:r>
        <w:rPr>
          <w:bCs/>
        </w:rPr>
        <w:t>-</w:t>
      </w:r>
      <w:r w:rsidRPr="00215667">
        <w:rPr>
          <w:bCs/>
        </w:rPr>
        <w:t xml:space="preserve"> Анализа на HAS-BLED индексот во зависност од степенот на PEB, кај испитаниците кои примаат антикоагулантна терапија (VKA/DOAC)</w:t>
      </w:r>
    </w:p>
    <w:p w14:paraId="3DDF54C7" w14:textId="77777777" w:rsidR="00FA7E6F" w:rsidRPr="00215667" w:rsidRDefault="00FA7E6F" w:rsidP="00FA7E6F">
      <w:pPr>
        <w:pStyle w:val="p1"/>
        <w:spacing w:line="360" w:lineRule="auto"/>
        <w:ind w:firstLine="720"/>
        <w:jc w:val="both"/>
      </w:pPr>
    </w:p>
    <w:p w14:paraId="33A4041D" w14:textId="77777777" w:rsidR="00412474" w:rsidRPr="00215667" w:rsidRDefault="00412474" w:rsidP="00412474">
      <w:pPr>
        <w:pStyle w:val="p1"/>
      </w:pPr>
      <w:r w:rsidRPr="00215667">
        <w:rPr>
          <w:noProof/>
          <w:lang w:val="en-US" w:eastAsia="en-US"/>
          <w14:ligatures w14:val="standardContextual"/>
        </w:rPr>
        <w:lastRenderedPageBreak/>
        <w:drawing>
          <wp:inline distT="0" distB="0" distL="0" distR="0" wp14:anchorId="711D51F5" wp14:editId="7B82619C">
            <wp:extent cx="1521069" cy="2343535"/>
            <wp:effectExtent l="0" t="0" r="3175" b="6350"/>
            <wp:docPr id="211889891" name="Picture 127" descr="A graph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89891" name="Picture 127" descr="A graph with a green line&#10;&#10;AI-generated content may be incorrect."/>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1561568" cy="2405932"/>
                    </a:xfrm>
                    <a:prstGeom prst="rect">
                      <a:avLst/>
                    </a:prstGeom>
                  </pic:spPr>
                </pic:pic>
              </a:graphicData>
            </a:graphic>
          </wp:inline>
        </w:drawing>
      </w:r>
      <w:r w:rsidRPr="00215667">
        <w:rPr>
          <w:noProof/>
          <w:lang w:val="en-US" w:eastAsia="en-US"/>
          <w14:ligatures w14:val="standardContextual"/>
        </w:rPr>
        <w:drawing>
          <wp:inline distT="0" distB="0" distL="0" distR="0" wp14:anchorId="410E97C7" wp14:editId="16E61671">
            <wp:extent cx="3744009" cy="2385353"/>
            <wp:effectExtent l="0" t="0" r="2540" b="2540"/>
            <wp:docPr id="1200167793" name="Picture 128" descr="A diagram of a box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167793" name="Picture 128" descr="A diagram of a box plot&#10;&#10;AI-generated content may be incorrect."/>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3781759" cy="2409404"/>
                    </a:xfrm>
                    <a:prstGeom prst="rect">
                      <a:avLst/>
                    </a:prstGeom>
                  </pic:spPr>
                </pic:pic>
              </a:graphicData>
            </a:graphic>
          </wp:inline>
        </w:drawing>
      </w:r>
    </w:p>
    <w:p w14:paraId="363EA759"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50F8E14F" wp14:editId="7796220D">
            <wp:extent cx="3210659" cy="2446216"/>
            <wp:effectExtent l="0" t="0" r="2540" b="5080"/>
            <wp:docPr id="482047854" name="Picture 129" descr="A graph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047854" name="Picture 129" descr="A graph with different colored lines&#10;&#10;AI-generated content may be incorrect."/>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3237183" cy="2466425"/>
                    </a:xfrm>
                    <a:prstGeom prst="rect">
                      <a:avLst/>
                    </a:prstGeom>
                  </pic:spPr>
                </pic:pic>
              </a:graphicData>
            </a:graphic>
          </wp:inline>
        </w:drawing>
      </w:r>
    </w:p>
    <w:p w14:paraId="1CA6E0DE"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4EDBAC00" wp14:editId="5C626379">
            <wp:extent cx="1591408" cy="184861"/>
            <wp:effectExtent l="0" t="0" r="0" b="5715"/>
            <wp:docPr id="205380805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808057" name="Picture 130"/>
                    <pic:cNvPicPr/>
                  </pic:nvPicPr>
                  <pic:blipFill>
                    <a:blip r:embed="rId169">
                      <a:extLst>
                        <a:ext uri="{28A0092B-C50C-407E-A947-70E740481C1C}">
                          <a14:useLocalDpi xmlns:a14="http://schemas.microsoft.com/office/drawing/2010/main" val="0"/>
                        </a:ext>
                      </a:extLst>
                    </a:blip>
                    <a:stretch>
                      <a:fillRect/>
                    </a:stretch>
                  </pic:blipFill>
                  <pic:spPr>
                    <a:xfrm>
                      <a:off x="0" y="0"/>
                      <a:ext cx="1811045" cy="210374"/>
                    </a:xfrm>
                    <a:prstGeom prst="rect">
                      <a:avLst/>
                    </a:prstGeom>
                  </pic:spPr>
                </pic:pic>
              </a:graphicData>
            </a:graphic>
          </wp:inline>
        </w:drawing>
      </w:r>
      <w:r w:rsidRPr="00215667">
        <w:rPr>
          <w:rFonts w:ascii="Times New Roman" w:hAnsi="Times New Roman" w:cs="Times New Roman"/>
          <w:noProof/>
          <w:sz w:val="24"/>
          <w:szCs w:val="24"/>
          <w:lang w:val="en-US"/>
        </w:rPr>
        <w:drawing>
          <wp:inline distT="0" distB="0" distL="0" distR="0" wp14:anchorId="458F133D" wp14:editId="1CE1F5C9">
            <wp:extent cx="1758462" cy="213147"/>
            <wp:effectExtent l="0" t="0" r="0" b="3175"/>
            <wp:docPr id="582905504"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905504" name="Picture 582905504"/>
                    <pic:cNvPicPr/>
                  </pic:nvPicPr>
                  <pic:blipFill>
                    <a:blip r:embed="rId170">
                      <a:extLst>
                        <a:ext uri="{28A0092B-C50C-407E-A947-70E740481C1C}">
                          <a14:useLocalDpi xmlns:a14="http://schemas.microsoft.com/office/drawing/2010/main" val="0"/>
                        </a:ext>
                      </a:extLst>
                    </a:blip>
                    <a:stretch>
                      <a:fillRect/>
                    </a:stretch>
                  </pic:blipFill>
                  <pic:spPr>
                    <a:xfrm>
                      <a:off x="0" y="0"/>
                      <a:ext cx="1815392" cy="220048"/>
                    </a:xfrm>
                    <a:prstGeom prst="rect">
                      <a:avLst/>
                    </a:prstGeom>
                  </pic:spPr>
                </pic:pic>
              </a:graphicData>
            </a:graphic>
          </wp:inline>
        </w:drawing>
      </w:r>
    </w:p>
    <w:p w14:paraId="490D6ED4" w14:textId="77777777" w:rsidR="00412474" w:rsidRPr="00215667" w:rsidRDefault="00412474" w:rsidP="00412474">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239EE5B4" wp14:editId="453774A3">
            <wp:extent cx="1494692" cy="206957"/>
            <wp:effectExtent l="0" t="0" r="0" b="0"/>
            <wp:docPr id="1705634687" name="Picture 132"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34687" name="Picture 132" descr="A black text on a white background&#10;&#10;AI-generated content may be incorrect."/>
                    <pic:cNvPicPr/>
                  </pic:nvPicPr>
                  <pic:blipFill>
                    <a:blip r:embed="rId171">
                      <a:extLst>
                        <a:ext uri="{28A0092B-C50C-407E-A947-70E740481C1C}">
                          <a14:useLocalDpi xmlns:a14="http://schemas.microsoft.com/office/drawing/2010/main" val="0"/>
                        </a:ext>
                      </a:extLst>
                    </a:blip>
                    <a:stretch>
                      <a:fillRect/>
                    </a:stretch>
                  </pic:blipFill>
                  <pic:spPr>
                    <a:xfrm>
                      <a:off x="0" y="0"/>
                      <a:ext cx="1768426" cy="244859"/>
                    </a:xfrm>
                    <a:prstGeom prst="rect">
                      <a:avLst/>
                    </a:prstGeom>
                  </pic:spPr>
                </pic:pic>
              </a:graphicData>
            </a:graphic>
          </wp:inline>
        </w:drawing>
      </w:r>
      <w:r w:rsidRPr="00215667">
        <w:rPr>
          <w:rFonts w:ascii="Times New Roman" w:hAnsi="Times New Roman" w:cs="Times New Roman"/>
          <w:noProof/>
          <w:sz w:val="24"/>
          <w:szCs w:val="24"/>
          <w:lang w:val="en-US"/>
        </w:rPr>
        <w:drawing>
          <wp:inline distT="0" distB="0" distL="0" distR="0" wp14:anchorId="0344E206" wp14:editId="049FB65B">
            <wp:extent cx="1626577" cy="224069"/>
            <wp:effectExtent l="0" t="0" r="0" b="5080"/>
            <wp:docPr id="1842741812" name="Picture 133"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41812" name="Picture 133" descr="A black text on a white background&#10;&#10;AI-generated content may be incorrect."/>
                    <pic:cNvPicPr/>
                  </pic:nvPicPr>
                  <pic:blipFill>
                    <a:blip r:embed="rId172">
                      <a:extLst>
                        <a:ext uri="{28A0092B-C50C-407E-A947-70E740481C1C}">
                          <a14:useLocalDpi xmlns:a14="http://schemas.microsoft.com/office/drawing/2010/main" val="0"/>
                        </a:ext>
                      </a:extLst>
                    </a:blip>
                    <a:stretch>
                      <a:fillRect/>
                    </a:stretch>
                  </pic:blipFill>
                  <pic:spPr>
                    <a:xfrm>
                      <a:off x="0" y="0"/>
                      <a:ext cx="1729060" cy="238187"/>
                    </a:xfrm>
                    <a:prstGeom prst="rect">
                      <a:avLst/>
                    </a:prstGeom>
                  </pic:spPr>
                </pic:pic>
              </a:graphicData>
            </a:graphic>
          </wp:inline>
        </w:drawing>
      </w:r>
    </w:p>
    <w:p w14:paraId="7095B2DE" w14:textId="77777777" w:rsidR="00412474" w:rsidRPr="00215667" w:rsidRDefault="00412474" w:rsidP="00412474">
      <w:pPr>
        <w:spacing w:line="240" w:lineRule="auto"/>
        <w:rPr>
          <w:rFonts w:ascii="Times New Roman" w:hAnsi="Times New Roman" w:cs="Times New Roman"/>
          <w:sz w:val="24"/>
          <w:szCs w:val="24"/>
        </w:rPr>
      </w:pPr>
    </w:p>
    <w:p w14:paraId="39FBE1AA" w14:textId="54D433C8" w:rsidR="00412474" w:rsidRPr="00215667" w:rsidRDefault="00412474" w:rsidP="00FA7E6F">
      <w:pPr>
        <w:pStyle w:val="p1"/>
        <w:spacing w:line="360" w:lineRule="auto"/>
        <w:ind w:firstLine="720"/>
        <w:jc w:val="both"/>
      </w:pPr>
      <w:r w:rsidRPr="00215667">
        <w:t xml:space="preserve">Резултатите од анализата на Пирсонова корелација покажуваат дека постои </w:t>
      </w:r>
      <w:r w:rsidRPr="00215667">
        <w:rPr>
          <w:rStyle w:val="s1"/>
          <w:rFonts w:eastAsiaTheme="majorEastAsia"/>
        </w:rPr>
        <w:t>значајна и силна позитивна корелација</w:t>
      </w:r>
      <w:r w:rsidRPr="00215667">
        <w:t xml:space="preserve"> помеѓу PEB (</w:t>
      </w:r>
      <w:r w:rsidR="001B261B" w:rsidRPr="00215667">
        <w:t>постекстракционо</w:t>
      </w:r>
      <w:r w:rsidRPr="00215667">
        <w:t xml:space="preserve"> </w:t>
      </w:r>
      <w:r w:rsidR="00EC49EB" w:rsidRPr="00215667">
        <w:t>крвавење</w:t>
      </w:r>
      <w:r w:rsidRPr="00215667">
        <w:t xml:space="preserve"> кај пациенти на VKA/DOAC терапија) и HAS-BLED </w:t>
      </w:r>
      <w:r w:rsidR="00FA7E6F">
        <w:t>индексот</w:t>
      </w:r>
      <w:r w:rsidRPr="00215667">
        <w:t xml:space="preserve">, </w:t>
      </w:r>
      <w:r w:rsidRPr="00215667">
        <w:rPr>
          <w:i/>
          <w:iCs/>
        </w:rPr>
        <w:t>(r(75) = 0.687, p &lt; .001)</w:t>
      </w:r>
      <w:r w:rsidR="001B261B" w:rsidRPr="00215667">
        <w:t xml:space="preserve"> (графикон бр. 61).</w:t>
      </w:r>
    </w:p>
    <w:p w14:paraId="0F0D09B5" w14:textId="77777777" w:rsidR="00412474" w:rsidRPr="00215667" w:rsidRDefault="00412474" w:rsidP="00993326">
      <w:pPr>
        <w:pStyle w:val="p1"/>
        <w:spacing w:line="360" w:lineRule="auto"/>
        <w:jc w:val="both"/>
      </w:pPr>
      <w:r w:rsidRPr="00215667">
        <w:t>Ова значи дека:</w:t>
      </w:r>
    </w:p>
    <w:p w14:paraId="023A1B28" w14:textId="0F100E77" w:rsidR="00412474" w:rsidRPr="00215667" w:rsidRDefault="00993326" w:rsidP="00993326">
      <w:pPr>
        <w:pStyle w:val="p1"/>
        <w:numPr>
          <w:ilvl w:val="0"/>
          <w:numId w:val="33"/>
        </w:numPr>
        <w:spacing w:line="360" w:lineRule="auto"/>
        <w:jc w:val="both"/>
      </w:pPr>
      <w:r>
        <w:rPr>
          <w:rStyle w:val="s1"/>
          <w:rFonts w:eastAsiaTheme="majorEastAsia"/>
        </w:rPr>
        <w:t>с</w:t>
      </w:r>
      <w:r w:rsidR="00412474" w:rsidRPr="00215667">
        <w:rPr>
          <w:rStyle w:val="s1"/>
          <w:rFonts w:eastAsiaTheme="majorEastAsia"/>
        </w:rPr>
        <w:t xml:space="preserve">о </w:t>
      </w:r>
      <w:r w:rsidR="00412474" w:rsidRPr="00215667">
        <w:t xml:space="preserve">пораст на HAS-BLED </w:t>
      </w:r>
      <w:r w:rsidR="00FA7E6F">
        <w:t>индексот</w:t>
      </w:r>
      <w:r w:rsidR="00412474" w:rsidRPr="00215667">
        <w:rPr>
          <w:rStyle w:val="s1"/>
          <w:rFonts w:eastAsiaTheme="majorEastAsia"/>
        </w:rPr>
        <w:t xml:space="preserve">, расте и </w:t>
      </w:r>
      <w:r w:rsidR="00412474" w:rsidRPr="00215667">
        <w:t xml:space="preserve">веројатноста или сериозноста на </w:t>
      </w:r>
      <w:r w:rsidR="001B261B" w:rsidRPr="00215667">
        <w:t>постекстракционо</w:t>
      </w:r>
      <w:r w:rsidR="00412474" w:rsidRPr="00215667">
        <w:t xml:space="preserve">то </w:t>
      </w:r>
      <w:r w:rsidR="00EC49EB" w:rsidRPr="00215667">
        <w:t>крвавење</w:t>
      </w:r>
      <w:r w:rsidR="00412474" w:rsidRPr="00215667">
        <w:t xml:space="preserve"> (PEB)</w:t>
      </w:r>
      <w:r w:rsidR="00412474" w:rsidRPr="00215667">
        <w:rPr>
          <w:rStyle w:val="s1"/>
          <w:rFonts w:eastAsiaTheme="majorEastAsia"/>
        </w:rPr>
        <w:t xml:space="preserve"> кај овие пациенти</w:t>
      </w:r>
      <w:r>
        <w:rPr>
          <w:rStyle w:val="s1"/>
          <w:rFonts w:eastAsiaTheme="majorEastAsia"/>
        </w:rPr>
        <w:t>;</w:t>
      </w:r>
    </w:p>
    <w:p w14:paraId="0A307C11" w14:textId="5074DCE6" w:rsidR="00412474" w:rsidRPr="00215667" w:rsidRDefault="00993326" w:rsidP="00993326">
      <w:pPr>
        <w:pStyle w:val="p1"/>
        <w:numPr>
          <w:ilvl w:val="0"/>
          <w:numId w:val="33"/>
        </w:numPr>
        <w:spacing w:line="360" w:lineRule="auto"/>
        <w:jc w:val="both"/>
      </w:pPr>
      <w:r>
        <w:lastRenderedPageBreak/>
        <w:t>к</w:t>
      </w:r>
      <w:r w:rsidR="00412474" w:rsidRPr="00215667">
        <w:t xml:space="preserve">орелациониот коефициент од </w:t>
      </w:r>
      <w:r w:rsidR="00412474" w:rsidRPr="00215667">
        <w:rPr>
          <w:rStyle w:val="s1"/>
          <w:rFonts w:eastAsiaTheme="majorEastAsia"/>
        </w:rPr>
        <w:t>0.687</w:t>
      </w:r>
      <w:r w:rsidR="00412474" w:rsidRPr="00215667">
        <w:t xml:space="preserve"> укажува на </w:t>
      </w:r>
      <w:r w:rsidR="00412474" w:rsidRPr="00215667">
        <w:rPr>
          <w:rStyle w:val="s1"/>
          <w:rFonts w:eastAsiaTheme="majorEastAsia"/>
        </w:rPr>
        <w:t>силна врска</w:t>
      </w:r>
      <w:r w:rsidR="00412474" w:rsidRPr="00215667">
        <w:t xml:space="preserve">, а вредноста на </w:t>
      </w:r>
      <w:r w:rsidR="00412474" w:rsidRPr="00215667">
        <w:rPr>
          <w:i/>
          <w:iCs/>
        </w:rPr>
        <w:t>p &lt; .001</w:t>
      </w:r>
      <w:r w:rsidR="00412474" w:rsidRPr="00215667">
        <w:t xml:space="preserve"> го потврдува </w:t>
      </w:r>
      <w:r w:rsidR="00412474" w:rsidRPr="00215667">
        <w:rPr>
          <w:rStyle w:val="s1"/>
          <w:rFonts w:eastAsiaTheme="majorEastAsia"/>
        </w:rPr>
        <w:t>висок</w:t>
      </w:r>
      <w:r>
        <w:rPr>
          <w:rStyle w:val="s1"/>
          <w:rFonts w:eastAsiaTheme="majorEastAsia"/>
        </w:rPr>
        <w:t>ото</w:t>
      </w:r>
      <w:r w:rsidR="00412474" w:rsidRPr="00215667">
        <w:rPr>
          <w:rStyle w:val="s1"/>
          <w:rFonts w:eastAsiaTheme="majorEastAsia"/>
        </w:rPr>
        <w:t xml:space="preserve"> статистичк</w:t>
      </w:r>
      <w:r>
        <w:rPr>
          <w:rStyle w:val="s1"/>
          <w:rFonts w:eastAsiaTheme="majorEastAsia"/>
        </w:rPr>
        <w:t>о</w:t>
      </w:r>
      <w:r w:rsidR="00412474" w:rsidRPr="00215667">
        <w:rPr>
          <w:rStyle w:val="s1"/>
          <w:rFonts w:eastAsiaTheme="majorEastAsia"/>
        </w:rPr>
        <w:t xml:space="preserve"> знач</w:t>
      </w:r>
      <w:r>
        <w:rPr>
          <w:rStyle w:val="s1"/>
          <w:rFonts w:eastAsiaTheme="majorEastAsia"/>
        </w:rPr>
        <w:t>ење</w:t>
      </w:r>
      <w:r w:rsidR="00412474" w:rsidRPr="00215667">
        <w:t xml:space="preserve"> на оваа асоцијација.</w:t>
      </w:r>
    </w:p>
    <w:p w14:paraId="011443F1" w14:textId="06FEAF49" w:rsidR="00412474" w:rsidRDefault="00412474" w:rsidP="00FA7E6F">
      <w:pPr>
        <w:pStyle w:val="p1"/>
        <w:spacing w:line="360" w:lineRule="auto"/>
        <w:ind w:firstLine="720"/>
        <w:jc w:val="both"/>
      </w:pPr>
      <w:r w:rsidRPr="00215667">
        <w:t xml:space="preserve">Овој резултат укажува дека HAS-BLED </w:t>
      </w:r>
      <w:r w:rsidR="00FA7E6F">
        <w:t>индексот</w:t>
      </w:r>
      <w:r w:rsidRPr="00215667">
        <w:t xml:space="preserve"> може да биде </w:t>
      </w:r>
      <w:r w:rsidRPr="00215667">
        <w:rPr>
          <w:rStyle w:val="s1"/>
          <w:rFonts w:eastAsiaTheme="majorEastAsia"/>
        </w:rPr>
        <w:t>корисен предиктор</w:t>
      </w:r>
      <w:r w:rsidRPr="00215667">
        <w:t xml:space="preserve"> за ризикот од </w:t>
      </w:r>
      <w:r w:rsidR="001B261B" w:rsidRPr="00215667">
        <w:t>постекстракционо</w:t>
      </w:r>
      <w:r w:rsidRPr="00215667">
        <w:t xml:space="preserve"> </w:t>
      </w:r>
      <w:r w:rsidR="00EC49EB" w:rsidRPr="00215667">
        <w:t>крвавење</w:t>
      </w:r>
      <w:r w:rsidRPr="00215667">
        <w:t xml:space="preserve"> кај пациенти на антикогулантна терапија (VKA или DOAC), и дека треба да се земе предвид при клиничко планирање на инвазивните интервенции.</w:t>
      </w:r>
    </w:p>
    <w:p w14:paraId="2ED82338" w14:textId="548D00C0" w:rsidR="00993326" w:rsidRPr="00215667" w:rsidRDefault="00993326" w:rsidP="00993326">
      <w:pPr>
        <w:pStyle w:val="p1"/>
        <w:spacing w:line="360" w:lineRule="auto"/>
        <w:jc w:val="center"/>
        <w:rPr>
          <w:bCs/>
        </w:rPr>
      </w:pPr>
      <w:r w:rsidRPr="00215667">
        <w:rPr>
          <w:bCs/>
        </w:rPr>
        <w:t>Графикон бр. 61</w:t>
      </w:r>
      <w:r>
        <w:rPr>
          <w:bCs/>
        </w:rPr>
        <w:t>-</w:t>
      </w:r>
      <w:r w:rsidRPr="00215667">
        <w:rPr>
          <w:bCs/>
        </w:rPr>
        <w:t xml:space="preserve"> Пирсонова корелација меѓу вредност на HAS-BLED индексот и вредноста на PEB кај пациентите кои примаат антикоагулантна терапија</w:t>
      </w:r>
      <w:r>
        <w:rPr>
          <w:bCs/>
        </w:rPr>
        <w:t xml:space="preserve"> </w:t>
      </w:r>
      <w:r w:rsidRPr="00215667">
        <w:rPr>
          <w:bCs/>
        </w:rPr>
        <w:t>(VKA/DOAC)</w:t>
      </w:r>
    </w:p>
    <w:p w14:paraId="017F1BA8" w14:textId="77777777" w:rsidR="00412474" w:rsidRPr="00215667" w:rsidRDefault="00412474" w:rsidP="00412474">
      <w:pPr>
        <w:pStyle w:val="p1"/>
        <w:jc w:val="center"/>
      </w:pPr>
      <w:r w:rsidRPr="00215667">
        <w:rPr>
          <w:noProof/>
          <w:lang w:val="en-US" w:eastAsia="en-US"/>
          <w14:ligatures w14:val="standardContextual"/>
        </w:rPr>
        <w:drawing>
          <wp:inline distT="0" distB="0" distL="0" distR="0" wp14:anchorId="7E23810C" wp14:editId="6856C953">
            <wp:extent cx="5400040" cy="1753235"/>
            <wp:effectExtent l="0" t="0" r="0" b="0"/>
            <wp:docPr id="203495682" name="Picture 141" descr="A graph with a line and a red d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95682" name="Picture 141" descr="A graph with a line and a red dot&#10;&#10;AI-generated content may be incorrect."/>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400040" cy="1753235"/>
                    </a:xfrm>
                    <a:prstGeom prst="rect">
                      <a:avLst/>
                    </a:prstGeom>
                  </pic:spPr>
                </pic:pic>
              </a:graphicData>
            </a:graphic>
          </wp:inline>
        </w:drawing>
      </w:r>
    </w:p>
    <w:p w14:paraId="0454BF93" w14:textId="77777777" w:rsidR="00412474" w:rsidRPr="00215667" w:rsidRDefault="00412474" w:rsidP="00412474">
      <w:pPr>
        <w:spacing w:line="240" w:lineRule="auto"/>
        <w:rPr>
          <w:rFonts w:ascii="Times New Roman" w:hAnsi="Times New Roman" w:cs="Times New Roman"/>
          <w:sz w:val="24"/>
          <w:szCs w:val="24"/>
        </w:rPr>
      </w:pPr>
    </w:p>
    <w:p w14:paraId="424623AC" w14:textId="77777777" w:rsidR="00412474" w:rsidRPr="00215667" w:rsidRDefault="00412474" w:rsidP="00993326">
      <w:pPr>
        <w:spacing w:line="240" w:lineRule="auto"/>
        <w:jc w:val="both"/>
        <w:rPr>
          <w:rFonts w:ascii="Times New Roman" w:hAnsi="Times New Roman" w:cs="Times New Roman"/>
          <w:b/>
          <w:bCs/>
          <w:sz w:val="24"/>
          <w:szCs w:val="24"/>
        </w:rPr>
      </w:pPr>
      <w:r w:rsidRPr="00215667">
        <w:rPr>
          <w:rFonts w:ascii="Times New Roman" w:hAnsi="Times New Roman" w:cs="Times New Roman"/>
          <w:b/>
          <w:bCs/>
          <w:sz w:val="24"/>
          <w:szCs w:val="24"/>
        </w:rPr>
        <w:t>Влијание на HAS-BLED врз степенот на PEB кај пациенти кои примаат аспирин</w:t>
      </w:r>
    </w:p>
    <w:p w14:paraId="17D3656A" w14:textId="209A9A87" w:rsidR="00412474" w:rsidRPr="00215667" w:rsidRDefault="00412474" w:rsidP="00FA7E6F">
      <w:pPr>
        <w:pStyle w:val="p1"/>
        <w:spacing w:line="360" w:lineRule="auto"/>
        <w:ind w:firstLine="720"/>
        <w:jc w:val="both"/>
      </w:pPr>
      <w:r w:rsidRPr="00215667">
        <w:t xml:space="preserve">Тестот на </w:t>
      </w:r>
      <w:r w:rsidRPr="00993326">
        <w:rPr>
          <w:i/>
          <w:iCs/>
        </w:rPr>
        <w:t>Kruskal-Wallis H</w:t>
      </w:r>
      <w:r w:rsidRPr="00215667">
        <w:rPr>
          <w:rStyle w:val="s1"/>
          <w:rFonts w:eastAsiaTheme="majorEastAsia"/>
        </w:rPr>
        <w:t xml:space="preserve"> покажа дека постои </w:t>
      </w:r>
      <w:r w:rsidRPr="00215667">
        <w:t xml:space="preserve">статистички значајна разлика во зависната променлива меѓу различните групи на HAS-BLED </w:t>
      </w:r>
      <w:r w:rsidR="00993326">
        <w:t>индексот</w:t>
      </w:r>
      <w:r w:rsidRPr="00215667">
        <w:t xml:space="preserve"> поврзан со поекстракциско </w:t>
      </w:r>
      <w:r w:rsidR="00EC49EB" w:rsidRPr="00215667">
        <w:t>крвавење</w:t>
      </w:r>
      <w:r w:rsidRPr="00215667">
        <w:t xml:space="preserve"> (PEB)</w:t>
      </w:r>
      <w:r w:rsidRPr="00215667">
        <w:rPr>
          <w:rStyle w:val="s1"/>
          <w:rFonts w:eastAsiaTheme="majorEastAsia"/>
        </w:rPr>
        <w:t xml:space="preserve">, χ²(2) = 23.15, </w:t>
      </w:r>
      <w:r w:rsidRPr="00215667">
        <w:rPr>
          <w:rStyle w:val="s1"/>
          <w:rFonts w:eastAsiaTheme="majorEastAsia"/>
          <w:i/>
          <w:iCs/>
        </w:rPr>
        <w:t>p</w:t>
      </w:r>
      <w:r w:rsidRPr="00215667">
        <w:rPr>
          <w:rStyle w:val="s1"/>
          <w:rFonts w:eastAsiaTheme="majorEastAsia"/>
        </w:rPr>
        <w:t xml:space="preserve"> &lt; 0.001. Средните ранг-скор вредности беа:</w:t>
      </w:r>
    </w:p>
    <w:p w14:paraId="23E64483" w14:textId="77777777" w:rsidR="00412474" w:rsidRPr="00215667" w:rsidRDefault="00412474" w:rsidP="00412474">
      <w:pPr>
        <w:pStyle w:val="p1"/>
        <w:numPr>
          <w:ilvl w:val="0"/>
          <w:numId w:val="30"/>
        </w:numPr>
      </w:pPr>
      <w:r w:rsidRPr="00215667">
        <w:t>HAS-BLED PEB1</w:t>
      </w:r>
      <w:r w:rsidRPr="00215667">
        <w:rPr>
          <w:rStyle w:val="s1"/>
          <w:rFonts w:eastAsiaTheme="majorEastAsia"/>
        </w:rPr>
        <w:t>: 32.72</w:t>
      </w:r>
    </w:p>
    <w:p w14:paraId="53DF277C" w14:textId="77777777" w:rsidR="00412474" w:rsidRPr="00215667" w:rsidRDefault="00412474" w:rsidP="00412474">
      <w:pPr>
        <w:pStyle w:val="p1"/>
        <w:numPr>
          <w:ilvl w:val="0"/>
          <w:numId w:val="30"/>
        </w:numPr>
      </w:pPr>
      <w:r w:rsidRPr="00215667">
        <w:t>HAS-BLED PEB2</w:t>
      </w:r>
      <w:r w:rsidRPr="00215667">
        <w:rPr>
          <w:rStyle w:val="s1"/>
          <w:rFonts w:eastAsiaTheme="majorEastAsia"/>
        </w:rPr>
        <w:t>: 48.83</w:t>
      </w:r>
    </w:p>
    <w:p w14:paraId="32FAAE58" w14:textId="77777777" w:rsidR="00412474" w:rsidRPr="00215667" w:rsidRDefault="00412474" w:rsidP="00412474">
      <w:pPr>
        <w:pStyle w:val="p1"/>
        <w:numPr>
          <w:ilvl w:val="0"/>
          <w:numId w:val="30"/>
        </w:numPr>
      </w:pPr>
      <w:r w:rsidRPr="00215667">
        <w:t>HAS-BLED PEB3</w:t>
      </w:r>
      <w:r w:rsidRPr="00215667">
        <w:rPr>
          <w:rStyle w:val="s1"/>
          <w:rFonts w:eastAsiaTheme="majorEastAsia"/>
        </w:rPr>
        <w:t>: 80.25</w:t>
      </w:r>
    </w:p>
    <w:p w14:paraId="55FF27D4" w14:textId="77777777" w:rsidR="00412474" w:rsidRPr="00215667" w:rsidRDefault="00412474" w:rsidP="00FA7E6F">
      <w:pPr>
        <w:pStyle w:val="p1"/>
        <w:spacing w:line="360" w:lineRule="auto"/>
        <w:ind w:firstLine="720"/>
        <w:jc w:val="both"/>
      </w:pPr>
      <w:r w:rsidRPr="00215667">
        <w:lastRenderedPageBreak/>
        <w:t>Пост-хок анализа</w:t>
      </w:r>
      <w:r w:rsidRPr="00215667">
        <w:rPr>
          <w:rStyle w:val="s1"/>
          <w:rFonts w:eastAsiaTheme="majorEastAsia"/>
        </w:rPr>
        <w:t xml:space="preserve"> со </w:t>
      </w:r>
      <w:r w:rsidRPr="00993326">
        <w:rPr>
          <w:i/>
          <w:iCs/>
        </w:rPr>
        <w:t>Dunn</w:t>
      </w:r>
      <w:r w:rsidRPr="00215667">
        <w:t>-ов тест</w:t>
      </w:r>
      <w:r w:rsidRPr="00215667">
        <w:rPr>
          <w:rStyle w:val="s1"/>
          <w:rFonts w:eastAsiaTheme="majorEastAsia"/>
        </w:rPr>
        <w:t xml:space="preserve"> и </w:t>
      </w:r>
      <w:r w:rsidRPr="00993326">
        <w:rPr>
          <w:i/>
          <w:iCs/>
        </w:rPr>
        <w:t>Bonferroni</w:t>
      </w:r>
      <w:r w:rsidRPr="00215667">
        <w:t xml:space="preserve"> коригирана алфа вредност од 0.017</w:t>
      </w:r>
      <w:r w:rsidRPr="00215667">
        <w:rPr>
          <w:rStyle w:val="s1"/>
          <w:rFonts w:eastAsiaTheme="majorEastAsia"/>
        </w:rPr>
        <w:t xml:space="preserve"> покажа дека </w:t>
      </w:r>
      <w:r w:rsidRPr="00215667">
        <w:t>сите парови на групи (PEB1-PEB2, PEB1-PEB3, PEB2-PEB3)</w:t>
      </w:r>
      <w:r w:rsidRPr="00215667">
        <w:rPr>
          <w:rStyle w:val="s1"/>
          <w:rFonts w:eastAsiaTheme="majorEastAsia"/>
        </w:rPr>
        <w:t xml:space="preserve"> имаат </w:t>
      </w:r>
      <w:r w:rsidRPr="00215667">
        <w:t>статистички значајни разлики во ранговите</w:t>
      </w:r>
      <w:r w:rsidRPr="00215667">
        <w:rPr>
          <w:rStyle w:val="s1"/>
          <w:rFonts w:eastAsiaTheme="majorEastAsia"/>
        </w:rPr>
        <w:t>.</w:t>
      </w:r>
    </w:p>
    <w:p w14:paraId="38A7E342" w14:textId="0BEFA540" w:rsidR="00412474" w:rsidRDefault="00412474" w:rsidP="00FA7E6F">
      <w:pPr>
        <w:pStyle w:val="p1"/>
        <w:spacing w:line="360" w:lineRule="auto"/>
        <w:ind w:firstLine="720"/>
        <w:jc w:val="both"/>
      </w:pPr>
      <w:r w:rsidRPr="00215667">
        <w:t xml:space="preserve">Овој резултат укажува дека повисок HAS-BLED </w:t>
      </w:r>
      <w:r w:rsidR="00993326">
        <w:t>индекс</w:t>
      </w:r>
      <w:r w:rsidRPr="00215667">
        <w:t xml:space="preserve"> е поврзан со зголемена веројатност за поекстракциско </w:t>
      </w:r>
      <w:r w:rsidR="00EC49EB" w:rsidRPr="00215667">
        <w:t>крвавење</w:t>
      </w:r>
      <w:r w:rsidRPr="00215667">
        <w:t>, при што секоја следна група (PEB2, PEB3) има повисок ризик од претходната</w:t>
      </w:r>
      <w:r w:rsidR="001B261B" w:rsidRPr="00215667">
        <w:t xml:space="preserve"> (графикон бр. 62 и табела бр. 32)</w:t>
      </w:r>
      <w:r w:rsidR="00993326">
        <w:t>.</w:t>
      </w:r>
    </w:p>
    <w:p w14:paraId="3C41D36F" w14:textId="36C080D5" w:rsidR="00993326" w:rsidRPr="00215667" w:rsidRDefault="00993326" w:rsidP="00993326">
      <w:pPr>
        <w:spacing w:line="360" w:lineRule="auto"/>
        <w:jc w:val="center"/>
        <w:rPr>
          <w:rFonts w:ascii="Times New Roman" w:hAnsi="Times New Roman" w:cs="Times New Roman"/>
          <w:bCs/>
          <w:sz w:val="24"/>
          <w:szCs w:val="24"/>
        </w:rPr>
      </w:pPr>
      <w:r w:rsidRPr="00215667">
        <w:rPr>
          <w:rFonts w:ascii="Times New Roman" w:hAnsi="Times New Roman" w:cs="Times New Roman"/>
          <w:bCs/>
          <w:sz w:val="24"/>
          <w:szCs w:val="24"/>
        </w:rPr>
        <w:t>Графикон бр. 62</w:t>
      </w:r>
      <w:r>
        <w:rPr>
          <w:rFonts w:ascii="Times New Roman" w:hAnsi="Times New Roman" w:cs="Times New Roman"/>
          <w:bCs/>
          <w:sz w:val="24"/>
          <w:szCs w:val="24"/>
        </w:rPr>
        <w:t>-</w:t>
      </w:r>
      <w:r w:rsidRPr="00215667">
        <w:rPr>
          <w:rFonts w:ascii="Times New Roman" w:hAnsi="Times New Roman" w:cs="Times New Roman"/>
          <w:bCs/>
          <w:sz w:val="24"/>
          <w:szCs w:val="24"/>
        </w:rPr>
        <w:t xml:space="preserve"> Анализа на HAS-BLED индексот во зависност од степенот на PEB, кај испитаниците кои примаат антиагрегациона терапија (аспирин)</w:t>
      </w:r>
    </w:p>
    <w:p w14:paraId="1BC61C64" w14:textId="77777777" w:rsidR="00412474" w:rsidRPr="00215667" w:rsidRDefault="00412474" w:rsidP="00412474">
      <w:pPr>
        <w:pStyle w:val="p4"/>
        <w:jc w:val="center"/>
        <w:rPr>
          <w:rFonts w:eastAsiaTheme="majorEastAsia"/>
        </w:rPr>
      </w:pPr>
      <w:r w:rsidRPr="00215667">
        <w:rPr>
          <w:rFonts w:eastAsiaTheme="majorEastAsia"/>
          <w:noProof/>
          <w:lang w:val="en-US" w:eastAsia="en-US"/>
          <w14:ligatures w14:val="standardContextual"/>
        </w:rPr>
        <w:drawing>
          <wp:inline distT="0" distB="0" distL="0" distR="0" wp14:anchorId="1F4C8F79" wp14:editId="647656A2">
            <wp:extent cx="1411846" cy="2250281"/>
            <wp:effectExtent l="0" t="0" r="0" b="0"/>
            <wp:docPr id="1136268836" name="Picture 135" descr="A graph with a green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268836" name="Picture 135" descr="A graph with a green line&#10;&#10;AI-generated content may be incorrect."/>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436658" cy="2289828"/>
                    </a:xfrm>
                    <a:prstGeom prst="rect">
                      <a:avLst/>
                    </a:prstGeom>
                  </pic:spPr>
                </pic:pic>
              </a:graphicData>
            </a:graphic>
          </wp:inline>
        </w:drawing>
      </w:r>
      <w:r w:rsidRPr="00215667">
        <w:rPr>
          <w:rFonts w:eastAsiaTheme="majorEastAsia"/>
          <w:noProof/>
          <w:lang w:val="en-US" w:eastAsia="en-US"/>
          <w14:ligatures w14:val="standardContextual"/>
        </w:rPr>
        <w:drawing>
          <wp:inline distT="0" distB="0" distL="0" distR="0" wp14:anchorId="5758458C" wp14:editId="2AE66AC1">
            <wp:extent cx="3543300" cy="2352062"/>
            <wp:effectExtent l="0" t="0" r="0" b="0"/>
            <wp:docPr id="1251483619" name="Picture 136" descr="A diagram of a box p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483619" name="Picture 136" descr="A diagram of a box plot&#10;&#10;AI-generated content may be incorrect."/>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3572616" cy="2371522"/>
                    </a:xfrm>
                    <a:prstGeom prst="rect">
                      <a:avLst/>
                    </a:prstGeom>
                  </pic:spPr>
                </pic:pic>
              </a:graphicData>
            </a:graphic>
          </wp:inline>
        </w:drawing>
      </w:r>
    </w:p>
    <w:p w14:paraId="1A3BF1C3" w14:textId="77777777" w:rsidR="00412474" w:rsidRPr="00215667" w:rsidRDefault="00412474" w:rsidP="00412474">
      <w:pPr>
        <w:pStyle w:val="p4"/>
        <w:jc w:val="center"/>
      </w:pPr>
      <w:r w:rsidRPr="00215667">
        <w:rPr>
          <w:rFonts w:eastAsiaTheme="majorEastAsia"/>
          <w:noProof/>
          <w:lang w:val="en-US" w:eastAsia="en-US"/>
          <w14:ligatures w14:val="standardContextual"/>
        </w:rPr>
        <w:drawing>
          <wp:inline distT="0" distB="0" distL="0" distR="0" wp14:anchorId="3A8CC322" wp14:editId="649A4926">
            <wp:extent cx="2831123" cy="2146288"/>
            <wp:effectExtent l="0" t="0" r="1270" b="635"/>
            <wp:docPr id="561848352" name="Picture 137" descr="A graph with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848352" name="Picture 137" descr="A graph with different colored bars&#10;&#10;AI-generated content may be incorrect."/>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2854068" cy="2163683"/>
                    </a:xfrm>
                    <a:prstGeom prst="rect">
                      <a:avLst/>
                    </a:prstGeom>
                  </pic:spPr>
                </pic:pic>
              </a:graphicData>
            </a:graphic>
          </wp:inline>
        </w:drawing>
      </w:r>
    </w:p>
    <w:p w14:paraId="08B6799E" w14:textId="77777777" w:rsidR="00412474" w:rsidRPr="00215667" w:rsidRDefault="00412474" w:rsidP="00412474">
      <w:pPr>
        <w:pStyle w:val="p4"/>
        <w:jc w:val="center"/>
        <w:rPr>
          <w:rFonts w:eastAsiaTheme="majorEastAsia"/>
        </w:rPr>
      </w:pPr>
      <w:r w:rsidRPr="00215667">
        <w:rPr>
          <w:noProof/>
          <w:lang w:val="en-US" w:eastAsia="en-US"/>
          <w14:ligatures w14:val="standardContextual"/>
        </w:rPr>
        <w:drawing>
          <wp:inline distT="0" distB="0" distL="0" distR="0" wp14:anchorId="7BEFEF3F" wp14:editId="3EBA3601">
            <wp:extent cx="1573823" cy="196728"/>
            <wp:effectExtent l="0" t="0" r="1270" b="0"/>
            <wp:docPr id="438418186"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418186" name="Picture 438418186"/>
                    <pic:cNvPicPr/>
                  </pic:nvPicPr>
                  <pic:blipFill>
                    <a:blip r:embed="rId177">
                      <a:extLst>
                        <a:ext uri="{28A0092B-C50C-407E-A947-70E740481C1C}">
                          <a14:useLocalDpi xmlns:a14="http://schemas.microsoft.com/office/drawing/2010/main" val="0"/>
                        </a:ext>
                      </a:extLst>
                    </a:blip>
                    <a:stretch>
                      <a:fillRect/>
                    </a:stretch>
                  </pic:blipFill>
                  <pic:spPr>
                    <a:xfrm>
                      <a:off x="0" y="0"/>
                      <a:ext cx="1666609" cy="208326"/>
                    </a:xfrm>
                    <a:prstGeom prst="rect">
                      <a:avLst/>
                    </a:prstGeom>
                  </pic:spPr>
                </pic:pic>
              </a:graphicData>
            </a:graphic>
          </wp:inline>
        </w:drawing>
      </w:r>
      <w:r w:rsidRPr="00215667">
        <w:rPr>
          <w:noProof/>
          <w:lang w:val="en-US" w:eastAsia="en-US"/>
          <w14:ligatures w14:val="standardContextual"/>
        </w:rPr>
        <w:drawing>
          <wp:inline distT="0" distB="0" distL="0" distR="0" wp14:anchorId="08B6906B" wp14:editId="0DF52B3F">
            <wp:extent cx="1688123" cy="222798"/>
            <wp:effectExtent l="0" t="0" r="1270" b="6350"/>
            <wp:docPr id="1225308903" name="Picture 139"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308903" name="Picture 139" descr="A black text on a white background&#10;&#10;AI-generated content may be incorrect."/>
                    <pic:cNvPicPr/>
                  </pic:nvPicPr>
                  <pic:blipFill>
                    <a:blip r:embed="rId178">
                      <a:extLst>
                        <a:ext uri="{28A0092B-C50C-407E-A947-70E740481C1C}">
                          <a14:useLocalDpi xmlns:a14="http://schemas.microsoft.com/office/drawing/2010/main" val="0"/>
                        </a:ext>
                      </a:extLst>
                    </a:blip>
                    <a:stretch>
                      <a:fillRect/>
                    </a:stretch>
                  </pic:blipFill>
                  <pic:spPr>
                    <a:xfrm>
                      <a:off x="0" y="0"/>
                      <a:ext cx="1802566" cy="237902"/>
                    </a:xfrm>
                    <a:prstGeom prst="rect">
                      <a:avLst/>
                    </a:prstGeom>
                  </pic:spPr>
                </pic:pic>
              </a:graphicData>
            </a:graphic>
          </wp:inline>
        </w:drawing>
      </w:r>
      <w:r w:rsidRPr="00215667">
        <w:rPr>
          <w:noProof/>
          <w:lang w:val="en-US" w:eastAsia="en-US"/>
          <w14:ligatures w14:val="standardContextual"/>
        </w:rPr>
        <w:drawing>
          <wp:inline distT="0" distB="0" distL="0" distR="0" wp14:anchorId="4A330BD2" wp14:editId="1188CDB5">
            <wp:extent cx="1635369" cy="232395"/>
            <wp:effectExtent l="0" t="0" r="0" b="0"/>
            <wp:docPr id="1008211890" name="Picture 140"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211890" name="Picture 140" descr="A black text on a white background&#10;&#10;AI-generated content may be incorrect."/>
                    <pic:cNvPicPr/>
                  </pic:nvPicPr>
                  <pic:blipFill>
                    <a:blip r:embed="rId179">
                      <a:extLst>
                        <a:ext uri="{28A0092B-C50C-407E-A947-70E740481C1C}">
                          <a14:useLocalDpi xmlns:a14="http://schemas.microsoft.com/office/drawing/2010/main" val="0"/>
                        </a:ext>
                      </a:extLst>
                    </a:blip>
                    <a:stretch>
                      <a:fillRect/>
                    </a:stretch>
                  </pic:blipFill>
                  <pic:spPr>
                    <a:xfrm>
                      <a:off x="0" y="0"/>
                      <a:ext cx="1702922" cy="241995"/>
                    </a:xfrm>
                    <a:prstGeom prst="rect">
                      <a:avLst/>
                    </a:prstGeom>
                  </pic:spPr>
                </pic:pic>
              </a:graphicData>
            </a:graphic>
          </wp:inline>
        </w:drawing>
      </w:r>
    </w:p>
    <w:p w14:paraId="78FAE767" w14:textId="4239F74B" w:rsidR="001B261B" w:rsidRPr="00215667" w:rsidRDefault="001B261B" w:rsidP="00993326">
      <w:pPr>
        <w:spacing w:line="360" w:lineRule="auto"/>
        <w:jc w:val="center"/>
        <w:rPr>
          <w:rFonts w:ascii="Times New Roman" w:hAnsi="Times New Roman" w:cs="Times New Roman"/>
          <w:sz w:val="24"/>
          <w:szCs w:val="24"/>
        </w:rPr>
      </w:pPr>
      <w:r w:rsidRPr="00215667">
        <w:rPr>
          <w:rFonts w:ascii="Times New Roman" w:hAnsi="Times New Roman" w:cs="Times New Roman"/>
          <w:sz w:val="24"/>
          <w:szCs w:val="24"/>
        </w:rPr>
        <w:lastRenderedPageBreak/>
        <w:t>Табела бр. 32</w:t>
      </w:r>
      <w:r w:rsidR="00993326">
        <w:rPr>
          <w:rFonts w:ascii="Times New Roman" w:hAnsi="Times New Roman" w:cs="Times New Roman"/>
          <w:sz w:val="24"/>
          <w:szCs w:val="24"/>
        </w:rPr>
        <w:t>-</w:t>
      </w:r>
      <w:r w:rsidRPr="00215667">
        <w:rPr>
          <w:rFonts w:ascii="Times New Roman" w:hAnsi="Times New Roman" w:cs="Times New Roman"/>
          <w:sz w:val="24"/>
          <w:szCs w:val="24"/>
        </w:rPr>
        <w:t xml:space="preserve"> Приказ на разликите во вредноста на HAS-BLED индексот врз основа на степенот на PEB кај сите пациенти кои примаат антиагрегациона терапија</w:t>
      </w:r>
      <w:r w:rsidR="00993326">
        <w:rPr>
          <w:rFonts w:ascii="Times New Roman" w:hAnsi="Times New Roman" w:cs="Times New Roman"/>
          <w:sz w:val="24"/>
          <w:szCs w:val="24"/>
        </w:rPr>
        <w:t xml:space="preserve"> (</w:t>
      </w:r>
      <w:r w:rsidRPr="00993326">
        <w:rPr>
          <w:rFonts w:ascii="Times New Roman" w:hAnsi="Times New Roman" w:cs="Times New Roman"/>
          <w:i/>
          <w:iCs/>
          <w:sz w:val="24"/>
          <w:szCs w:val="24"/>
        </w:rPr>
        <w:t>Kruskal-Wallis H</w:t>
      </w:r>
      <w:r w:rsidRPr="00215667">
        <w:rPr>
          <w:rFonts w:ascii="Times New Roman" w:hAnsi="Times New Roman" w:cs="Times New Roman"/>
          <w:sz w:val="24"/>
          <w:szCs w:val="24"/>
        </w:rPr>
        <w:t xml:space="preserve"> тест, пост-хок </w:t>
      </w:r>
      <w:r w:rsidRPr="00993326">
        <w:rPr>
          <w:rFonts w:ascii="Times New Roman" w:hAnsi="Times New Roman" w:cs="Times New Roman"/>
          <w:i/>
          <w:iCs/>
          <w:sz w:val="24"/>
          <w:szCs w:val="24"/>
        </w:rPr>
        <w:t>Dunn</w:t>
      </w:r>
      <w:r w:rsidRPr="00215667">
        <w:rPr>
          <w:rFonts w:ascii="Times New Roman" w:hAnsi="Times New Roman" w:cs="Times New Roman"/>
          <w:sz w:val="24"/>
          <w:szCs w:val="24"/>
        </w:rPr>
        <w:t xml:space="preserve"> анализа со </w:t>
      </w:r>
      <w:r w:rsidRPr="00993326">
        <w:rPr>
          <w:rFonts w:ascii="Times New Roman" w:hAnsi="Times New Roman" w:cs="Times New Roman"/>
          <w:i/>
          <w:iCs/>
          <w:sz w:val="24"/>
          <w:szCs w:val="24"/>
        </w:rPr>
        <w:t>Bonferonni</w:t>
      </w:r>
      <w:r w:rsidRPr="00215667">
        <w:rPr>
          <w:rFonts w:ascii="Times New Roman" w:hAnsi="Times New Roman" w:cs="Times New Roman"/>
          <w:sz w:val="24"/>
          <w:szCs w:val="24"/>
        </w:rPr>
        <w:t xml:space="preserve"> корекција.</w:t>
      </w:r>
    </w:p>
    <w:p w14:paraId="5B646994" w14:textId="77777777" w:rsidR="00412474" w:rsidRPr="00215667" w:rsidRDefault="00412474" w:rsidP="00412474">
      <w:pPr>
        <w:pStyle w:val="p4"/>
        <w:jc w:val="center"/>
        <w:rPr>
          <w:rFonts w:eastAsiaTheme="majorEastAsia"/>
        </w:rPr>
      </w:pPr>
      <w:r w:rsidRPr="00215667">
        <w:rPr>
          <w:noProof/>
          <w:lang w:val="en-US" w:eastAsia="en-US"/>
          <w14:ligatures w14:val="standardContextual"/>
        </w:rPr>
        <w:drawing>
          <wp:inline distT="0" distB="0" distL="0" distR="0" wp14:anchorId="33F79742" wp14:editId="32F070AC">
            <wp:extent cx="5400040" cy="1156335"/>
            <wp:effectExtent l="0" t="0" r="0" b="0"/>
            <wp:docPr id="974015386" name="Picture 142" descr="A table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015386" name="Picture 142" descr="A table with numbers and letters&#10;&#10;AI-generated content may be incorrect."/>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5400040" cy="1156335"/>
                    </a:xfrm>
                    <a:prstGeom prst="rect">
                      <a:avLst/>
                    </a:prstGeom>
                  </pic:spPr>
                </pic:pic>
              </a:graphicData>
            </a:graphic>
          </wp:inline>
        </w:drawing>
      </w:r>
    </w:p>
    <w:p w14:paraId="71FD9F21" w14:textId="74756345" w:rsidR="001B261B" w:rsidRPr="00993326" w:rsidRDefault="001B261B" w:rsidP="00993326">
      <w:pPr>
        <w:spacing w:after="0" w:line="240" w:lineRule="auto"/>
        <w:rPr>
          <w:rFonts w:ascii="Times New Roman" w:hAnsi="Times New Roman" w:cs="Times New Roman"/>
          <w:sz w:val="20"/>
          <w:szCs w:val="20"/>
        </w:rPr>
      </w:pPr>
      <w:r w:rsidRPr="00993326">
        <w:rPr>
          <w:rFonts w:ascii="Times New Roman" w:hAnsi="Times New Roman" w:cs="Times New Roman"/>
          <w:sz w:val="20"/>
          <w:szCs w:val="20"/>
        </w:rPr>
        <w:t>х1: вредност на HAS-BLED индекс при PEB1</w:t>
      </w:r>
    </w:p>
    <w:p w14:paraId="28F5593E" w14:textId="5C3E3C00" w:rsidR="001B261B" w:rsidRPr="00993326" w:rsidRDefault="001B261B" w:rsidP="00993326">
      <w:pPr>
        <w:spacing w:after="0" w:line="240" w:lineRule="auto"/>
        <w:rPr>
          <w:rFonts w:ascii="Times New Roman" w:hAnsi="Times New Roman" w:cs="Times New Roman"/>
          <w:sz w:val="20"/>
          <w:szCs w:val="20"/>
        </w:rPr>
      </w:pPr>
      <w:r w:rsidRPr="00993326">
        <w:rPr>
          <w:rFonts w:ascii="Times New Roman" w:hAnsi="Times New Roman" w:cs="Times New Roman"/>
          <w:sz w:val="20"/>
          <w:szCs w:val="20"/>
        </w:rPr>
        <w:t>х2: вредност на HAS-BLED индекс при PEB2</w:t>
      </w:r>
    </w:p>
    <w:p w14:paraId="706B277A" w14:textId="0E415FF5" w:rsidR="001B261B" w:rsidRPr="00993326" w:rsidRDefault="001B261B" w:rsidP="00993326">
      <w:pPr>
        <w:spacing w:after="0" w:line="240" w:lineRule="auto"/>
        <w:rPr>
          <w:rFonts w:ascii="Times New Roman" w:hAnsi="Times New Roman" w:cs="Times New Roman"/>
          <w:sz w:val="20"/>
          <w:szCs w:val="20"/>
        </w:rPr>
      </w:pPr>
      <w:r w:rsidRPr="00993326">
        <w:rPr>
          <w:rFonts w:ascii="Times New Roman" w:hAnsi="Times New Roman" w:cs="Times New Roman"/>
          <w:sz w:val="20"/>
          <w:szCs w:val="20"/>
        </w:rPr>
        <w:t>х3: вредност на HAS-BLED индекс при PEB3</w:t>
      </w:r>
    </w:p>
    <w:p w14:paraId="2AC910E1" w14:textId="56BFE582" w:rsidR="001B261B" w:rsidRPr="00993326" w:rsidRDefault="001B261B" w:rsidP="00993326">
      <w:pPr>
        <w:spacing w:after="0" w:line="240" w:lineRule="auto"/>
        <w:rPr>
          <w:rFonts w:ascii="Times New Roman" w:hAnsi="Times New Roman" w:cs="Times New Roman"/>
          <w:sz w:val="20"/>
          <w:szCs w:val="20"/>
        </w:rPr>
      </w:pPr>
      <w:r w:rsidRPr="00993326">
        <w:rPr>
          <w:rFonts w:ascii="Times New Roman" w:hAnsi="Times New Roman" w:cs="Times New Roman"/>
          <w:sz w:val="20"/>
          <w:szCs w:val="20"/>
        </w:rPr>
        <w:t>Црвено обоена вредност на p: p&gt;0.05 (статистички значајна разлика)</w:t>
      </w:r>
    </w:p>
    <w:p w14:paraId="36334209" w14:textId="0D9E09DC" w:rsidR="00412474" w:rsidRPr="00215667" w:rsidRDefault="00412474" w:rsidP="00FA7E6F">
      <w:pPr>
        <w:pStyle w:val="p1"/>
        <w:spacing w:line="360" w:lineRule="auto"/>
        <w:ind w:firstLine="720"/>
        <w:jc w:val="both"/>
      </w:pPr>
      <w:r w:rsidRPr="00215667">
        <w:t>Резултатите од Пирсоновата корелација</w:t>
      </w:r>
      <w:r w:rsidRPr="00215667">
        <w:rPr>
          <w:rStyle w:val="s1"/>
          <w:rFonts w:eastAsiaTheme="majorEastAsia"/>
        </w:rPr>
        <w:t xml:space="preserve"> укажуваат на </w:t>
      </w:r>
      <w:r w:rsidRPr="00215667">
        <w:t>статистички значајна и силна позитивна врска</w:t>
      </w:r>
      <w:r w:rsidRPr="00215667">
        <w:rPr>
          <w:rStyle w:val="s1"/>
          <w:rFonts w:eastAsiaTheme="majorEastAsia"/>
        </w:rPr>
        <w:t xml:space="preserve"> помеѓу </w:t>
      </w:r>
      <w:r w:rsidRPr="00215667">
        <w:t xml:space="preserve">поекстракциското </w:t>
      </w:r>
      <w:r w:rsidR="00EC49EB" w:rsidRPr="00215667">
        <w:t>крвавење</w:t>
      </w:r>
      <w:r w:rsidRPr="00215667">
        <w:t xml:space="preserve"> (PEB) кај пациенти кои земаат аспирин</w:t>
      </w:r>
      <w:r w:rsidRPr="00215667">
        <w:rPr>
          <w:rStyle w:val="s1"/>
          <w:rFonts w:eastAsiaTheme="majorEastAsia"/>
        </w:rPr>
        <w:t xml:space="preserve"> и </w:t>
      </w:r>
      <w:r w:rsidRPr="00215667">
        <w:t xml:space="preserve">HAS-BLED </w:t>
      </w:r>
      <w:r w:rsidR="00FA7E6F">
        <w:t>индексот</w:t>
      </w:r>
      <w:r w:rsidRPr="00215667">
        <w:rPr>
          <w:rStyle w:val="s1"/>
          <w:rFonts w:eastAsiaTheme="majorEastAsia"/>
        </w:rPr>
        <w:t xml:space="preserve">, </w:t>
      </w:r>
      <w:r w:rsidRPr="00215667">
        <w:rPr>
          <w:rStyle w:val="s1"/>
          <w:rFonts w:eastAsiaTheme="majorEastAsia"/>
          <w:i/>
          <w:iCs/>
        </w:rPr>
        <w:t>r</w:t>
      </w:r>
      <w:r w:rsidRPr="00215667">
        <w:rPr>
          <w:rStyle w:val="s1"/>
          <w:rFonts w:eastAsiaTheme="majorEastAsia"/>
        </w:rPr>
        <w:t xml:space="preserve">(81) = 0.563, </w:t>
      </w:r>
      <w:r w:rsidRPr="00215667">
        <w:rPr>
          <w:rStyle w:val="s1"/>
          <w:rFonts w:eastAsiaTheme="majorEastAsia"/>
          <w:i/>
          <w:iCs/>
        </w:rPr>
        <w:t>p</w:t>
      </w:r>
      <w:r w:rsidRPr="00215667">
        <w:rPr>
          <w:rStyle w:val="s1"/>
          <w:rFonts w:eastAsiaTheme="majorEastAsia"/>
        </w:rPr>
        <w:t xml:space="preserve"> &lt; 0.001.</w:t>
      </w:r>
    </w:p>
    <w:p w14:paraId="677922FE" w14:textId="58E032EE" w:rsidR="00412474" w:rsidRDefault="00412474" w:rsidP="00FA7E6F">
      <w:pPr>
        <w:pStyle w:val="p1"/>
        <w:spacing w:line="360" w:lineRule="auto"/>
        <w:ind w:firstLine="720"/>
        <w:jc w:val="both"/>
      </w:pPr>
      <w:r w:rsidRPr="00215667">
        <w:t xml:space="preserve">Овој резултат значи дека со зголемување на HAS-BLED </w:t>
      </w:r>
      <w:r w:rsidR="00FA7E6F">
        <w:t>индексот</w:t>
      </w:r>
      <w:r w:rsidRPr="00215667">
        <w:t xml:space="preserve">, се зголемува и веројатноста за појава на поекстракциско </w:t>
      </w:r>
      <w:r w:rsidR="00EC49EB" w:rsidRPr="00215667">
        <w:t>крвавење</w:t>
      </w:r>
      <w:r w:rsidRPr="00215667">
        <w:t xml:space="preserve"> кај пациенти под терапија со аспирин. Врската е силна според критериумите на Cohen (1988)</w:t>
      </w:r>
      <w:r w:rsidR="001B261B" w:rsidRPr="00215667">
        <w:t xml:space="preserve"> (графикон бр. 63).</w:t>
      </w:r>
    </w:p>
    <w:p w14:paraId="441E35E0" w14:textId="7CAF683A" w:rsidR="00993326" w:rsidRPr="00215667" w:rsidRDefault="00993326" w:rsidP="00993326">
      <w:pPr>
        <w:spacing w:line="360" w:lineRule="auto"/>
        <w:jc w:val="center"/>
        <w:rPr>
          <w:rFonts w:ascii="Times New Roman" w:hAnsi="Times New Roman" w:cs="Times New Roman"/>
          <w:bCs/>
          <w:sz w:val="24"/>
          <w:szCs w:val="24"/>
        </w:rPr>
      </w:pPr>
      <w:r w:rsidRPr="00215667">
        <w:rPr>
          <w:rFonts w:ascii="Times New Roman" w:hAnsi="Times New Roman" w:cs="Times New Roman"/>
          <w:bCs/>
          <w:sz w:val="24"/>
          <w:szCs w:val="24"/>
        </w:rPr>
        <w:t>Графикон бр. 63</w:t>
      </w:r>
      <w:r>
        <w:rPr>
          <w:rFonts w:ascii="Times New Roman" w:hAnsi="Times New Roman" w:cs="Times New Roman"/>
          <w:bCs/>
          <w:sz w:val="24"/>
          <w:szCs w:val="24"/>
        </w:rPr>
        <w:t xml:space="preserve">- </w:t>
      </w:r>
      <w:r w:rsidRPr="00215667">
        <w:rPr>
          <w:rFonts w:ascii="Times New Roman" w:hAnsi="Times New Roman" w:cs="Times New Roman"/>
          <w:bCs/>
          <w:sz w:val="24"/>
          <w:szCs w:val="24"/>
        </w:rPr>
        <w:t>Пирсонова корелација меѓу вредност на HAS-BLED индексот и вредноста на PEB кај пациентите кои примаат антиагрегациона терапија (аспирин)</w:t>
      </w:r>
    </w:p>
    <w:p w14:paraId="2D404E4E" w14:textId="77777777" w:rsidR="00412474" w:rsidRPr="00215667" w:rsidRDefault="00412474" w:rsidP="00412474">
      <w:pPr>
        <w:pStyle w:val="p3"/>
        <w:jc w:val="center"/>
      </w:pPr>
      <w:r w:rsidRPr="00215667">
        <w:rPr>
          <w:noProof/>
          <w:lang w:val="en-US" w:eastAsia="en-US"/>
          <w14:ligatures w14:val="standardContextual"/>
        </w:rPr>
        <w:drawing>
          <wp:inline distT="0" distB="0" distL="0" distR="0" wp14:anchorId="104C9EE8" wp14:editId="4848469C">
            <wp:extent cx="5400040" cy="1783080"/>
            <wp:effectExtent l="0" t="0" r="0" b="0"/>
            <wp:docPr id="2011779893" name="Picture 134" descr="A graph with a line and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779893" name="Picture 134" descr="A graph with a line and red dots&#10;&#10;AI-generated content may be incorrect."/>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5400040" cy="1783080"/>
                    </a:xfrm>
                    <a:prstGeom prst="rect">
                      <a:avLst/>
                    </a:prstGeom>
                  </pic:spPr>
                </pic:pic>
              </a:graphicData>
            </a:graphic>
          </wp:inline>
        </w:drawing>
      </w:r>
    </w:p>
    <w:p w14:paraId="2E16D3BF" w14:textId="77777777" w:rsidR="00412474" w:rsidRPr="00215667" w:rsidRDefault="00412474" w:rsidP="001B261B">
      <w:pPr>
        <w:pStyle w:val="p1"/>
      </w:pPr>
    </w:p>
    <w:p w14:paraId="12E9DB22" w14:textId="77777777" w:rsidR="00412474" w:rsidRPr="00215667" w:rsidRDefault="00412474" w:rsidP="00412474">
      <w:pPr>
        <w:spacing w:line="240" w:lineRule="auto"/>
        <w:rPr>
          <w:rFonts w:ascii="Times New Roman" w:hAnsi="Times New Roman" w:cs="Times New Roman"/>
          <w:b/>
          <w:bCs/>
          <w:sz w:val="24"/>
          <w:szCs w:val="24"/>
        </w:rPr>
      </w:pPr>
      <w:r w:rsidRPr="00215667">
        <w:rPr>
          <w:rFonts w:ascii="Times New Roman" w:hAnsi="Times New Roman" w:cs="Times New Roman"/>
          <w:b/>
          <w:bCs/>
          <w:sz w:val="24"/>
          <w:szCs w:val="24"/>
        </w:rPr>
        <w:lastRenderedPageBreak/>
        <w:t>Мултипна регресиона линеарна анализа</w:t>
      </w:r>
    </w:p>
    <w:p w14:paraId="30885416" w14:textId="258BDD87" w:rsidR="00412474" w:rsidRPr="00215667" w:rsidRDefault="00412474" w:rsidP="00FA7E6F">
      <w:pPr>
        <w:pStyle w:val="p1"/>
        <w:spacing w:line="360" w:lineRule="auto"/>
        <w:ind w:firstLine="720"/>
        <w:jc w:val="both"/>
      </w:pPr>
      <w:r w:rsidRPr="00215667">
        <w:t xml:space="preserve">Со мултипната регресиона линеарна анализа имавме цел да ги тестираме различните фактори кои можат да влијаат врз вредноста на постекстракционото </w:t>
      </w:r>
      <w:r w:rsidR="00EC49EB" w:rsidRPr="00215667">
        <w:t>крвавење</w:t>
      </w:r>
      <w:r w:rsidRPr="00215667">
        <w:t>, кога делуваат независно меѓу себе. Тестирањето на односот меѓу испитуваните фактори врз параметарот PEB покажа дека коефициентот на определеност R² изнесува 0.696754. Ова значи дека предикторите (Xi) објаснуваат 69.7</w:t>
      </w:r>
      <w:r w:rsidR="00993326">
        <w:t xml:space="preserve"> </w:t>
      </w:r>
      <w:r w:rsidRPr="00215667">
        <w:t>% од варијансата на зависната променлива Y. Прилагодениот коефициент на определеност (Adjusted R²) изнесува 0.691728. Коефициентот на мултипната корелација (R) изнесува 0.834718, што укажува на многу силна корелација меѓу предвидените вредности (ŷ) и набљудуваните вредности (y).</w:t>
      </w:r>
    </w:p>
    <w:p w14:paraId="790E9453" w14:textId="77777777" w:rsidR="00412474" w:rsidRPr="00215667" w:rsidRDefault="00412474" w:rsidP="00FA7E6F">
      <w:pPr>
        <w:pStyle w:val="p1"/>
        <w:spacing w:line="360" w:lineRule="auto"/>
        <w:ind w:firstLine="720"/>
        <w:jc w:val="both"/>
      </w:pPr>
      <w:r w:rsidRPr="00215667">
        <w:t>Општа регресија: F(3,181) = 138.625091, p-вредност = 0. Бидејќи p &lt; α (0.05), ја отфрламе нултата хипотеза H₀. Линеарниот регресиски модел, Y = b₀ + b₁X₁ + … + bₚXₚ + ε, претставува подобро вклопување од моделот без независни променливи, т.е. Y = b₀ + ε. Сите независни променливи (Xi) се статистички значајни.</w:t>
      </w:r>
    </w:p>
    <w:p w14:paraId="3F5D272B" w14:textId="6AB0CE69" w:rsidR="00412474" w:rsidRPr="00215667" w:rsidRDefault="00412474" w:rsidP="00FA7E6F">
      <w:pPr>
        <w:pStyle w:val="p1"/>
        <w:spacing w:line="360" w:lineRule="auto"/>
        <w:ind w:firstLine="720"/>
        <w:jc w:val="both"/>
      </w:pPr>
      <w:r w:rsidRPr="00215667">
        <w:rPr>
          <w:rStyle w:val="s2"/>
          <w:rFonts w:eastAsiaTheme="majorEastAsia"/>
          <w:b/>
          <w:bCs/>
        </w:rPr>
        <w:t>Y-пресек (b):</w:t>
      </w:r>
      <w:r w:rsidRPr="00215667">
        <w:t xml:space="preserve"> T = 3.197369, p-вредност = 0.00163707. Оттаму, b е статистички значајно различен од нула</w:t>
      </w:r>
      <w:r w:rsidR="001B261B" w:rsidRPr="00215667">
        <w:t xml:space="preserve"> (табели бр. 33-35 и графикон бр. 64).</w:t>
      </w:r>
    </w:p>
    <w:p w14:paraId="6C28EA6F" w14:textId="287C1867" w:rsidR="00412474" w:rsidRPr="00215667" w:rsidRDefault="001B261B" w:rsidP="00993326">
      <w:pPr>
        <w:spacing w:line="360" w:lineRule="auto"/>
        <w:jc w:val="center"/>
        <w:rPr>
          <w:rFonts w:ascii="Times New Roman" w:hAnsi="Times New Roman" w:cs="Times New Roman"/>
          <w:sz w:val="24"/>
          <w:szCs w:val="24"/>
        </w:rPr>
      </w:pPr>
      <w:r w:rsidRPr="00215667">
        <w:rPr>
          <w:rFonts w:ascii="Times New Roman" w:hAnsi="Times New Roman" w:cs="Times New Roman"/>
          <w:sz w:val="24"/>
          <w:szCs w:val="24"/>
        </w:rPr>
        <w:t>Табела бр. 33</w:t>
      </w:r>
      <w:r w:rsidR="00993326">
        <w:rPr>
          <w:rFonts w:ascii="Times New Roman" w:hAnsi="Times New Roman" w:cs="Times New Roman"/>
          <w:sz w:val="24"/>
          <w:szCs w:val="24"/>
        </w:rPr>
        <w:t>-</w:t>
      </w:r>
      <w:r w:rsidRPr="00215667">
        <w:rPr>
          <w:rFonts w:ascii="Times New Roman" w:hAnsi="Times New Roman" w:cs="Times New Roman"/>
          <w:sz w:val="24"/>
          <w:szCs w:val="24"/>
        </w:rPr>
        <w:t xml:space="preserve"> Вредности од спроведената анализа на корелација меѓу различните параметри кои влијаат на PEB</w:t>
      </w:r>
    </w:p>
    <w:p w14:paraId="78B69F94" w14:textId="77777777" w:rsidR="00412474" w:rsidRPr="00215667" w:rsidRDefault="00412474" w:rsidP="00412474">
      <w:pPr>
        <w:spacing w:line="240" w:lineRule="auto"/>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35AD9109" wp14:editId="5EA1DA7D">
            <wp:extent cx="5400040" cy="1859280"/>
            <wp:effectExtent l="0" t="0" r="0" b="0"/>
            <wp:docPr id="110477883" name="Picture 46"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77883" name="Picture 46" descr="A screenshot of a computer&#10;&#10;AI-generated content may be incorrect."/>
                    <pic:cNvPicPr/>
                  </pic:nvPicPr>
                  <pic:blipFill>
                    <a:blip r:embed="rId182">
                      <a:extLst>
                        <a:ext uri="{28A0092B-C50C-407E-A947-70E740481C1C}">
                          <a14:useLocalDpi xmlns:a14="http://schemas.microsoft.com/office/drawing/2010/main" val="0"/>
                        </a:ext>
                      </a:extLst>
                    </a:blip>
                    <a:stretch>
                      <a:fillRect/>
                    </a:stretch>
                  </pic:blipFill>
                  <pic:spPr>
                    <a:xfrm>
                      <a:off x="0" y="0"/>
                      <a:ext cx="5400040" cy="1859280"/>
                    </a:xfrm>
                    <a:prstGeom prst="rect">
                      <a:avLst/>
                    </a:prstGeom>
                  </pic:spPr>
                </pic:pic>
              </a:graphicData>
            </a:graphic>
          </wp:inline>
        </w:drawing>
      </w:r>
    </w:p>
    <w:p w14:paraId="71715389" w14:textId="77777777" w:rsidR="001B261B" w:rsidRPr="00215667" w:rsidRDefault="001B261B" w:rsidP="001B261B">
      <w:pPr>
        <w:spacing w:line="240" w:lineRule="auto"/>
        <w:rPr>
          <w:rFonts w:ascii="Times New Roman" w:hAnsi="Times New Roman" w:cs="Times New Roman"/>
          <w:sz w:val="24"/>
          <w:szCs w:val="24"/>
        </w:rPr>
      </w:pPr>
    </w:p>
    <w:p w14:paraId="4E8502AC" w14:textId="77777777" w:rsidR="00993326" w:rsidRDefault="00993326" w:rsidP="00993326">
      <w:pPr>
        <w:spacing w:line="360" w:lineRule="auto"/>
        <w:jc w:val="center"/>
        <w:rPr>
          <w:rFonts w:ascii="Times New Roman" w:hAnsi="Times New Roman" w:cs="Times New Roman"/>
          <w:sz w:val="24"/>
          <w:szCs w:val="24"/>
        </w:rPr>
      </w:pPr>
    </w:p>
    <w:p w14:paraId="75D86BD5" w14:textId="5FC46184" w:rsidR="001B261B" w:rsidRPr="00215667" w:rsidRDefault="001B261B" w:rsidP="00993326">
      <w:pPr>
        <w:spacing w:line="360" w:lineRule="auto"/>
        <w:jc w:val="center"/>
        <w:rPr>
          <w:rFonts w:ascii="Times New Roman" w:hAnsi="Times New Roman" w:cs="Times New Roman"/>
          <w:sz w:val="24"/>
          <w:szCs w:val="24"/>
        </w:rPr>
      </w:pPr>
      <w:r w:rsidRPr="00215667">
        <w:rPr>
          <w:rFonts w:ascii="Times New Roman" w:hAnsi="Times New Roman" w:cs="Times New Roman"/>
          <w:sz w:val="24"/>
          <w:szCs w:val="24"/>
        </w:rPr>
        <w:lastRenderedPageBreak/>
        <w:t>Табела бр. 34</w:t>
      </w:r>
      <w:r w:rsidR="00993326">
        <w:rPr>
          <w:rFonts w:ascii="Times New Roman" w:hAnsi="Times New Roman" w:cs="Times New Roman"/>
          <w:sz w:val="24"/>
          <w:szCs w:val="24"/>
        </w:rPr>
        <w:t xml:space="preserve">- </w:t>
      </w:r>
      <w:r w:rsidRPr="00215667">
        <w:rPr>
          <w:rFonts w:ascii="Times New Roman" w:hAnsi="Times New Roman" w:cs="Times New Roman"/>
          <w:sz w:val="24"/>
          <w:szCs w:val="24"/>
        </w:rPr>
        <w:t>Вредности од спроведената ANOVA анализа кај различните параметри кои влијаат на PEB</w:t>
      </w:r>
    </w:p>
    <w:p w14:paraId="1114E954" w14:textId="77777777" w:rsidR="00412474" w:rsidRPr="00215667" w:rsidRDefault="00412474" w:rsidP="00412474">
      <w:pPr>
        <w:spacing w:line="240" w:lineRule="auto"/>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0247CD8C" wp14:editId="17A52910">
            <wp:extent cx="5400040" cy="1279525"/>
            <wp:effectExtent l="0" t="0" r="0" b="3175"/>
            <wp:docPr id="420591666" name="Picture 47"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591666" name="Picture 47" descr="A screenshot of a graph&#10;&#10;AI-generated content may be incorrect."/>
                    <pic:cNvPicPr/>
                  </pic:nvPicPr>
                  <pic:blipFill>
                    <a:blip r:embed="rId183" cstate="print">
                      <a:extLst>
                        <a:ext uri="{28A0092B-C50C-407E-A947-70E740481C1C}">
                          <a14:useLocalDpi xmlns:a14="http://schemas.microsoft.com/office/drawing/2010/main" val="0"/>
                        </a:ext>
                      </a:extLst>
                    </a:blip>
                    <a:stretch>
                      <a:fillRect/>
                    </a:stretch>
                  </pic:blipFill>
                  <pic:spPr>
                    <a:xfrm>
                      <a:off x="0" y="0"/>
                      <a:ext cx="5400040" cy="1279525"/>
                    </a:xfrm>
                    <a:prstGeom prst="rect">
                      <a:avLst/>
                    </a:prstGeom>
                  </pic:spPr>
                </pic:pic>
              </a:graphicData>
            </a:graphic>
          </wp:inline>
        </w:drawing>
      </w:r>
    </w:p>
    <w:p w14:paraId="6BF3264A" w14:textId="2C522571" w:rsidR="001B261B" w:rsidRPr="00215667" w:rsidRDefault="001B261B" w:rsidP="00993326">
      <w:pPr>
        <w:spacing w:line="360" w:lineRule="auto"/>
        <w:jc w:val="center"/>
        <w:rPr>
          <w:rFonts w:ascii="Times New Roman" w:hAnsi="Times New Roman" w:cs="Times New Roman"/>
          <w:sz w:val="24"/>
          <w:szCs w:val="24"/>
        </w:rPr>
      </w:pPr>
      <w:r w:rsidRPr="00215667">
        <w:rPr>
          <w:rFonts w:ascii="Times New Roman" w:hAnsi="Times New Roman" w:cs="Times New Roman"/>
          <w:sz w:val="24"/>
          <w:szCs w:val="24"/>
        </w:rPr>
        <w:t>Табела бр. 35</w:t>
      </w:r>
      <w:r w:rsidR="00993326">
        <w:rPr>
          <w:rFonts w:ascii="Times New Roman" w:hAnsi="Times New Roman" w:cs="Times New Roman"/>
          <w:sz w:val="24"/>
          <w:szCs w:val="24"/>
        </w:rPr>
        <w:t>-</w:t>
      </w:r>
      <w:r w:rsidRPr="00215667">
        <w:rPr>
          <w:rFonts w:ascii="Times New Roman" w:hAnsi="Times New Roman" w:cs="Times New Roman"/>
          <w:sz w:val="24"/>
          <w:szCs w:val="24"/>
        </w:rPr>
        <w:t xml:space="preserve"> Пост-хок анализа (Tukey) за тестирање на поврзаноста на различните параметри и PEB</w:t>
      </w:r>
    </w:p>
    <w:p w14:paraId="2A029590" w14:textId="7732DB90" w:rsidR="001B261B" w:rsidRDefault="00412474" w:rsidP="00412474">
      <w:pPr>
        <w:spacing w:line="240" w:lineRule="auto"/>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3624FCF1" wp14:editId="440887E3">
            <wp:extent cx="5400040" cy="814705"/>
            <wp:effectExtent l="0" t="0" r="0" b="0"/>
            <wp:docPr id="1524868475" name="Picture 48"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868475" name="Picture 48" descr="A screenshot of a graph&#10;&#10;AI-generated content may be incorrect."/>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5400040" cy="814705"/>
                    </a:xfrm>
                    <a:prstGeom prst="rect">
                      <a:avLst/>
                    </a:prstGeom>
                  </pic:spPr>
                </pic:pic>
              </a:graphicData>
            </a:graphic>
          </wp:inline>
        </w:drawing>
      </w:r>
    </w:p>
    <w:p w14:paraId="75995145" w14:textId="77777777" w:rsidR="00993326" w:rsidRDefault="00993326" w:rsidP="00993326">
      <w:pPr>
        <w:spacing w:line="360" w:lineRule="auto"/>
        <w:jc w:val="center"/>
        <w:rPr>
          <w:rFonts w:ascii="Times New Roman" w:hAnsi="Times New Roman" w:cs="Times New Roman"/>
          <w:bCs/>
          <w:sz w:val="24"/>
          <w:szCs w:val="24"/>
        </w:rPr>
      </w:pPr>
    </w:p>
    <w:p w14:paraId="68E6CFBE" w14:textId="462DDB55" w:rsidR="00993326" w:rsidRPr="00215667" w:rsidRDefault="00993326" w:rsidP="00993326">
      <w:pPr>
        <w:spacing w:line="360" w:lineRule="auto"/>
        <w:jc w:val="center"/>
        <w:rPr>
          <w:rFonts w:ascii="Times New Roman" w:hAnsi="Times New Roman" w:cs="Times New Roman"/>
          <w:bCs/>
          <w:sz w:val="24"/>
          <w:szCs w:val="24"/>
        </w:rPr>
      </w:pPr>
      <w:r w:rsidRPr="00215667">
        <w:rPr>
          <w:rFonts w:ascii="Times New Roman" w:hAnsi="Times New Roman" w:cs="Times New Roman"/>
          <w:bCs/>
          <w:sz w:val="24"/>
          <w:szCs w:val="24"/>
        </w:rPr>
        <w:t>Графикон бр. 64</w:t>
      </w:r>
      <w:r>
        <w:rPr>
          <w:rFonts w:ascii="Times New Roman" w:hAnsi="Times New Roman" w:cs="Times New Roman"/>
          <w:bCs/>
          <w:sz w:val="24"/>
          <w:szCs w:val="24"/>
        </w:rPr>
        <w:t>-</w:t>
      </w:r>
      <w:r w:rsidRPr="00215667">
        <w:rPr>
          <w:rFonts w:ascii="Times New Roman" w:hAnsi="Times New Roman" w:cs="Times New Roman"/>
          <w:bCs/>
          <w:sz w:val="24"/>
          <w:szCs w:val="24"/>
        </w:rPr>
        <w:t xml:space="preserve"> Приказ на резултатите од спроведената мултипна регресиона анализа во однос на различни фактори кои влијаат на PEB</w:t>
      </w:r>
    </w:p>
    <w:p w14:paraId="1D982EE4" w14:textId="724BA9CE" w:rsidR="001B261B" w:rsidRPr="00215667" w:rsidRDefault="001B261B" w:rsidP="00993326">
      <w:pPr>
        <w:spacing w:line="240" w:lineRule="auto"/>
        <w:jc w:val="center"/>
        <w:rPr>
          <w:rFonts w:ascii="Times New Roman" w:hAnsi="Times New Roman" w:cs="Times New Roman"/>
          <w:sz w:val="24"/>
          <w:szCs w:val="24"/>
        </w:rPr>
      </w:pPr>
      <w:r w:rsidRPr="00215667">
        <w:rPr>
          <w:rFonts w:ascii="Times New Roman" w:hAnsi="Times New Roman" w:cs="Times New Roman"/>
          <w:b/>
          <w:bCs/>
          <w:noProof/>
          <w:sz w:val="24"/>
          <w:szCs w:val="24"/>
          <w:lang w:val="en-US"/>
        </w:rPr>
        <w:drawing>
          <wp:inline distT="0" distB="0" distL="0" distR="0" wp14:anchorId="5BBE40E4" wp14:editId="2CCC4AD0">
            <wp:extent cx="3246332" cy="3357037"/>
            <wp:effectExtent l="0" t="0" r="5080" b="0"/>
            <wp:docPr id="1751160361" name="Picture 44" descr="A graph of a distribu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160361" name="Picture 44" descr="A graph of a distribution&#10;&#10;AI-generated content may be incorrect."/>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3271752" cy="3383324"/>
                    </a:xfrm>
                    <a:prstGeom prst="rect">
                      <a:avLst/>
                    </a:prstGeom>
                  </pic:spPr>
                </pic:pic>
              </a:graphicData>
            </a:graphic>
          </wp:inline>
        </w:drawing>
      </w:r>
    </w:p>
    <w:p w14:paraId="7D275982" w14:textId="40307228" w:rsidR="00412474" w:rsidRPr="00215667" w:rsidRDefault="00412474" w:rsidP="00993326">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lastRenderedPageBreak/>
        <w:drawing>
          <wp:inline distT="0" distB="0" distL="0" distR="0" wp14:anchorId="1651DD3E" wp14:editId="5DC7E256">
            <wp:extent cx="2554661" cy="1345223"/>
            <wp:effectExtent l="0" t="0" r="0" b="1270"/>
            <wp:docPr id="132847208" name="Picture 45" descr="A graph with a line going u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47208" name="Picture 45" descr="A graph with a line going up&#10;&#10;AI-generated content may be incorrect."/>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2606690" cy="1372620"/>
                    </a:xfrm>
                    <a:prstGeom prst="rect">
                      <a:avLst/>
                    </a:prstGeom>
                  </pic:spPr>
                </pic:pic>
              </a:graphicData>
            </a:graphic>
          </wp:inline>
        </w:drawing>
      </w:r>
      <w:r w:rsidRPr="00215667">
        <w:rPr>
          <w:rFonts w:ascii="Times New Roman" w:hAnsi="Times New Roman" w:cs="Times New Roman"/>
          <w:noProof/>
          <w:sz w:val="24"/>
          <w:szCs w:val="24"/>
          <w:lang w:val="en-US"/>
        </w:rPr>
        <w:drawing>
          <wp:inline distT="0" distB="0" distL="0" distR="0" wp14:anchorId="124CB8B9" wp14:editId="2457497B">
            <wp:extent cx="2554605" cy="1316054"/>
            <wp:effectExtent l="0" t="0" r="0" b="5080"/>
            <wp:docPr id="1717775752" name="Picture 49" descr="A graph with green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775752" name="Picture 49" descr="A graph with green and black lines&#10;&#10;AI-generated content may be incorrect."/>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595715" cy="1337232"/>
                    </a:xfrm>
                    <a:prstGeom prst="rect">
                      <a:avLst/>
                    </a:prstGeom>
                  </pic:spPr>
                </pic:pic>
              </a:graphicData>
            </a:graphic>
          </wp:inline>
        </w:drawing>
      </w:r>
      <w:r w:rsidRPr="00215667">
        <w:rPr>
          <w:rFonts w:ascii="Times New Roman" w:hAnsi="Times New Roman" w:cs="Times New Roman"/>
          <w:noProof/>
          <w:sz w:val="24"/>
          <w:szCs w:val="24"/>
          <w:lang w:val="en-US"/>
        </w:rPr>
        <w:drawing>
          <wp:inline distT="0" distB="0" distL="0" distR="0" wp14:anchorId="43AAB6F8" wp14:editId="073A2648">
            <wp:extent cx="2404228" cy="1239715"/>
            <wp:effectExtent l="0" t="0" r="0" b="5080"/>
            <wp:docPr id="1611478140" name="Picture 50" descr="A graph with green and black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1478140" name="Picture 50" descr="A graph with green and black lines&#10;&#10;AI-generated content may be incorrect."/>
                    <pic:cNvPicPr/>
                  </pic:nvPicPr>
                  <pic:blipFill>
                    <a:blip r:embed="rId188" cstate="print">
                      <a:extLst>
                        <a:ext uri="{28A0092B-C50C-407E-A947-70E740481C1C}">
                          <a14:useLocalDpi xmlns:a14="http://schemas.microsoft.com/office/drawing/2010/main" val="0"/>
                        </a:ext>
                      </a:extLst>
                    </a:blip>
                    <a:stretch>
                      <a:fillRect/>
                    </a:stretch>
                  </pic:blipFill>
                  <pic:spPr>
                    <a:xfrm>
                      <a:off x="0" y="0"/>
                      <a:ext cx="2471474" cy="1274389"/>
                    </a:xfrm>
                    <a:prstGeom prst="rect">
                      <a:avLst/>
                    </a:prstGeom>
                  </pic:spPr>
                </pic:pic>
              </a:graphicData>
            </a:graphic>
          </wp:inline>
        </w:drawing>
      </w:r>
    </w:p>
    <w:p w14:paraId="69A1C39D" w14:textId="77777777" w:rsidR="00412474" w:rsidRPr="00215667" w:rsidRDefault="00412474" w:rsidP="00993326">
      <w:pPr>
        <w:spacing w:line="240" w:lineRule="auto"/>
        <w:jc w:val="center"/>
        <w:rPr>
          <w:rFonts w:ascii="Times New Roman" w:hAnsi="Times New Roman" w:cs="Times New Roman"/>
          <w:sz w:val="24"/>
          <w:szCs w:val="24"/>
        </w:rPr>
      </w:pPr>
      <w:r w:rsidRPr="00215667">
        <w:rPr>
          <w:rFonts w:ascii="Times New Roman" w:hAnsi="Times New Roman" w:cs="Times New Roman"/>
          <w:noProof/>
          <w:sz w:val="24"/>
          <w:szCs w:val="24"/>
          <w:lang w:val="en-US"/>
        </w:rPr>
        <w:drawing>
          <wp:inline distT="0" distB="0" distL="0" distR="0" wp14:anchorId="5CDB57FE" wp14:editId="65CBA22F">
            <wp:extent cx="2743410" cy="1813749"/>
            <wp:effectExtent l="0" t="0" r="0" b="2540"/>
            <wp:docPr id="454154520" name="Picture 51"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154520" name="Picture 51" descr="A graph with blue dots&#10;&#10;AI-generated content may be incorrect."/>
                    <pic:cNvPicPr/>
                  </pic:nvPicPr>
                  <pic:blipFill>
                    <a:blip r:embed="rId189">
                      <a:extLst>
                        <a:ext uri="{28A0092B-C50C-407E-A947-70E740481C1C}">
                          <a14:useLocalDpi xmlns:a14="http://schemas.microsoft.com/office/drawing/2010/main" val="0"/>
                        </a:ext>
                      </a:extLst>
                    </a:blip>
                    <a:stretch>
                      <a:fillRect/>
                    </a:stretch>
                  </pic:blipFill>
                  <pic:spPr>
                    <a:xfrm>
                      <a:off x="0" y="0"/>
                      <a:ext cx="2835160" cy="1874407"/>
                    </a:xfrm>
                    <a:prstGeom prst="rect">
                      <a:avLst/>
                    </a:prstGeom>
                  </pic:spPr>
                </pic:pic>
              </a:graphicData>
            </a:graphic>
          </wp:inline>
        </w:drawing>
      </w:r>
      <w:r w:rsidRPr="00215667">
        <w:rPr>
          <w:rFonts w:ascii="Times New Roman" w:hAnsi="Times New Roman" w:cs="Times New Roman"/>
          <w:noProof/>
          <w:sz w:val="24"/>
          <w:szCs w:val="24"/>
          <w:lang w:val="en-US"/>
        </w:rPr>
        <w:drawing>
          <wp:inline distT="0" distB="0" distL="0" distR="0" wp14:anchorId="5019C907" wp14:editId="0841F739">
            <wp:extent cx="2530853" cy="1815612"/>
            <wp:effectExtent l="0" t="0" r="0" b="635"/>
            <wp:docPr id="1781085292" name="Picture 52" descr="A graph with yellow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085292" name="Picture 52" descr="A graph with yellow and blue dots&#10;&#10;AI-generated content may be incorrect."/>
                    <pic:cNvPicPr/>
                  </pic:nvPicPr>
                  <pic:blipFill>
                    <a:blip r:embed="rId190">
                      <a:extLst>
                        <a:ext uri="{28A0092B-C50C-407E-A947-70E740481C1C}">
                          <a14:useLocalDpi xmlns:a14="http://schemas.microsoft.com/office/drawing/2010/main" val="0"/>
                        </a:ext>
                      </a:extLst>
                    </a:blip>
                    <a:stretch>
                      <a:fillRect/>
                    </a:stretch>
                  </pic:blipFill>
                  <pic:spPr>
                    <a:xfrm>
                      <a:off x="0" y="0"/>
                      <a:ext cx="2550006" cy="1829352"/>
                    </a:xfrm>
                    <a:prstGeom prst="rect">
                      <a:avLst/>
                    </a:prstGeom>
                  </pic:spPr>
                </pic:pic>
              </a:graphicData>
            </a:graphic>
          </wp:inline>
        </w:drawing>
      </w:r>
      <w:r w:rsidRPr="00215667">
        <w:rPr>
          <w:rFonts w:ascii="Times New Roman" w:hAnsi="Times New Roman" w:cs="Times New Roman"/>
          <w:noProof/>
          <w:sz w:val="24"/>
          <w:szCs w:val="24"/>
          <w:lang w:val="en-US"/>
        </w:rPr>
        <w:drawing>
          <wp:inline distT="0" distB="0" distL="0" distR="0" wp14:anchorId="65B60BD7" wp14:editId="13F1118C">
            <wp:extent cx="2631148" cy="1725344"/>
            <wp:effectExtent l="0" t="0" r="0" b="1905"/>
            <wp:docPr id="1066257816" name="Picture 53"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257816" name="Picture 53" descr="A graph with blue dots&#10;&#10;AI-generated content may be incorrect."/>
                    <pic:cNvPicPr/>
                  </pic:nvPicPr>
                  <pic:blipFill>
                    <a:blip r:embed="rId191">
                      <a:extLst>
                        <a:ext uri="{28A0092B-C50C-407E-A947-70E740481C1C}">
                          <a14:useLocalDpi xmlns:a14="http://schemas.microsoft.com/office/drawing/2010/main" val="0"/>
                        </a:ext>
                      </a:extLst>
                    </a:blip>
                    <a:stretch>
                      <a:fillRect/>
                    </a:stretch>
                  </pic:blipFill>
                  <pic:spPr>
                    <a:xfrm>
                      <a:off x="0" y="0"/>
                      <a:ext cx="2677387" cy="1755665"/>
                    </a:xfrm>
                    <a:prstGeom prst="rect">
                      <a:avLst/>
                    </a:prstGeom>
                  </pic:spPr>
                </pic:pic>
              </a:graphicData>
            </a:graphic>
          </wp:inline>
        </w:drawing>
      </w:r>
      <w:r w:rsidRPr="00215667">
        <w:rPr>
          <w:rFonts w:ascii="Times New Roman" w:hAnsi="Times New Roman" w:cs="Times New Roman"/>
          <w:noProof/>
          <w:sz w:val="24"/>
          <w:szCs w:val="24"/>
          <w:lang w:val="en-US"/>
        </w:rPr>
        <w:drawing>
          <wp:inline distT="0" distB="0" distL="0" distR="0" wp14:anchorId="223AE48E" wp14:editId="485ED402">
            <wp:extent cx="2641365" cy="1731756"/>
            <wp:effectExtent l="0" t="0" r="635" b="0"/>
            <wp:docPr id="1599432634" name="Picture 54" descr="A graph with yellow and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432634" name="Picture 54" descr="A graph with yellow and blue dots&#10;&#10;AI-generated content may be incorrect."/>
                    <pic:cNvPicPr/>
                  </pic:nvPicPr>
                  <pic:blipFill>
                    <a:blip r:embed="rId192">
                      <a:extLst>
                        <a:ext uri="{28A0092B-C50C-407E-A947-70E740481C1C}">
                          <a14:useLocalDpi xmlns:a14="http://schemas.microsoft.com/office/drawing/2010/main" val="0"/>
                        </a:ext>
                      </a:extLst>
                    </a:blip>
                    <a:stretch>
                      <a:fillRect/>
                    </a:stretch>
                  </pic:blipFill>
                  <pic:spPr>
                    <a:xfrm>
                      <a:off x="0" y="0"/>
                      <a:ext cx="2694044" cy="1766294"/>
                    </a:xfrm>
                    <a:prstGeom prst="rect">
                      <a:avLst/>
                    </a:prstGeom>
                  </pic:spPr>
                </pic:pic>
              </a:graphicData>
            </a:graphic>
          </wp:inline>
        </w:drawing>
      </w:r>
      <w:r w:rsidRPr="00215667">
        <w:rPr>
          <w:rFonts w:ascii="Times New Roman" w:hAnsi="Times New Roman" w:cs="Times New Roman"/>
          <w:noProof/>
          <w:sz w:val="24"/>
          <w:szCs w:val="24"/>
          <w:lang w:val="en-US"/>
        </w:rPr>
        <w:drawing>
          <wp:inline distT="0" distB="0" distL="0" distR="0" wp14:anchorId="78F821F2" wp14:editId="623B3D38">
            <wp:extent cx="2655800" cy="1809946"/>
            <wp:effectExtent l="0" t="0" r="0" b="6350"/>
            <wp:docPr id="41496410" name="Picture 55" descr="A graph with blu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96410" name="Picture 55" descr="A graph with blue dots&#10;&#10;AI-generated content may be incorrect."/>
                    <pic:cNvPicPr/>
                  </pic:nvPicPr>
                  <pic:blipFill>
                    <a:blip r:embed="rId193">
                      <a:extLst>
                        <a:ext uri="{28A0092B-C50C-407E-A947-70E740481C1C}">
                          <a14:useLocalDpi xmlns:a14="http://schemas.microsoft.com/office/drawing/2010/main" val="0"/>
                        </a:ext>
                      </a:extLst>
                    </a:blip>
                    <a:stretch>
                      <a:fillRect/>
                    </a:stretch>
                  </pic:blipFill>
                  <pic:spPr>
                    <a:xfrm>
                      <a:off x="0" y="0"/>
                      <a:ext cx="2701198" cy="1840885"/>
                    </a:xfrm>
                    <a:prstGeom prst="rect">
                      <a:avLst/>
                    </a:prstGeom>
                  </pic:spPr>
                </pic:pic>
              </a:graphicData>
            </a:graphic>
          </wp:inline>
        </w:drawing>
      </w:r>
      <w:r w:rsidRPr="00215667">
        <w:rPr>
          <w:rFonts w:ascii="Times New Roman" w:hAnsi="Times New Roman" w:cs="Times New Roman"/>
          <w:noProof/>
          <w:sz w:val="24"/>
          <w:szCs w:val="24"/>
          <w:lang w:val="en-US"/>
        </w:rPr>
        <w:drawing>
          <wp:inline distT="0" distB="0" distL="0" distR="0" wp14:anchorId="15A87460" wp14:editId="7A8530FB">
            <wp:extent cx="2652719" cy="1807845"/>
            <wp:effectExtent l="0" t="0" r="1905" b="0"/>
            <wp:docPr id="1242651987" name="Picture 56" descr="A graph with blue and yellow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51987" name="Picture 56" descr="A graph with blue and yellow dots&#10;&#10;AI-generated content may be incorrect."/>
                    <pic:cNvPicPr/>
                  </pic:nvPicPr>
                  <pic:blipFill>
                    <a:blip r:embed="rId194">
                      <a:extLst>
                        <a:ext uri="{28A0092B-C50C-407E-A947-70E740481C1C}">
                          <a14:useLocalDpi xmlns:a14="http://schemas.microsoft.com/office/drawing/2010/main" val="0"/>
                        </a:ext>
                      </a:extLst>
                    </a:blip>
                    <a:stretch>
                      <a:fillRect/>
                    </a:stretch>
                  </pic:blipFill>
                  <pic:spPr>
                    <a:xfrm>
                      <a:off x="0" y="0"/>
                      <a:ext cx="2700118" cy="1840148"/>
                    </a:xfrm>
                    <a:prstGeom prst="rect">
                      <a:avLst/>
                    </a:prstGeom>
                  </pic:spPr>
                </pic:pic>
              </a:graphicData>
            </a:graphic>
          </wp:inline>
        </w:drawing>
      </w:r>
    </w:p>
    <w:p w14:paraId="4741DEEC" w14:textId="77777777" w:rsidR="00412474" w:rsidRPr="00215667" w:rsidRDefault="00412474">
      <w:pPr>
        <w:rPr>
          <w:rFonts w:ascii="Times New Roman" w:hAnsi="Times New Roman" w:cs="Times New Roman"/>
          <w:sz w:val="24"/>
          <w:szCs w:val="24"/>
        </w:rPr>
      </w:pPr>
    </w:p>
    <w:p w14:paraId="451C8F39" w14:textId="22E3076A" w:rsidR="00412474" w:rsidRPr="00215667" w:rsidRDefault="00412474" w:rsidP="00215667">
      <w:pPr>
        <w:pStyle w:val="Heading1"/>
        <w:rPr>
          <w:rFonts w:ascii="Times New Roman" w:hAnsi="Times New Roman" w:cs="Times New Roman"/>
          <w:b/>
          <w:bCs/>
          <w:color w:val="000000" w:themeColor="text1"/>
          <w:sz w:val="28"/>
          <w:szCs w:val="28"/>
        </w:rPr>
      </w:pPr>
      <w:bookmarkStart w:id="40" w:name="_Toc209005160"/>
      <w:r w:rsidRPr="001F2E2D">
        <w:rPr>
          <w:rFonts w:ascii="Times New Roman" w:hAnsi="Times New Roman" w:cs="Times New Roman"/>
          <w:b/>
          <w:bCs/>
          <w:color w:val="000000" w:themeColor="text1"/>
          <w:sz w:val="28"/>
          <w:szCs w:val="28"/>
        </w:rPr>
        <w:lastRenderedPageBreak/>
        <w:t>ДИСКУСИЈА</w:t>
      </w:r>
      <w:bookmarkEnd w:id="40"/>
    </w:p>
    <w:p w14:paraId="33386199" w14:textId="77777777" w:rsidR="001B261B" w:rsidRPr="00215667" w:rsidRDefault="001B261B" w:rsidP="00412474">
      <w:pPr>
        <w:ind w:firstLine="720"/>
        <w:jc w:val="both"/>
        <w:rPr>
          <w:rFonts w:ascii="Times New Roman" w:hAnsi="Times New Roman" w:cs="Times New Roman"/>
          <w:bCs/>
          <w:sz w:val="24"/>
          <w:szCs w:val="24"/>
        </w:rPr>
      </w:pPr>
    </w:p>
    <w:p w14:paraId="79C454B8" w14:textId="6A917CDD" w:rsidR="001B261B" w:rsidRPr="00215667" w:rsidRDefault="001B261B" w:rsidP="00215667">
      <w:pPr>
        <w:pStyle w:val="Heading2"/>
        <w:rPr>
          <w:rFonts w:ascii="Times New Roman" w:hAnsi="Times New Roman" w:cs="Times New Roman"/>
          <w:b/>
          <w:bCs/>
          <w:color w:val="000000" w:themeColor="text1"/>
          <w:sz w:val="24"/>
          <w:szCs w:val="24"/>
        </w:rPr>
      </w:pPr>
      <w:bookmarkStart w:id="41" w:name="_Toc209005161"/>
      <w:r w:rsidRPr="00215667">
        <w:rPr>
          <w:rFonts w:ascii="Times New Roman" w:hAnsi="Times New Roman" w:cs="Times New Roman"/>
          <w:b/>
          <w:bCs/>
          <w:color w:val="000000" w:themeColor="text1"/>
          <w:sz w:val="24"/>
          <w:szCs w:val="24"/>
        </w:rPr>
        <w:t>Хипоагрегабилност на тромбоцити</w:t>
      </w:r>
      <w:bookmarkEnd w:id="41"/>
    </w:p>
    <w:p w14:paraId="6BF290E4" w14:textId="77777777" w:rsidR="001B261B" w:rsidRPr="00215667" w:rsidRDefault="001B261B" w:rsidP="00412474">
      <w:pPr>
        <w:ind w:firstLine="720"/>
        <w:jc w:val="both"/>
        <w:rPr>
          <w:rFonts w:ascii="Times New Roman" w:hAnsi="Times New Roman" w:cs="Times New Roman"/>
          <w:b/>
          <w:sz w:val="24"/>
          <w:szCs w:val="24"/>
        </w:rPr>
      </w:pPr>
    </w:p>
    <w:p w14:paraId="0F0D3ECC" w14:textId="23435DA0" w:rsidR="00412474" w:rsidRPr="001F2E2D" w:rsidRDefault="00412474" w:rsidP="001F2E2D">
      <w:pPr>
        <w:pStyle w:val="p1"/>
        <w:spacing w:line="360" w:lineRule="auto"/>
        <w:ind w:firstLine="720"/>
        <w:jc w:val="both"/>
      </w:pPr>
      <w:r w:rsidRPr="001F2E2D">
        <w:t xml:space="preserve">Од клучно значење за докторите </w:t>
      </w:r>
      <w:r w:rsidR="001F2E2D">
        <w:t>по</w:t>
      </w:r>
      <w:r w:rsidRPr="001F2E2D">
        <w:t xml:space="preserve"> дентална медицина, оралните и максилофацијалните хирурзи е да бидат запознаени со механизмите на хемостазата и причините </w:t>
      </w:r>
      <w:r w:rsidR="001F2E2D">
        <w:t>з</w:t>
      </w:r>
      <w:r w:rsidRPr="001F2E2D">
        <w:t>а нејзиното нарушување; да го предвидат ризикот од појавата на постекстракционо крвавење и круцијалната улога на  предоперативното, интраоперативно</w:t>
      </w:r>
      <w:r w:rsidR="001F2E2D">
        <w:t>то</w:t>
      </w:r>
      <w:r w:rsidRPr="001F2E2D">
        <w:t xml:space="preserve"> и постоперативно</w:t>
      </w:r>
      <w:r w:rsidR="001F2E2D">
        <w:t>то</w:t>
      </w:r>
      <w:r w:rsidRPr="001F2E2D">
        <w:t xml:space="preserve"> менаџирање на овие пациенти, со цел да го намалат ризикот од искрвавување.</w:t>
      </w:r>
      <w:r w:rsidR="001F2E2D">
        <w:t xml:space="preserve"> </w:t>
      </w:r>
      <w:r w:rsidRPr="001F2E2D">
        <w:t>(118) Бидејќи не постои консензус за избор на симптоми на крвавење во клиничките студии,</w:t>
      </w:r>
      <w:r w:rsidR="001F2E2D">
        <w:t xml:space="preserve"> </w:t>
      </w:r>
      <w:r w:rsidRPr="001F2E2D">
        <w:t>специфични за хипоагрегабилната состојба, а со</w:t>
      </w:r>
      <w:r w:rsidRPr="00215667">
        <w:t xml:space="preserve"> цел да се</w:t>
      </w:r>
      <w:r w:rsidRPr="001F2E2D">
        <w:t xml:space="preserve"> постави дијагнозата, потребно е да се селектираат симптомите на историја на крвавење од анамнестичките податоци  и да се дефинираат скрининг, </w:t>
      </w:r>
      <w:r w:rsidR="00D80713" w:rsidRPr="001F2E2D">
        <w:t>лабораториски</w:t>
      </w:r>
      <w:r w:rsidRPr="001F2E2D">
        <w:t xml:space="preserve"> тестови специфични за утвр</w:t>
      </w:r>
      <w:r w:rsidR="001F2E2D" w:rsidRPr="001F2E2D">
        <w:t>д</w:t>
      </w:r>
      <w:r w:rsidRPr="001F2E2D">
        <w:t xml:space="preserve">ување на дијагнозата. </w:t>
      </w:r>
    </w:p>
    <w:p w14:paraId="0A2EDBA0" w14:textId="22C690C9" w:rsidR="00412474" w:rsidRPr="001F2E2D" w:rsidRDefault="00412474" w:rsidP="001F2E2D">
      <w:pPr>
        <w:pStyle w:val="p1"/>
        <w:spacing w:line="360" w:lineRule="auto"/>
        <w:ind w:firstLine="720"/>
        <w:jc w:val="both"/>
      </w:pPr>
      <w:r w:rsidRPr="001F2E2D">
        <w:t>Анализата на вкупно 128 пациенти (64 учесници дијагностицирани со тромбоцитна хипоагрегабилност</w:t>
      </w:r>
      <w:r w:rsidR="001F2E2D">
        <w:t xml:space="preserve"> </w:t>
      </w:r>
      <w:r w:rsidR="001F2E2D">
        <w:t>–</w:t>
      </w:r>
      <w:r w:rsidR="001F2E2D" w:rsidRPr="001F2E2D">
        <w:t xml:space="preserve"> </w:t>
      </w:r>
      <w:r w:rsidRPr="001F2E2D">
        <w:t xml:space="preserve">I група и 64 здрави пациенти, како контролна </w:t>
      </w:r>
      <w:r w:rsidR="001F2E2D">
        <w:t>–</w:t>
      </w:r>
      <w:r w:rsidRPr="001F2E2D">
        <w:t xml:space="preserve"> IV</w:t>
      </w:r>
      <w:r w:rsidR="001F2E2D">
        <w:t xml:space="preserve"> </w:t>
      </w:r>
      <w:r w:rsidRPr="001F2E2D">
        <w:t>група), кај кои беше изведена екстракција на еден заб или дентоалвеоларна хирургија, покажа дека егзактната примена на дијагностичкиот протокол за хипоагрегабилност на тромбоцитите, заснован на медицинска историја на самопријавени симптоми на крвавење, скрининг лабораториски дијагностички тестови за утврдување на значајните предиктори за дијагностицирање на тромбоцитната хипоагрегабилност и факторите на ризик за PEB, се прв чекор за намалување на ризикот од појавата на постоперативни крвавења.</w:t>
      </w:r>
      <w:r w:rsidR="001F2E2D">
        <w:t xml:space="preserve"> </w:t>
      </w:r>
      <w:r w:rsidRPr="001F2E2D">
        <w:t>(9)</w:t>
      </w:r>
      <w:r w:rsidRPr="001F2E2D">
        <w:tab/>
      </w:r>
    </w:p>
    <w:p w14:paraId="42AC2F7D" w14:textId="41055261" w:rsidR="00412474" w:rsidRPr="001F2E2D" w:rsidRDefault="00412474" w:rsidP="001F2E2D">
      <w:pPr>
        <w:pStyle w:val="p1"/>
        <w:spacing w:line="360" w:lineRule="auto"/>
        <w:ind w:firstLine="720"/>
        <w:jc w:val="both"/>
      </w:pPr>
      <w:r w:rsidRPr="001F2E2D">
        <w:t>Досегашните насоки за дијагноза и третман на пациенти</w:t>
      </w:r>
      <w:r w:rsidR="001F2E2D">
        <w:t>те</w:t>
      </w:r>
      <w:r w:rsidRPr="001F2E2D">
        <w:t xml:space="preserve"> се голем предизвик, со цел востановување на егзактни дијагностички процедури, како и потврдување на соодветни системски и локални хемостатски методи, при изведување на екстракции и други хируршки процедури. Направивме преглед на целата релевантна литература од 2013</w:t>
      </w:r>
      <w:r w:rsidR="001F2E2D">
        <w:t xml:space="preserve"> до </w:t>
      </w:r>
      <w:r w:rsidRPr="001F2E2D">
        <w:t xml:space="preserve">2024 година за менаџирање на </w:t>
      </w:r>
      <w:r w:rsidRPr="001F2E2D">
        <w:lastRenderedPageBreak/>
        <w:t>пациентите со хипоагрегабилност на тромбоцити и ги споредивме со нашите резултати.</w:t>
      </w:r>
      <w:r w:rsidR="001F2E2D">
        <w:t xml:space="preserve"> </w:t>
      </w:r>
      <w:r w:rsidRPr="001F2E2D">
        <w:t>(21)</w:t>
      </w:r>
    </w:p>
    <w:p w14:paraId="62A6A83F" w14:textId="006706B3" w:rsidR="00412474" w:rsidRPr="00215667" w:rsidRDefault="00412474" w:rsidP="001F2E2D">
      <w:pPr>
        <w:pStyle w:val="p1"/>
        <w:spacing w:line="360" w:lineRule="auto"/>
        <w:ind w:firstLine="720"/>
        <w:jc w:val="both"/>
      </w:pPr>
      <w:r w:rsidRPr="001F2E2D">
        <w:t>Според демографските карактеристики, од 64 пациенти, дијагностицирани со тромбоцитна хипоагрегабилност, 68,75</w:t>
      </w:r>
      <w:r w:rsidR="001F2E2D">
        <w:t xml:space="preserve"> </w:t>
      </w:r>
      <w:r w:rsidRPr="001F2E2D">
        <w:t>% се жени и 31,25</w:t>
      </w:r>
      <w:r w:rsidR="001F2E2D">
        <w:t xml:space="preserve"> </w:t>
      </w:r>
      <w:r w:rsidRPr="001F2E2D">
        <w:t>% се мажи. Помеѓу женскиот версус машкиот пол, регистриравме значајна разлика за p</w:t>
      </w:r>
      <w:r w:rsidR="001F2E2D">
        <w:t xml:space="preserve"> </w:t>
      </w:r>
      <w:r w:rsidRPr="001F2E2D">
        <w:t>&lt;</w:t>
      </w:r>
      <w:r w:rsidR="001F2E2D">
        <w:t xml:space="preserve"> </w:t>
      </w:r>
      <w:r w:rsidRPr="001F2E2D">
        <w:t>,05 (p</w:t>
      </w:r>
      <w:r w:rsidR="001F2E2D">
        <w:t xml:space="preserve"> </w:t>
      </w:r>
      <w:r w:rsidRPr="001F2E2D">
        <w:t>=</w:t>
      </w:r>
      <w:r w:rsidR="001F2E2D">
        <w:t xml:space="preserve"> </w:t>
      </w:r>
      <w:r w:rsidRPr="001F2E2D">
        <w:t>,0000), во корист на женскиот пол. Во однос на возраста во нашата студија не регистриравме значајна разлика, во однос на возраста; просечната возраст е 42,9</w:t>
      </w:r>
      <w:r w:rsidR="001F2E2D">
        <w:t xml:space="preserve"> </w:t>
      </w:r>
      <w:r w:rsidRPr="001F2E2D">
        <w:t>±</w:t>
      </w:r>
      <w:r w:rsidR="001F2E2D">
        <w:t xml:space="preserve"> </w:t>
      </w:r>
      <w:r w:rsidRPr="001F2E2D">
        <w:t>18,4 години (кај жените 42,89</w:t>
      </w:r>
      <w:r w:rsidR="001F2E2D">
        <w:t xml:space="preserve"> </w:t>
      </w:r>
      <w:r w:rsidRPr="001F2E2D">
        <w:t>±</w:t>
      </w:r>
      <w:r w:rsidR="001F2E2D">
        <w:t xml:space="preserve"> </w:t>
      </w:r>
      <w:r w:rsidRPr="001F2E2D">
        <w:t xml:space="preserve">18,4, </w:t>
      </w:r>
      <w:r w:rsidR="001F2E2D">
        <w:t>опсег</w:t>
      </w:r>
      <w:r w:rsidRPr="001F2E2D">
        <w:t>: 12-82</w:t>
      </w:r>
      <w:r w:rsidR="001F2E2D" w:rsidRPr="001F2E2D">
        <w:t xml:space="preserve"> </w:t>
      </w:r>
      <w:r w:rsidR="001F2E2D" w:rsidRPr="001F2E2D">
        <w:t>години</w:t>
      </w:r>
      <w:r w:rsidRPr="001F2E2D">
        <w:t>); и кај мажите (42,95</w:t>
      </w:r>
      <w:r w:rsidR="001F2E2D">
        <w:t xml:space="preserve"> </w:t>
      </w:r>
      <w:r w:rsidRPr="001F2E2D">
        <w:t>±</w:t>
      </w:r>
      <w:r w:rsidR="001F2E2D">
        <w:t xml:space="preserve"> </w:t>
      </w:r>
      <w:r w:rsidRPr="001F2E2D">
        <w:t xml:space="preserve">18,9, </w:t>
      </w:r>
      <w:r w:rsidR="001F2E2D">
        <w:t>опсег</w:t>
      </w:r>
      <w:r w:rsidRPr="001F2E2D">
        <w:t>: 10-82</w:t>
      </w:r>
      <w:r w:rsidR="001F2E2D" w:rsidRPr="001F2E2D">
        <w:t xml:space="preserve"> </w:t>
      </w:r>
      <w:r w:rsidR="001F2E2D" w:rsidRPr="001F2E2D">
        <w:t>години</w:t>
      </w:r>
      <w:r w:rsidRPr="001F2E2D">
        <w:t>)</w:t>
      </w:r>
      <w:r w:rsidR="001F2E2D">
        <w:t xml:space="preserve"> </w:t>
      </w:r>
      <w:r w:rsidRPr="001F2E2D">
        <w:t xml:space="preserve">(табела бр.1 и </w:t>
      </w:r>
      <w:r w:rsidR="001F2E2D" w:rsidRPr="001F2E2D">
        <w:t xml:space="preserve">табела </w:t>
      </w:r>
      <w:r w:rsidRPr="001F2E2D">
        <w:t>бр.</w:t>
      </w:r>
      <w:r w:rsidR="001F2E2D">
        <w:t xml:space="preserve"> </w:t>
      </w:r>
      <w:r w:rsidRPr="001F2E2D">
        <w:t>2). Нашите истражувања низ литературата,</w:t>
      </w:r>
      <w:r w:rsidR="001F2E2D">
        <w:t xml:space="preserve"> </w:t>
      </w:r>
      <w:r w:rsidRPr="001F2E2D">
        <w:t>воочија потврда на нашите резултати,</w:t>
      </w:r>
      <w:r w:rsidR="001F2E2D">
        <w:t xml:space="preserve"> </w:t>
      </w:r>
      <w:r w:rsidRPr="001F2E2D">
        <w:t>со потврда на превалентност на хипоагрегабилноста кај женскиот пол и во однос на возр</w:t>
      </w:r>
      <w:r w:rsidR="001F2E2D">
        <w:t>а</w:t>
      </w:r>
      <w:r w:rsidRPr="001F2E2D">
        <w:t>ста (</w:t>
      </w:r>
      <w:r w:rsidR="001F2E2D">
        <w:t>опсег</w:t>
      </w:r>
      <w:r w:rsidRPr="001F2E2D">
        <w:t>: 8</w:t>
      </w:r>
      <w:r w:rsidR="001F2E2D" w:rsidRPr="001F2E2D">
        <w:t>-</w:t>
      </w:r>
      <w:r w:rsidRPr="001F2E2D">
        <w:t>84  години). Во однос на возраста, исклучок е студијата на Mathews N. et all. (2021) во која во најголем број случаи дијагнозата ја поставиле во просек до 8</w:t>
      </w:r>
      <w:r w:rsidR="001F2E2D">
        <w:t>-</w:t>
      </w:r>
      <w:r w:rsidRPr="001F2E2D">
        <w:t xml:space="preserve">годишна возраст, на </w:t>
      </w:r>
      <w:r w:rsidR="001F2E2D">
        <w:t>к</w:t>
      </w:r>
      <w:r w:rsidRPr="001F2E2D">
        <w:t xml:space="preserve">линика за трансфузиологија од упатени пациенти од детска клиника, што го објаснува фактот на наод уште во рана детска возраст. Тоа биле случаи на присуство на тешки крвавења, кај кои генетски била потврдена дијагнозата </w:t>
      </w:r>
      <w:r w:rsidRPr="001F2E2D">
        <w:rPr>
          <w:i/>
          <w:iCs/>
        </w:rPr>
        <w:t>Glanzmann Thrombasthenia</w:t>
      </w:r>
      <w:r w:rsidRPr="001F2E2D">
        <w:t xml:space="preserve">. (119) </w:t>
      </w:r>
    </w:p>
    <w:p w14:paraId="2E9170EC" w14:textId="4A314836" w:rsidR="00412474" w:rsidRPr="001F2E2D" w:rsidRDefault="00412474" w:rsidP="001F2E2D">
      <w:pPr>
        <w:pStyle w:val="p1"/>
        <w:spacing w:line="360" w:lineRule="auto"/>
        <w:ind w:firstLine="720"/>
        <w:jc w:val="both"/>
      </w:pPr>
      <w:r w:rsidRPr="00F54189">
        <w:t>Во нашата студија, слично како и во останатите, високата инциденца на амбулантска, влезна дијагноза за тромбоцитна хипоагрегабилност е последица на самопријавени симптоми на продолжено време на крвавење кај 65,6</w:t>
      </w:r>
      <w:r w:rsidR="00F54189">
        <w:rPr>
          <w:lang w:val="en-US"/>
        </w:rPr>
        <w:t xml:space="preserve"> </w:t>
      </w:r>
      <w:r w:rsidRPr="00F54189">
        <w:t>% од</w:t>
      </w:r>
      <w:r w:rsidRPr="001F2E2D">
        <w:t xml:space="preserve"> пациентите по екстракција на заб, 64,1</w:t>
      </w:r>
      <w:r w:rsidR="00F54189">
        <w:rPr>
          <w:lang w:val="en-US"/>
        </w:rPr>
        <w:t xml:space="preserve"> </w:t>
      </w:r>
      <w:r w:rsidRPr="001F2E2D">
        <w:t>% биле крвавење од гингивата, пролонгирани крвавење од рана (VLC) и модринки кај 45,3</w:t>
      </w:r>
      <w:r w:rsidR="00F54189">
        <w:rPr>
          <w:lang w:val="en-US"/>
        </w:rPr>
        <w:t xml:space="preserve"> </w:t>
      </w:r>
      <w:r w:rsidRPr="001F2E2D">
        <w:t>% и продолжени менструални крвавења кај 32,8</w:t>
      </w:r>
      <w:r w:rsidR="00F54189">
        <w:rPr>
          <w:lang w:val="en-US"/>
        </w:rPr>
        <w:t xml:space="preserve"> </w:t>
      </w:r>
      <w:r w:rsidRPr="001F2E2D">
        <w:t>% (табела бр.</w:t>
      </w:r>
      <w:r w:rsidR="00F54189">
        <w:rPr>
          <w:lang w:val="en-US"/>
        </w:rPr>
        <w:t xml:space="preserve"> </w:t>
      </w:r>
      <w:r w:rsidRPr="001F2E2D">
        <w:t>3). Alamelu J. et all. (10),</w:t>
      </w:r>
      <w:r w:rsidR="00F54189">
        <w:rPr>
          <w:lang w:val="en-US"/>
        </w:rPr>
        <w:t xml:space="preserve"> </w:t>
      </w:r>
      <w:r w:rsidRPr="001F2E2D">
        <w:t>посочиле дека најчесто (88,8</w:t>
      </w:r>
      <w:r w:rsidR="00F54189">
        <w:rPr>
          <w:lang w:val="en-US"/>
        </w:rPr>
        <w:t xml:space="preserve"> </w:t>
      </w:r>
      <w:r w:rsidRPr="001F2E2D">
        <w:t>%) од случаите се дијагностицирани поради гингивални крвавења и најверојатно овој висок процент се должи на лекувани пациенти во пародонтална стоматолошка ординација, а не на орална или максилофацијална хирургија. Постекстракциони крвавења се регистрирани кај 68</w:t>
      </w:r>
      <w:r w:rsidR="00F54189">
        <w:rPr>
          <w:lang w:val="en-US"/>
        </w:rPr>
        <w:t xml:space="preserve"> </w:t>
      </w:r>
      <w:r w:rsidRPr="001F2E2D">
        <w:t>% од пациентите, а загрижувачко крвавење од гингивата се регистрира кај 60</w:t>
      </w:r>
      <w:r w:rsidR="00F54189">
        <w:rPr>
          <w:lang w:val="en-US"/>
        </w:rPr>
        <w:t xml:space="preserve"> </w:t>
      </w:r>
      <w:r w:rsidRPr="001F2E2D">
        <w:t>% од пациентите и често резултира со анемија со дефицит на железо, наоди конзистентни со нашите резултати, а се наведени во студијата на Mathews N.et all (2021). Zia A.</w:t>
      </w:r>
      <w:r w:rsidR="001A1F41">
        <w:t xml:space="preserve"> </w:t>
      </w:r>
      <w:r w:rsidRPr="001F2E2D">
        <w:t xml:space="preserve">et all (2020)120, регистрирале прекумерно крвавење и/или продолжени менструални </w:t>
      </w:r>
      <w:r w:rsidRPr="001F2E2D">
        <w:lastRenderedPageBreak/>
        <w:t>циклуси присутни кај 25,4</w:t>
      </w:r>
      <w:r w:rsidR="00F54189">
        <w:rPr>
          <w:lang w:val="en-US"/>
        </w:rPr>
        <w:t xml:space="preserve"> </w:t>
      </w:r>
      <w:r w:rsidRPr="001F2E2D">
        <w:t>% од девојчињата, лесни модринки</w:t>
      </w:r>
      <w:r w:rsidR="00F54189">
        <w:rPr>
          <w:lang w:val="en-US"/>
        </w:rPr>
        <w:t xml:space="preserve"> </w:t>
      </w:r>
      <w:r w:rsidRPr="001F2E2D">
        <w:t>и пролонгирано крвавење од рани кај 23/63</w:t>
      </w:r>
      <w:r w:rsidR="003D44AD">
        <w:t xml:space="preserve">, </w:t>
      </w:r>
      <w:r w:rsidRPr="001F2E2D">
        <w:t xml:space="preserve">36% (7). </w:t>
      </w:r>
    </w:p>
    <w:p w14:paraId="1CA5E720" w14:textId="34B07D90" w:rsidR="00412474" w:rsidRPr="001F2E2D" w:rsidRDefault="00412474" w:rsidP="001F2E2D">
      <w:pPr>
        <w:pStyle w:val="p1"/>
        <w:spacing w:line="360" w:lineRule="auto"/>
        <w:ind w:firstLine="720"/>
        <w:jc w:val="both"/>
      </w:pPr>
      <w:r w:rsidRPr="001F2E2D">
        <w:t>Анализата на резултатите, во однос на истовремено присуство на повеќе  симптоми покажа дека кај повеќе од половина (56.25</w:t>
      </w:r>
      <w:r w:rsidR="00F54189">
        <w:rPr>
          <w:lang w:val="en-US"/>
        </w:rPr>
        <w:t xml:space="preserve"> </w:t>
      </w:r>
      <w:r w:rsidRPr="001F2E2D">
        <w:t>%) од нашите испитаници, пред поставување на дијагнозата истовремено беа присутни два клинички симптома, најчесто постекстракциони крвавења и гингивални крвавења, следени со пролонгирано и отежнато зараснување на рани (VLC)  кај 21.9</w:t>
      </w:r>
      <w:r w:rsidR="00F54189">
        <w:rPr>
          <w:lang w:val="en-US"/>
        </w:rPr>
        <w:t xml:space="preserve"> </w:t>
      </w:r>
      <w:r w:rsidRPr="001F2E2D">
        <w:t>% и кај 18.75</w:t>
      </w:r>
      <w:r w:rsidR="00841E54">
        <w:rPr>
          <w:lang w:val="en-US"/>
        </w:rPr>
        <w:t xml:space="preserve"> </w:t>
      </w:r>
      <w:r w:rsidR="00841E54" w:rsidRPr="001F2E2D">
        <w:t>%</w:t>
      </w:r>
      <w:r w:rsidRPr="001F2E2D">
        <w:t xml:space="preserve"> со пролнгирани менструални крвавења како придружен четврт симптом (</w:t>
      </w:r>
      <w:r w:rsidR="00841E54">
        <w:t>т</w:t>
      </w:r>
      <w:r w:rsidRPr="001F2E2D">
        <w:t>абела бр.</w:t>
      </w:r>
      <w:r w:rsidR="00841E54">
        <w:t xml:space="preserve"> </w:t>
      </w:r>
      <w:r w:rsidRPr="001F2E2D">
        <w:t>4). Според анамнестичките податоци за историја на крвавења, најчесто беа присутни два клинички симптома пред поставување на дијагнозата, а процентуалната разлика помеѓу присуство на два версус еден и четири клинички симптома беше сигнификантна за p</w:t>
      </w:r>
      <w:r w:rsidR="00841E54">
        <w:t xml:space="preserve"> </w:t>
      </w:r>
      <w:r w:rsidRPr="001F2E2D">
        <w:t>&lt;</w:t>
      </w:r>
      <w:r w:rsidR="00841E54">
        <w:t xml:space="preserve"> </w:t>
      </w:r>
      <w:r w:rsidRPr="001F2E2D">
        <w:t>.05 (Difference test, p=.000). Zolaly MA.</w:t>
      </w:r>
      <w:r w:rsidRPr="00215667">
        <w:t xml:space="preserve"> </w:t>
      </w:r>
      <w:r w:rsidRPr="001F2E2D">
        <w:t xml:space="preserve">et all (2021)104, согласно </w:t>
      </w:r>
      <w:r w:rsidR="00841E54">
        <w:t xml:space="preserve">со </w:t>
      </w:r>
      <w:r w:rsidRPr="001F2E2D">
        <w:t>нашите наоди прикажале дека повеќето од половина 52,6</w:t>
      </w:r>
      <w:r w:rsidR="00841E54">
        <w:t xml:space="preserve"> </w:t>
      </w:r>
      <w:r w:rsidRPr="001F2E2D">
        <w:t>% биле позитивни на два симптоми на крвавење, а инциденцата се искачува на 70,9</w:t>
      </w:r>
      <w:r w:rsidR="00841E54">
        <w:t xml:space="preserve"> </w:t>
      </w:r>
      <w:r w:rsidRPr="001F2E2D">
        <w:t>% ако се вклучени и „лесните“ симптоми. Епистаксата била позитивна кај 21,8</w:t>
      </w:r>
      <w:r w:rsidR="00841E54">
        <w:t xml:space="preserve"> </w:t>
      </w:r>
      <w:r w:rsidRPr="001F2E2D">
        <w:t>%, модринки биле пријавени кај 22,65</w:t>
      </w:r>
      <w:r w:rsidR="00841E54">
        <w:t xml:space="preserve"> </w:t>
      </w:r>
      <w:r w:rsidRPr="001F2E2D">
        <w:t>%, крвавење од усната шуплина било забележано кај 49,6</w:t>
      </w:r>
      <w:r w:rsidR="00841E54">
        <w:t xml:space="preserve"> </w:t>
      </w:r>
      <w:r w:rsidRPr="001F2E2D">
        <w:t xml:space="preserve">%, </w:t>
      </w:r>
      <w:r w:rsidR="00EC49EB" w:rsidRPr="001F2E2D">
        <w:t>крвавењ</w:t>
      </w:r>
      <w:r w:rsidR="00841E54">
        <w:t>а</w:t>
      </w:r>
      <w:r w:rsidRPr="001F2E2D">
        <w:t xml:space="preserve"> по првата операција биле пријавени кај 21</w:t>
      </w:r>
      <w:r w:rsidR="00841E54">
        <w:t xml:space="preserve"> </w:t>
      </w:r>
      <w:r w:rsidRPr="001F2E2D">
        <w:t>% и кај женската популација, 16,1</w:t>
      </w:r>
      <w:r w:rsidR="00841E54">
        <w:t xml:space="preserve"> </w:t>
      </w:r>
      <w:r w:rsidRPr="001F2E2D">
        <w:t>% „</w:t>
      </w:r>
      <w:r w:rsidR="00841E54">
        <w:t>т</w:t>
      </w:r>
      <w:r w:rsidRPr="001F2E2D">
        <w:t>ешки денови“ за време на нивните менструални циклуси. Спротивно на нашите наоди, Jung N. et all. (7) во својата студија која е истражувана</w:t>
      </w:r>
      <w:r w:rsidR="00841E54">
        <w:t xml:space="preserve"> </w:t>
      </w:r>
      <w:r w:rsidRPr="001F2E2D">
        <w:t>на хематолошка клиника, навел дека дистрибуцијата на  инциденцата на самопријавени симптоми на пролонгирани крвавења е следната: менструални крвавења кај 32</w:t>
      </w:r>
      <w:r w:rsidR="00841E54">
        <w:t xml:space="preserve"> </w:t>
      </w:r>
      <w:r w:rsidRPr="001F2E2D">
        <w:t>%, присуство на непровоцирани модринки и  посттрауматски рани кај 56</w:t>
      </w:r>
      <w:r w:rsidR="00841E54">
        <w:t xml:space="preserve"> </w:t>
      </w:r>
      <w:r w:rsidRPr="001F2E2D">
        <w:t>%, епистакса  кај 48</w:t>
      </w:r>
      <w:r w:rsidR="00841E54">
        <w:t xml:space="preserve"> </w:t>
      </w:r>
      <w:r w:rsidRPr="001F2E2D">
        <w:t>%, гингивални крвавења кај14</w:t>
      </w:r>
      <w:r w:rsidR="00841E54">
        <w:t xml:space="preserve"> </w:t>
      </w:r>
      <w:r w:rsidRPr="001F2E2D">
        <w:t>%, интестинални</w:t>
      </w:r>
      <w:r w:rsidR="00841E54">
        <w:t xml:space="preserve"> </w:t>
      </w:r>
      <w:r w:rsidRPr="001F2E2D">
        <w:t>крвавења кај 12</w:t>
      </w:r>
      <w:r w:rsidR="00841E54">
        <w:t xml:space="preserve"> </w:t>
      </w:r>
      <w:r w:rsidRPr="001F2E2D">
        <w:t>% и постекстракциони кај 7</w:t>
      </w:r>
      <w:r w:rsidR="00841E54">
        <w:t xml:space="preserve"> </w:t>
      </w:r>
      <w:r w:rsidRPr="001F2E2D">
        <w:t>%. Анализата на литературата покажува дека инциденцата на самопријавени симптоми на пролонгирани крвавења, зависи од институцијата каде пациентите се јавиле за прв пат да побараат помош, во зависност од соодветната присутна симптоматологија.</w:t>
      </w:r>
    </w:p>
    <w:p w14:paraId="23A084DA" w14:textId="248631F0" w:rsidR="00412474" w:rsidRPr="001F2E2D" w:rsidRDefault="00412474" w:rsidP="001F2E2D">
      <w:pPr>
        <w:pStyle w:val="p1"/>
        <w:spacing w:line="360" w:lineRule="auto"/>
        <w:ind w:firstLine="720"/>
        <w:jc w:val="both"/>
      </w:pPr>
      <w:r w:rsidRPr="001F2E2D">
        <w:t xml:space="preserve">Пациентите селектирани според анамнестички податок за пролонгирани крвавења, беа подложени на втората етапа, изведување на  </w:t>
      </w:r>
      <w:r w:rsidR="00D80713" w:rsidRPr="001F2E2D">
        <w:t>лабораториски</w:t>
      </w:r>
      <w:r w:rsidRPr="001F2E2D">
        <w:t xml:space="preserve"> тестови, за потврдување на дијагнозата. </w:t>
      </w:r>
      <w:r w:rsidRPr="00215667">
        <w:t>Palma-Barqueros V. et all. (2021)</w:t>
      </w:r>
      <w:r w:rsidRPr="001F2E2D">
        <w:t>121</w:t>
      </w:r>
      <w:r w:rsidRPr="00215667">
        <w:t xml:space="preserve">, како и сите останати цитирани автори во своите студии, потврдиле дека тестовите за </w:t>
      </w:r>
      <w:r w:rsidRPr="00215667">
        <w:lastRenderedPageBreak/>
        <w:t xml:space="preserve">коагулација, помагаат да се исклучат недостатоците на факторите на коагулација и нарушувањата на фибриногенот кои би можеле да бидат алтернативни, почести причини за крвавење и потврдување на нарушена тромбоцитна агрегација. Анализите од скрининг, лабораториски дијагностички тестови и фактори на ризик за PEB, во нашата студија, покажаа дека: CBC, BT, pTT, aPTT и PT се во граници на нормалните референтни вредности и незначително корелираат со времето на </w:t>
      </w:r>
      <w:r w:rsidR="00EC49EB" w:rsidRPr="00215667">
        <w:t>крвавење</w:t>
      </w:r>
      <w:r w:rsidRPr="00215667">
        <w:t xml:space="preserve"> (r</w:t>
      </w:r>
      <w:r w:rsidR="00841E54">
        <w:t xml:space="preserve"> </w:t>
      </w:r>
      <w:r w:rsidRPr="00215667">
        <w:t>=</w:t>
      </w:r>
      <w:r w:rsidR="00841E54">
        <w:t xml:space="preserve"> </w:t>
      </w:r>
      <w:r w:rsidRPr="00215667">
        <w:t>0978, p</w:t>
      </w:r>
      <w:r w:rsidR="00841E54">
        <w:t xml:space="preserve"> </w:t>
      </w:r>
      <w:r w:rsidRPr="00215667">
        <w:t>=</w:t>
      </w:r>
      <w:r w:rsidR="00841E54">
        <w:t xml:space="preserve"> </w:t>
      </w:r>
      <w:r w:rsidRPr="00215667">
        <w:t>.446)</w:t>
      </w:r>
      <w:r w:rsidR="00841E54">
        <w:t xml:space="preserve"> </w:t>
      </w:r>
      <w:r w:rsidRPr="00215667">
        <w:t>(табела бр.</w:t>
      </w:r>
      <w:r w:rsidR="00841E54">
        <w:t xml:space="preserve"> </w:t>
      </w:r>
      <w:r w:rsidRPr="00215667">
        <w:t>7г). Дополнително, потврдивме  нормални вредности на вон Вилебранд фактор антиген и фон Вилебранд фактор активност  и ја елиминиравме можноста за вон Вилебрандова болест и недостатоците на факторите за коагулација, како несигнификантни предиктори за поставување на дијаганозата хипоагрегабилност.</w:t>
      </w:r>
      <w:r w:rsidRPr="001F2E2D">
        <w:t xml:space="preserve"> </w:t>
      </w:r>
    </w:p>
    <w:p w14:paraId="60156AF2" w14:textId="2D915E8A" w:rsidR="00412474" w:rsidRPr="00215667" w:rsidRDefault="00412474" w:rsidP="001F2E2D">
      <w:pPr>
        <w:pStyle w:val="p1"/>
        <w:spacing w:line="360" w:lineRule="auto"/>
        <w:ind w:firstLine="720"/>
        <w:jc w:val="both"/>
      </w:pPr>
      <w:r w:rsidRPr="00215667">
        <w:t xml:space="preserve">Колку се корисни тестовите и кои се сигнификантни предиктори за предвидување на компликации на крвавење кај хипоагрегабилни состојби на тромбоцитите? За дефинитивно потврдување на дијагнозата, по протокол треба да се користат тестови за агрегација со кои се проценува степенот на намалување на вредностите на ADP, </w:t>
      </w:r>
      <w:r w:rsidR="00841E54">
        <w:t>ристоцетин</w:t>
      </w:r>
      <w:r w:rsidRPr="00215667">
        <w:t xml:space="preserve"> и </w:t>
      </w:r>
      <w:r w:rsidR="00841E54">
        <w:t>колаген</w:t>
      </w:r>
      <w:r w:rsidRPr="00215667">
        <w:t xml:space="preserve">, во корелација со пролонгирани и екстензивни крвавења. </w:t>
      </w:r>
    </w:p>
    <w:p w14:paraId="30B4B842" w14:textId="6FD5BDC8" w:rsidR="00412474" w:rsidRPr="00215667" w:rsidRDefault="00412474" w:rsidP="001F2E2D">
      <w:pPr>
        <w:pStyle w:val="p1"/>
        <w:spacing w:line="360" w:lineRule="auto"/>
        <w:ind w:firstLine="720"/>
        <w:jc w:val="both"/>
      </w:pPr>
      <w:r w:rsidRPr="00215667">
        <w:t xml:space="preserve">Корелациите помеѓу времето на крвавење (BT) пред поставување на дијагнозата хипоагрегбилност и резултати за вредностите на ADP, </w:t>
      </w:r>
      <w:r w:rsidR="0035302F">
        <w:t>ристоцетин</w:t>
      </w:r>
      <w:r w:rsidRPr="00215667">
        <w:t xml:space="preserve">, </w:t>
      </w:r>
      <w:r w:rsidR="0035302F">
        <w:t>колаген</w:t>
      </w:r>
      <w:r w:rsidR="0035302F" w:rsidRPr="00215667">
        <w:t xml:space="preserve"> </w:t>
      </w:r>
      <w:r w:rsidRPr="00215667">
        <w:t>и PT, во нашата студија покажаа за: ADP умерена негативна /индиректна  сигнификантна корелација (r</w:t>
      </w:r>
      <w:r w:rsidR="0035302F">
        <w:t xml:space="preserve"> </w:t>
      </w:r>
      <w:r w:rsidRPr="00215667">
        <w:t>=</w:t>
      </w:r>
      <w:r w:rsidR="0035302F">
        <w:t xml:space="preserve"> </w:t>
      </w:r>
      <w:r w:rsidRPr="00215667">
        <w:t>-3463, p</w:t>
      </w:r>
      <w:r w:rsidR="0035302F">
        <w:t xml:space="preserve"> </w:t>
      </w:r>
      <w:r w:rsidRPr="00215667">
        <w:t>=</w:t>
      </w:r>
      <w:r w:rsidR="0035302F">
        <w:t xml:space="preserve"> </w:t>
      </w:r>
      <w:r w:rsidRPr="00215667">
        <w:t>.005). (таб</w:t>
      </w:r>
      <w:r w:rsidR="0035302F">
        <w:t>ела бр. 7а</w:t>
      </w:r>
      <w:r w:rsidRPr="00215667">
        <w:t xml:space="preserve"> и граф</w:t>
      </w:r>
      <w:r w:rsidR="0035302F">
        <w:t>икон</w:t>
      </w:r>
      <w:r w:rsidRPr="00215667">
        <w:t xml:space="preserve"> бр. 7а); за </w:t>
      </w:r>
      <w:r w:rsidR="0035302F">
        <w:t>ристоцетин</w:t>
      </w:r>
      <w:r w:rsidR="0035302F" w:rsidRPr="00215667">
        <w:t xml:space="preserve"> </w:t>
      </w:r>
      <w:r w:rsidRPr="00215667">
        <w:t>регистриравме сигнификантна умерена негативна/индиректна, (r</w:t>
      </w:r>
      <w:r w:rsidR="0035302F">
        <w:t xml:space="preserve"> </w:t>
      </w:r>
      <w:r w:rsidRPr="00215667">
        <w:t>=</w:t>
      </w:r>
      <w:r w:rsidR="0035302F">
        <w:t xml:space="preserve"> </w:t>
      </w:r>
      <w:r w:rsidRPr="00215667">
        <w:t>-2752, p</w:t>
      </w:r>
      <w:r w:rsidR="0035302F">
        <w:t xml:space="preserve"> </w:t>
      </w:r>
      <w:r w:rsidRPr="00215667">
        <w:t>=</w:t>
      </w:r>
      <w:r w:rsidR="0035302F">
        <w:t xml:space="preserve"> </w:t>
      </w:r>
      <w:r w:rsidRPr="00215667">
        <w:t xml:space="preserve">.028) и за </w:t>
      </w:r>
      <w:r w:rsidR="0035302F">
        <w:t>колаген</w:t>
      </w:r>
      <w:r w:rsidRPr="00215667">
        <w:t xml:space="preserve"> регистриравме слаба негативна</w:t>
      </w:r>
      <w:r w:rsidR="0035302F">
        <w:t xml:space="preserve"> </w:t>
      </w:r>
      <w:r w:rsidRPr="00215667">
        <w:t>(индиректна) несигнификантна корелација (r</w:t>
      </w:r>
      <w:r w:rsidR="0035302F">
        <w:t xml:space="preserve"> </w:t>
      </w:r>
      <w:r w:rsidRPr="00215667">
        <w:t>=</w:t>
      </w:r>
      <w:r w:rsidR="0035302F">
        <w:t xml:space="preserve"> </w:t>
      </w:r>
      <w:r w:rsidRPr="00215667">
        <w:t>-2752, p</w:t>
      </w:r>
      <w:r w:rsidR="0035302F">
        <w:t xml:space="preserve"> </w:t>
      </w:r>
      <w:r w:rsidRPr="00215667">
        <w:t>=</w:t>
      </w:r>
      <w:r w:rsidR="0035302F">
        <w:t xml:space="preserve"> </w:t>
      </w:r>
      <w:r w:rsidRPr="00215667">
        <w:t xml:space="preserve">.028) (табела </w:t>
      </w:r>
      <w:r w:rsidR="0035302F">
        <w:t xml:space="preserve">бр. 7в </w:t>
      </w:r>
      <w:r w:rsidRPr="00215667">
        <w:t>и график</w:t>
      </w:r>
      <w:r w:rsidR="0035302F">
        <w:t>он</w:t>
      </w:r>
      <w:r w:rsidRPr="00215667">
        <w:t xml:space="preserve"> бр</w:t>
      </w:r>
      <w:r w:rsidR="0035302F">
        <w:t>.</w:t>
      </w:r>
      <w:r w:rsidRPr="00215667">
        <w:t xml:space="preserve"> 7в.), со времето на крвавење.</w:t>
      </w:r>
    </w:p>
    <w:p w14:paraId="200D767F" w14:textId="72F6903D" w:rsidR="00412474" w:rsidRPr="00215667" w:rsidRDefault="00412474" w:rsidP="001F2E2D">
      <w:pPr>
        <w:pStyle w:val="p1"/>
        <w:spacing w:line="360" w:lineRule="auto"/>
        <w:ind w:firstLine="720"/>
        <w:jc w:val="both"/>
      </w:pPr>
      <w:r w:rsidRPr="00215667">
        <w:t>Просечното време на самопријавени симптоми на крвавење (BT) пред поставување на дијагноза кај пациентите изнесуваше 6 ± 4 дена, во ранг од еден до 14 дена. Кај 50</w:t>
      </w:r>
      <w:r w:rsidR="0035302F">
        <w:t xml:space="preserve"> </w:t>
      </w:r>
      <w:r w:rsidRPr="00215667">
        <w:t>% од пациентите крвавењето беше над 4 дена (Me</w:t>
      </w:r>
      <w:r w:rsidR="0035302F">
        <w:t xml:space="preserve"> </w:t>
      </w:r>
      <w:r w:rsidRPr="00215667">
        <w:t>=</w:t>
      </w:r>
      <w:r w:rsidR="0035302F">
        <w:t xml:space="preserve"> </w:t>
      </w:r>
      <w:r w:rsidRPr="00215667">
        <w:t>4 IQR</w:t>
      </w:r>
      <w:r w:rsidR="0035302F">
        <w:t xml:space="preserve"> </w:t>
      </w:r>
      <w:r w:rsidRPr="00215667">
        <w:t xml:space="preserve">(2.5-9.5)/ (табела </w:t>
      </w:r>
      <w:r w:rsidR="0035302F">
        <w:t xml:space="preserve">бр. 6 </w:t>
      </w:r>
      <w:r w:rsidRPr="00215667">
        <w:t>и график</w:t>
      </w:r>
      <w:r w:rsidR="0035302F">
        <w:t>он</w:t>
      </w:r>
      <w:r w:rsidRPr="00215667">
        <w:t xml:space="preserve"> бр</w:t>
      </w:r>
      <w:r w:rsidR="0035302F">
        <w:t>.</w:t>
      </w:r>
      <w:r w:rsidRPr="00215667">
        <w:t xml:space="preserve"> 6). Lillicrap D, Douketis J.(2017)</w:t>
      </w:r>
      <w:r w:rsidRPr="001F2E2D">
        <w:t>87</w:t>
      </w:r>
      <w:r w:rsidRPr="00215667">
        <w:t xml:space="preserve">, анализирајќи ја зависноста помеѓу вредностите на </w:t>
      </w:r>
      <w:r w:rsidR="0035302F">
        <w:t>ристоцетин</w:t>
      </w:r>
      <w:r w:rsidRPr="00215667">
        <w:t xml:space="preserve"> и ADP и времето на крвавење, </w:t>
      </w:r>
      <w:r w:rsidRPr="00215667">
        <w:lastRenderedPageBreak/>
        <w:t xml:space="preserve">наведуваат дека абнормалната тромбоцитна агрегација предизвикана од </w:t>
      </w:r>
      <w:r w:rsidR="0035302F">
        <w:t>ристоцетин</w:t>
      </w:r>
      <w:r w:rsidRPr="00215667">
        <w:t xml:space="preserve"> и ADP биле статистички поврзана со прекумерно крвавење; </w:t>
      </w:r>
      <w:r w:rsidRPr="001F2E2D">
        <w:t>п</w:t>
      </w:r>
      <w:r w:rsidRPr="00215667">
        <w:t>остоела значајна негативна корелација помеѓу ADP и BT (s) 113 (37; 69–200) vs. 97 (162; 51–191) &lt;</w:t>
      </w:r>
      <w:r w:rsidR="0035302F">
        <w:t xml:space="preserve"> </w:t>
      </w:r>
      <w:r w:rsidRPr="00215667">
        <w:t>0.001, во зависност од времето на крвавење. Philipp CS. et all (11)</w:t>
      </w:r>
      <w:r w:rsidRPr="001F2E2D">
        <w:t>122</w:t>
      </w:r>
      <w:r w:rsidRPr="00215667">
        <w:t xml:space="preserve"> истражувајќи ги причините за пролонгирани крвавења, потврдиле дека хипоагрегабилната состојба на тромбоцитите и продолжените крвавења се предизвикани од редуирани вредности на</w:t>
      </w:r>
      <w:r w:rsidRPr="001F2E2D">
        <w:t xml:space="preserve"> ADP кај (58,1</w:t>
      </w:r>
      <w:r w:rsidR="0035302F">
        <w:t xml:space="preserve"> </w:t>
      </w:r>
      <w:r w:rsidRPr="001F2E2D">
        <w:t>%), P ¼ 0,0002) предизвикана од намалени вредности на ристоцетин кај (77,3 %) (P ¼ 0,0075). Агрегацијата на тромбоцитите индуцирана од колаген била намалена кај 39</w:t>
      </w:r>
      <w:r w:rsidR="0035302F">
        <w:t xml:space="preserve"> </w:t>
      </w:r>
      <w:r w:rsidRPr="001F2E2D">
        <w:t>% (P</w:t>
      </w:r>
      <w:r w:rsidR="0035302F">
        <w:t xml:space="preserve"> </w:t>
      </w:r>
      <w:r w:rsidRPr="001F2E2D">
        <w:t>&lt;</w:t>
      </w:r>
      <w:r w:rsidR="0035302F">
        <w:t xml:space="preserve"> </w:t>
      </w:r>
      <w:r w:rsidRPr="001F2E2D">
        <w:t>0,02), а намалени вредности за VWF биле потврдени само кај 8</w:t>
      </w:r>
      <w:r w:rsidR="0035302F">
        <w:t xml:space="preserve"> </w:t>
      </w:r>
      <w:r w:rsidRPr="001F2E2D">
        <w:t xml:space="preserve">% од пациентите. </w:t>
      </w:r>
      <w:r w:rsidRPr="00215667">
        <w:t>Lecchi A. et all (2015)</w:t>
      </w:r>
      <w:r w:rsidRPr="001F2E2D">
        <w:t>123</w:t>
      </w:r>
      <w:r w:rsidRPr="00215667">
        <w:t>, во својата студија, потврдиле дека 85-98</w:t>
      </w:r>
      <w:r w:rsidR="0035302F">
        <w:t xml:space="preserve"> </w:t>
      </w:r>
      <w:r w:rsidRPr="00215667">
        <w:t>% од пациентите имаат нормален број на тромбоцити, и останати коагулациони фак</w:t>
      </w:r>
      <w:r w:rsidR="0035302F">
        <w:t>тори,</w:t>
      </w:r>
      <w:r w:rsidRPr="00215667">
        <w:t xml:space="preserve"> но имале намалени вредности на ADP, </w:t>
      </w:r>
      <w:r w:rsidR="0035302F">
        <w:t>ристоцетин</w:t>
      </w:r>
      <w:r w:rsidRPr="00215667">
        <w:t xml:space="preserve"> и </w:t>
      </w:r>
      <w:r w:rsidR="0035302F">
        <w:t>колаген</w:t>
      </w:r>
      <w:r w:rsidRPr="00215667">
        <w:t xml:space="preserve"> како фактори на висок ризик за крвавење.</w:t>
      </w:r>
    </w:p>
    <w:p w14:paraId="3F87BAA8" w14:textId="02A932CC" w:rsidR="00412474" w:rsidRPr="001F2E2D" w:rsidRDefault="00412474" w:rsidP="001F2E2D">
      <w:pPr>
        <w:pStyle w:val="p1"/>
        <w:spacing w:line="360" w:lineRule="auto"/>
        <w:ind w:firstLine="720"/>
        <w:jc w:val="both"/>
      </w:pPr>
      <w:r w:rsidRPr="00215667">
        <w:t>Во нашата студија, анализата на резултатите добиени од сите 64 пациенти (100</w:t>
      </w:r>
      <w:r w:rsidR="00874E6B">
        <w:t xml:space="preserve"> </w:t>
      </w:r>
      <w:r w:rsidRPr="00215667">
        <w:t xml:space="preserve">%), покажа дека вредностите на ADP, </w:t>
      </w:r>
      <w:r w:rsidR="00874E6B">
        <w:t>ристоцетин</w:t>
      </w:r>
      <w:r w:rsidR="00874E6B" w:rsidRPr="00215667">
        <w:t xml:space="preserve"> и </w:t>
      </w:r>
      <w:r w:rsidR="00874E6B">
        <w:t>колаген</w:t>
      </w:r>
      <w:r w:rsidR="00874E6B" w:rsidRPr="00215667">
        <w:t xml:space="preserve"> </w:t>
      </w:r>
      <w:r w:rsidRPr="00215667">
        <w:t xml:space="preserve">се повеќе или помалку, но секогаш значајно намалени, во однос на референтните вредности за ADP (69-88), </w:t>
      </w:r>
      <w:r w:rsidR="00874E6B">
        <w:t>ристоцетин</w:t>
      </w:r>
      <w:r w:rsidR="00874E6B" w:rsidRPr="00215667">
        <w:t xml:space="preserve"> </w:t>
      </w:r>
      <w:r w:rsidRPr="00215667">
        <w:t xml:space="preserve">(87-102), </w:t>
      </w:r>
      <w:r w:rsidR="00874E6B">
        <w:t>колаген</w:t>
      </w:r>
      <w:r w:rsidR="00874E6B" w:rsidRPr="00215667">
        <w:t xml:space="preserve"> </w:t>
      </w:r>
      <w:r w:rsidRPr="00215667">
        <w:t xml:space="preserve">(70-94) и PT (9,8-14,2). Во согласност со сите други автори, потврдивме дека намалените вредности на ADP, </w:t>
      </w:r>
      <w:r w:rsidR="00874E6B">
        <w:t>к</w:t>
      </w:r>
      <w:r w:rsidRPr="00215667">
        <w:t xml:space="preserve">олаген и </w:t>
      </w:r>
      <w:r w:rsidR="00874E6B">
        <w:t>р</w:t>
      </w:r>
      <w:r w:rsidRPr="00215667">
        <w:t>истоцетин (табела бр. 8), се значајни предиктори за потврдување на дијагнозата, кај сите пациенти: ADP/36,6</w:t>
      </w:r>
      <w:r w:rsidR="00874E6B">
        <w:t xml:space="preserve"> </w:t>
      </w:r>
      <w:r w:rsidRPr="00215667">
        <w:t>±</w:t>
      </w:r>
      <w:r w:rsidR="00874E6B">
        <w:t xml:space="preserve"> </w:t>
      </w:r>
      <w:r w:rsidRPr="00215667">
        <w:t>13,3, опсег: (7,0-60,0); &lt;</w:t>
      </w:r>
      <w:r w:rsidR="00874E6B">
        <w:t xml:space="preserve"> </w:t>
      </w:r>
      <w:r w:rsidRPr="00215667">
        <w:t>39,5 (Me</w:t>
      </w:r>
      <w:r w:rsidR="00874E6B">
        <w:t xml:space="preserve"> </w:t>
      </w:r>
      <w:r w:rsidRPr="00215667">
        <w:t>=</w:t>
      </w:r>
      <w:r w:rsidR="00874E6B">
        <w:t xml:space="preserve"> </w:t>
      </w:r>
      <w:r w:rsidRPr="00215667">
        <w:t xml:space="preserve">39,5 IQR (24,5-47); </w:t>
      </w:r>
      <w:r w:rsidR="00874E6B">
        <w:t>ристоцетин</w:t>
      </w:r>
      <w:r w:rsidRPr="00215667">
        <w:t>/61,4</w:t>
      </w:r>
      <w:r w:rsidR="00874E6B">
        <w:t xml:space="preserve"> </w:t>
      </w:r>
      <w:r w:rsidRPr="00215667">
        <w:t>±</w:t>
      </w:r>
      <w:r w:rsidR="00874E6B">
        <w:t xml:space="preserve"> </w:t>
      </w:r>
      <w:r w:rsidRPr="00215667">
        <w:t>14,0, опсег: (23-86,0); &lt; 65,0 (Me</w:t>
      </w:r>
      <w:r w:rsidR="00874E6B">
        <w:t xml:space="preserve"> </w:t>
      </w:r>
      <w:r w:rsidRPr="00215667">
        <w:t>=</w:t>
      </w:r>
      <w:r w:rsidR="00874E6B">
        <w:t xml:space="preserve"> </w:t>
      </w:r>
      <w:r w:rsidRPr="00215667">
        <w:t xml:space="preserve">65,0 IQR (51-71); </w:t>
      </w:r>
      <w:r w:rsidR="00874E6B">
        <w:t>колаген</w:t>
      </w:r>
      <w:r w:rsidRPr="00215667">
        <w:t xml:space="preserve"> /49,1</w:t>
      </w:r>
      <w:r w:rsidR="00874E6B">
        <w:t xml:space="preserve"> </w:t>
      </w:r>
      <w:r w:rsidRPr="00215667">
        <w:t>±</w:t>
      </w:r>
      <w:r w:rsidR="00874E6B">
        <w:t xml:space="preserve"> </w:t>
      </w:r>
      <w:r w:rsidRPr="00215667">
        <w:t>15,5, опсег: (19-90,0 &lt;50,0 (Me</w:t>
      </w:r>
      <w:r w:rsidR="0021755D">
        <w:t xml:space="preserve"> </w:t>
      </w:r>
      <w:r w:rsidRPr="00215667">
        <w:t>=</w:t>
      </w:r>
      <w:r w:rsidR="0021755D">
        <w:t xml:space="preserve"> </w:t>
      </w:r>
      <w:r w:rsidRPr="00215667">
        <w:t>50,0). IQR (39-58) p &lt;</w:t>
      </w:r>
      <w:r w:rsidR="0021755D">
        <w:t xml:space="preserve"> </w:t>
      </w:r>
      <w:r w:rsidRPr="00215667">
        <w:t>0.001 и за  PT (протромбинско време)/  11.5</w:t>
      </w:r>
      <w:r w:rsidR="0021755D">
        <w:t xml:space="preserve"> </w:t>
      </w:r>
      <w:r w:rsidRPr="00215667">
        <w:t>±</w:t>
      </w:r>
      <w:r w:rsidR="0021755D">
        <w:t xml:space="preserve"> </w:t>
      </w:r>
      <w:r w:rsidRPr="00215667">
        <w:t>2.4, опсег: (9.7- 15.0);. &lt;</w:t>
      </w:r>
      <w:r w:rsidR="0021755D">
        <w:t xml:space="preserve"> </w:t>
      </w:r>
      <w:r w:rsidRPr="00215667">
        <w:t>11.0 (Ме</w:t>
      </w:r>
      <w:r w:rsidR="0021755D">
        <w:t xml:space="preserve"> </w:t>
      </w:r>
      <w:r w:rsidRPr="00215667">
        <w:t>=</w:t>
      </w:r>
      <w:r w:rsidR="0021755D">
        <w:t xml:space="preserve"> </w:t>
      </w:r>
      <w:r w:rsidRPr="00215667">
        <w:t xml:space="preserve">11.0 IQR(10-12), (123). </w:t>
      </w:r>
      <w:r w:rsidRPr="001F2E2D">
        <w:t>Capoor MN. et all (2015)124, демонстрирале дека 94,3</w:t>
      </w:r>
      <w:r w:rsidR="0021755D">
        <w:t xml:space="preserve"> </w:t>
      </w:r>
      <w:r w:rsidRPr="001F2E2D">
        <w:t>% од сите PT тестови и 99,9</w:t>
      </w:r>
      <w:r w:rsidR="0021755D">
        <w:t xml:space="preserve"> </w:t>
      </w:r>
      <w:r w:rsidRPr="001F2E2D">
        <w:t xml:space="preserve">% од сите aPTT тестови во сетот на податоци, покажале дека и PT и aPTT тестовите се несигнификантни и се околу референтните вредности и рутински се користат како скрининг тестови. Сигнификантни предиктори за хипоагрегбилноста се наодите на редуцирани вредности на ADP, </w:t>
      </w:r>
      <w:r w:rsidR="0021755D">
        <w:t>ристоцетин</w:t>
      </w:r>
      <w:r w:rsidRPr="001F2E2D">
        <w:t xml:space="preserve"> и </w:t>
      </w:r>
      <w:r w:rsidR="0021755D">
        <w:t>колаген</w:t>
      </w:r>
      <w:r w:rsidRPr="001F2E2D">
        <w:t xml:space="preserve"> кај 96</w:t>
      </w:r>
      <w:r w:rsidR="0021755D">
        <w:t xml:space="preserve"> </w:t>
      </w:r>
      <w:r w:rsidRPr="001F2E2D">
        <w:t xml:space="preserve">% од пациентите. Во продолжение, нашите резултати се конзистентни со наводите на другите автори, дека степенот на намалувањето на вредностите на ADP, </w:t>
      </w:r>
      <w:r w:rsidR="0021755D">
        <w:t>колаген</w:t>
      </w:r>
      <w:r w:rsidRPr="001F2E2D">
        <w:t xml:space="preserve"> и </w:t>
      </w:r>
      <w:r w:rsidR="0021755D">
        <w:t>ристоцетин</w:t>
      </w:r>
      <w:r w:rsidRPr="001F2E2D">
        <w:t xml:space="preserve"> е индиректно пропорционален со </w:t>
      </w:r>
      <w:r w:rsidRPr="001F2E2D">
        <w:lastRenderedPageBreak/>
        <w:t>појавата на продолжени и интензивни крвавење.</w:t>
      </w:r>
      <w:r w:rsidRPr="00215667">
        <w:t xml:space="preserve"> </w:t>
      </w:r>
      <w:r w:rsidRPr="001F2E2D">
        <w:t>Според интензитетот на појава на пролонгирани крвавења пред поставување на дијагнозата хипоагрегабилна состојба на тромбоцитите, регистриравме: умерени крвавења кај 53.1</w:t>
      </w:r>
      <w:r w:rsidR="0021755D">
        <w:t xml:space="preserve"> </w:t>
      </w:r>
      <w:r w:rsidRPr="001F2E2D">
        <w:t>%, тешки крвавења кај 45.3</w:t>
      </w:r>
      <w:r w:rsidR="0021755D">
        <w:t xml:space="preserve"> </w:t>
      </w:r>
      <w:r w:rsidRPr="001F2E2D">
        <w:t>%, само кај еден пациент лесно крвавење, а кај ниту ден пациент сукрвица во пл</w:t>
      </w:r>
      <w:r w:rsidR="00215667" w:rsidRPr="001F2E2D">
        <w:t>у</w:t>
      </w:r>
      <w:r w:rsidRPr="001F2E2D">
        <w:t>нка (</w:t>
      </w:r>
      <w:r w:rsidRPr="0021755D">
        <w:rPr>
          <w:i/>
          <w:iCs/>
        </w:rPr>
        <w:t>oozing</w:t>
      </w:r>
      <w:r w:rsidRPr="001F2E2D">
        <w:t>). Процентуалн</w:t>
      </w:r>
      <w:r w:rsidR="0021755D">
        <w:t>а</w:t>
      </w:r>
      <w:r w:rsidRPr="001F2E2D">
        <w:t xml:space="preserve">та разлика помеѓу умерени </w:t>
      </w:r>
      <w:r w:rsidR="001F2E2D">
        <w:t>версус</w:t>
      </w:r>
      <w:r w:rsidRPr="001F2E2D">
        <w:t xml:space="preserve"> тешки крвавења не беше сигнификантна за p</w:t>
      </w:r>
      <w:r w:rsidR="0021755D">
        <w:t xml:space="preserve"> </w:t>
      </w:r>
      <w:r w:rsidRPr="001F2E2D">
        <w:t>&gt;</w:t>
      </w:r>
      <w:r w:rsidR="0021755D">
        <w:t xml:space="preserve"> </w:t>
      </w:r>
      <w:r w:rsidRPr="001F2E2D">
        <w:t xml:space="preserve">.05 (Difference test, p=.3775), а разликата беше сигнификантна помеѓу тешко </w:t>
      </w:r>
      <w:r w:rsidR="00EC49EB" w:rsidRPr="001F2E2D">
        <w:t>крвавење</w:t>
      </w:r>
      <w:r w:rsidRPr="001F2E2D">
        <w:t xml:space="preserve"> </w:t>
      </w:r>
      <w:r w:rsidR="001F2E2D">
        <w:t>версус</w:t>
      </w:r>
      <w:r w:rsidRPr="001F2E2D">
        <w:t xml:space="preserve"> лесно и </w:t>
      </w:r>
      <w:r w:rsidRPr="0021755D">
        <w:rPr>
          <w:i/>
          <w:iCs/>
        </w:rPr>
        <w:t>oozing</w:t>
      </w:r>
      <w:r w:rsidRPr="001F2E2D">
        <w:t xml:space="preserve">; и умерено </w:t>
      </w:r>
      <w:r w:rsidR="001F2E2D">
        <w:t>версус</w:t>
      </w:r>
      <w:r w:rsidRPr="001F2E2D">
        <w:t xml:space="preserve"> лесно и </w:t>
      </w:r>
      <w:r w:rsidR="0021755D" w:rsidRPr="0021755D">
        <w:rPr>
          <w:i/>
          <w:iCs/>
        </w:rPr>
        <w:t>oozing</w:t>
      </w:r>
      <w:r w:rsidR="0021755D" w:rsidRPr="001F2E2D">
        <w:t xml:space="preserve"> </w:t>
      </w:r>
      <w:r w:rsidRPr="001F2E2D">
        <w:t>крвавење за p</w:t>
      </w:r>
      <w:r w:rsidR="0021755D">
        <w:t xml:space="preserve"> </w:t>
      </w:r>
      <w:r w:rsidRPr="001F2E2D">
        <w:t>&lt;</w:t>
      </w:r>
      <w:r w:rsidR="0021755D">
        <w:t xml:space="preserve"> </w:t>
      </w:r>
      <w:r w:rsidRPr="001F2E2D">
        <w:t>.05 (Difference test, p</w:t>
      </w:r>
      <w:r w:rsidR="0021755D">
        <w:t xml:space="preserve"> </w:t>
      </w:r>
      <w:r w:rsidRPr="001F2E2D">
        <w:t>=</w:t>
      </w:r>
      <w:r w:rsidR="0021755D">
        <w:t xml:space="preserve"> </w:t>
      </w:r>
      <w:r w:rsidRPr="001F2E2D">
        <w:t xml:space="preserve">.0000).(табела </w:t>
      </w:r>
      <w:r w:rsidR="0021755D">
        <w:t>бр. 5</w:t>
      </w:r>
      <w:r w:rsidRPr="001F2E2D">
        <w:t xml:space="preserve"> и графикон број 5)</w:t>
      </w:r>
      <w:r w:rsidR="0021755D">
        <w:t>.</w:t>
      </w:r>
      <w:r w:rsidRPr="001F2E2D">
        <w:t xml:space="preserve"> </w:t>
      </w:r>
    </w:p>
    <w:p w14:paraId="551094AC" w14:textId="11C93DC1" w:rsidR="00412474" w:rsidRPr="001F2E2D" w:rsidRDefault="00412474" w:rsidP="001F2E2D">
      <w:pPr>
        <w:pStyle w:val="p1"/>
        <w:spacing w:line="360" w:lineRule="auto"/>
        <w:ind w:firstLine="720"/>
        <w:jc w:val="both"/>
      </w:pPr>
      <w:r w:rsidRPr="001F2E2D">
        <w:t>Анализата на резу</w:t>
      </w:r>
      <w:r w:rsidR="00215667" w:rsidRPr="001F2E2D">
        <w:t>л</w:t>
      </w:r>
      <w:r w:rsidRPr="001F2E2D">
        <w:t>татите за потврдување на степенот на просечната вредност на ADP кај умерен интензитет на крвавење изнесува 43.8</w:t>
      </w:r>
      <w:r w:rsidR="0021755D">
        <w:t xml:space="preserve"> </w:t>
      </w:r>
      <w:r w:rsidRPr="001F2E2D">
        <w:t xml:space="preserve">± 10.4 (ранг: 7 – 60); кај тежок интензитет на крвавење е понизок и изнесува 27.9 ± 10.5 (ранг: 7- 49) и кај лесен интензитет на крвавење изнесува 58.0 (еден пациент) (табела бр. 9). Исто така анализата на резултатите на степенот на намалувањето на вредностите на </w:t>
      </w:r>
      <w:r w:rsidR="0021755D">
        <w:t>ристоцетин</w:t>
      </w:r>
      <w:r w:rsidRPr="001F2E2D">
        <w:t xml:space="preserve"> покажа дека е индиректно пропорционален со интензитетот на пролонгирано крвавење. Просечната вредност на </w:t>
      </w:r>
      <w:r w:rsidR="0021755D">
        <w:t>ристоцетин</w:t>
      </w:r>
      <w:r w:rsidRPr="001F2E2D">
        <w:t xml:space="preserve"> кај умерен интензитет на крвавење изнесува 66.2</w:t>
      </w:r>
      <w:r w:rsidR="0021755D">
        <w:t xml:space="preserve"> </w:t>
      </w:r>
      <w:r w:rsidRPr="001F2E2D">
        <w:t>± 9.3 (ранг: 47-83); кај тежок интензитет на крвавење е понизок и изнесува 55.6 ± 16.6, (</w:t>
      </w:r>
      <w:r w:rsidR="0021755D">
        <w:t>ранг</w:t>
      </w:r>
      <w:r w:rsidRPr="001F2E2D">
        <w:t>: 23</w:t>
      </w:r>
      <w:r w:rsidR="0021755D">
        <w:t>-</w:t>
      </w:r>
      <w:r w:rsidRPr="001F2E2D">
        <w:t>86</w:t>
      </w:r>
      <w:r w:rsidR="0021755D">
        <w:t>)</w:t>
      </w:r>
      <w:r w:rsidRPr="001F2E2D">
        <w:t xml:space="preserve"> и кај лесен интензитет на крвавење изнесува 68.0 (еден пациент). Резултатите за просечната вредност на </w:t>
      </w:r>
      <w:r w:rsidR="0021755D">
        <w:t>колаген</w:t>
      </w:r>
      <w:r w:rsidRPr="001F2E2D">
        <w:t xml:space="preserve"> кај умерен интензитет на крвавење изнесува 52.4</w:t>
      </w:r>
      <w:r w:rsidR="0021755D">
        <w:t xml:space="preserve"> </w:t>
      </w:r>
      <w:r w:rsidRPr="001F2E2D">
        <w:t>± 11.3 (ранг: 27</w:t>
      </w:r>
      <w:r w:rsidR="0021755D">
        <w:t>-</w:t>
      </w:r>
      <w:r w:rsidRPr="001F2E2D">
        <w:t>86); кај тежок интензитет на крвавење е понизок и изнесува 44.9 ± 18.8, (ранг: 19</w:t>
      </w:r>
      <w:r w:rsidR="0021755D">
        <w:t>-</w:t>
      </w:r>
      <w:r w:rsidRPr="001F2E2D">
        <w:t xml:space="preserve">90) и кај лесен интензитет на крвавење изнесува 59.0, кај еден пациент. Со </w:t>
      </w:r>
      <w:r w:rsidRPr="0021755D">
        <w:rPr>
          <w:i/>
          <w:iCs/>
        </w:rPr>
        <w:t>Kruskal-Wallis ANOVA</w:t>
      </w:r>
      <w:r w:rsidRPr="001F2E2D">
        <w:t xml:space="preserve"> тестот H (2, N</w:t>
      </w:r>
      <w:r w:rsidR="0021755D">
        <w:t xml:space="preserve"> </w:t>
      </w:r>
      <w:r w:rsidRPr="001F2E2D">
        <w:t>= 64) =</w:t>
      </w:r>
      <w:r w:rsidR="0021755D">
        <w:t xml:space="preserve"> </w:t>
      </w:r>
      <w:r w:rsidRPr="001F2E2D">
        <w:t>27.67529, ја потврдивме сигнификантната разлик</w:t>
      </w:r>
      <w:r w:rsidR="0021755D">
        <w:t>а</w:t>
      </w:r>
      <w:r w:rsidR="006A3B4F">
        <w:t xml:space="preserve"> </w:t>
      </w:r>
      <w:r w:rsidRPr="001F2E2D">
        <w:t>помеѓу просечните вредности</w:t>
      </w:r>
      <w:r w:rsidRPr="00215667">
        <w:t xml:space="preserve"> на </w:t>
      </w:r>
      <w:r w:rsidRPr="001F2E2D">
        <w:t>ADP (p =</w:t>
      </w:r>
      <w:r w:rsidR="006A3B4F">
        <w:t xml:space="preserve"> </w:t>
      </w:r>
      <w:r w:rsidRPr="001F2E2D">
        <w:t xml:space="preserve">.0000); кај умерен </w:t>
      </w:r>
      <w:r w:rsidR="001F2E2D">
        <w:t>версус</w:t>
      </w:r>
      <w:r w:rsidRPr="001F2E2D">
        <w:t xml:space="preserve"> тежок интензитет (</w:t>
      </w:r>
      <w:r w:rsidRPr="006A3B4F">
        <w:rPr>
          <w:i/>
          <w:iCs/>
        </w:rPr>
        <w:t>Multiple Comparisons p values</w:t>
      </w:r>
      <w:r w:rsidRPr="001F2E2D">
        <w:t>, p</w:t>
      </w:r>
      <w:r w:rsidR="006A3B4F">
        <w:t xml:space="preserve"> </w:t>
      </w:r>
      <w:r w:rsidRPr="001F2E2D">
        <w:t>=</w:t>
      </w:r>
      <w:r w:rsidR="006A3B4F">
        <w:t xml:space="preserve"> </w:t>
      </w:r>
      <w:r w:rsidRPr="001F2E2D">
        <w:t xml:space="preserve">.000002. Во однос на вредностите на </w:t>
      </w:r>
      <w:r w:rsidR="006A3B4F">
        <w:t>р</w:t>
      </w:r>
      <w:r w:rsidR="0021755D">
        <w:t>истоцетин</w:t>
      </w:r>
      <w:r w:rsidRPr="001F2E2D">
        <w:t xml:space="preserve"> и интензитетот на пролонгирано крвавење, </w:t>
      </w:r>
      <w:r w:rsidRPr="006A3B4F">
        <w:rPr>
          <w:i/>
          <w:iCs/>
        </w:rPr>
        <w:t>Kruskal-Wallis ANOVA</w:t>
      </w:r>
      <w:r w:rsidRPr="001F2E2D">
        <w:t xml:space="preserve"> тестот ја потврди сигнификантн</w:t>
      </w:r>
      <w:r w:rsidR="006A3B4F">
        <w:t>а</w:t>
      </w:r>
      <w:r w:rsidRPr="001F2E2D">
        <w:t xml:space="preserve">та разлика помеѓу просечните вредности на </w:t>
      </w:r>
      <w:r w:rsidR="006A3B4F">
        <w:t>р</w:t>
      </w:r>
      <w:r w:rsidR="0021755D">
        <w:t>истоцетин</w:t>
      </w:r>
      <w:r w:rsidRPr="001F2E2D">
        <w:t xml:space="preserve"> за p</w:t>
      </w:r>
      <w:r w:rsidR="006A3B4F">
        <w:t xml:space="preserve"> </w:t>
      </w:r>
      <w:r w:rsidRPr="001F2E2D">
        <w:t>&lt;</w:t>
      </w:r>
      <w:r w:rsidR="006A3B4F">
        <w:t xml:space="preserve"> </w:t>
      </w:r>
      <w:r w:rsidRPr="001F2E2D">
        <w:t>.05 (</w:t>
      </w:r>
      <w:r w:rsidRPr="006A3B4F">
        <w:rPr>
          <w:i/>
          <w:iCs/>
        </w:rPr>
        <w:t>Kruskal-Wallis test</w:t>
      </w:r>
      <w:r w:rsidRPr="001F2E2D">
        <w:t>: H (2, N</w:t>
      </w:r>
      <w:r w:rsidR="006A3B4F">
        <w:t xml:space="preserve"> </w:t>
      </w:r>
      <w:r w:rsidRPr="001F2E2D">
        <w:t>= 64) =</w:t>
      </w:r>
      <w:r w:rsidR="006A3B4F">
        <w:t xml:space="preserve"> </w:t>
      </w:r>
      <w:r w:rsidRPr="001F2E2D">
        <w:t>6.205275 p =</w:t>
      </w:r>
      <w:r w:rsidR="006A3B4F">
        <w:t xml:space="preserve"> </w:t>
      </w:r>
      <w:r w:rsidRPr="001F2E2D">
        <w:t>.0449). Вкупната разлика која ја регистрир</w:t>
      </w:r>
      <w:r w:rsidR="006A3B4F">
        <w:t>а</w:t>
      </w:r>
      <w:r w:rsidRPr="001F2E2D">
        <w:t xml:space="preserve">вме помеѓу просечните вредности на </w:t>
      </w:r>
      <w:r w:rsidR="006A3B4F">
        <w:t>р</w:t>
      </w:r>
      <w:r w:rsidR="0021755D">
        <w:t>истоцетин</w:t>
      </w:r>
      <w:r w:rsidRPr="001F2E2D">
        <w:t xml:space="preserve">, се должи на сигнификантна разлика помеѓу просечните вредности на </w:t>
      </w:r>
      <w:r w:rsidR="006A3B4F">
        <w:t>р</w:t>
      </w:r>
      <w:r w:rsidR="0021755D">
        <w:t>истоцетин</w:t>
      </w:r>
      <w:r w:rsidRPr="001F2E2D">
        <w:t xml:space="preserve"> кај умерен </w:t>
      </w:r>
      <w:r w:rsidR="001F2E2D">
        <w:t>версус</w:t>
      </w:r>
      <w:r w:rsidRPr="001F2E2D">
        <w:t xml:space="preserve"> тежок интензитет на крвавење за p</w:t>
      </w:r>
      <w:r w:rsidR="006A3B4F">
        <w:t xml:space="preserve"> </w:t>
      </w:r>
      <w:r w:rsidRPr="001F2E2D">
        <w:t>&lt;</w:t>
      </w:r>
      <w:r w:rsidR="006A3B4F">
        <w:t xml:space="preserve"> </w:t>
      </w:r>
      <w:r w:rsidRPr="001F2E2D">
        <w:t>.05 (</w:t>
      </w:r>
      <w:r w:rsidRPr="006A3B4F">
        <w:rPr>
          <w:i/>
          <w:iCs/>
        </w:rPr>
        <w:t>Multiple Comparisons</w:t>
      </w:r>
      <w:r w:rsidRPr="001F2E2D">
        <w:t>, p</w:t>
      </w:r>
      <w:r w:rsidR="006A3B4F">
        <w:t xml:space="preserve"> </w:t>
      </w:r>
      <w:r w:rsidRPr="001F2E2D">
        <w:t>=</w:t>
      </w:r>
      <w:r w:rsidR="006A3B4F">
        <w:t xml:space="preserve"> </w:t>
      </w:r>
      <w:r w:rsidRPr="001F2E2D">
        <w:t>.040486),</w:t>
      </w:r>
      <w:r w:rsidR="006A3B4F">
        <w:t xml:space="preserve"> </w:t>
      </w:r>
      <w:r w:rsidRPr="001F2E2D">
        <w:t>(табела бр</w:t>
      </w:r>
      <w:r w:rsidR="006A3B4F">
        <w:t>.</w:t>
      </w:r>
      <w:r w:rsidRPr="001F2E2D">
        <w:t xml:space="preserve"> 9б). Разликата помеѓу просечните </w:t>
      </w:r>
      <w:r w:rsidRPr="001F2E2D">
        <w:lastRenderedPageBreak/>
        <w:t xml:space="preserve">вредности на </w:t>
      </w:r>
      <w:r w:rsidR="006A3B4F">
        <w:t>к</w:t>
      </w:r>
      <w:r w:rsidR="0021755D">
        <w:t>олаген</w:t>
      </w:r>
      <w:r w:rsidRPr="001F2E2D">
        <w:t xml:space="preserve">, според </w:t>
      </w:r>
      <w:r w:rsidRPr="006A3B4F">
        <w:rPr>
          <w:i/>
          <w:iCs/>
        </w:rPr>
        <w:t>Kruskal-Wallis ANOVA</w:t>
      </w:r>
      <w:r w:rsidRPr="001F2E2D">
        <w:t xml:space="preserve"> тестот е сигнификантна за p</w:t>
      </w:r>
      <w:r w:rsidR="006A3B4F">
        <w:t xml:space="preserve"> </w:t>
      </w:r>
      <w:r w:rsidRPr="001F2E2D">
        <w:t>&lt;</w:t>
      </w:r>
      <w:r w:rsidR="006A3B4F">
        <w:t xml:space="preserve"> </w:t>
      </w:r>
      <w:r w:rsidRPr="001F2E2D">
        <w:t>.05 (</w:t>
      </w:r>
      <w:r w:rsidRPr="006A3B4F">
        <w:rPr>
          <w:i/>
          <w:iCs/>
        </w:rPr>
        <w:t>Kruskal-Wallis test</w:t>
      </w:r>
      <w:r w:rsidRPr="001F2E2D">
        <w:t>: H (2, N</w:t>
      </w:r>
      <w:r w:rsidR="006A3B4F">
        <w:t xml:space="preserve"> </w:t>
      </w:r>
      <w:r w:rsidRPr="001F2E2D">
        <w:t>= 64) =</w:t>
      </w:r>
      <w:r w:rsidR="006A3B4F">
        <w:t xml:space="preserve"> </w:t>
      </w:r>
      <w:r w:rsidRPr="001F2E2D">
        <w:t>7.266578 p =</w:t>
      </w:r>
      <w:r w:rsidR="006A3B4F">
        <w:t xml:space="preserve"> </w:t>
      </w:r>
      <w:r w:rsidRPr="001F2E2D">
        <w:t xml:space="preserve">.0264) и се должи на сигнификантна разлика помеѓу просечните вредности на </w:t>
      </w:r>
      <w:r w:rsidR="006A3B4F">
        <w:t>к</w:t>
      </w:r>
      <w:r w:rsidR="0021755D">
        <w:t>олаген</w:t>
      </w:r>
      <w:r w:rsidRPr="001F2E2D">
        <w:t xml:space="preserve"> кај умерен </w:t>
      </w:r>
      <w:r w:rsidR="001F2E2D">
        <w:t>версус</w:t>
      </w:r>
      <w:r w:rsidRPr="001F2E2D">
        <w:t xml:space="preserve"> тежок интензитет за p</w:t>
      </w:r>
      <w:r w:rsidR="006A3B4F">
        <w:t xml:space="preserve"> </w:t>
      </w:r>
      <w:r w:rsidRPr="001F2E2D">
        <w:t>&lt;</w:t>
      </w:r>
      <w:r w:rsidR="006A3B4F">
        <w:t xml:space="preserve"> </w:t>
      </w:r>
      <w:r w:rsidRPr="001F2E2D">
        <w:t>.05 (</w:t>
      </w:r>
      <w:r w:rsidRPr="006A3B4F">
        <w:rPr>
          <w:i/>
          <w:iCs/>
        </w:rPr>
        <w:t>Multiple Comparisons p values</w:t>
      </w:r>
      <w:r w:rsidRPr="001F2E2D">
        <w:t>, p</w:t>
      </w:r>
      <w:r w:rsidR="006A3B4F">
        <w:t xml:space="preserve"> </w:t>
      </w:r>
      <w:r w:rsidRPr="001F2E2D">
        <w:t>=</w:t>
      </w:r>
      <w:r w:rsidR="006A3B4F">
        <w:t xml:space="preserve"> </w:t>
      </w:r>
      <w:r w:rsidRPr="001F2E2D">
        <w:t xml:space="preserve">.039640. Зависноста на интензитетот на крвавење во однос на намалувањето на вредностите на ADP, </w:t>
      </w:r>
      <w:r w:rsidR="006A3B4F">
        <w:t>р</w:t>
      </w:r>
      <w:r w:rsidR="0021755D">
        <w:t>истоцетин</w:t>
      </w:r>
      <w:r w:rsidRPr="001F2E2D">
        <w:t xml:space="preserve"> и </w:t>
      </w:r>
      <w:r w:rsidR="006A3B4F">
        <w:t>к</w:t>
      </w:r>
      <w:r w:rsidR="0021755D">
        <w:t>олаген</w:t>
      </w:r>
      <w:r w:rsidRPr="001F2E2D">
        <w:t>, во нашата студија покажа дека</w:t>
      </w:r>
      <w:r w:rsidR="006A3B4F">
        <w:t xml:space="preserve"> </w:t>
      </w:r>
      <w:r w:rsidRPr="001F2E2D">
        <w:t xml:space="preserve">колку се пониски вредностите, толку е поинтензивно крвавењето, т.е. тешките крвавења се јавуваат кај најниските измерени вредности за ADP, </w:t>
      </w:r>
      <w:r w:rsidR="0021755D">
        <w:t>колаген</w:t>
      </w:r>
      <w:r w:rsidRPr="001F2E2D">
        <w:t xml:space="preserve"> и </w:t>
      </w:r>
      <w:r w:rsidR="006A3B4F">
        <w:t>р</w:t>
      </w:r>
      <w:r w:rsidR="0021755D">
        <w:t>истоцетин</w:t>
      </w:r>
      <w:r w:rsidRPr="001F2E2D">
        <w:t>. Moenen F et all (11), слично како во нашите наоди потврдиле дека кај 86</w:t>
      </w:r>
      <w:r w:rsidR="006A3B4F">
        <w:t xml:space="preserve"> </w:t>
      </w:r>
      <w:r w:rsidRPr="001F2E2D">
        <w:t xml:space="preserve">% од пациентите, разликата е значително помала кај оние со прекумерно крвавење отколку кај контролната, здрава група за ADP (118 ± 27 s наспроти 94 ± 13 s, p = 0,007); за </w:t>
      </w:r>
      <w:r w:rsidR="0021755D">
        <w:t>ристоцетин</w:t>
      </w:r>
      <w:r w:rsidRPr="001F2E2D">
        <w:t xml:space="preserve"> (просечно ± 1 SD (опсег): 81±31 U dL−1 (36-163) наспроти 92</w:t>
      </w:r>
      <w:r w:rsidR="006A3B4F">
        <w:t xml:space="preserve"> </w:t>
      </w:r>
      <w:r w:rsidRPr="001F2E2D">
        <w:t>±</w:t>
      </w:r>
      <w:r w:rsidR="006A3B4F">
        <w:t xml:space="preserve"> </w:t>
      </w:r>
      <w:r w:rsidRPr="001F2E2D">
        <w:t>32 (26-199) p</w:t>
      </w:r>
      <w:r w:rsidR="006A3B4F">
        <w:t xml:space="preserve"> </w:t>
      </w:r>
      <w:r w:rsidRPr="001F2E2D">
        <w:t xml:space="preserve">= 0,039 и за </w:t>
      </w:r>
      <w:r w:rsidR="0021755D">
        <w:t>колаген</w:t>
      </w:r>
      <w:r w:rsidRPr="001F2E2D">
        <w:t xml:space="preserve"> 97 (162; 51-191) p &lt;</w:t>
      </w:r>
      <w:r w:rsidR="006A3B4F">
        <w:t xml:space="preserve"> </w:t>
      </w:r>
      <w:r w:rsidRPr="001F2E2D">
        <w:t>0,001, (табела бр</w:t>
      </w:r>
      <w:r w:rsidR="006A3B4F">
        <w:t>.</w:t>
      </w:r>
      <w:r w:rsidRPr="001F2E2D">
        <w:t xml:space="preserve"> 9а,</w:t>
      </w:r>
      <w:r w:rsidR="006A3B4F">
        <w:t xml:space="preserve"> 9</w:t>
      </w:r>
      <w:r w:rsidRPr="001F2E2D">
        <w:t xml:space="preserve">б и </w:t>
      </w:r>
      <w:r w:rsidR="006A3B4F">
        <w:t>9</w:t>
      </w:r>
      <w:r w:rsidRPr="001F2E2D">
        <w:t xml:space="preserve">в). Пропорционалното намалување на вредностите на ADP, </w:t>
      </w:r>
      <w:r w:rsidR="006A3B4F">
        <w:t>р</w:t>
      </w:r>
      <w:r w:rsidR="0021755D">
        <w:t>истоцетин</w:t>
      </w:r>
      <w:r w:rsidRPr="001F2E2D">
        <w:t xml:space="preserve"> и </w:t>
      </w:r>
      <w:r w:rsidR="006A3B4F">
        <w:t>к</w:t>
      </w:r>
      <w:r w:rsidR="0021755D">
        <w:t>олаген</w:t>
      </w:r>
      <w:r w:rsidRPr="001F2E2D">
        <w:t xml:space="preserve"> го истражувале и Koltai K. et all (2017)125 и утврдиле дека се директно индикативни за висок ризик и продолжено и обемно периоперативно крвавење кај 96</w:t>
      </w:r>
      <w:r w:rsidR="006A3B4F">
        <w:t xml:space="preserve"> </w:t>
      </w:r>
      <w:r w:rsidRPr="001F2E2D">
        <w:t xml:space="preserve">% од пациентите и се сигнификантни индикатори за поставување на дијагнозата кај пациентите. </w:t>
      </w:r>
    </w:p>
    <w:p w14:paraId="78247BEC" w14:textId="3988A479" w:rsidR="00412474" w:rsidRPr="00215667" w:rsidRDefault="00412474" w:rsidP="006A3B4F">
      <w:pPr>
        <w:pStyle w:val="p1"/>
        <w:spacing w:line="360" w:lineRule="auto"/>
        <w:ind w:firstLine="720"/>
        <w:jc w:val="both"/>
        <w:rPr>
          <w:bCs/>
        </w:rPr>
      </w:pPr>
      <w:r w:rsidRPr="00215667">
        <w:rPr>
          <w:bCs/>
        </w:rPr>
        <w:t>Просечното време на крвавењето во минути кај екстракција на заби кај пациентите</w:t>
      </w:r>
      <w:r w:rsidR="006A3B4F">
        <w:rPr>
          <w:bCs/>
        </w:rPr>
        <w:t xml:space="preserve"> </w:t>
      </w:r>
      <w:r w:rsidRPr="00215667">
        <w:rPr>
          <w:bCs/>
        </w:rPr>
        <w:t>со пролонгирани крвавења/ хипоагрегабилност изнесуваше 267.3</w:t>
      </w:r>
      <w:r w:rsidR="006A3B4F">
        <w:rPr>
          <w:bCs/>
        </w:rPr>
        <w:t xml:space="preserve"> </w:t>
      </w:r>
      <w:r w:rsidRPr="00215667">
        <w:rPr>
          <w:bCs/>
        </w:rPr>
        <w:t>±</w:t>
      </w:r>
      <w:r w:rsidR="006A3B4F">
        <w:rPr>
          <w:bCs/>
        </w:rPr>
        <w:t xml:space="preserve"> </w:t>
      </w:r>
      <w:r w:rsidRPr="00215667">
        <w:rPr>
          <w:bCs/>
        </w:rPr>
        <w:t>215.7 (ранг: 0-720 минути). Во групата на пациенти со хипоагрегабилност се регистрира висока стандардна девијација која индиректно зборува за големи варијации на статистичките единици околу просечната вредност (табела</w:t>
      </w:r>
      <w:r w:rsidR="006A3B4F">
        <w:rPr>
          <w:bCs/>
        </w:rPr>
        <w:t xml:space="preserve"> бр. 10</w:t>
      </w:r>
      <w:r w:rsidRPr="00215667">
        <w:rPr>
          <w:bCs/>
        </w:rPr>
        <w:t xml:space="preserve"> и графикон бр</w:t>
      </w:r>
      <w:r w:rsidR="006A3B4F">
        <w:rPr>
          <w:bCs/>
        </w:rPr>
        <w:t>.</w:t>
      </w:r>
      <w:r w:rsidRPr="00215667">
        <w:rPr>
          <w:bCs/>
        </w:rPr>
        <w:t xml:space="preserve"> 10). Просечното времетраење на </w:t>
      </w:r>
      <w:r w:rsidR="00EC49EB" w:rsidRPr="00215667">
        <w:rPr>
          <w:bCs/>
        </w:rPr>
        <w:t>крвавење</w:t>
      </w:r>
      <w:r w:rsidRPr="00215667">
        <w:rPr>
          <w:bCs/>
        </w:rPr>
        <w:t>то во минути кај екстракција на заби кај здрави пациенти постекстракционо изнесува 12.1</w:t>
      </w:r>
      <w:r w:rsidR="006A3B4F">
        <w:rPr>
          <w:bCs/>
        </w:rPr>
        <w:t xml:space="preserve"> </w:t>
      </w:r>
      <w:r w:rsidRPr="00215667">
        <w:rPr>
          <w:bCs/>
        </w:rPr>
        <w:t>±</w:t>
      </w:r>
      <w:r w:rsidR="006A3B4F">
        <w:rPr>
          <w:bCs/>
        </w:rPr>
        <w:t xml:space="preserve"> </w:t>
      </w:r>
      <w:r w:rsidRPr="00215667">
        <w:rPr>
          <w:bCs/>
        </w:rPr>
        <w:t>3.8 (ранг:</w:t>
      </w:r>
      <w:r w:rsidR="006A3B4F">
        <w:rPr>
          <w:bCs/>
        </w:rPr>
        <w:t xml:space="preserve"> </w:t>
      </w:r>
      <w:r w:rsidRPr="00215667">
        <w:rPr>
          <w:bCs/>
        </w:rPr>
        <w:t>3.0-20 минути). Нашите резултати, во однос на разликата помеѓу прекумерното крвавење кај пациентите суспектни за тромбоцитна хипоагрегабилност, во споредба со крвавењето кај здравите пациенти, е сигнификантна  (p</w:t>
      </w:r>
      <w:r w:rsidR="006A3B4F">
        <w:rPr>
          <w:bCs/>
        </w:rPr>
        <w:t xml:space="preserve"> </w:t>
      </w:r>
      <w:r w:rsidRPr="00215667">
        <w:rPr>
          <w:bCs/>
        </w:rPr>
        <w:t>&lt;</w:t>
      </w:r>
      <w:r w:rsidR="006A3B4F">
        <w:rPr>
          <w:bCs/>
        </w:rPr>
        <w:t xml:space="preserve"> </w:t>
      </w:r>
      <w:r w:rsidRPr="00215667">
        <w:rPr>
          <w:bCs/>
        </w:rPr>
        <w:t>0,0001). Истот</w:t>
      </w:r>
      <w:r w:rsidR="006A3B4F">
        <w:rPr>
          <w:bCs/>
        </w:rPr>
        <w:t>о</w:t>
      </w:r>
      <w:r w:rsidRPr="00215667">
        <w:rPr>
          <w:bCs/>
        </w:rPr>
        <w:t xml:space="preserve"> го потврдивме и со </w:t>
      </w:r>
      <w:r w:rsidRPr="006A3B4F">
        <w:rPr>
          <w:bCs/>
          <w:i/>
          <w:iCs/>
        </w:rPr>
        <w:t>Mann-Whitney U Test</w:t>
      </w:r>
      <w:r w:rsidRPr="00215667">
        <w:rPr>
          <w:bCs/>
        </w:rPr>
        <w:t>, т.е. разликата која се регистрира помеѓу просечните вредности на крвавење помеѓу I и IV група е сигнификантна за p &lt;</w:t>
      </w:r>
      <w:r w:rsidR="006A3B4F">
        <w:rPr>
          <w:bCs/>
        </w:rPr>
        <w:t xml:space="preserve"> </w:t>
      </w:r>
      <w:r w:rsidRPr="00215667">
        <w:rPr>
          <w:bCs/>
        </w:rPr>
        <w:t>.005 (</w:t>
      </w:r>
      <w:r w:rsidRPr="006A3B4F">
        <w:rPr>
          <w:bCs/>
          <w:i/>
          <w:iCs/>
        </w:rPr>
        <w:t>Mann-Whitney U Test</w:t>
      </w:r>
      <w:r w:rsidRPr="00215667">
        <w:rPr>
          <w:bCs/>
        </w:rPr>
        <w:t>, U 406.0, Z 5.558646, p</w:t>
      </w:r>
      <w:r w:rsidR="006A3B4F">
        <w:rPr>
          <w:bCs/>
        </w:rPr>
        <w:t xml:space="preserve"> </w:t>
      </w:r>
      <w:r w:rsidRPr="00215667">
        <w:rPr>
          <w:bCs/>
        </w:rPr>
        <w:t>=</w:t>
      </w:r>
      <w:r w:rsidR="006A3B4F">
        <w:rPr>
          <w:bCs/>
        </w:rPr>
        <w:t xml:space="preserve"> </w:t>
      </w:r>
      <w:r w:rsidRPr="00215667">
        <w:rPr>
          <w:bCs/>
        </w:rPr>
        <w:t>.000000)</w:t>
      </w:r>
      <w:r w:rsidRPr="00215667">
        <w:t xml:space="preserve"> </w:t>
      </w:r>
      <w:r w:rsidRPr="00215667">
        <w:rPr>
          <w:bCs/>
        </w:rPr>
        <w:t>(</w:t>
      </w:r>
      <w:r w:rsidR="006A3B4F">
        <w:rPr>
          <w:bCs/>
        </w:rPr>
        <w:t>т</w:t>
      </w:r>
      <w:r w:rsidRPr="00215667">
        <w:rPr>
          <w:bCs/>
        </w:rPr>
        <w:t>абела бр.</w:t>
      </w:r>
      <w:r w:rsidR="006A3B4F">
        <w:rPr>
          <w:bCs/>
        </w:rPr>
        <w:t xml:space="preserve"> </w:t>
      </w:r>
      <w:r w:rsidRPr="00215667">
        <w:rPr>
          <w:bCs/>
        </w:rPr>
        <w:t>10). Di Candia, F. et all (2021)</w:t>
      </w:r>
      <w:r w:rsidRPr="00215667">
        <w:rPr>
          <w:bCs/>
          <w:vertAlign w:val="superscript"/>
        </w:rPr>
        <w:t>126</w:t>
      </w:r>
      <w:r w:rsidRPr="00215667">
        <w:rPr>
          <w:bCs/>
        </w:rPr>
        <w:t xml:space="preserve">, истражувајќи ја </w:t>
      </w:r>
      <w:r w:rsidRPr="00215667">
        <w:rPr>
          <w:bCs/>
        </w:rPr>
        <w:lastRenderedPageBreak/>
        <w:t xml:space="preserve">корелацијата помеѓу (BT) и сигнификантните предиктори, ги потврдиле нашите резултати и докажале индиректна корелација со </w:t>
      </w:r>
      <w:r w:rsidR="006A3B4F">
        <w:rPr>
          <w:bCs/>
        </w:rPr>
        <w:t>р</w:t>
      </w:r>
      <w:r w:rsidR="0021755D">
        <w:rPr>
          <w:bCs/>
        </w:rPr>
        <w:t>истоцетин</w:t>
      </w:r>
      <w:r w:rsidRPr="00215667">
        <w:rPr>
          <w:bCs/>
        </w:rPr>
        <w:t xml:space="preserve"> (r = 0.36, p = 0.04), сo </w:t>
      </w:r>
      <w:r w:rsidR="0021755D">
        <w:rPr>
          <w:bCs/>
        </w:rPr>
        <w:t>колаген</w:t>
      </w:r>
      <w:r w:rsidRPr="00215667">
        <w:rPr>
          <w:bCs/>
        </w:rPr>
        <w:t xml:space="preserve"> (r = 0.42, p = 0.02) и со ADP (r = 0.44, p = 0.01). Пациентите со тромбоцитна хипоагрегабилност покажале пониски нивоа на ADP (74,9 ± 17 vs. 93 ± 12, p = 0,001), на </w:t>
      </w:r>
      <w:r w:rsidR="006A3B4F">
        <w:rPr>
          <w:bCs/>
        </w:rPr>
        <w:t>р</w:t>
      </w:r>
      <w:r w:rsidR="0021755D">
        <w:rPr>
          <w:bCs/>
        </w:rPr>
        <w:t>истоцетин</w:t>
      </w:r>
      <w:r w:rsidRPr="00215667">
        <w:rPr>
          <w:bCs/>
        </w:rPr>
        <w:t xml:space="preserve"> (4,5 ± 1,1 vs. 3,23 1</w:t>
      </w:r>
      <w:r w:rsidR="006A3B4F">
        <w:rPr>
          <w:bCs/>
        </w:rPr>
        <w:t xml:space="preserve"> </w:t>
      </w:r>
      <w:r w:rsidRPr="00215667">
        <w:rPr>
          <w:bCs/>
        </w:rPr>
        <w:t xml:space="preserve">± 0,01) на </w:t>
      </w:r>
      <w:r w:rsidR="006A3B4F">
        <w:rPr>
          <w:bCs/>
        </w:rPr>
        <w:t>к</w:t>
      </w:r>
      <w:r w:rsidR="0021755D">
        <w:rPr>
          <w:bCs/>
        </w:rPr>
        <w:t>олаген</w:t>
      </w:r>
      <w:r w:rsidRPr="00215667">
        <w:rPr>
          <w:bCs/>
        </w:rPr>
        <w:t xml:space="preserve"> (2,5 ± 1,1 vs. 0,65 ± 0,3; p = 0,03), со значително помали вредности кај пациенти со хипоагрегабилност во однос на здравите пациенти.  </w:t>
      </w:r>
    </w:p>
    <w:p w14:paraId="2AB30D17" w14:textId="0409CA4A" w:rsidR="00412474" w:rsidRPr="00215667" w:rsidRDefault="00412474" w:rsidP="006A3B4F">
      <w:pPr>
        <w:pStyle w:val="p1"/>
        <w:spacing w:line="360" w:lineRule="auto"/>
        <w:ind w:firstLine="720"/>
        <w:jc w:val="both"/>
        <w:rPr>
          <w:bCs/>
        </w:rPr>
      </w:pPr>
      <w:r w:rsidRPr="00215667">
        <w:rPr>
          <w:bCs/>
        </w:rPr>
        <w:t>Согледувај</w:t>
      </w:r>
      <w:r w:rsidR="00215667" w:rsidRPr="00215667">
        <w:rPr>
          <w:bCs/>
        </w:rPr>
        <w:t>ќ</w:t>
      </w:r>
      <w:r w:rsidRPr="00215667">
        <w:rPr>
          <w:bCs/>
        </w:rPr>
        <w:t xml:space="preserve">и ги фактите и доказите од сите горенаведени анализи, во соработка со Институтот за трансфузиона медицина, утврдивме дека историјата на појава на пролонгирани клиничките симптоми на крвавење, како и резултатите на намалените вредности на ADP, </w:t>
      </w:r>
      <w:r w:rsidR="0021755D">
        <w:rPr>
          <w:bCs/>
        </w:rPr>
        <w:t>ристоцетин</w:t>
      </w:r>
      <w:r w:rsidRPr="00215667">
        <w:rPr>
          <w:bCs/>
        </w:rPr>
        <w:t xml:space="preserve"> и </w:t>
      </w:r>
      <w:r w:rsidR="006A3B4F">
        <w:rPr>
          <w:bCs/>
        </w:rPr>
        <w:t>к</w:t>
      </w:r>
      <w:r w:rsidR="0021755D">
        <w:rPr>
          <w:bCs/>
        </w:rPr>
        <w:t>олаген</w:t>
      </w:r>
      <w:r w:rsidRPr="00215667">
        <w:rPr>
          <w:bCs/>
        </w:rPr>
        <w:t>, се сигнификантни предиктори за поставување на дијагнозата на тромбоцитната хипоагрегабилност.</w:t>
      </w:r>
      <w:r w:rsidRPr="00215667">
        <w:t xml:space="preserve"> </w:t>
      </w:r>
    </w:p>
    <w:p w14:paraId="3209E4AD" w14:textId="5AF0EB78" w:rsidR="00412474" w:rsidRPr="00215667" w:rsidRDefault="00412474" w:rsidP="006A3B4F">
      <w:pPr>
        <w:pStyle w:val="p1"/>
        <w:spacing w:line="360" w:lineRule="auto"/>
        <w:ind w:firstLine="720"/>
        <w:jc w:val="both"/>
        <w:rPr>
          <w:bCs/>
          <w:color w:val="FF0000"/>
        </w:rPr>
      </w:pPr>
      <w:r w:rsidRPr="00215667">
        <w:t>Fuzi J, et all (2020)</w:t>
      </w:r>
      <w:r w:rsidRPr="00215667">
        <w:rPr>
          <w:vertAlign w:val="superscript"/>
        </w:rPr>
        <w:t>127</w:t>
      </w:r>
      <w:r w:rsidRPr="00215667">
        <w:t>, евалуирајќ</w:t>
      </w:r>
      <w:r w:rsidR="00215667" w:rsidRPr="00215667">
        <w:t>и</w:t>
      </w:r>
      <w:r w:rsidRPr="00215667">
        <w:t xml:space="preserve"> ја теков</w:t>
      </w:r>
      <w:r w:rsidRPr="00215667">
        <w:rPr>
          <w:bCs/>
        </w:rPr>
        <w:t>ната литература за придобивките од транексамична киселина (TXA) во областа на хирургијата,</w:t>
      </w:r>
      <w:r w:rsidR="006A3B4F">
        <w:rPr>
          <w:bCs/>
        </w:rPr>
        <w:t xml:space="preserve"> </w:t>
      </w:r>
      <w:r w:rsidRPr="00215667">
        <w:rPr>
          <w:bCs/>
        </w:rPr>
        <w:t>севкупно, докажале дека е безбеден лек без презентација на големи несакани ефекти, вклучително и појавата на тромбоемболија. Се покажало дека придобивките од TXA</w:t>
      </w:r>
      <w:r w:rsidR="006A3B4F">
        <w:rPr>
          <w:bCs/>
        </w:rPr>
        <w:t xml:space="preserve"> </w:t>
      </w:r>
      <w:r w:rsidRPr="00215667">
        <w:rPr>
          <w:bCs/>
        </w:rPr>
        <w:t xml:space="preserve">се многу јасни, особено во подобрување на визуелизација на хируршкото поле, намалување на оперативното време и намалување на постоперативните компликации (оток, хематоми, екхимози, крвавења и потреба од трансфузија или свежа замрзната плазма) (39). </w:t>
      </w:r>
    </w:p>
    <w:p w14:paraId="409698F7" w14:textId="16D2DC00" w:rsidR="00412474" w:rsidRPr="00215667" w:rsidRDefault="00412474" w:rsidP="006A3B4F">
      <w:pPr>
        <w:pStyle w:val="p1"/>
        <w:spacing w:line="360" w:lineRule="auto"/>
        <w:ind w:firstLine="720"/>
        <w:jc w:val="both"/>
        <w:rPr>
          <w:bCs/>
        </w:rPr>
      </w:pPr>
      <w:r w:rsidRPr="00215667">
        <w:rPr>
          <w:bCs/>
        </w:rPr>
        <w:t>По востановув</w:t>
      </w:r>
      <w:r w:rsidR="006A3B4F">
        <w:rPr>
          <w:bCs/>
        </w:rPr>
        <w:t>а</w:t>
      </w:r>
      <w:r w:rsidRPr="00215667">
        <w:rPr>
          <w:bCs/>
        </w:rPr>
        <w:t>ње на дијагнозата и поставување на индикација за екстракција или дентоалвеоларен хируршки третман, со цел да ја потврдиме ефикасноста на ТХА во редуцирање на PEB, сите пациенти беа предоперативно припрем</w:t>
      </w:r>
      <w:r w:rsidR="00312256">
        <w:rPr>
          <w:bCs/>
        </w:rPr>
        <w:t>ени</w:t>
      </w:r>
      <w:r w:rsidRPr="00215667">
        <w:rPr>
          <w:bCs/>
        </w:rPr>
        <w:t xml:space="preserve"> со интравенска апликација на транексамична киселина, според протокол во согласност со специјалист трансфузиолог и беа спроведени локални</w:t>
      </w:r>
      <w:r w:rsidR="00312256">
        <w:rPr>
          <w:bCs/>
        </w:rPr>
        <w:t>т</w:t>
      </w:r>
      <w:r w:rsidRPr="00215667">
        <w:rPr>
          <w:bCs/>
        </w:rPr>
        <w:t xml:space="preserve">е хемостатски процедури кај сите пациенти. Резултатите од анализата на пациентите кај кои беа спроведени предложените системски и локални методи на хемостаза во однос на инциденцата и интензитетот на PEB, како и во однос на сигнификантните предиктори на крвавење покажаа сигнификантни корелации. </w:t>
      </w:r>
    </w:p>
    <w:p w14:paraId="6C770695" w14:textId="1BC8E411" w:rsidR="00412474" w:rsidRPr="00215667" w:rsidRDefault="00412474" w:rsidP="006A3B4F">
      <w:pPr>
        <w:pStyle w:val="p1"/>
        <w:spacing w:line="360" w:lineRule="auto"/>
        <w:ind w:firstLine="720"/>
        <w:jc w:val="both"/>
        <w:rPr>
          <w:bCs/>
        </w:rPr>
      </w:pPr>
      <w:r w:rsidRPr="00215667">
        <w:rPr>
          <w:bCs/>
        </w:rPr>
        <w:lastRenderedPageBreak/>
        <w:t xml:space="preserve">Во нашето истражување резултатите добиени за корелациите помеѓу времето на крвавење и ADP, </w:t>
      </w:r>
      <w:r w:rsidR="00312256">
        <w:rPr>
          <w:bCs/>
        </w:rPr>
        <w:t>р</w:t>
      </w:r>
      <w:r w:rsidR="0021755D">
        <w:rPr>
          <w:bCs/>
        </w:rPr>
        <w:t>истоцетин</w:t>
      </w:r>
      <w:r w:rsidRPr="00215667">
        <w:rPr>
          <w:bCs/>
        </w:rPr>
        <w:t xml:space="preserve">, </w:t>
      </w:r>
      <w:r w:rsidR="00312256">
        <w:rPr>
          <w:bCs/>
        </w:rPr>
        <w:t>к</w:t>
      </w:r>
      <w:r w:rsidR="0021755D">
        <w:rPr>
          <w:bCs/>
        </w:rPr>
        <w:t>олаген</w:t>
      </w:r>
      <w:r w:rsidRPr="00215667">
        <w:rPr>
          <w:bCs/>
        </w:rPr>
        <w:t>, PT постопер</w:t>
      </w:r>
      <w:r w:rsidR="00312256">
        <w:rPr>
          <w:bCs/>
        </w:rPr>
        <w:t>а</w:t>
      </w:r>
      <w:r w:rsidRPr="00215667">
        <w:rPr>
          <w:bCs/>
        </w:rPr>
        <w:t xml:space="preserve">тивно по апликација на </w:t>
      </w:r>
      <w:r w:rsidR="00F00F01">
        <w:rPr>
          <w:bCs/>
        </w:rPr>
        <w:t>транексамична</w:t>
      </w:r>
      <w:r w:rsidRPr="00215667">
        <w:rPr>
          <w:bCs/>
        </w:rPr>
        <w:t xml:space="preserve"> киселина покажаа дека</w:t>
      </w:r>
      <w:r w:rsidR="00312256">
        <w:rPr>
          <w:bCs/>
        </w:rPr>
        <w:t xml:space="preserve"> </w:t>
      </w:r>
      <w:r w:rsidRPr="00215667">
        <w:rPr>
          <w:bCs/>
        </w:rPr>
        <w:t>помеѓу времето на крвавење (BT) постекстракционо и вредностите на ADP се регистрира умерена негативна  индиректна</w:t>
      </w:r>
      <w:r w:rsidR="00312256">
        <w:rPr>
          <w:bCs/>
        </w:rPr>
        <w:t xml:space="preserve"> </w:t>
      </w:r>
      <w:r w:rsidRPr="00215667">
        <w:rPr>
          <w:bCs/>
        </w:rPr>
        <w:t>сигнификантна корелација (r</w:t>
      </w:r>
      <w:r w:rsidR="00312256">
        <w:rPr>
          <w:bCs/>
        </w:rPr>
        <w:t xml:space="preserve"> </w:t>
      </w:r>
      <w:r w:rsidRPr="00215667">
        <w:rPr>
          <w:bCs/>
        </w:rPr>
        <w:t>=</w:t>
      </w:r>
      <w:r w:rsidR="00312256">
        <w:rPr>
          <w:bCs/>
        </w:rPr>
        <w:t xml:space="preserve"> </w:t>
      </w:r>
      <w:r w:rsidRPr="00215667">
        <w:rPr>
          <w:bCs/>
        </w:rPr>
        <w:t>-2890, p</w:t>
      </w:r>
      <w:r w:rsidR="00312256">
        <w:rPr>
          <w:bCs/>
        </w:rPr>
        <w:t xml:space="preserve"> </w:t>
      </w:r>
      <w:r w:rsidRPr="00215667">
        <w:rPr>
          <w:bCs/>
        </w:rPr>
        <w:t>=</w:t>
      </w:r>
      <w:r w:rsidR="00312256">
        <w:rPr>
          <w:bCs/>
        </w:rPr>
        <w:t xml:space="preserve"> </w:t>
      </w:r>
      <w:r w:rsidRPr="00215667">
        <w:rPr>
          <w:bCs/>
        </w:rPr>
        <w:t>.023);</w:t>
      </w:r>
      <w:r w:rsidRPr="00215667">
        <w:t xml:space="preserve"> </w:t>
      </w:r>
      <w:r w:rsidRPr="00215667">
        <w:rPr>
          <w:bCs/>
        </w:rPr>
        <w:t xml:space="preserve">вредностите на </w:t>
      </w:r>
      <w:r w:rsidR="00312256">
        <w:rPr>
          <w:bCs/>
        </w:rPr>
        <w:t>р</w:t>
      </w:r>
      <w:r w:rsidR="0021755D">
        <w:rPr>
          <w:bCs/>
        </w:rPr>
        <w:t>истоцетин</w:t>
      </w:r>
      <w:r w:rsidRPr="00215667">
        <w:rPr>
          <w:bCs/>
        </w:rPr>
        <w:t xml:space="preserve">  корелирани со BT не покажаа сигнификантност, но умерено слаба негативна (индиректна) корелација (r</w:t>
      </w:r>
      <w:r w:rsidR="00312256">
        <w:rPr>
          <w:bCs/>
        </w:rPr>
        <w:t xml:space="preserve"> </w:t>
      </w:r>
      <w:r w:rsidRPr="00215667">
        <w:rPr>
          <w:bCs/>
        </w:rPr>
        <w:t>=</w:t>
      </w:r>
      <w:r w:rsidR="00312256">
        <w:rPr>
          <w:bCs/>
        </w:rPr>
        <w:t xml:space="preserve"> </w:t>
      </w:r>
      <w:r w:rsidRPr="00215667">
        <w:rPr>
          <w:bCs/>
        </w:rPr>
        <w:t>-2478, p</w:t>
      </w:r>
      <w:r w:rsidR="00312256">
        <w:rPr>
          <w:bCs/>
        </w:rPr>
        <w:t xml:space="preserve"> </w:t>
      </w:r>
      <w:r w:rsidRPr="00215667">
        <w:rPr>
          <w:bCs/>
        </w:rPr>
        <w:t>=</w:t>
      </w:r>
      <w:r w:rsidR="00312256">
        <w:rPr>
          <w:bCs/>
        </w:rPr>
        <w:t xml:space="preserve"> </w:t>
      </w:r>
      <w:r w:rsidRPr="00215667">
        <w:rPr>
          <w:bCs/>
        </w:rPr>
        <w:t xml:space="preserve">.052; </w:t>
      </w:r>
      <w:r w:rsidR="00312256">
        <w:rPr>
          <w:bCs/>
        </w:rPr>
        <w:t>к</w:t>
      </w:r>
      <w:r w:rsidR="0021755D">
        <w:rPr>
          <w:bCs/>
        </w:rPr>
        <w:t>олаген</w:t>
      </w:r>
      <w:r w:rsidRPr="00215667">
        <w:rPr>
          <w:bCs/>
        </w:rPr>
        <w:t xml:space="preserve"> во корелација со BT, покажа умерена негативна (индиректна) сигнификантна  разлика (r</w:t>
      </w:r>
      <w:r w:rsidR="00312256">
        <w:rPr>
          <w:bCs/>
        </w:rPr>
        <w:t xml:space="preserve"> </w:t>
      </w:r>
      <w:r w:rsidRPr="00215667">
        <w:rPr>
          <w:bCs/>
        </w:rPr>
        <w:t>=</w:t>
      </w:r>
      <w:r w:rsidR="00312256">
        <w:rPr>
          <w:bCs/>
        </w:rPr>
        <w:t xml:space="preserve"> </w:t>
      </w:r>
      <w:r w:rsidRPr="00215667">
        <w:rPr>
          <w:bCs/>
        </w:rPr>
        <w:t>-2772, p</w:t>
      </w:r>
      <w:r w:rsidR="00312256">
        <w:rPr>
          <w:bCs/>
        </w:rPr>
        <w:t xml:space="preserve"> </w:t>
      </w:r>
      <w:r w:rsidRPr="00215667">
        <w:rPr>
          <w:bCs/>
        </w:rPr>
        <w:t>=</w:t>
      </w:r>
      <w:r w:rsidR="00312256">
        <w:rPr>
          <w:bCs/>
        </w:rPr>
        <w:t xml:space="preserve"> </w:t>
      </w:r>
      <w:r w:rsidRPr="00215667">
        <w:rPr>
          <w:bCs/>
        </w:rPr>
        <w:t xml:space="preserve">.029) и помеѓу PT и BT (табела бр. 11а, </w:t>
      </w:r>
      <w:r w:rsidR="00312256">
        <w:rPr>
          <w:bCs/>
        </w:rPr>
        <w:t>11</w:t>
      </w:r>
      <w:r w:rsidRPr="00215667">
        <w:rPr>
          <w:bCs/>
        </w:rPr>
        <w:t xml:space="preserve">б, </w:t>
      </w:r>
      <w:r w:rsidR="00312256">
        <w:rPr>
          <w:bCs/>
        </w:rPr>
        <w:t>11</w:t>
      </w:r>
      <w:r w:rsidRPr="00215667">
        <w:rPr>
          <w:bCs/>
        </w:rPr>
        <w:t xml:space="preserve">в и </w:t>
      </w:r>
      <w:r w:rsidR="00312256">
        <w:rPr>
          <w:bCs/>
        </w:rPr>
        <w:t>11</w:t>
      </w:r>
      <w:r w:rsidRPr="00215667">
        <w:rPr>
          <w:bCs/>
        </w:rPr>
        <w:t>г) регистрирвме многу слаба позитивна (директна) несигнификантна (r</w:t>
      </w:r>
      <w:r w:rsidR="00312256">
        <w:rPr>
          <w:bCs/>
        </w:rPr>
        <w:t xml:space="preserve"> </w:t>
      </w:r>
      <w:r w:rsidRPr="00215667">
        <w:rPr>
          <w:bCs/>
        </w:rPr>
        <w:t>=</w:t>
      </w:r>
      <w:r w:rsidR="00312256">
        <w:rPr>
          <w:bCs/>
        </w:rPr>
        <w:t xml:space="preserve"> </w:t>
      </w:r>
      <w:r w:rsidRPr="00215667">
        <w:rPr>
          <w:bCs/>
        </w:rPr>
        <w:t>0803, p</w:t>
      </w:r>
      <w:r w:rsidR="00312256">
        <w:rPr>
          <w:bCs/>
        </w:rPr>
        <w:t xml:space="preserve"> </w:t>
      </w:r>
      <w:r w:rsidRPr="00215667">
        <w:rPr>
          <w:bCs/>
        </w:rPr>
        <w:t>=</w:t>
      </w:r>
      <w:r w:rsidR="00312256">
        <w:rPr>
          <w:bCs/>
        </w:rPr>
        <w:t xml:space="preserve"> </w:t>
      </w:r>
      <w:r w:rsidRPr="00215667">
        <w:rPr>
          <w:bCs/>
        </w:rPr>
        <w:t>.538)</w:t>
      </w:r>
      <w:r w:rsidRPr="00312256">
        <w:rPr>
          <w:bCs/>
        </w:rPr>
        <w:t>.</w:t>
      </w:r>
      <w:r w:rsidRPr="00215667">
        <w:rPr>
          <w:bCs/>
          <w:color w:val="0070C0"/>
        </w:rPr>
        <w:t xml:space="preserve"> </w:t>
      </w:r>
      <w:r w:rsidRPr="00215667">
        <w:rPr>
          <w:bCs/>
        </w:rPr>
        <w:t xml:space="preserve">Нашите резултати индицираат дека BT е сигнификантно и корелира индиректно пропорционално со намалувањето на вредностите на </w:t>
      </w:r>
      <w:r w:rsidR="00312256">
        <w:rPr>
          <w:bCs/>
        </w:rPr>
        <w:t>р</w:t>
      </w:r>
      <w:r w:rsidR="0021755D">
        <w:rPr>
          <w:bCs/>
        </w:rPr>
        <w:t>истоцетин</w:t>
      </w:r>
      <w:r w:rsidRPr="00215667">
        <w:rPr>
          <w:bCs/>
        </w:rPr>
        <w:t xml:space="preserve"> и</w:t>
      </w:r>
      <w:r w:rsidRPr="00215667">
        <w:t xml:space="preserve"> </w:t>
      </w:r>
      <w:r w:rsidRPr="00215667">
        <w:rPr>
          <w:bCs/>
        </w:rPr>
        <w:t xml:space="preserve">умерено, индиректно сигнификантно со ADP и </w:t>
      </w:r>
      <w:r w:rsidR="00312256">
        <w:rPr>
          <w:bCs/>
        </w:rPr>
        <w:t>к</w:t>
      </w:r>
      <w:r w:rsidR="0021755D">
        <w:rPr>
          <w:bCs/>
        </w:rPr>
        <w:t>олаген</w:t>
      </w:r>
      <w:r w:rsidRPr="00215667">
        <w:rPr>
          <w:bCs/>
        </w:rPr>
        <w:t xml:space="preserve">, независно од PT. </w:t>
      </w:r>
    </w:p>
    <w:p w14:paraId="2D446D94" w14:textId="04A560F1" w:rsidR="00412474" w:rsidRPr="00215667" w:rsidRDefault="00412474" w:rsidP="00312256">
      <w:pPr>
        <w:pStyle w:val="p1"/>
        <w:spacing w:line="360" w:lineRule="auto"/>
        <w:ind w:firstLine="720"/>
        <w:jc w:val="both"/>
      </w:pPr>
      <w:r w:rsidRPr="00215667">
        <w:rPr>
          <w:bCs/>
        </w:rPr>
        <w:t xml:space="preserve">Анализата на PEB, по спроведените системски и локални хемостатски мерки, во корелација со </w:t>
      </w:r>
      <w:bookmarkStart w:id="42" w:name="_Hlk187997448"/>
      <w:r w:rsidRPr="00215667">
        <w:rPr>
          <w:bCs/>
        </w:rPr>
        <w:t xml:space="preserve">интензитетот на PEB </w:t>
      </w:r>
      <w:bookmarkEnd w:id="42"/>
      <w:r w:rsidRPr="00215667">
        <w:rPr>
          <w:bCs/>
        </w:rPr>
        <w:t>кај сите пациенти покажа дека кај 56 (87,5</w:t>
      </w:r>
      <w:r w:rsidR="00312256">
        <w:rPr>
          <w:bCs/>
        </w:rPr>
        <w:t xml:space="preserve"> %</w:t>
      </w:r>
      <w:r w:rsidRPr="00215667">
        <w:rPr>
          <w:bCs/>
        </w:rPr>
        <w:t>) од пациентите беше присутно лесно крвавење и присуство на сукрвица во плунка (</w:t>
      </w:r>
      <w:r w:rsidRPr="00312256">
        <w:rPr>
          <w:bCs/>
          <w:i/>
          <w:iCs/>
        </w:rPr>
        <w:t>oozing bleeding</w:t>
      </w:r>
      <w:r w:rsidRPr="00215667">
        <w:rPr>
          <w:bCs/>
        </w:rPr>
        <w:t>). Комплетно отсуство на постоперативно крвавење регистриравме кај 8 (12.5</w:t>
      </w:r>
      <w:r w:rsidR="00312256">
        <w:rPr>
          <w:bCs/>
        </w:rPr>
        <w:t xml:space="preserve"> </w:t>
      </w:r>
      <w:r w:rsidRPr="00215667">
        <w:rPr>
          <w:bCs/>
        </w:rPr>
        <w:t>%) пациенти, а тешки PEB не беа регистрирани кај ниту еден пациент vs. PEB скоро кај половина (45.3</w:t>
      </w:r>
      <w:r w:rsidR="00312256">
        <w:rPr>
          <w:bCs/>
        </w:rPr>
        <w:t xml:space="preserve"> </w:t>
      </w:r>
      <w:r w:rsidRPr="00215667">
        <w:rPr>
          <w:bCs/>
        </w:rPr>
        <w:t>%) од пациентите (кога пациентите немаа поставена дијагноза и процедурална предоперативна припрема). Присуството на сукрвица во плунка (</w:t>
      </w:r>
      <w:r w:rsidRPr="00312256">
        <w:rPr>
          <w:bCs/>
          <w:i/>
          <w:iCs/>
        </w:rPr>
        <w:t>oozing bleeding</w:t>
      </w:r>
      <w:r w:rsidRPr="00215667">
        <w:rPr>
          <w:bCs/>
        </w:rPr>
        <w:t>) постекстракционо, за кои не беа потребни никакви дополнителни интервенции, покажавме дека се присутни кај 54 (84.4</w:t>
      </w:r>
      <w:r w:rsidR="00312256">
        <w:rPr>
          <w:bCs/>
        </w:rPr>
        <w:t xml:space="preserve"> </w:t>
      </w:r>
      <w:r w:rsidRPr="00215667">
        <w:rPr>
          <w:bCs/>
        </w:rPr>
        <w:t>%) од пациентите</w:t>
      </w:r>
      <w:r w:rsidRPr="00215667">
        <w:t xml:space="preserve"> и кај л</w:t>
      </w:r>
      <w:r w:rsidRPr="00215667">
        <w:rPr>
          <w:bCs/>
        </w:rPr>
        <w:t>есен интензитет на крвавење само кај двајца (3.1</w:t>
      </w:r>
      <w:r w:rsidR="00312256">
        <w:rPr>
          <w:bCs/>
        </w:rPr>
        <w:t xml:space="preserve"> </w:t>
      </w:r>
      <w:r w:rsidRPr="00215667">
        <w:rPr>
          <w:bCs/>
        </w:rPr>
        <w:t>%) пациенти, а пред поставување на дијагнозата се регистрираше само кај еден (1.6</w:t>
      </w:r>
      <w:r w:rsidR="00312256">
        <w:rPr>
          <w:bCs/>
        </w:rPr>
        <w:t xml:space="preserve"> </w:t>
      </w:r>
      <w:r w:rsidRPr="00215667">
        <w:rPr>
          <w:bCs/>
        </w:rPr>
        <w:t>%) пациент.</w:t>
      </w:r>
      <w:r w:rsidRPr="00215667">
        <w:t xml:space="preserve"> </w:t>
      </w:r>
      <w:r w:rsidRPr="00215667">
        <w:rPr>
          <w:bCs/>
        </w:rPr>
        <w:t>Процентуалната разлика помеѓу PEB пред дијагностицирањето (без соодветна предоперативна припрема) версус по употреба на профилактична доза на транексамична киселина, потврдивме дека е сигнификантно за p &lt;</w:t>
      </w:r>
      <w:r w:rsidR="00312256">
        <w:rPr>
          <w:bCs/>
        </w:rPr>
        <w:t xml:space="preserve"> </w:t>
      </w:r>
      <w:r w:rsidRPr="00215667">
        <w:rPr>
          <w:bCs/>
        </w:rPr>
        <w:t>.05 (</w:t>
      </w:r>
      <w:r w:rsidRPr="00312256">
        <w:rPr>
          <w:bCs/>
          <w:i/>
          <w:iCs/>
        </w:rPr>
        <w:t>Difference test</w:t>
      </w:r>
      <w:r w:rsidRPr="00215667">
        <w:rPr>
          <w:bCs/>
        </w:rPr>
        <w:t>, p=.0000). Лесен интензитет на крвавење се регистрира само кај двајца (3.1</w:t>
      </w:r>
      <w:r w:rsidR="00312256">
        <w:rPr>
          <w:bCs/>
        </w:rPr>
        <w:t xml:space="preserve"> </w:t>
      </w:r>
      <w:r w:rsidRPr="00215667">
        <w:rPr>
          <w:bCs/>
        </w:rPr>
        <w:t>%) пациенти по поставување на дијагнозата и соодветна профилакса, версус несоодветно припремените пациенти, каде регистриравме кај 34 (53.1</w:t>
      </w:r>
      <w:r w:rsidR="00312256">
        <w:rPr>
          <w:bCs/>
        </w:rPr>
        <w:t xml:space="preserve"> </w:t>
      </w:r>
      <w:r w:rsidRPr="00215667">
        <w:rPr>
          <w:bCs/>
        </w:rPr>
        <w:t>%) пациенти. Процентуалната разлика во однос на лесниот интензитет версус по</w:t>
      </w:r>
      <w:r w:rsidR="00312256">
        <w:rPr>
          <w:bCs/>
        </w:rPr>
        <w:t xml:space="preserve"> </w:t>
      </w:r>
      <w:r w:rsidRPr="00215667">
        <w:rPr>
          <w:bCs/>
        </w:rPr>
        <w:t>апликација на ТХА е сигнификантна (</w:t>
      </w:r>
      <w:r w:rsidR="00312256" w:rsidRPr="00312256">
        <w:rPr>
          <w:bCs/>
          <w:i/>
          <w:iCs/>
        </w:rPr>
        <w:t>Difference test</w:t>
      </w:r>
      <w:r w:rsidRPr="00215667">
        <w:rPr>
          <w:bCs/>
        </w:rPr>
        <w:t xml:space="preserve">, </w:t>
      </w:r>
      <w:r w:rsidRPr="00215667">
        <w:rPr>
          <w:bCs/>
        </w:rPr>
        <w:lastRenderedPageBreak/>
        <w:t>p</w:t>
      </w:r>
      <w:r w:rsidR="00312256">
        <w:rPr>
          <w:bCs/>
        </w:rPr>
        <w:t xml:space="preserve"> </w:t>
      </w:r>
      <w:r w:rsidRPr="00215667">
        <w:rPr>
          <w:bCs/>
        </w:rPr>
        <w:t>=</w:t>
      </w:r>
      <w:r w:rsidR="00312256">
        <w:rPr>
          <w:bCs/>
        </w:rPr>
        <w:t xml:space="preserve"> </w:t>
      </w:r>
      <w:r w:rsidRPr="00215667">
        <w:rPr>
          <w:bCs/>
        </w:rPr>
        <w:t>.0000) (табела бр. 12).</w:t>
      </w:r>
      <w:r w:rsidRPr="00215667">
        <w:t xml:space="preserve"> </w:t>
      </w:r>
      <w:r w:rsidRPr="00215667">
        <w:rPr>
          <w:bCs/>
        </w:rPr>
        <w:t xml:space="preserve">Умерен степен на крвавење и тешки крвавења не беа регистрирани </w:t>
      </w:r>
      <w:r w:rsidR="00312256" w:rsidRPr="00215667">
        <w:rPr>
          <w:bCs/>
        </w:rPr>
        <w:t xml:space="preserve">кај </w:t>
      </w:r>
      <w:r w:rsidRPr="00215667">
        <w:rPr>
          <w:bCs/>
        </w:rPr>
        <w:t>ниту еден пациент, а малиот процент на присуство на лесни крвавења во одно</w:t>
      </w:r>
      <w:r w:rsidR="00312256">
        <w:rPr>
          <w:bCs/>
        </w:rPr>
        <w:t>с</w:t>
      </w:r>
      <w:r w:rsidRPr="00215667">
        <w:rPr>
          <w:bCs/>
        </w:rPr>
        <w:t xml:space="preserve"> на несоодветно припремените пациенти, директно зборува за ефикасноста од соодветна предоперативната припрема на пациентите со хипоагрегабилност. Нашите наоди според горе</w:t>
      </w:r>
      <w:r w:rsidR="00312256">
        <w:rPr>
          <w:bCs/>
        </w:rPr>
        <w:t>н</w:t>
      </w:r>
      <w:r w:rsidRPr="00215667">
        <w:rPr>
          <w:bCs/>
        </w:rPr>
        <w:t>аведените анализи за</w:t>
      </w:r>
      <w:r w:rsidRPr="00215667">
        <w:rPr>
          <w:bCs/>
          <w:color w:val="3A7C22" w:themeColor="accent6" w:themeShade="BF"/>
        </w:rPr>
        <w:t xml:space="preserve"> </w:t>
      </w:r>
      <w:r w:rsidRPr="00215667">
        <w:rPr>
          <w:bCs/>
        </w:rPr>
        <w:t>индексот на динамика на PEB, потврдија темпо на пора</w:t>
      </w:r>
      <w:r w:rsidR="00312256">
        <w:rPr>
          <w:bCs/>
        </w:rPr>
        <w:t>с</w:t>
      </w:r>
      <w:r w:rsidRPr="00215667">
        <w:rPr>
          <w:bCs/>
        </w:rPr>
        <w:t>т на присуство на сукрвица во плунка (</w:t>
      </w:r>
      <w:r w:rsidRPr="00312256">
        <w:rPr>
          <w:bCs/>
          <w:i/>
          <w:iCs/>
        </w:rPr>
        <w:t>oozing bleeding</w:t>
      </w:r>
      <w:r w:rsidRPr="00215667">
        <w:rPr>
          <w:bCs/>
        </w:rPr>
        <w:t>) по соодветна профилакса со ТХА за 53</w:t>
      </w:r>
      <w:r w:rsidR="00312256">
        <w:rPr>
          <w:bCs/>
        </w:rPr>
        <w:t>.</w:t>
      </w:r>
      <w:r w:rsidRPr="00215667">
        <w:rPr>
          <w:bCs/>
        </w:rPr>
        <w:t>0</w:t>
      </w:r>
      <w:r w:rsidR="00312256">
        <w:rPr>
          <w:bCs/>
        </w:rPr>
        <w:t xml:space="preserve"> </w:t>
      </w:r>
      <w:r w:rsidRPr="00215667">
        <w:rPr>
          <w:bCs/>
        </w:rPr>
        <w:t>% во однос на несоодветно подготвените пациенти, пред поставување на дијагнозата. По примена на профилакса со интравенска апликација на ТХА, според индексот на динамика се регистрира темпо на опаѓање на лесниот интензитет на крвавење за 94.1</w:t>
      </w:r>
      <w:r w:rsidR="00312256">
        <w:rPr>
          <w:bCs/>
        </w:rPr>
        <w:t xml:space="preserve"> </w:t>
      </w:r>
      <w:r w:rsidRPr="00215667">
        <w:rPr>
          <w:bCs/>
        </w:rPr>
        <w:t>% во однос на несоодветно подготвените пациенти, пред поставување на дијагнозата.</w:t>
      </w:r>
    </w:p>
    <w:p w14:paraId="352C8C60" w14:textId="33298EAC" w:rsidR="00412474" w:rsidRPr="00215667" w:rsidRDefault="00412474" w:rsidP="00312256">
      <w:pPr>
        <w:pStyle w:val="p1"/>
        <w:spacing w:line="360" w:lineRule="auto"/>
        <w:ind w:firstLine="720"/>
        <w:jc w:val="both"/>
        <w:rPr>
          <w:bCs/>
        </w:rPr>
      </w:pPr>
      <w:r w:rsidRPr="00215667">
        <w:rPr>
          <w:bCs/>
        </w:rPr>
        <w:t>Овие наши наоди се во согласност со Mahardawi B</w:t>
      </w:r>
      <w:r w:rsidRPr="00215667">
        <w:t xml:space="preserve"> </w:t>
      </w:r>
      <w:r w:rsidRPr="00215667">
        <w:rPr>
          <w:bCs/>
        </w:rPr>
        <w:t>et all (2023)</w:t>
      </w:r>
      <w:r w:rsidRPr="00215667">
        <w:rPr>
          <w:bCs/>
          <w:vertAlign w:val="superscript"/>
        </w:rPr>
        <w:t>128</w:t>
      </w:r>
      <w:r w:rsidRPr="00215667">
        <w:rPr>
          <w:bCs/>
        </w:rPr>
        <w:t>, кои објавиле дека</w:t>
      </w:r>
      <w:r w:rsidRPr="00215667">
        <w:rPr>
          <w:bCs/>
          <w:color w:val="FF0000"/>
        </w:rPr>
        <w:t xml:space="preserve"> </w:t>
      </w:r>
      <w:r w:rsidR="00312256" w:rsidRPr="00312256">
        <w:rPr>
          <w:bCs/>
        </w:rPr>
        <w:t>т</w:t>
      </w:r>
      <w:r w:rsidRPr="00215667">
        <w:rPr>
          <w:bCs/>
        </w:rPr>
        <w:t>ранексамичната киселина и локалните хемостатски методи се единствени предложени мерки кои покажале значително помал ризик од развој на постоперативни крвавења (OR 0,27, P = 0,007), со кои за најкратко време се постигнува дефинитивна хемостаза. Како што е прикажано во нивната анализа, времето потребно за постигнување хемостаза со овие методи на системска и локална хемостаза се рангирани највисоко, потврдувајќи висока статистичка значајност (SMD = − 9,78, P 0&lt;0 и P 0&lt;0 SMD = − 10,13, P = 0,0002, соодветно), т.е. големо намалување на времето за постигнување на дефинитивна хемостаза, слично на н</w:t>
      </w:r>
      <w:r w:rsidR="00312256">
        <w:rPr>
          <w:bCs/>
        </w:rPr>
        <w:t>а</w:t>
      </w:r>
      <w:r w:rsidRPr="00215667">
        <w:rPr>
          <w:bCs/>
        </w:rPr>
        <w:t>шите наоди.</w:t>
      </w:r>
    </w:p>
    <w:p w14:paraId="09120EE7" w14:textId="74F326AC" w:rsidR="00412474" w:rsidRPr="00341876" w:rsidRDefault="00412474" w:rsidP="00312256">
      <w:pPr>
        <w:pStyle w:val="p1"/>
        <w:spacing w:line="360" w:lineRule="auto"/>
        <w:ind w:firstLine="720"/>
        <w:jc w:val="both"/>
        <w:rPr>
          <w:bCs/>
          <w:color w:val="FF0000"/>
          <w:lang w:val="en-US"/>
        </w:rPr>
      </w:pPr>
      <w:r w:rsidRPr="003D44AD">
        <w:rPr>
          <w:bCs/>
        </w:rPr>
        <w:t xml:space="preserve">Анализите на </w:t>
      </w:r>
      <w:r w:rsidR="00312256" w:rsidRPr="003D44AD">
        <w:rPr>
          <w:bCs/>
        </w:rPr>
        <w:t>к</w:t>
      </w:r>
      <w:r w:rsidR="0021755D" w:rsidRPr="003D44AD">
        <w:rPr>
          <w:bCs/>
        </w:rPr>
        <w:t>олаген</w:t>
      </w:r>
      <w:r w:rsidRPr="003D44AD">
        <w:rPr>
          <w:bCs/>
        </w:rPr>
        <w:t xml:space="preserve"> во нашата студија, компар</w:t>
      </w:r>
      <w:r w:rsidR="003D44AD">
        <w:rPr>
          <w:bCs/>
        </w:rPr>
        <w:t>и</w:t>
      </w:r>
      <w:r w:rsidRPr="003D44AD">
        <w:rPr>
          <w:bCs/>
        </w:rPr>
        <w:t xml:space="preserve">рајќи ги вредностите на ADP, </w:t>
      </w:r>
      <w:r w:rsidR="00312256" w:rsidRPr="003D44AD">
        <w:rPr>
          <w:bCs/>
        </w:rPr>
        <w:t>р</w:t>
      </w:r>
      <w:r w:rsidR="0021755D" w:rsidRPr="003D44AD">
        <w:rPr>
          <w:bCs/>
        </w:rPr>
        <w:t>истоцетин</w:t>
      </w:r>
      <w:r w:rsidR="003D44AD">
        <w:rPr>
          <w:bCs/>
        </w:rPr>
        <w:t xml:space="preserve"> и</w:t>
      </w:r>
      <w:r w:rsidRPr="003D44AD">
        <w:rPr>
          <w:bCs/>
        </w:rPr>
        <w:t xml:space="preserve"> </w:t>
      </w:r>
      <w:r w:rsidR="00312256" w:rsidRPr="003D44AD">
        <w:rPr>
          <w:bCs/>
        </w:rPr>
        <w:t>к</w:t>
      </w:r>
      <w:r w:rsidR="0021755D" w:rsidRPr="003D44AD">
        <w:rPr>
          <w:bCs/>
        </w:rPr>
        <w:t>олаген</w:t>
      </w:r>
      <w:r w:rsidR="00312256" w:rsidRPr="003D44AD">
        <w:rPr>
          <w:bCs/>
        </w:rPr>
        <w:t xml:space="preserve"> </w:t>
      </w:r>
      <w:r w:rsidRPr="003D44AD">
        <w:rPr>
          <w:bCs/>
        </w:rPr>
        <w:t>со интензитетот на крвавење покажа дека за вредностите на ADP кај пациентите кај кои не се регистрира крвавење е 43.5</w:t>
      </w:r>
      <w:r w:rsidR="003D44AD">
        <w:rPr>
          <w:bCs/>
        </w:rPr>
        <w:t xml:space="preserve"> </w:t>
      </w:r>
      <w:r w:rsidRPr="003D44AD">
        <w:rPr>
          <w:bCs/>
        </w:rPr>
        <w:t>± 3.5,</w:t>
      </w:r>
      <w:r w:rsidRPr="00215667">
        <w:rPr>
          <w:bCs/>
        </w:rPr>
        <w:t xml:space="preserve"> (ранг:</w:t>
      </w:r>
      <w:r w:rsidR="003D44AD">
        <w:rPr>
          <w:bCs/>
        </w:rPr>
        <w:t xml:space="preserve"> </w:t>
      </w:r>
      <w:r w:rsidRPr="00215667">
        <w:rPr>
          <w:bCs/>
        </w:rPr>
        <w:t xml:space="preserve">38-49); при </w:t>
      </w:r>
      <w:bookmarkStart w:id="43" w:name="_Hlk188002500"/>
      <w:r w:rsidRPr="003D44AD">
        <w:rPr>
          <w:bCs/>
          <w:i/>
          <w:iCs/>
        </w:rPr>
        <w:t>oozing bleeding</w:t>
      </w:r>
      <w:bookmarkEnd w:id="43"/>
      <w:r w:rsidRPr="00215667">
        <w:rPr>
          <w:bCs/>
        </w:rPr>
        <w:t xml:space="preserve"> присуство на сукрвица во плунка вредноста на ADP е понизок  35.6 ± 14.0 (во ранг: 7- 60) и кај лесен интензитет на крвавење  изнесува 45.0</w:t>
      </w:r>
      <w:r w:rsidR="003D44AD">
        <w:rPr>
          <w:bCs/>
        </w:rPr>
        <w:t xml:space="preserve"> </w:t>
      </w:r>
      <w:r w:rsidRPr="00215667">
        <w:rPr>
          <w:bCs/>
        </w:rPr>
        <w:t>±</w:t>
      </w:r>
      <w:r w:rsidR="003D44AD">
        <w:rPr>
          <w:bCs/>
        </w:rPr>
        <w:t xml:space="preserve"> </w:t>
      </w:r>
      <w:r w:rsidRPr="00215667">
        <w:rPr>
          <w:bCs/>
        </w:rPr>
        <w:t xml:space="preserve">5.6 (ранг: 41-49). Овие резултати ги потврдивме и со </w:t>
      </w:r>
      <w:r w:rsidRPr="003D44AD">
        <w:rPr>
          <w:bCs/>
          <w:i/>
          <w:iCs/>
        </w:rPr>
        <w:t>Kruskal-Wallis ANOVA</w:t>
      </w:r>
      <w:r w:rsidRPr="00215667">
        <w:rPr>
          <w:bCs/>
        </w:rPr>
        <w:t xml:space="preserve"> тестот, во кој потврдивме дека разликите помеѓу просечните вредности на лесните и </w:t>
      </w:r>
      <w:r w:rsidR="003D44AD" w:rsidRPr="003D44AD">
        <w:rPr>
          <w:bCs/>
          <w:i/>
          <w:iCs/>
        </w:rPr>
        <w:t>oozing bleeding</w:t>
      </w:r>
      <w:r w:rsidR="003D44AD" w:rsidRPr="00215667">
        <w:rPr>
          <w:bCs/>
        </w:rPr>
        <w:t xml:space="preserve"> </w:t>
      </w:r>
      <w:r w:rsidRPr="00215667">
        <w:rPr>
          <w:bCs/>
        </w:rPr>
        <w:t>е несигнификантна за p</w:t>
      </w:r>
      <w:r w:rsidR="003D44AD">
        <w:rPr>
          <w:bCs/>
        </w:rPr>
        <w:t xml:space="preserve"> </w:t>
      </w:r>
      <w:r w:rsidRPr="00215667">
        <w:rPr>
          <w:bCs/>
        </w:rPr>
        <w:t>&gt;</w:t>
      </w:r>
      <w:r w:rsidR="003D44AD">
        <w:rPr>
          <w:bCs/>
        </w:rPr>
        <w:t xml:space="preserve"> </w:t>
      </w:r>
      <w:r w:rsidRPr="00215667">
        <w:rPr>
          <w:bCs/>
        </w:rPr>
        <w:t>.05 (</w:t>
      </w:r>
      <w:r w:rsidRPr="003D44AD">
        <w:rPr>
          <w:bCs/>
          <w:i/>
          <w:iCs/>
        </w:rPr>
        <w:t>Kruskal-Wallis test</w:t>
      </w:r>
      <w:r w:rsidRPr="00215667">
        <w:rPr>
          <w:bCs/>
        </w:rPr>
        <w:t>: H (2, N</w:t>
      </w:r>
      <w:r w:rsidR="003D44AD">
        <w:rPr>
          <w:bCs/>
        </w:rPr>
        <w:t xml:space="preserve"> </w:t>
      </w:r>
      <w:r w:rsidRPr="00215667">
        <w:rPr>
          <w:bCs/>
        </w:rPr>
        <w:t>= 64) =</w:t>
      </w:r>
      <w:r w:rsidR="003D44AD">
        <w:rPr>
          <w:bCs/>
        </w:rPr>
        <w:t xml:space="preserve"> </w:t>
      </w:r>
      <w:r w:rsidRPr="00215667">
        <w:rPr>
          <w:bCs/>
        </w:rPr>
        <w:t>3.327649 p =</w:t>
      </w:r>
      <w:r w:rsidR="003D44AD">
        <w:rPr>
          <w:bCs/>
        </w:rPr>
        <w:t xml:space="preserve"> </w:t>
      </w:r>
      <w:r w:rsidRPr="00215667">
        <w:rPr>
          <w:bCs/>
        </w:rPr>
        <w:t xml:space="preserve">.1894). Просечната вредност на </w:t>
      </w:r>
      <w:r w:rsidR="003D44AD">
        <w:rPr>
          <w:bCs/>
        </w:rPr>
        <w:t>р</w:t>
      </w:r>
      <w:r w:rsidR="0021755D">
        <w:rPr>
          <w:bCs/>
        </w:rPr>
        <w:t>истоцетин</w:t>
      </w:r>
      <w:r w:rsidRPr="00215667">
        <w:rPr>
          <w:bCs/>
        </w:rPr>
        <w:t xml:space="preserve"> </w:t>
      </w:r>
      <w:r w:rsidRPr="00215667">
        <w:rPr>
          <w:bCs/>
        </w:rPr>
        <w:lastRenderedPageBreak/>
        <w:t>кај пациентите кај кои не се регистрира крвавење изнесува 69.4</w:t>
      </w:r>
      <w:r w:rsidR="003D44AD">
        <w:rPr>
          <w:bCs/>
        </w:rPr>
        <w:t xml:space="preserve"> </w:t>
      </w:r>
      <w:r w:rsidRPr="00215667">
        <w:rPr>
          <w:bCs/>
        </w:rPr>
        <w:t>± 9.1 (ранг: 58</w:t>
      </w:r>
      <w:r w:rsidR="004741D9">
        <w:rPr>
          <w:bCs/>
        </w:rPr>
        <w:t>-</w:t>
      </w:r>
      <w:r w:rsidRPr="00215667">
        <w:rPr>
          <w:bCs/>
        </w:rPr>
        <w:t xml:space="preserve">83); кај </w:t>
      </w:r>
      <w:r w:rsidR="003D44AD" w:rsidRPr="003D44AD">
        <w:rPr>
          <w:bCs/>
          <w:i/>
          <w:iCs/>
        </w:rPr>
        <w:t>oozing bleeding</w:t>
      </w:r>
      <w:r w:rsidR="003D44AD" w:rsidRPr="00215667">
        <w:rPr>
          <w:bCs/>
        </w:rPr>
        <w:t xml:space="preserve"> </w:t>
      </w:r>
      <w:r w:rsidRPr="00215667">
        <w:rPr>
          <w:bCs/>
        </w:rPr>
        <w:t>присуство на сукрвица во плунка е понизок и е 60.2 ± 14.5 (ранг: 23-86) и кај лесен интензитет на крвавење изнесува 63.0</w:t>
      </w:r>
      <w:r w:rsidR="004741D9">
        <w:rPr>
          <w:bCs/>
        </w:rPr>
        <w:t xml:space="preserve"> </w:t>
      </w:r>
      <w:r w:rsidRPr="00215667">
        <w:rPr>
          <w:bCs/>
        </w:rPr>
        <w:t>±</w:t>
      </w:r>
      <w:r w:rsidR="004741D9">
        <w:rPr>
          <w:bCs/>
        </w:rPr>
        <w:t xml:space="preserve"> </w:t>
      </w:r>
      <w:r w:rsidRPr="00215667">
        <w:rPr>
          <w:bCs/>
        </w:rPr>
        <w:t xml:space="preserve">2.8 (ранг: 61-65). Според </w:t>
      </w:r>
      <w:r w:rsidRPr="004741D9">
        <w:rPr>
          <w:bCs/>
          <w:i/>
          <w:iCs/>
        </w:rPr>
        <w:t>Kruskal-Wallis ANOVA</w:t>
      </w:r>
      <w:r w:rsidRPr="00215667">
        <w:rPr>
          <w:bCs/>
        </w:rPr>
        <w:t xml:space="preserve"> тестот разликите помеѓу просечните вредности на </w:t>
      </w:r>
      <w:r w:rsidR="004741D9">
        <w:rPr>
          <w:bCs/>
        </w:rPr>
        <w:t>р</w:t>
      </w:r>
      <w:r w:rsidR="0021755D">
        <w:rPr>
          <w:bCs/>
        </w:rPr>
        <w:t>истоцетин</w:t>
      </w:r>
      <w:r w:rsidRPr="00215667">
        <w:rPr>
          <w:bCs/>
        </w:rPr>
        <w:t xml:space="preserve"> е несигнификантна за p</w:t>
      </w:r>
      <w:r w:rsidR="004741D9">
        <w:rPr>
          <w:bCs/>
        </w:rPr>
        <w:t xml:space="preserve"> </w:t>
      </w:r>
      <w:r w:rsidRPr="00215667">
        <w:rPr>
          <w:bCs/>
        </w:rPr>
        <w:t>&gt;</w:t>
      </w:r>
      <w:r w:rsidR="004741D9">
        <w:rPr>
          <w:bCs/>
        </w:rPr>
        <w:t xml:space="preserve"> </w:t>
      </w:r>
      <w:r w:rsidRPr="00215667">
        <w:rPr>
          <w:bCs/>
        </w:rPr>
        <w:t>.05 (</w:t>
      </w:r>
      <w:r w:rsidRPr="004741D9">
        <w:rPr>
          <w:bCs/>
          <w:i/>
          <w:iCs/>
        </w:rPr>
        <w:t>Kruskal-Wallis test</w:t>
      </w:r>
      <w:r w:rsidRPr="00215667">
        <w:rPr>
          <w:bCs/>
        </w:rPr>
        <w:t>: H (2, N</w:t>
      </w:r>
      <w:r w:rsidR="004741D9">
        <w:rPr>
          <w:bCs/>
        </w:rPr>
        <w:t xml:space="preserve"> </w:t>
      </w:r>
      <w:r w:rsidRPr="00215667">
        <w:rPr>
          <w:bCs/>
        </w:rPr>
        <w:t>= 64) 2.464484 p =</w:t>
      </w:r>
      <w:r w:rsidR="004741D9">
        <w:rPr>
          <w:bCs/>
        </w:rPr>
        <w:t xml:space="preserve"> </w:t>
      </w:r>
      <w:r w:rsidRPr="00215667">
        <w:rPr>
          <w:bCs/>
        </w:rPr>
        <w:t xml:space="preserve">.2916). Просечната вредност на </w:t>
      </w:r>
      <w:r w:rsidR="004741D9">
        <w:rPr>
          <w:bCs/>
        </w:rPr>
        <w:t>к</w:t>
      </w:r>
      <w:r w:rsidR="0021755D">
        <w:rPr>
          <w:bCs/>
        </w:rPr>
        <w:t>олаген</w:t>
      </w:r>
      <w:r w:rsidRPr="00215667">
        <w:rPr>
          <w:bCs/>
        </w:rPr>
        <w:t xml:space="preserve"> кај пациентите кај кои не се регистрира крвавење изнесува 59.0</w:t>
      </w:r>
      <w:r w:rsidR="004741D9">
        <w:rPr>
          <w:bCs/>
        </w:rPr>
        <w:t xml:space="preserve"> </w:t>
      </w:r>
      <w:r w:rsidRPr="00215667">
        <w:rPr>
          <w:bCs/>
        </w:rPr>
        <w:t xml:space="preserve">± 12.1 (ранг: 49-86); кај </w:t>
      </w:r>
      <w:r w:rsidR="004741D9" w:rsidRPr="003D44AD">
        <w:rPr>
          <w:bCs/>
          <w:i/>
          <w:iCs/>
        </w:rPr>
        <w:t>oozing bleeding</w:t>
      </w:r>
      <w:r w:rsidR="004741D9" w:rsidRPr="00215667">
        <w:rPr>
          <w:bCs/>
        </w:rPr>
        <w:t xml:space="preserve"> </w:t>
      </w:r>
      <w:r w:rsidRPr="00215667">
        <w:rPr>
          <w:bCs/>
        </w:rPr>
        <w:t>присуство на сукрвица во плунка е понизок и изнесува 47.6 ± 15.6 (ранг:</w:t>
      </w:r>
      <w:r w:rsidR="004741D9">
        <w:rPr>
          <w:bCs/>
        </w:rPr>
        <w:t xml:space="preserve"> </w:t>
      </w:r>
      <w:r w:rsidRPr="00215667">
        <w:rPr>
          <w:bCs/>
        </w:rPr>
        <w:t>19-90) и кај лесен интензитет на крвавење изнесува 50.0</w:t>
      </w:r>
      <w:r w:rsidR="004741D9">
        <w:rPr>
          <w:bCs/>
        </w:rPr>
        <w:t xml:space="preserve"> </w:t>
      </w:r>
      <w:r w:rsidRPr="00215667">
        <w:rPr>
          <w:bCs/>
        </w:rPr>
        <w:t>±</w:t>
      </w:r>
      <w:r w:rsidR="004741D9">
        <w:rPr>
          <w:bCs/>
        </w:rPr>
        <w:t xml:space="preserve"> </w:t>
      </w:r>
      <w:r w:rsidRPr="00215667">
        <w:rPr>
          <w:bCs/>
        </w:rPr>
        <w:t>15.5,(ранг:</w:t>
      </w:r>
      <w:r w:rsidR="004741D9">
        <w:rPr>
          <w:bCs/>
        </w:rPr>
        <w:t xml:space="preserve"> </w:t>
      </w:r>
      <w:r w:rsidRPr="00215667">
        <w:rPr>
          <w:bCs/>
        </w:rPr>
        <w:t>39-61)</w:t>
      </w:r>
      <w:r w:rsidR="004741D9">
        <w:rPr>
          <w:bCs/>
        </w:rPr>
        <w:t xml:space="preserve">. </w:t>
      </w:r>
      <w:r w:rsidRPr="00215667">
        <w:rPr>
          <w:bCs/>
        </w:rPr>
        <w:t xml:space="preserve">Според </w:t>
      </w:r>
      <w:r w:rsidRPr="004741D9">
        <w:rPr>
          <w:bCs/>
          <w:i/>
          <w:iCs/>
        </w:rPr>
        <w:t>Kruskal-Wallis test</w:t>
      </w:r>
      <w:r w:rsidRPr="00215667">
        <w:rPr>
          <w:bCs/>
        </w:rPr>
        <w:t>: H (2, N</w:t>
      </w:r>
      <w:r w:rsidR="004741D9">
        <w:rPr>
          <w:bCs/>
        </w:rPr>
        <w:t xml:space="preserve"> </w:t>
      </w:r>
      <w:r w:rsidRPr="00215667">
        <w:rPr>
          <w:bCs/>
        </w:rPr>
        <w:t>= 64) =</w:t>
      </w:r>
      <w:r w:rsidR="004741D9">
        <w:rPr>
          <w:bCs/>
        </w:rPr>
        <w:t xml:space="preserve"> </w:t>
      </w:r>
      <w:r w:rsidRPr="00215667">
        <w:rPr>
          <w:bCs/>
        </w:rPr>
        <w:t xml:space="preserve">3.779400, разликите помеѓу просечните вредности на </w:t>
      </w:r>
      <w:r w:rsidR="004741D9">
        <w:rPr>
          <w:bCs/>
        </w:rPr>
        <w:t>к</w:t>
      </w:r>
      <w:r w:rsidR="0021755D">
        <w:rPr>
          <w:bCs/>
        </w:rPr>
        <w:t>олаген</w:t>
      </w:r>
      <w:r w:rsidRPr="00215667">
        <w:rPr>
          <w:bCs/>
        </w:rPr>
        <w:t xml:space="preserve"> е </w:t>
      </w:r>
      <w:r w:rsidR="004741D9">
        <w:rPr>
          <w:bCs/>
        </w:rPr>
        <w:t>не</w:t>
      </w:r>
      <w:r w:rsidRPr="00215667">
        <w:rPr>
          <w:bCs/>
        </w:rPr>
        <w:t>сигнификантна за p &lt;</w:t>
      </w:r>
      <w:r w:rsidR="004741D9">
        <w:rPr>
          <w:bCs/>
        </w:rPr>
        <w:t xml:space="preserve"> </w:t>
      </w:r>
      <w:r w:rsidRPr="00215667">
        <w:rPr>
          <w:bCs/>
        </w:rPr>
        <w:t>.05 (p =</w:t>
      </w:r>
      <w:r w:rsidR="004741D9">
        <w:rPr>
          <w:bCs/>
        </w:rPr>
        <w:t xml:space="preserve"> </w:t>
      </w:r>
      <w:r w:rsidRPr="00215667">
        <w:rPr>
          <w:bCs/>
        </w:rPr>
        <w:t>.1511)</w:t>
      </w:r>
      <w:r w:rsidR="004741D9">
        <w:rPr>
          <w:bCs/>
        </w:rPr>
        <w:t xml:space="preserve"> (</w:t>
      </w:r>
      <w:r w:rsidRPr="00215667">
        <w:rPr>
          <w:bCs/>
        </w:rPr>
        <w:t>табела бр.</w:t>
      </w:r>
      <w:r w:rsidR="004741D9">
        <w:rPr>
          <w:bCs/>
        </w:rPr>
        <w:t xml:space="preserve"> </w:t>
      </w:r>
      <w:r w:rsidRPr="00215667">
        <w:rPr>
          <w:bCs/>
        </w:rPr>
        <w:t xml:space="preserve">13). Во однос на интензитетот на постоперативното крвавење, нашите наоди потврдија дека и покрај незначителното крвавење кај предоперативно соодветно припремените пациенти, сепак постои слаба индиректна корелација со степенот на намалување на вредностите на сигнификантните предиктори, т.е. кај најниските регистрирани вредности на ADP, </w:t>
      </w:r>
      <w:r w:rsidR="004741D9">
        <w:rPr>
          <w:bCs/>
        </w:rPr>
        <w:t>р</w:t>
      </w:r>
      <w:r w:rsidR="0021755D">
        <w:rPr>
          <w:bCs/>
        </w:rPr>
        <w:t>истоцетин</w:t>
      </w:r>
      <w:r w:rsidRPr="00215667">
        <w:rPr>
          <w:bCs/>
        </w:rPr>
        <w:t xml:space="preserve"> и </w:t>
      </w:r>
      <w:r w:rsidR="004741D9">
        <w:rPr>
          <w:bCs/>
        </w:rPr>
        <w:t>к</w:t>
      </w:r>
      <w:r w:rsidR="0021755D">
        <w:rPr>
          <w:bCs/>
        </w:rPr>
        <w:t>олаген</w:t>
      </w:r>
      <w:r w:rsidRPr="00215667">
        <w:rPr>
          <w:bCs/>
        </w:rPr>
        <w:t xml:space="preserve">, сепак беше регистрирано поинтензивно крвавење, во однос на вредностите кои беа близу до долната граница на референтните вредности.  </w:t>
      </w:r>
      <w:r w:rsidR="004741D9">
        <w:rPr>
          <w:bCs/>
        </w:rPr>
        <w:t xml:space="preserve">Резултатите </w:t>
      </w:r>
      <w:r w:rsidRPr="00215667">
        <w:rPr>
          <w:bCs/>
        </w:rPr>
        <w:t>се во согласност со сите други автори и со заклучоците на Paquita N. (2021)</w:t>
      </w:r>
      <w:r w:rsidRPr="00215667">
        <w:rPr>
          <w:bCs/>
          <w:vertAlign w:val="superscript"/>
        </w:rPr>
        <w:t>129</w:t>
      </w:r>
      <w:r w:rsidRPr="00215667">
        <w:rPr>
          <w:bCs/>
        </w:rPr>
        <w:t xml:space="preserve">, со што ги потврдивме ADP, </w:t>
      </w:r>
      <w:r w:rsidR="004741D9">
        <w:rPr>
          <w:bCs/>
        </w:rPr>
        <w:t>р</w:t>
      </w:r>
      <w:r w:rsidR="0021755D">
        <w:rPr>
          <w:bCs/>
        </w:rPr>
        <w:t>истоцетин</w:t>
      </w:r>
      <w:r w:rsidRPr="00215667">
        <w:rPr>
          <w:bCs/>
        </w:rPr>
        <w:t xml:space="preserve"> и </w:t>
      </w:r>
      <w:r w:rsidR="004741D9">
        <w:rPr>
          <w:bCs/>
        </w:rPr>
        <w:t>к</w:t>
      </w:r>
      <w:r w:rsidR="0021755D">
        <w:rPr>
          <w:bCs/>
        </w:rPr>
        <w:t>олаген</w:t>
      </w:r>
      <w:r w:rsidRPr="00215667">
        <w:rPr>
          <w:bCs/>
        </w:rPr>
        <w:t>, како сигнификантни предиктори за предикција на интензитетот на PEB, независни од CBC, BT, pTT, aPTT и PT, кај соодветно припремените пациенти за интервенција</w:t>
      </w:r>
      <w:r w:rsidR="004741D9">
        <w:rPr>
          <w:bCs/>
        </w:rPr>
        <w:t>.</w:t>
      </w:r>
      <w:r w:rsidRPr="00215667">
        <w:rPr>
          <w:bCs/>
        </w:rPr>
        <w:t xml:space="preserve"> Paquita N.</w:t>
      </w:r>
      <w:r w:rsidRPr="00215667">
        <w:t xml:space="preserve"> </w:t>
      </w:r>
      <w:r w:rsidRPr="00215667">
        <w:rPr>
          <w:bCs/>
        </w:rPr>
        <w:t>et all (2023) и нај</w:t>
      </w:r>
      <w:r w:rsidR="004741D9">
        <w:rPr>
          <w:bCs/>
        </w:rPr>
        <w:t>г</w:t>
      </w:r>
      <w:r w:rsidRPr="00215667">
        <w:rPr>
          <w:bCs/>
        </w:rPr>
        <w:t>олем број на останатите автори, во своите студии прикажале конзистентни наоди со нашите.</w:t>
      </w:r>
      <w:r w:rsidR="004741D9">
        <w:rPr>
          <w:bCs/>
        </w:rPr>
        <w:t xml:space="preserve"> </w:t>
      </w:r>
      <w:r w:rsidRPr="00215667">
        <w:rPr>
          <w:bCs/>
        </w:rPr>
        <w:t>(33,34)</w:t>
      </w:r>
    </w:p>
    <w:p w14:paraId="14D26719" w14:textId="29D0EB09" w:rsidR="00412474" w:rsidRPr="00215667" w:rsidRDefault="00412474" w:rsidP="00341876">
      <w:pPr>
        <w:pStyle w:val="p1"/>
        <w:spacing w:line="360" w:lineRule="auto"/>
        <w:ind w:firstLine="720"/>
        <w:jc w:val="both"/>
        <w:rPr>
          <w:bCs/>
        </w:rPr>
      </w:pPr>
      <w:r w:rsidRPr="00215667">
        <w:rPr>
          <w:bCs/>
        </w:rPr>
        <w:t>Исто</w:t>
      </w:r>
      <w:r w:rsidR="001B261B" w:rsidRPr="00215667">
        <w:rPr>
          <w:bCs/>
        </w:rPr>
        <w:t xml:space="preserve"> </w:t>
      </w:r>
      <w:r w:rsidRPr="00215667">
        <w:rPr>
          <w:bCs/>
        </w:rPr>
        <w:t>така, во нашата студија потврдивме дека просечното време на  крвавење (PEB), по соодветна протоколарна системска профилакса со апликација на ТХА и со употреба на локалните хемостатски методи кај пациентите изнесуваше 5.1 ± 5.7 часа,  во ранг  од 0  до 30 часа,</w:t>
      </w:r>
      <w:r w:rsidRPr="00215667">
        <w:rPr>
          <w:bCs/>
          <w:color w:val="0F4761" w:themeColor="accent1" w:themeShade="BF"/>
        </w:rPr>
        <w:t xml:space="preserve"> </w:t>
      </w:r>
      <w:r w:rsidRPr="00215667">
        <w:rPr>
          <w:bCs/>
        </w:rPr>
        <w:t>но само слабо крвавење. Кај 50</w:t>
      </w:r>
      <w:r w:rsidR="00341876">
        <w:rPr>
          <w:bCs/>
          <w:lang w:val="en-US"/>
        </w:rPr>
        <w:t xml:space="preserve"> </w:t>
      </w:r>
      <w:r w:rsidRPr="00215667">
        <w:rPr>
          <w:bCs/>
        </w:rPr>
        <w:t>% од пациентите крвавењето траеше под 4 часа (Me</w:t>
      </w:r>
      <w:r w:rsidR="00341876">
        <w:rPr>
          <w:bCs/>
          <w:lang w:val="en-US"/>
        </w:rPr>
        <w:t xml:space="preserve"> </w:t>
      </w:r>
      <w:r w:rsidRPr="00215667">
        <w:rPr>
          <w:bCs/>
        </w:rPr>
        <w:t>=</w:t>
      </w:r>
      <w:r w:rsidR="00341876">
        <w:rPr>
          <w:bCs/>
          <w:lang w:val="en-US"/>
        </w:rPr>
        <w:t xml:space="preserve"> </w:t>
      </w:r>
      <w:r w:rsidRPr="00215667">
        <w:rPr>
          <w:bCs/>
        </w:rPr>
        <w:t>4 IQR</w:t>
      </w:r>
      <w:r w:rsidR="00341876">
        <w:rPr>
          <w:bCs/>
          <w:lang w:val="en-US"/>
        </w:rPr>
        <w:t xml:space="preserve"> </w:t>
      </w:r>
      <w:r w:rsidRPr="00215667">
        <w:rPr>
          <w:bCs/>
        </w:rPr>
        <w:t>(1-7) (таб</w:t>
      </w:r>
      <w:r w:rsidR="00341876">
        <w:rPr>
          <w:bCs/>
        </w:rPr>
        <w:t>ела</w:t>
      </w:r>
      <w:r w:rsidRPr="00215667">
        <w:rPr>
          <w:bCs/>
        </w:rPr>
        <w:t xml:space="preserve"> бр. 13 и </w:t>
      </w:r>
      <w:r w:rsidR="00341876">
        <w:rPr>
          <w:bCs/>
        </w:rPr>
        <w:t>табела бр. 1</w:t>
      </w:r>
      <w:r w:rsidRPr="00215667">
        <w:rPr>
          <w:bCs/>
        </w:rPr>
        <w:t xml:space="preserve">4). Споредено со PEB, пред поставување на дијагнозата и соодветната припрема кај пациентите беше регистрирано дека траело 6 ± 4 дена, во опсег од </w:t>
      </w:r>
      <w:r w:rsidR="00341876">
        <w:rPr>
          <w:bCs/>
        </w:rPr>
        <w:t>1</w:t>
      </w:r>
      <w:r w:rsidRPr="00215667">
        <w:rPr>
          <w:bCs/>
        </w:rPr>
        <w:t xml:space="preserve"> до 14 дена. Во нашата студија регистриравме висока стандардна </w:t>
      </w:r>
      <w:r w:rsidRPr="00215667">
        <w:rPr>
          <w:bCs/>
        </w:rPr>
        <w:lastRenderedPageBreak/>
        <w:t xml:space="preserve">девијација која индиректно зборува за големи варијации на статистичките единици околу просечната вредност. Разликата помеѓу </w:t>
      </w:r>
      <w:r w:rsidR="00EC49EB" w:rsidRPr="00215667">
        <w:rPr>
          <w:bCs/>
        </w:rPr>
        <w:t>крвавење</w:t>
      </w:r>
      <w:r w:rsidRPr="00215667">
        <w:rPr>
          <w:bCs/>
        </w:rPr>
        <w:t>то пре</w:t>
      </w:r>
      <w:r w:rsidR="001B261B" w:rsidRPr="00215667">
        <w:rPr>
          <w:bCs/>
        </w:rPr>
        <w:t>т</w:t>
      </w:r>
      <w:r w:rsidRPr="00215667">
        <w:rPr>
          <w:bCs/>
        </w:rPr>
        <w:t xml:space="preserve">поставување на дијагноза (изразена во денови) </w:t>
      </w:r>
      <w:r w:rsidR="001F2E2D">
        <w:rPr>
          <w:bCs/>
        </w:rPr>
        <w:t>версус</w:t>
      </w:r>
      <w:r w:rsidRPr="00215667">
        <w:rPr>
          <w:bCs/>
        </w:rPr>
        <w:t xml:space="preserve"> крвавењето PEB по соодветна </w:t>
      </w:r>
      <w:r w:rsidR="001B261B" w:rsidRPr="00215667">
        <w:rPr>
          <w:bCs/>
        </w:rPr>
        <w:t>подготовка</w:t>
      </w:r>
      <w:r w:rsidRPr="00215667">
        <w:rPr>
          <w:bCs/>
        </w:rPr>
        <w:t xml:space="preserve"> на системски и локални хемостатски мерки (изразено во часови) кај пациентите покажа сигнификантна статистичка разлика за p</w:t>
      </w:r>
      <w:r w:rsidR="00341876">
        <w:rPr>
          <w:bCs/>
        </w:rPr>
        <w:t xml:space="preserve"> </w:t>
      </w:r>
      <w:r w:rsidRPr="00215667">
        <w:rPr>
          <w:bCs/>
        </w:rPr>
        <w:t>&lt;</w:t>
      </w:r>
      <w:r w:rsidR="00341876">
        <w:rPr>
          <w:bCs/>
        </w:rPr>
        <w:t xml:space="preserve"> </w:t>
      </w:r>
      <w:r w:rsidRPr="00215667">
        <w:rPr>
          <w:bCs/>
        </w:rPr>
        <w:t>.05 (p</w:t>
      </w:r>
      <w:r w:rsidR="00341876">
        <w:rPr>
          <w:bCs/>
        </w:rPr>
        <w:t xml:space="preserve"> </w:t>
      </w:r>
      <w:r w:rsidRPr="00215667">
        <w:rPr>
          <w:bCs/>
        </w:rPr>
        <w:t>=</w:t>
      </w:r>
      <w:r w:rsidR="00341876">
        <w:rPr>
          <w:bCs/>
        </w:rPr>
        <w:t xml:space="preserve"> </w:t>
      </w:r>
      <w:r w:rsidRPr="00215667">
        <w:rPr>
          <w:bCs/>
        </w:rPr>
        <w:t>.000000),</w:t>
      </w:r>
      <w:r w:rsidRPr="00215667">
        <w:rPr>
          <w:bCs/>
          <w:color w:val="0F4761" w:themeColor="accent1" w:themeShade="BF"/>
        </w:rPr>
        <w:t xml:space="preserve"> </w:t>
      </w:r>
      <w:r w:rsidRPr="00215667">
        <w:rPr>
          <w:bCs/>
        </w:rPr>
        <w:t>(табела</w:t>
      </w:r>
      <w:r w:rsidR="00341876">
        <w:rPr>
          <w:bCs/>
        </w:rPr>
        <w:t xml:space="preserve"> бр.15</w:t>
      </w:r>
      <w:r w:rsidRPr="00215667">
        <w:rPr>
          <w:bCs/>
        </w:rPr>
        <w:t xml:space="preserve"> и графикон бр. 15), уште еден факт што со сигурност и директно зборува за ефикасноста на системска профилакса предоперативно со ТХА и ефикасноста од локалните хемостатски методи. Fillingham Y.A.</w:t>
      </w:r>
      <w:r w:rsidRPr="00215667">
        <w:t xml:space="preserve"> </w:t>
      </w:r>
      <w:r w:rsidRPr="00215667">
        <w:rPr>
          <w:bCs/>
        </w:rPr>
        <w:t>et al., (2018)</w:t>
      </w:r>
      <w:r w:rsidRPr="00215667">
        <w:rPr>
          <w:bCs/>
          <w:vertAlign w:val="superscript"/>
        </w:rPr>
        <w:t>130</w:t>
      </w:r>
      <w:r w:rsidRPr="00215667">
        <w:rPr>
          <w:bCs/>
        </w:rPr>
        <w:t xml:space="preserve"> и Hong P et al., (2022)</w:t>
      </w:r>
      <w:r w:rsidRPr="00215667">
        <w:rPr>
          <w:bCs/>
          <w:vertAlign w:val="superscript"/>
        </w:rPr>
        <w:t>25</w:t>
      </w:r>
      <w:r w:rsidRPr="00215667">
        <w:rPr>
          <w:bCs/>
        </w:rPr>
        <w:t>, во своите трудови потврдиле дека администрацијата на TXA не го зголемува ризикот од тромбоемболични заболувањa кај пациенти при операција и сигнификантно го намалува ризикот од постоперативни крвавења (крвавењето траело под 3 часа (Me=3 IQR(1-6), и тоа презентирано само како сукрвица во плунка.</w:t>
      </w:r>
      <w:r w:rsidRPr="00215667">
        <w:t xml:space="preserve"> </w:t>
      </w:r>
    </w:p>
    <w:p w14:paraId="66C9DFE1" w14:textId="2FF7B137" w:rsidR="00412474" w:rsidRPr="00215667" w:rsidRDefault="00412474" w:rsidP="00341876">
      <w:pPr>
        <w:pStyle w:val="p1"/>
        <w:spacing w:line="360" w:lineRule="auto"/>
        <w:ind w:firstLine="720"/>
        <w:jc w:val="both"/>
        <w:rPr>
          <w:bCs/>
        </w:rPr>
      </w:pPr>
      <w:r w:rsidRPr="00215667">
        <w:rPr>
          <w:bCs/>
        </w:rPr>
        <w:t>Анализата на сите обработени податоци во нашата студија покажува дека разикот од PEB во однос на локализацијата и екстензивноста на денталниот третман, покажа дека постои сигнификантна разлика. Кај 30 (46.9</w:t>
      </w:r>
      <w:r w:rsidR="00210463">
        <w:rPr>
          <w:bCs/>
        </w:rPr>
        <w:t xml:space="preserve"> </w:t>
      </w:r>
      <w:r w:rsidRPr="00215667">
        <w:rPr>
          <w:bCs/>
        </w:rPr>
        <w:t>%) пациентите беа изведени дентоалвеоларни процедури, кај 19 (29.7</w:t>
      </w:r>
      <w:r w:rsidR="00210463">
        <w:rPr>
          <w:bCs/>
        </w:rPr>
        <w:t xml:space="preserve"> </w:t>
      </w:r>
      <w:r w:rsidRPr="00215667">
        <w:rPr>
          <w:bCs/>
        </w:rPr>
        <w:t>%) едноставни екстракции на заб во максила и кај 15 (23.4</w:t>
      </w:r>
      <w:r w:rsidR="00210463">
        <w:rPr>
          <w:bCs/>
        </w:rPr>
        <w:t xml:space="preserve"> </w:t>
      </w:r>
      <w:r w:rsidRPr="00215667">
        <w:rPr>
          <w:bCs/>
        </w:rPr>
        <w:t>%) едноставни екстракции на заб во мандибула.  Беа екстрахирани вкупно 71 заб во склоп на изведени дентоалвеоларни процедури, во тек на една постапка/посета на пациент. Во склоп на изведените дентоалвеоларни хируршки процедури кај 30 пациенти: кај 9/30 пациенти (30</w:t>
      </w:r>
      <w:r w:rsidR="00210463">
        <w:rPr>
          <w:bCs/>
        </w:rPr>
        <w:t xml:space="preserve"> </w:t>
      </w:r>
      <w:r w:rsidRPr="00215667">
        <w:rPr>
          <w:bCs/>
        </w:rPr>
        <w:t>%) беа екстрахирани по два заба во еден акт,  кај 7 (23,3</w:t>
      </w:r>
      <w:r w:rsidR="00210463">
        <w:rPr>
          <w:bCs/>
        </w:rPr>
        <w:t xml:space="preserve"> </w:t>
      </w:r>
      <w:r w:rsidRPr="00215667">
        <w:rPr>
          <w:bCs/>
        </w:rPr>
        <w:t>%) пациенти  беше изведена екстракција со цистектомија и кај 14 (46,7</w:t>
      </w:r>
      <w:r w:rsidR="00210463">
        <w:rPr>
          <w:bCs/>
        </w:rPr>
        <w:t xml:space="preserve"> </w:t>
      </w:r>
      <w:r w:rsidRPr="00215667">
        <w:rPr>
          <w:bCs/>
        </w:rPr>
        <w:t xml:space="preserve">%) од пациенти беше изведена оперативна екстракција на импактирани умници (8 во мандибула и 6 во максила). Процентуалната разлика помеѓу дентоалвеоларната хирургија </w:t>
      </w:r>
      <w:r w:rsidR="001F2E2D">
        <w:rPr>
          <w:bCs/>
        </w:rPr>
        <w:t>версус</w:t>
      </w:r>
      <w:r w:rsidRPr="00215667">
        <w:rPr>
          <w:bCs/>
        </w:rPr>
        <w:t xml:space="preserve"> едноставна екстракција на заб во мандибула и максила беше сигнификантна за p &lt;</w:t>
      </w:r>
      <w:r w:rsidR="00210463">
        <w:rPr>
          <w:bCs/>
        </w:rPr>
        <w:t xml:space="preserve"> </w:t>
      </w:r>
      <w:r w:rsidRPr="00215667">
        <w:rPr>
          <w:bCs/>
        </w:rPr>
        <w:t>.05 (</w:t>
      </w:r>
      <w:r w:rsidRPr="00210463">
        <w:rPr>
          <w:bCs/>
          <w:i/>
          <w:iCs/>
        </w:rPr>
        <w:t>Difference test</w:t>
      </w:r>
      <w:r w:rsidRPr="00215667">
        <w:rPr>
          <w:bCs/>
        </w:rPr>
        <w:t>, p</w:t>
      </w:r>
      <w:r w:rsidR="00210463">
        <w:rPr>
          <w:bCs/>
        </w:rPr>
        <w:t xml:space="preserve"> </w:t>
      </w:r>
      <w:r w:rsidRPr="00215667">
        <w:rPr>
          <w:bCs/>
        </w:rPr>
        <w:t>=</w:t>
      </w:r>
      <w:r w:rsidR="00210463">
        <w:rPr>
          <w:bCs/>
        </w:rPr>
        <w:t xml:space="preserve"> </w:t>
      </w:r>
      <w:r w:rsidRPr="00215667">
        <w:rPr>
          <w:bCs/>
        </w:rPr>
        <w:t>.0054, p</w:t>
      </w:r>
      <w:r w:rsidR="00210463">
        <w:rPr>
          <w:bCs/>
        </w:rPr>
        <w:t xml:space="preserve"> </w:t>
      </w:r>
      <w:r w:rsidRPr="00215667">
        <w:rPr>
          <w:bCs/>
        </w:rPr>
        <w:t>=</w:t>
      </w:r>
      <w:r w:rsidR="00210463">
        <w:rPr>
          <w:bCs/>
        </w:rPr>
        <w:t xml:space="preserve"> </w:t>
      </w:r>
      <w:r w:rsidRPr="00215667">
        <w:rPr>
          <w:bCs/>
        </w:rPr>
        <w:t xml:space="preserve">.0453), oстанатите процентуални разлики се покажаа дека се несигнификантни, </w:t>
      </w:r>
      <w:r w:rsidR="00210463">
        <w:rPr>
          <w:bCs/>
        </w:rPr>
        <w:t>т.е.</w:t>
      </w:r>
      <w:r w:rsidRPr="00215667">
        <w:rPr>
          <w:bCs/>
        </w:rPr>
        <w:t xml:space="preserve"> многу повеќе беа практикувани дентоалвеоларните хируршки процедури, во однос на изолирани екстракции во двете вилици</w:t>
      </w:r>
      <w:r w:rsidRPr="00215667">
        <w:rPr>
          <w:bCs/>
          <w:color w:val="00B0F0"/>
        </w:rPr>
        <w:t xml:space="preserve"> </w:t>
      </w:r>
      <w:r w:rsidRPr="00215667">
        <w:rPr>
          <w:bCs/>
        </w:rPr>
        <w:t>(табела</w:t>
      </w:r>
      <w:r w:rsidR="00210463">
        <w:rPr>
          <w:bCs/>
        </w:rPr>
        <w:t xml:space="preserve"> бр. 16</w:t>
      </w:r>
      <w:r w:rsidRPr="00215667">
        <w:rPr>
          <w:bCs/>
        </w:rPr>
        <w:t xml:space="preserve"> и графикон број 16). </w:t>
      </w:r>
    </w:p>
    <w:p w14:paraId="699EA49C" w14:textId="08CBC52B" w:rsidR="00412474" w:rsidRPr="00215667" w:rsidRDefault="00412474" w:rsidP="00341876">
      <w:pPr>
        <w:pStyle w:val="p1"/>
        <w:spacing w:line="360" w:lineRule="auto"/>
        <w:ind w:firstLine="720"/>
        <w:jc w:val="both"/>
        <w:rPr>
          <w:bCs/>
        </w:rPr>
      </w:pPr>
      <w:r w:rsidRPr="00215667">
        <w:rPr>
          <w:bCs/>
        </w:rPr>
        <w:lastRenderedPageBreak/>
        <w:t>Во групата на нашите испитаници, кај 98.4</w:t>
      </w:r>
      <w:r w:rsidR="00210463">
        <w:rPr>
          <w:bCs/>
        </w:rPr>
        <w:t xml:space="preserve"> </w:t>
      </w:r>
      <w:r w:rsidRPr="00215667">
        <w:rPr>
          <w:bCs/>
        </w:rPr>
        <w:t xml:space="preserve">% со употребата на локалните хемостатски процедури, </w:t>
      </w:r>
      <w:r w:rsidR="00210463">
        <w:rPr>
          <w:bCs/>
        </w:rPr>
        <w:t>т.е.</w:t>
      </w:r>
      <w:r w:rsidRPr="00215667">
        <w:rPr>
          <w:bCs/>
        </w:rPr>
        <w:t xml:space="preserve"> локална апликација на натопена газа со ТХА и постекстракционо шиење на раната, постигнавме комплетна хемостаза, за еден пациент недостасуваа податоци</w:t>
      </w:r>
      <w:r w:rsidRPr="00215667">
        <w:rPr>
          <w:bCs/>
          <w:color w:val="3A7C22" w:themeColor="accent6" w:themeShade="BF"/>
        </w:rPr>
        <w:t xml:space="preserve">, </w:t>
      </w:r>
      <w:r w:rsidRPr="00215667">
        <w:rPr>
          <w:bCs/>
        </w:rPr>
        <w:t>но јасно е дека и кај тој пациент крвавењето било сопрено, затоа што не постои податок за негова повторна посета на нашата клиника. Во однос на локалните хемостатски процедури Jaiswal P, et all (2021)</w:t>
      </w:r>
      <w:r w:rsidRPr="00215667">
        <w:rPr>
          <w:bCs/>
          <w:vertAlign w:val="superscript"/>
        </w:rPr>
        <w:t>51</w:t>
      </w:r>
      <w:r w:rsidRPr="00215667">
        <w:rPr>
          <w:bCs/>
          <w:color w:val="3A7C22" w:themeColor="accent6" w:themeShade="BF"/>
        </w:rPr>
        <w:t xml:space="preserve">, </w:t>
      </w:r>
      <w:r w:rsidRPr="00215667">
        <w:rPr>
          <w:bCs/>
        </w:rPr>
        <w:t xml:space="preserve">утврдиле дека, кај сите пациенти, кога се применети, еднократна употреба на ТХА, придружена со примена на наведените локални хемостатски процедури, </w:t>
      </w:r>
      <w:r w:rsidR="00F00F01">
        <w:rPr>
          <w:bCs/>
        </w:rPr>
        <w:t>постекстракциони</w:t>
      </w:r>
      <w:r w:rsidRPr="00215667">
        <w:rPr>
          <w:bCs/>
        </w:rPr>
        <w:t xml:space="preserve"> крвавења не се регистрираат. Овие наоди се слични со нашите резултати, кои потврдуваат дека предложените хемостатски мерки се најбезбедни методи за менаџирање на пациентите со хипоагрегабилност. Во својата студија, исто како и во нашата, тие користеле 5 ml од 10</w:t>
      </w:r>
      <w:r w:rsidR="00210463">
        <w:rPr>
          <w:bCs/>
        </w:rPr>
        <w:t xml:space="preserve"> </w:t>
      </w:r>
      <w:r w:rsidRPr="00215667">
        <w:rPr>
          <w:bCs/>
        </w:rPr>
        <w:t>% раствор на транексамична киселина, за локална апликација на газа под притисок и притоа прикажале најмала можност</w:t>
      </w:r>
      <w:r w:rsidR="00210463">
        <w:rPr>
          <w:bCs/>
        </w:rPr>
        <w:t xml:space="preserve"> </w:t>
      </w:r>
      <w:r w:rsidRPr="00215667">
        <w:rPr>
          <w:bCs/>
        </w:rPr>
        <w:t xml:space="preserve">за крвавење со локалниот ефект со кој се спречува фибринолизата и формирање на неквалитетен коагулум. </w:t>
      </w:r>
    </w:p>
    <w:p w14:paraId="061DE7C4" w14:textId="1B19E1C1" w:rsidR="00412474" w:rsidRPr="00215667" w:rsidRDefault="00412474" w:rsidP="00341876">
      <w:pPr>
        <w:pStyle w:val="p1"/>
        <w:spacing w:line="360" w:lineRule="auto"/>
        <w:ind w:firstLine="720"/>
        <w:jc w:val="both"/>
        <w:rPr>
          <w:bCs/>
        </w:rPr>
      </w:pPr>
      <w:r w:rsidRPr="00215667">
        <w:rPr>
          <w:bCs/>
        </w:rPr>
        <w:t>Во нашата студија, анализата на резултатите за инциденцата на појава на PEB во однос на локализацијата на изведените хируршки интервенции, покажа дека постои сигнификантна поврзаност/асоцијација помеѓу инциденцата на појава на PEB и локализација на екстракцијата (Chi Square, = 9.39950, df</w:t>
      </w:r>
      <w:r w:rsidR="00210463">
        <w:rPr>
          <w:bCs/>
        </w:rPr>
        <w:t xml:space="preserve"> </w:t>
      </w:r>
      <w:r w:rsidRPr="00215667">
        <w:rPr>
          <w:bCs/>
        </w:rPr>
        <w:t>=</w:t>
      </w:r>
      <w:r w:rsidR="00210463">
        <w:rPr>
          <w:bCs/>
        </w:rPr>
        <w:t xml:space="preserve"> </w:t>
      </w:r>
      <w:r w:rsidRPr="00215667">
        <w:rPr>
          <w:bCs/>
        </w:rPr>
        <w:t>2, p</w:t>
      </w:r>
      <w:r w:rsidR="00210463">
        <w:rPr>
          <w:bCs/>
        </w:rPr>
        <w:t xml:space="preserve"> </w:t>
      </w:r>
      <w:r w:rsidRPr="00215667">
        <w:rPr>
          <w:bCs/>
        </w:rPr>
        <w:t>=</w:t>
      </w:r>
      <w:r w:rsidR="00210463">
        <w:rPr>
          <w:bCs/>
        </w:rPr>
        <w:t xml:space="preserve"> </w:t>
      </w:r>
      <w:r w:rsidRPr="00215667">
        <w:rPr>
          <w:bCs/>
        </w:rPr>
        <w:t>.009098) (табела бр</w:t>
      </w:r>
      <w:r w:rsidR="00210463">
        <w:rPr>
          <w:bCs/>
        </w:rPr>
        <w:t>.</w:t>
      </w:r>
      <w:r w:rsidRPr="00215667">
        <w:rPr>
          <w:bCs/>
        </w:rPr>
        <w:t xml:space="preserve"> 17).</w:t>
      </w:r>
      <w:r w:rsidRPr="00215667">
        <w:t xml:space="preserve"> </w:t>
      </w:r>
      <w:r w:rsidRPr="00215667">
        <w:rPr>
          <w:bCs/>
        </w:rPr>
        <w:t>Постекстракционите крвавења (PEB) од мандибула траеше во просек 5.0</w:t>
      </w:r>
      <w:r w:rsidR="00210463">
        <w:rPr>
          <w:bCs/>
        </w:rPr>
        <w:t xml:space="preserve"> </w:t>
      </w:r>
      <w:r w:rsidRPr="00215667">
        <w:rPr>
          <w:bCs/>
        </w:rPr>
        <w:t>±</w:t>
      </w:r>
      <w:r w:rsidR="00210463">
        <w:rPr>
          <w:bCs/>
        </w:rPr>
        <w:t xml:space="preserve"> </w:t>
      </w:r>
      <w:r w:rsidRPr="00215667">
        <w:rPr>
          <w:bCs/>
        </w:rPr>
        <w:t>5.9 часа, при изведување на дентоалевеоларната хируршк</w:t>
      </w:r>
      <w:r w:rsidR="00210463">
        <w:rPr>
          <w:bCs/>
        </w:rPr>
        <w:t>а</w:t>
      </w:r>
      <w:r w:rsidRPr="00215667">
        <w:rPr>
          <w:bCs/>
        </w:rPr>
        <w:t xml:space="preserve"> интервенци</w:t>
      </w:r>
      <w:r w:rsidR="00210463">
        <w:rPr>
          <w:bCs/>
        </w:rPr>
        <w:t xml:space="preserve">ја </w:t>
      </w:r>
      <w:r w:rsidRPr="00215667">
        <w:rPr>
          <w:bCs/>
        </w:rPr>
        <w:t>6.7</w:t>
      </w:r>
      <w:r w:rsidR="00210463">
        <w:rPr>
          <w:bCs/>
        </w:rPr>
        <w:t xml:space="preserve"> </w:t>
      </w:r>
      <w:r w:rsidRPr="00215667">
        <w:rPr>
          <w:bCs/>
        </w:rPr>
        <w:t>±</w:t>
      </w:r>
      <w:r w:rsidR="00210463">
        <w:rPr>
          <w:bCs/>
        </w:rPr>
        <w:t xml:space="preserve"> </w:t>
      </w:r>
      <w:r w:rsidRPr="00215667">
        <w:rPr>
          <w:bCs/>
        </w:rPr>
        <w:t>2.7 и PEB од максила во просек 3.9</w:t>
      </w:r>
      <w:r w:rsidR="00210463">
        <w:rPr>
          <w:bCs/>
        </w:rPr>
        <w:t xml:space="preserve"> </w:t>
      </w:r>
      <w:r w:rsidRPr="00215667">
        <w:rPr>
          <w:bCs/>
        </w:rPr>
        <w:t>±</w:t>
      </w:r>
      <w:r w:rsidR="00210463">
        <w:rPr>
          <w:bCs/>
        </w:rPr>
        <w:t xml:space="preserve"> </w:t>
      </w:r>
      <w:r w:rsidRPr="00215667">
        <w:rPr>
          <w:bCs/>
        </w:rPr>
        <w:t>7.1. (табела</w:t>
      </w:r>
      <w:r w:rsidR="00210463">
        <w:rPr>
          <w:bCs/>
        </w:rPr>
        <w:t xml:space="preserve"> бр. 18</w:t>
      </w:r>
      <w:r w:rsidRPr="00215667">
        <w:rPr>
          <w:bCs/>
        </w:rPr>
        <w:t xml:space="preserve"> и графикон бр</w:t>
      </w:r>
      <w:r w:rsidR="00210463">
        <w:rPr>
          <w:bCs/>
        </w:rPr>
        <w:t>.</w:t>
      </w:r>
      <w:r w:rsidRPr="00215667">
        <w:rPr>
          <w:bCs/>
        </w:rPr>
        <w:t xml:space="preserve"> 18). Разликата во времетраењето на постекстракционото крвавење (PEB) во однос на локализацијата на хируршката интервенција е сигнификантно подолго при изведување на дентоалвеоларните хируршки интервенции во однос на едноставнита екстракција на заб во мандибула или максила. </w:t>
      </w:r>
      <w:r w:rsidRPr="00210463">
        <w:rPr>
          <w:bCs/>
          <w:i/>
          <w:iCs/>
        </w:rPr>
        <w:t>Kruskal-Wallis test</w:t>
      </w:r>
      <w:r w:rsidRPr="00215667">
        <w:rPr>
          <w:bCs/>
        </w:rPr>
        <w:t>: H (2, N</w:t>
      </w:r>
      <w:r w:rsidR="00210463">
        <w:rPr>
          <w:bCs/>
        </w:rPr>
        <w:t xml:space="preserve"> </w:t>
      </w:r>
      <w:r w:rsidRPr="00215667">
        <w:rPr>
          <w:bCs/>
        </w:rPr>
        <w:t>= 62) =</w:t>
      </w:r>
      <w:r w:rsidR="00210463">
        <w:rPr>
          <w:bCs/>
        </w:rPr>
        <w:t xml:space="preserve"> </w:t>
      </w:r>
      <w:r w:rsidRPr="00215667">
        <w:rPr>
          <w:bCs/>
        </w:rPr>
        <w:t>11.48415 p =</w:t>
      </w:r>
      <w:r w:rsidR="00210463">
        <w:rPr>
          <w:bCs/>
        </w:rPr>
        <w:t xml:space="preserve"> </w:t>
      </w:r>
      <w:r w:rsidRPr="00215667">
        <w:rPr>
          <w:bCs/>
        </w:rPr>
        <w:t>.0032), наоди кои се совпаѓаат со истражуваата на</w:t>
      </w:r>
      <w:r w:rsidR="00210463">
        <w:rPr>
          <w:bCs/>
        </w:rPr>
        <w:t xml:space="preserve"> </w:t>
      </w:r>
      <w:r w:rsidRPr="00215667">
        <w:rPr>
          <w:bCs/>
        </w:rPr>
        <w:t>Emara WM et al (2014</w:t>
      </w:r>
      <w:bookmarkStart w:id="44" w:name="_Hlk188004434"/>
      <w:r w:rsidRPr="00215667">
        <w:rPr>
          <w:bCs/>
        </w:rPr>
        <w:t>)</w:t>
      </w:r>
      <w:r w:rsidRPr="00215667">
        <w:rPr>
          <w:bCs/>
          <w:vertAlign w:val="superscript"/>
        </w:rPr>
        <w:t>131</w:t>
      </w:r>
      <w:bookmarkEnd w:id="44"/>
      <w:r w:rsidRPr="00215667">
        <w:rPr>
          <w:bCs/>
        </w:rPr>
        <w:t>. Анализата на корелациите помеѓу PEB</w:t>
      </w:r>
      <w:r w:rsidR="00210463">
        <w:rPr>
          <w:bCs/>
        </w:rPr>
        <w:t xml:space="preserve"> </w:t>
      </w:r>
      <w:r w:rsidRPr="00215667">
        <w:rPr>
          <w:bCs/>
        </w:rPr>
        <w:t>и локализацијата, и екстензивноста на третманот, во нашата студија покажа дека, најдолго крвавење се јавува при изведувањето на дентоалвеоларните хирургии и дека крвавењето од мандибула е подолго во однос на максиларните крвавења.</w:t>
      </w:r>
    </w:p>
    <w:p w14:paraId="4450FDAE" w14:textId="3664FBF7" w:rsidR="00412474" w:rsidRPr="00215667" w:rsidRDefault="00412474" w:rsidP="00341876">
      <w:pPr>
        <w:pStyle w:val="p1"/>
        <w:spacing w:line="360" w:lineRule="auto"/>
        <w:ind w:firstLine="720"/>
        <w:jc w:val="both"/>
        <w:rPr>
          <w:bCs/>
        </w:rPr>
      </w:pPr>
      <w:r w:rsidRPr="00215667">
        <w:rPr>
          <w:bCs/>
        </w:rPr>
        <w:lastRenderedPageBreak/>
        <w:t>Идентификувањето на факторите на ризик пред екстракција му дава можност на хирургот да ја намали веројатноста за крвавење. Kang</w:t>
      </w:r>
      <w:r w:rsidRPr="00215667">
        <w:t xml:space="preserve"> </w:t>
      </w:r>
      <w:r w:rsidRPr="00215667">
        <w:rPr>
          <w:bCs/>
        </w:rPr>
        <w:t xml:space="preserve">H. et al извршиле преглед на релевантната литература за локална и системска употреба на TXA во намалување на интра постоперативните крвавења. Метаанализите покажале, целокупно статистички значајно намалување на интраоперативното </w:t>
      </w:r>
      <w:r w:rsidR="00EC49EB" w:rsidRPr="00215667">
        <w:rPr>
          <w:bCs/>
        </w:rPr>
        <w:t>крвавење</w:t>
      </w:r>
      <w:r w:rsidRPr="00215667">
        <w:rPr>
          <w:bCs/>
        </w:rPr>
        <w:t xml:space="preserve"> со локална TXA и значително намалување на крвавењето, кое не бара </w:t>
      </w:r>
      <w:r w:rsidR="00210463">
        <w:rPr>
          <w:bCs/>
        </w:rPr>
        <w:t>дополнителни</w:t>
      </w:r>
      <w:r w:rsidRPr="00215667">
        <w:rPr>
          <w:bCs/>
        </w:rPr>
        <w:t xml:space="preserve"> интервенции. Дополнително, не биле регистрирани несакани ефекти (гадење, повраќање или тромбоза) поврзани со TXA. Во сите анализирани студии, како и во студијата на Mahardawi B.</w:t>
      </w:r>
      <w:r w:rsidRPr="00215667">
        <w:t xml:space="preserve"> </w:t>
      </w:r>
      <w:r w:rsidRPr="00215667">
        <w:rPr>
          <w:bCs/>
        </w:rPr>
        <w:t>et all. (2023)</w:t>
      </w:r>
      <w:r w:rsidRPr="00215667">
        <w:rPr>
          <w:bCs/>
          <w:vertAlign w:val="superscript"/>
        </w:rPr>
        <w:t>28</w:t>
      </w:r>
      <w:r w:rsidRPr="00215667">
        <w:rPr>
          <w:bCs/>
        </w:rPr>
        <w:t>, TXA покажала супериорност во однос на сите други хемостатски агенси и резултирала со намалување на оперативното крвавење и подобрено хируршко поле во тек на првите 15 минути постоперативно (P = 0,0001)</w:t>
      </w:r>
      <w:r w:rsidR="00210463">
        <w:rPr>
          <w:bCs/>
        </w:rPr>
        <w:t>.</w:t>
      </w:r>
      <w:r w:rsidRPr="00215667">
        <w:rPr>
          <w:bCs/>
        </w:rPr>
        <w:t xml:space="preserve">(62) Употребата на TXA, резултира со зголемено задоволство на хирургот и намалување на оперативното време. </w:t>
      </w:r>
    </w:p>
    <w:p w14:paraId="7220CDE1" w14:textId="68E31D6B" w:rsidR="00412474" w:rsidRPr="00215667" w:rsidRDefault="00412474" w:rsidP="00341876">
      <w:pPr>
        <w:pStyle w:val="p1"/>
        <w:spacing w:line="360" w:lineRule="auto"/>
        <w:ind w:firstLine="720"/>
        <w:jc w:val="both"/>
        <w:rPr>
          <w:bCs/>
        </w:rPr>
      </w:pPr>
      <w:r w:rsidRPr="00215667">
        <w:rPr>
          <w:bCs/>
        </w:rPr>
        <w:t xml:space="preserve">Нашите резултати, заедно со оние од други претходно објавени мета-анализи на </w:t>
      </w:r>
      <w:r w:rsidRPr="00215667">
        <w:t xml:space="preserve">Lam T. et all. (2023), </w:t>
      </w:r>
      <w:r w:rsidRPr="00215667">
        <w:rPr>
          <w:bCs/>
        </w:rPr>
        <w:t>кои ја документираат ефикасноста на TXA и го поддржуваат сигнификантниот ефект на овој агенс, TXA треба, според тоа, да се користи во хирургијата и е докажана како безбедна и ефикасна, со интравенска, најсоодветнаа доза 1-1,5 гр. Постојат ограничени и контраверзни студии, како што е студијат на Robb PJ.</w:t>
      </w:r>
      <w:r w:rsidRPr="00215667">
        <w:t xml:space="preserve"> </w:t>
      </w:r>
      <w:r w:rsidRPr="00215667">
        <w:rPr>
          <w:bCs/>
        </w:rPr>
        <w:t>et all. (2014)</w:t>
      </w:r>
      <w:r w:rsidRPr="00215667">
        <w:rPr>
          <w:bCs/>
          <w:vertAlign w:val="superscript"/>
        </w:rPr>
        <w:t>132</w:t>
      </w:r>
      <w:r w:rsidRPr="00215667">
        <w:rPr>
          <w:bCs/>
        </w:rPr>
        <w:t>,   во однос на дозирањето, времетраењето на инфузиска апликација, бројот на дози и времето на администрација</w:t>
      </w:r>
      <w:r w:rsidR="00210463" w:rsidRPr="00215667">
        <w:rPr>
          <w:bCs/>
        </w:rPr>
        <w:t>.</w:t>
      </w:r>
      <w:r w:rsidRPr="00215667">
        <w:rPr>
          <w:bCs/>
        </w:rPr>
        <w:t xml:space="preserve">(41)  </w:t>
      </w:r>
    </w:p>
    <w:p w14:paraId="6F87307D" w14:textId="4B4B51D1" w:rsidR="00412474" w:rsidRPr="00215667" w:rsidRDefault="00412474" w:rsidP="00341876">
      <w:pPr>
        <w:pStyle w:val="p1"/>
        <w:spacing w:line="360" w:lineRule="auto"/>
        <w:ind w:firstLine="720"/>
        <w:jc w:val="both"/>
        <w:rPr>
          <w:bCs/>
        </w:rPr>
      </w:pPr>
      <w:r w:rsidRPr="00215667">
        <w:rPr>
          <w:bCs/>
        </w:rPr>
        <w:t>Во нашата студија, потврдивме дека нема сериозни компликации во однос на несаканите дејствија при и.в.</w:t>
      </w:r>
      <w:r w:rsidR="00215667" w:rsidRPr="00215667">
        <w:rPr>
          <w:bCs/>
        </w:rPr>
        <w:t xml:space="preserve"> а</w:t>
      </w:r>
      <w:r w:rsidRPr="00215667">
        <w:rPr>
          <w:bCs/>
        </w:rPr>
        <w:t>пликацијата на ТХА во профилактичка цел и пациентите добро ја поднесуваат. Регистриравме несакани ефекти само кај 3/64 (4.7</w:t>
      </w:r>
      <w:r w:rsidR="00210463">
        <w:rPr>
          <w:bCs/>
        </w:rPr>
        <w:t xml:space="preserve"> </w:t>
      </w:r>
      <w:r w:rsidRPr="00215667">
        <w:rPr>
          <w:bCs/>
        </w:rPr>
        <w:t>%) од пациентите, и тоа кај 2/3 (3.1</w:t>
      </w:r>
      <w:r w:rsidR="00210463">
        <w:rPr>
          <w:bCs/>
        </w:rPr>
        <w:t xml:space="preserve"> </w:t>
      </w:r>
      <w:r w:rsidRPr="00215667">
        <w:rPr>
          <w:bCs/>
        </w:rPr>
        <w:t>%) гадење и кај еден 1/3 (1.6</w:t>
      </w:r>
      <w:r w:rsidR="00210463">
        <w:rPr>
          <w:bCs/>
        </w:rPr>
        <w:t xml:space="preserve"> </w:t>
      </w:r>
      <w:r w:rsidRPr="00215667">
        <w:rPr>
          <w:bCs/>
        </w:rPr>
        <w:t>%) вртоглавица (таб</w:t>
      </w:r>
      <w:r w:rsidR="00210463">
        <w:rPr>
          <w:bCs/>
        </w:rPr>
        <w:t>ела бр. 19</w:t>
      </w:r>
      <w:r w:rsidRPr="00215667">
        <w:rPr>
          <w:bCs/>
        </w:rPr>
        <w:t xml:space="preserve"> и граф</w:t>
      </w:r>
      <w:r w:rsidR="00210463">
        <w:rPr>
          <w:bCs/>
        </w:rPr>
        <w:t>икон</w:t>
      </w:r>
      <w:r w:rsidRPr="00215667">
        <w:rPr>
          <w:bCs/>
        </w:rPr>
        <w:t xml:space="preserve"> бр. 19). Процентуалната разлика помеѓу безбедната апликација на ТХА (отсуство на несакани ефекти кај 61/64 (95.3</w:t>
      </w:r>
      <w:r w:rsidR="00210463">
        <w:rPr>
          <w:bCs/>
        </w:rPr>
        <w:t xml:space="preserve"> </w:t>
      </w:r>
      <w:r w:rsidRPr="00215667">
        <w:rPr>
          <w:bCs/>
        </w:rPr>
        <w:t xml:space="preserve">%) кај пациентите </w:t>
      </w:r>
      <w:r w:rsidR="001F2E2D">
        <w:rPr>
          <w:bCs/>
        </w:rPr>
        <w:t>версус</w:t>
      </w:r>
      <w:r w:rsidRPr="00215667">
        <w:rPr>
          <w:bCs/>
        </w:rPr>
        <w:t xml:space="preserve"> појавата на несакани ефекти беше сигнификантна за p &lt;</w:t>
      </w:r>
      <w:r w:rsidR="00210463">
        <w:rPr>
          <w:bCs/>
        </w:rPr>
        <w:t xml:space="preserve"> </w:t>
      </w:r>
      <w:r w:rsidRPr="00215667">
        <w:rPr>
          <w:bCs/>
        </w:rPr>
        <w:t>.05 (</w:t>
      </w:r>
      <w:r w:rsidRPr="00210463">
        <w:rPr>
          <w:bCs/>
          <w:i/>
          <w:iCs/>
        </w:rPr>
        <w:t>Diff.test</w:t>
      </w:r>
      <w:r w:rsidRPr="00215667">
        <w:rPr>
          <w:bCs/>
        </w:rPr>
        <w:t>, p</w:t>
      </w:r>
      <w:r w:rsidR="00210463">
        <w:rPr>
          <w:bCs/>
        </w:rPr>
        <w:t xml:space="preserve"> </w:t>
      </w:r>
      <w:r w:rsidRPr="00215667">
        <w:rPr>
          <w:bCs/>
        </w:rPr>
        <w:t>=</w:t>
      </w:r>
      <w:r w:rsidR="00210463">
        <w:rPr>
          <w:bCs/>
        </w:rPr>
        <w:t xml:space="preserve"> </w:t>
      </w:r>
      <w:r w:rsidRPr="00215667">
        <w:rPr>
          <w:bCs/>
        </w:rPr>
        <w:t xml:space="preserve">.0000), </w:t>
      </w:r>
      <w:r w:rsidR="00210463">
        <w:rPr>
          <w:bCs/>
        </w:rPr>
        <w:t>т.е.</w:t>
      </w:r>
      <w:r w:rsidRPr="00215667">
        <w:rPr>
          <w:bCs/>
        </w:rPr>
        <w:t xml:space="preserve"> занемарлива во однос на ефективноста на нејзината примена. Бавната интравенска апликација 1мл/10мин. 1 час пред интервенција е клучна во надминување на несаканите ефекти, што беше потврдено во следен акт кај двајцата пациенти (кај кои несаканите дејства се презентираа во облик на </w:t>
      </w:r>
      <w:r w:rsidRPr="00215667">
        <w:rPr>
          <w:bCs/>
        </w:rPr>
        <w:lastRenderedPageBreak/>
        <w:t xml:space="preserve">гадење), со бавна администрација на лекот, регистриравме дека нема појава на </w:t>
      </w:r>
      <w:r w:rsidR="00AA3088">
        <w:rPr>
          <w:bCs/>
        </w:rPr>
        <w:t>нузефекти</w:t>
      </w:r>
      <w:r w:rsidRPr="00215667">
        <w:rPr>
          <w:bCs/>
        </w:rPr>
        <w:t>. Кај сите пациенти во нашата студија пре</w:t>
      </w:r>
      <w:r w:rsidR="001B261B" w:rsidRPr="00215667">
        <w:rPr>
          <w:bCs/>
        </w:rPr>
        <w:t>т</w:t>
      </w:r>
      <w:r w:rsidRPr="00215667">
        <w:rPr>
          <w:bCs/>
        </w:rPr>
        <w:t>ходеше профилактичен третман со ТХА со и.в. апликацијата на ТХА, 1–1,5</w:t>
      </w:r>
      <w:r w:rsidR="00AA3088">
        <w:rPr>
          <w:bCs/>
        </w:rPr>
        <w:t xml:space="preserve"> </w:t>
      </w:r>
      <w:r w:rsidRPr="00215667">
        <w:rPr>
          <w:bCs/>
        </w:rPr>
        <w:t>г.  На 23 (35.9</w:t>
      </w:r>
      <w:r w:rsidR="00210463">
        <w:rPr>
          <w:bCs/>
        </w:rPr>
        <w:t xml:space="preserve"> </w:t>
      </w:r>
      <w:r w:rsidRPr="00215667">
        <w:rPr>
          <w:bCs/>
        </w:rPr>
        <w:t>%) пациенти им е дадено 1</w:t>
      </w:r>
      <w:r w:rsidR="00210463">
        <w:rPr>
          <w:bCs/>
        </w:rPr>
        <w:t xml:space="preserve"> </w:t>
      </w:r>
      <w:r w:rsidRPr="00215667">
        <w:rPr>
          <w:bCs/>
        </w:rPr>
        <w:t>грам, 26.5</w:t>
      </w:r>
      <w:r w:rsidR="00210463">
        <w:rPr>
          <w:bCs/>
        </w:rPr>
        <w:t xml:space="preserve"> </w:t>
      </w:r>
      <w:r w:rsidRPr="00215667">
        <w:rPr>
          <w:bCs/>
        </w:rPr>
        <w:t>% (17) од пациентите примале 1,5</w:t>
      </w:r>
      <w:r w:rsidR="00210463">
        <w:rPr>
          <w:bCs/>
        </w:rPr>
        <w:t xml:space="preserve"> </w:t>
      </w:r>
      <w:r w:rsidRPr="00215667">
        <w:rPr>
          <w:bCs/>
        </w:rPr>
        <w:t>г., 21.9</w:t>
      </w:r>
      <w:r w:rsidR="00210463">
        <w:rPr>
          <w:bCs/>
        </w:rPr>
        <w:t xml:space="preserve"> </w:t>
      </w:r>
      <w:r w:rsidRPr="00215667">
        <w:rPr>
          <w:bCs/>
        </w:rPr>
        <w:t>% (14) примале 2 x 1,5</w:t>
      </w:r>
      <w:r w:rsidR="00210463">
        <w:rPr>
          <w:bCs/>
        </w:rPr>
        <w:t xml:space="preserve"> </w:t>
      </w:r>
      <w:r w:rsidRPr="00215667">
        <w:rPr>
          <w:bCs/>
        </w:rPr>
        <w:t>г. и 9 (14.1</w:t>
      </w:r>
      <w:r w:rsidR="00210463">
        <w:rPr>
          <w:bCs/>
        </w:rPr>
        <w:t xml:space="preserve"> </w:t>
      </w:r>
      <w:r w:rsidRPr="00215667">
        <w:rPr>
          <w:bCs/>
        </w:rPr>
        <w:t xml:space="preserve">%) примале  2 x 1г. (табела </w:t>
      </w:r>
      <w:r w:rsidR="00210463">
        <w:rPr>
          <w:bCs/>
        </w:rPr>
        <w:t xml:space="preserve">бр. 20 </w:t>
      </w:r>
      <w:r w:rsidRPr="00215667">
        <w:rPr>
          <w:bCs/>
        </w:rPr>
        <w:t>и графикон бр</w:t>
      </w:r>
      <w:r w:rsidR="00210463">
        <w:rPr>
          <w:bCs/>
        </w:rPr>
        <w:t>.</w:t>
      </w:r>
      <w:r w:rsidRPr="00215667">
        <w:rPr>
          <w:bCs/>
        </w:rPr>
        <w:t xml:space="preserve"> 20). Само кај 4 пациенти (2,56</w:t>
      </w:r>
      <w:r w:rsidR="00210463">
        <w:rPr>
          <w:bCs/>
        </w:rPr>
        <w:t xml:space="preserve"> </w:t>
      </w:r>
      <w:r w:rsidRPr="00215667">
        <w:rPr>
          <w:bCs/>
        </w:rPr>
        <w:t>%), е повторена дозата по 8 часа, поради постоење на лесно крвавење од местото на интервенција. Тие пациенти се над 65</w:t>
      </w:r>
      <w:r w:rsidR="00210463">
        <w:rPr>
          <w:bCs/>
        </w:rPr>
        <w:t>-</w:t>
      </w:r>
      <w:r w:rsidRPr="00215667">
        <w:rPr>
          <w:bCs/>
        </w:rPr>
        <w:t xml:space="preserve">годишна возраст и кај двајца биле присутни коморбидитети: еден пациент со цироза, вториот со дијабет. Со сето горенаведено потврдивме дека употребата на ТХА е безбедна и ефикасна во намалување на ризикот од крвавење кај пациентите со тромбоцитна хипоагрегабилност.  </w:t>
      </w:r>
    </w:p>
    <w:p w14:paraId="305C2013" w14:textId="2B31596D" w:rsidR="00412474" w:rsidRPr="00215667" w:rsidRDefault="00412474" w:rsidP="00341876">
      <w:pPr>
        <w:pStyle w:val="p1"/>
        <w:spacing w:line="360" w:lineRule="auto"/>
        <w:ind w:firstLine="720"/>
        <w:jc w:val="both"/>
        <w:rPr>
          <w:color w:val="FF0000"/>
        </w:rPr>
      </w:pPr>
      <w:r w:rsidRPr="00215667">
        <w:rPr>
          <w:bCs/>
        </w:rPr>
        <w:t xml:space="preserve"> Наодите на Colomina MJ</w:t>
      </w:r>
      <w:r w:rsidRPr="00215667">
        <w:t xml:space="preserve"> </w:t>
      </w:r>
      <w:r w:rsidRPr="00215667">
        <w:rPr>
          <w:bCs/>
        </w:rPr>
        <w:t>et all. (2022)</w:t>
      </w:r>
      <w:r w:rsidRPr="00215667">
        <w:rPr>
          <w:bCs/>
          <w:vertAlign w:val="superscript"/>
        </w:rPr>
        <w:t>99</w:t>
      </w:r>
      <w:r w:rsidRPr="00215667">
        <w:rPr>
          <w:bCs/>
        </w:rPr>
        <w:t>, се конзистентни со нашите наоди, во потврдување на безбедноста на TXA и отсуство на несакани дејства и негативни ефекти, со што била предложена како најбезбедна со интравенска апликација на единечна доза предоперативно 1–1,5 грама и како локален хемостатик во оперативното поле.</w:t>
      </w:r>
      <w:bookmarkStart w:id="45" w:name="_Hlk188374744"/>
      <w:r w:rsidRPr="00215667">
        <w:rPr>
          <w:bCs/>
        </w:rPr>
        <w:t xml:space="preserve"> </w:t>
      </w:r>
      <w:bookmarkEnd w:id="45"/>
      <w:r w:rsidRPr="00215667">
        <w:rPr>
          <w:bCs/>
        </w:rPr>
        <w:t>Понатаму во нивната студија тие објавиле упатство за клинички практичари, во кое заклучиле дека ефектот на TXA е единствен и зависи од начинот (брзината на  администрација, бројот на дози (употребата на единечни или повеќекратни дози на интравенска администрацијата). Тие, исто така, анализирајќи ги сите компаративните студии за ефективноста на ТХА, забележале појава на тромбоемболија, VTE, MI, CVA, TIA и/или васкуларно стентирање како ризик фактори и несакани дејствија од интравенска, локална и орална TXA, само кај 9</w:t>
      </w:r>
      <w:r w:rsidR="00210463">
        <w:rPr>
          <w:bCs/>
        </w:rPr>
        <w:t xml:space="preserve"> </w:t>
      </w:r>
      <w:r w:rsidRPr="00215667">
        <w:rPr>
          <w:bCs/>
        </w:rPr>
        <w:t xml:space="preserve">% од сите направени мета-анализи. Овие сериозни </w:t>
      </w:r>
      <w:r w:rsidR="00AA3088">
        <w:rPr>
          <w:bCs/>
        </w:rPr>
        <w:t>нузефекти</w:t>
      </w:r>
      <w:r w:rsidRPr="00215667">
        <w:rPr>
          <w:bCs/>
        </w:rPr>
        <w:t xml:space="preserve"> биле присутни само кај повозрасната група со коморбидитети, а останатите </w:t>
      </w:r>
      <w:r w:rsidR="00210463">
        <w:rPr>
          <w:bCs/>
        </w:rPr>
        <w:t>нузефект</w:t>
      </w:r>
      <w:r w:rsidRPr="00215667">
        <w:rPr>
          <w:bCs/>
        </w:rPr>
        <w:t>и вклучувале постоење на слабост, стомачни тегоби, несвестица, вртоглавица и главоболки. Земајќи ги предвид овие резултати, Lin ZX et all. (2016)</w:t>
      </w:r>
      <w:r w:rsidRPr="00215667">
        <w:rPr>
          <w:bCs/>
          <w:vertAlign w:val="superscript"/>
        </w:rPr>
        <w:t>133</w:t>
      </w:r>
      <w:r w:rsidRPr="00215667">
        <w:rPr>
          <w:bCs/>
        </w:rPr>
        <w:t xml:space="preserve"> и Poon MC. (2015)</w:t>
      </w:r>
      <w:r w:rsidRPr="00215667">
        <w:rPr>
          <w:bCs/>
          <w:vertAlign w:val="superscript"/>
        </w:rPr>
        <w:t>135</w:t>
      </w:r>
      <w:r w:rsidRPr="00215667">
        <w:rPr>
          <w:bCs/>
          <w:color w:val="FF0000"/>
        </w:rPr>
        <w:t xml:space="preserve"> </w:t>
      </w:r>
      <w:r w:rsidRPr="00215667">
        <w:rPr>
          <w:bCs/>
        </w:rPr>
        <w:t>и Neuenfeldt F. et all. (2021)</w:t>
      </w:r>
      <w:r w:rsidRPr="00215667">
        <w:rPr>
          <w:bCs/>
          <w:vertAlign w:val="superscript"/>
        </w:rPr>
        <w:t>134</w:t>
      </w:r>
      <w:r w:rsidRPr="00215667">
        <w:rPr>
          <w:bCs/>
        </w:rPr>
        <w:t xml:space="preserve"> , заклучиле дека интравенската примена на ТХА (во доза 10 mg/kg) е безбедна. исто како и во нашата студија е потврдена, </w:t>
      </w:r>
      <w:r w:rsidR="00210463">
        <w:rPr>
          <w:bCs/>
        </w:rPr>
        <w:t>т.е.</w:t>
      </w:r>
      <w:r w:rsidRPr="00215667">
        <w:rPr>
          <w:bCs/>
        </w:rPr>
        <w:t xml:space="preserve"> дека пријавените компликации од употребата на TXA се многу ниски и неспоредливи со нејзината ефикасност. Покрај тоа, TXA покажала потенцијал за намалување на крвна загуба, потребата од трансфузија, периоперативната промена на хемоглобинот и </w:t>
      </w:r>
      <w:r w:rsidRPr="00215667">
        <w:rPr>
          <w:bCs/>
        </w:rPr>
        <w:lastRenderedPageBreak/>
        <w:t>трошоците поврзани со болничко лекување (намалените лабораториски трошоци и пократкиот престој во болница) се веројатно главните фактори на употребата на TXA.</w:t>
      </w:r>
      <w:r w:rsidRPr="00215667">
        <w:t xml:space="preserve"> </w:t>
      </w:r>
      <w:bookmarkStart w:id="46" w:name="_Hlk188375266"/>
      <w:r w:rsidRPr="00215667">
        <w:t>Zhang P. et all. (2017)</w:t>
      </w:r>
      <w:r w:rsidRPr="00215667">
        <w:rPr>
          <w:vertAlign w:val="superscript"/>
        </w:rPr>
        <w:t>136</w:t>
      </w:r>
      <w:r w:rsidRPr="00215667">
        <w:t xml:space="preserve">, правејќи </w:t>
      </w:r>
      <w:r w:rsidR="00AA3088">
        <w:t>метаанализа</w:t>
      </w:r>
      <w:r w:rsidRPr="00215667">
        <w:t xml:space="preserve"> на ефективноста на ТХА, од целата достапна литература, покажале дека, </w:t>
      </w:r>
      <w:r w:rsidRPr="00215667">
        <w:rPr>
          <w:bCs/>
        </w:rPr>
        <w:t xml:space="preserve">системската администрација на TXA ја намалува загубата на крв и стапката на трансфузија без зголемување на компликацијата на </w:t>
      </w:r>
      <w:r w:rsidR="00065541">
        <w:rPr>
          <w:bCs/>
        </w:rPr>
        <w:t>тромбоемболија</w:t>
      </w:r>
      <w:r w:rsidRPr="00215667">
        <w:rPr>
          <w:bCs/>
        </w:rPr>
        <w:t xml:space="preserve"> при хируршки интервенции. Постарите лица се ризична група за тромботичен ризик, поради постоење на коморбидитети и затоа препораката е дека се потребни поголеми студии да се фокусираат на безбедноста на апликацијата TXA, особено кај постари пациенти</w:t>
      </w:r>
      <w:r w:rsidRPr="00AA3088">
        <w:rPr>
          <w:bCs/>
        </w:rPr>
        <w:t>.</w:t>
      </w:r>
      <w:r w:rsidRPr="00215667">
        <w:t xml:space="preserve"> Engelen ET et all. (2017)</w:t>
      </w:r>
      <w:r w:rsidRPr="00215667">
        <w:rPr>
          <w:vertAlign w:val="superscript"/>
        </w:rPr>
        <w:t>137</w:t>
      </w:r>
      <w:r w:rsidRPr="00215667">
        <w:t>, објавиле дека употребата на ТХА е безбедна и</w:t>
      </w:r>
      <w:r w:rsidRPr="00215667">
        <w:rPr>
          <w:color w:val="FF0000"/>
        </w:rPr>
        <w:t xml:space="preserve"> </w:t>
      </w:r>
      <w:r w:rsidRPr="00215667">
        <w:t>не била прекината ниту еден пациент поради појавата на несакани ефекти, како што се вртоглавица (1</w:t>
      </w:r>
      <w:r w:rsidR="00AA3088">
        <w:t xml:space="preserve"> </w:t>
      </w:r>
      <w:r w:rsidRPr="00215667">
        <w:t>%), гадење (2</w:t>
      </w:r>
      <w:r w:rsidR="00AA3088">
        <w:t xml:space="preserve"> </w:t>
      </w:r>
      <w:r w:rsidRPr="00215667">
        <w:t>%), или мало чувство на печење. Chauncey JM et all. (2025)</w:t>
      </w:r>
      <w:r w:rsidRPr="00215667">
        <w:rPr>
          <w:vertAlign w:val="superscript"/>
        </w:rPr>
        <w:t>110</w:t>
      </w:r>
      <w:r w:rsidRPr="00215667">
        <w:t xml:space="preserve"> и VanderMeulen H. (15), во однос на дозата и брзината на апликација, утврдиле дека дозата за возрасни: еден грам болус во 100 мл нормален физиолошки раствор, </w:t>
      </w:r>
      <w:r w:rsidR="00AA3088">
        <w:t xml:space="preserve">со </w:t>
      </w:r>
      <w:r w:rsidRPr="00215667">
        <w:t>бавна интравенозна апликација</w:t>
      </w:r>
      <w:r w:rsidR="00AA3088">
        <w:t xml:space="preserve"> </w:t>
      </w:r>
      <w:r w:rsidRPr="00215667">
        <w:t>е безбедна за пациентите. Брзата инфузија може да предизвика хипотензија и потенцирање на несаканите дејс</w:t>
      </w:r>
      <w:r w:rsidR="00AA3088">
        <w:t>т</w:t>
      </w:r>
      <w:r w:rsidRPr="00215667">
        <w:t>вија. Дозата од 1-1,5 грам може да се повтори во следните 8 часа, но не смее да се надмине дозата повеќе од 2 грама. Иако TXA има потврден бенефит од нејзина употреба, пом</w:t>
      </w:r>
      <w:r w:rsidR="00AA3088">
        <w:t>а</w:t>
      </w:r>
      <w:r w:rsidRPr="00215667">
        <w:t xml:space="preserve">га во намалувањето на загубата на крв, има низок профил на несакани ефекти и е безбедна за администрирање во повеќето случаи. </w:t>
      </w:r>
      <w:r w:rsidRPr="00215667">
        <w:rPr>
          <w:bCs/>
        </w:rPr>
        <w:t>Несаканите ефекти вклучуваат напади, главоболки, болки во грбот, абдоминална болка, гадење, повраќање, дијареа, замор, оштетување на видот на боја и други визуелни нарушувања</w:t>
      </w:r>
      <w:r w:rsidR="00AA3088">
        <w:rPr>
          <w:bCs/>
        </w:rPr>
        <w:t>.</w:t>
      </w:r>
      <w:r w:rsidRPr="00215667">
        <w:rPr>
          <w:color w:val="FF0000"/>
        </w:rPr>
        <w:t xml:space="preserve"> </w:t>
      </w:r>
      <w:r w:rsidRPr="00215667">
        <w:t xml:space="preserve">(138) </w:t>
      </w:r>
    </w:p>
    <w:p w14:paraId="59474BB2" w14:textId="4EFB59F4" w:rsidR="00412474" w:rsidRPr="00215667" w:rsidRDefault="00412474" w:rsidP="00341876">
      <w:pPr>
        <w:pStyle w:val="p1"/>
        <w:spacing w:line="360" w:lineRule="auto"/>
        <w:ind w:firstLine="720"/>
        <w:jc w:val="both"/>
        <w:rPr>
          <w:bCs/>
        </w:rPr>
      </w:pPr>
      <w:r w:rsidRPr="00215667">
        <w:rPr>
          <w:bCs/>
        </w:rPr>
        <w:t xml:space="preserve">Резултатите од анализите во однос на приказот на корелациите помеѓу вредностите на ADP, </w:t>
      </w:r>
      <w:r w:rsidR="00AA3088">
        <w:rPr>
          <w:bCs/>
        </w:rPr>
        <w:t>р</w:t>
      </w:r>
      <w:r w:rsidR="0021755D">
        <w:rPr>
          <w:bCs/>
        </w:rPr>
        <w:t>истоцетин</w:t>
      </w:r>
      <w:r w:rsidRPr="00215667">
        <w:rPr>
          <w:bCs/>
        </w:rPr>
        <w:t xml:space="preserve">, </w:t>
      </w:r>
      <w:r w:rsidR="00AA3088">
        <w:rPr>
          <w:bCs/>
        </w:rPr>
        <w:t>к</w:t>
      </w:r>
      <w:r w:rsidR="0021755D">
        <w:rPr>
          <w:bCs/>
        </w:rPr>
        <w:t>олаген</w:t>
      </w:r>
      <w:r w:rsidRPr="00215667">
        <w:rPr>
          <w:bCs/>
        </w:rPr>
        <w:t>, PT при постекстракционо крвавење и потребата од повторна интравенска апликација на ТХА (втора доза постоперативно, по 8 часа) покажаа дека: утврдивме умерена негативна (индиректна) сигнификантна корелација помеѓу: вредностите на ADP и потребата од повторување на апликацијаа на ТХА (r</w:t>
      </w:r>
      <w:r w:rsidR="00AA3088">
        <w:rPr>
          <w:bCs/>
        </w:rPr>
        <w:t xml:space="preserve"> </w:t>
      </w:r>
      <w:r w:rsidRPr="00215667">
        <w:rPr>
          <w:bCs/>
        </w:rPr>
        <w:t>=</w:t>
      </w:r>
      <w:r w:rsidR="00AA3088">
        <w:rPr>
          <w:bCs/>
        </w:rPr>
        <w:t xml:space="preserve"> </w:t>
      </w:r>
      <w:r w:rsidRPr="00215667">
        <w:rPr>
          <w:bCs/>
        </w:rPr>
        <w:t>-. 3039, p</w:t>
      </w:r>
      <w:r w:rsidR="00AA3088">
        <w:rPr>
          <w:bCs/>
        </w:rPr>
        <w:t xml:space="preserve"> </w:t>
      </w:r>
      <w:r w:rsidRPr="00215667">
        <w:rPr>
          <w:bCs/>
        </w:rPr>
        <w:t>=</w:t>
      </w:r>
      <w:r w:rsidR="00AA3088">
        <w:rPr>
          <w:bCs/>
        </w:rPr>
        <w:t xml:space="preserve"> </w:t>
      </w:r>
      <w:r w:rsidRPr="00215667">
        <w:rPr>
          <w:bCs/>
        </w:rPr>
        <w:t xml:space="preserve">.015), помеѓу вредностите на </w:t>
      </w:r>
      <w:r w:rsidR="00AA3088">
        <w:rPr>
          <w:bCs/>
        </w:rPr>
        <w:t>р</w:t>
      </w:r>
      <w:r w:rsidR="0021755D">
        <w:rPr>
          <w:bCs/>
        </w:rPr>
        <w:t>истоцетин</w:t>
      </w:r>
      <w:r w:rsidRPr="00215667">
        <w:rPr>
          <w:bCs/>
        </w:rPr>
        <w:t xml:space="preserve"> (r</w:t>
      </w:r>
      <w:r w:rsidR="00AA3088">
        <w:rPr>
          <w:bCs/>
        </w:rPr>
        <w:t xml:space="preserve"> </w:t>
      </w:r>
      <w:r w:rsidRPr="00215667">
        <w:rPr>
          <w:bCs/>
        </w:rPr>
        <w:t>=</w:t>
      </w:r>
      <w:r w:rsidR="00AA3088">
        <w:rPr>
          <w:bCs/>
        </w:rPr>
        <w:t xml:space="preserve"> </w:t>
      </w:r>
      <w:r w:rsidRPr="00215667">
        <w:rPr>
          <w:bCs/>
        </w:rPr>
        <w:t>-. 3178, p</w:t>
      </w:r>
      <w:r w:rsidR="00AA3088">
        <w:rPr>
          <w:bCs/>
        </w:rPr>
        <w:t xml:space="preserve"> </w:t>
      </w:r>
      <w:r w:rsidRPr="00215667">
        <w:rPr>
          <w:bCs/>
        </w:rPr>
        <w:t>=</w:t>
      </w:r>
      <w:r w:rsidR="00AA3088">
        <w:rPr>
          <w:bCs/>
        </w:rPr>
        <w:t xml:space="preserve"> </w:t>
      </w:r>
      <w:r w:rsidRPr="00215667">
        <w:rPr>
          <w:bCs/>
        </w:rPr>
        <w:t xml:space="preserve">.011) и помеѓу вредностите на </w:t>
      </w:r>
      <w:r w:rsidR="00AA3088">
        <w:rPr>
          <w:bCs/>
        </w:rPr>
        <w:t>к</w:t>
      </w:r>
      <w:r w:rsidR="0021755D">
        <w:rPr>
          <w:bCs/>
        </w:rPr>
        <w:t>олаген</w:t>
      </w:r>
      <w:r w:rsidRPr="00215667">
        <w:rPr>
          <w:bCs/>
        </w:rPr>
        <w:t xml:space="preserve"> и потребата од повторување на дозата, постоперативно (број на апликации на </w:t>
      </w:r>
      <w:r w:rsidR="00F00F01">
        <w:rPr>
          <w:bCs/>
        </w:rPr>
        <w:t>транексамична</w:t>
      </w:r>
      <w:r w:rsidRPr="00215667">
        <w:rPr>
          <w:bCs/>
        </w:rPr>
        <w:t xml:space="preserve"> киселина), (r</w:t>
      </w:r>
      <w:r w:rsidR="00AA3088">
        <w:rPr>
          <w:bCs/>
        </w:rPr>
        <w:t xml:space="preserve"> </w:t>
      </w:r>
      <w:r w:rsidRPr="00215667">
        <w:rPr>
          <w:bCs/>
        </w:rPr>
        <w:t>=</w:t>
      </w:r>
      <w:r w:rsidR="00AA3088">
        <w:rPr>
          <w:bCs/>
        </w:rPr>
        <w:t xml:space="preserve"> </w:t>
      </w:r>
      <w:r w:rsidRPr="00215667">
        <w:rPr>
          <w:bCs/>
        </w:rPr>
        <w:t>-. 3706, p</w:t>
      </w:r>
      <w:r w:rsidR="00AA3088">
        <w:rPr>
          <w:bCs/>
        </w:rPr>
        <w:t xml:space="preserve"> </w:t>
      </w:r>
      <w:r w:rsidRPr="00215667">
        <w:rPr>
          <w:bCs/>
        </w:rPr>
        <w:t>=</w:t>
      </w:r>
      <w:r w:rsidR="00AA3088">
        <w:rPr>
          <w:bCs/>
        </w:rPr>
        <w:t xml:space="preserve"> </w:t>
      </w:r>
      <w:r w:rsidRPr="00215667">
        <w:rPr>
          <w:bCs/>
        </w:rPr>
        <w:t>.003) (таб</w:t>
      </w:r>
      <w:r w:rsidR="00AA3088">
        <w:rPr>
          <w:bCs/>
        </w:rPr>
        <w:t>ела бр. 21а, б, в</w:t>
      </w:r>
      <w:r w:rsidRPr="00215667">
        <w:rPr>
          <w:bCs/>
        </w:rPr>
        <w:t xml:space="preserve"> и граф</w:t>
      </w:r>
      <w:r w:rsidR="00AA3088">
        <w:rPr>
          <w:bCs/>
        </w:rPr>
        <w:t xml:space="preserve">икон </w:t>
      </w:r>
      <w:r w:rsidRPr="00215667">
        <w:rPr>
          <w:bCs/>
        </w:rPr>
        <w:t xml:space="preserve">бр. 21а, б и в). Нашите наоди потврдуваат дека PEB е во индиректна корелација со најниските </w:t>
      </w:r>
      <w:r w:rsidRPr="00215667">
        <w:rPr>
          <w:bCs/>
        </w:rPr>
        <w:lastRenderedPageBreak/>
        <w:t xml:space="preserve">вредности на ADP, </w:t>
      </w:r>
      <w:r w:rsidR="00AA3088">
        <w:rPr>
          <w:bCs/>
        </w:rPr>
        <w:t>р</w:t>
      </w:r>
      <w:r w:rsidR="0021755D">
        <w:rPr>
          <w:bCs/>
        </w:rPr>
        <w:t>истоцетин</w:t>
      </w:r>
      <w:r w:rsidRPr="00215667">
        <w:rPr>
          <w:bCs/>
        </w:rPr>
        <w:t xml:space="preserve">, </w:t>
      </w:r>
      <w:r w:rsidR="00AA3088">
        <w:rPr>
          <w:bCs/>
        </w:rPr>
        <w:t>к</w:t>
      </w:r>
      <w:r w:rsidR="0021755D">
        <w:rPr>
          <w:bCs/>
        </w:rPr>
        <w:t>олаген</w:t>
      </w:r>
      <w:r w:rsidRPr="00215667">
        <w:rPr>
          <w:bCs/>
        </w:rPr>
        <w:t xml:space="preserve">, </w:t>
      </w:r>
      <w:r w:rsidR="00AA3088">
        <w:rPr>
          <w:bCs/>
        </w:rPr>
        <w:t>т.е.</w:t>
      </w:r>
      <w:r w:rsidRPr="00215667">
        <w:rPr>
          <w:bCs/>
        </w:rPr>
        <w:t xml:space="preserve"> колку се пониски вредностите на сигнификантните предиктори на хипоагрегабилноста толку крвавењето ќе биде подолго, податок кој ја наметнува потребата од предоператвно предвидување за евентуално повторување на дозата на ТХА, по 8 часа. </w:t>
      </w:r>
    </w:p>
    <w:p w14:paraId="1F2FE0DB" w14:textId="6409E303" w:rsidR="00412474" w:rsidRPr="00215667" w:rsidRDefault="00412474" w:rsidP="00AA3088">
      <w:pPr>
        <w:pStyle w:val="p1"/>
        <w:spacing w:line="360" w:lineRule="auto"/>
        <w:ind w:firstLine="720"/>
        <w:jc w:val="both"/>
        <w:rPr>
          <w:bCs/>
        </w:rPr>
      </w:pPr>
      <w:r w:rsidRPr="00215667">
        <w:rPr>
          <w:bCs/>
        </w:rPr>
        <w:t xml:space="preserve">Клиничкиот ризик од продолжено крвавење е индиректно поврзан со ниски вредности на ADP, </w:t>
      </w:r>
      <w:r w:rsidR="00AA3088">
        <w:rPr>
          <w:bCs/>
        </w:rPr>
        <w:t>р</w:t>
      </w:r>
      <w:r w:rsidR="0021755D">
        <w:rPr>
          <w:bCs/>
        </w:rPr>
        <w:t>истоцетин</w:t>
      </w:r>
      <w:r w:rsidRPr="00215667">
        <w:rPr>
          <w:bCs/>
        </w:rPr>
        <w:t xml:space="preserve">, </w:t>
      </w:r>
      <w:r w:rsidR="00AA3088">
        <w:rPr>
          <w:bCs/>
        </w:rPr>
        <w:t>к</w:t>
      </w:r>
      <w:r w:rsidR="0021755D">
        <w:rPr>
          <w:bCs/>
        </w:rPr>
        <w:t>олаген</w:t>
      </w:r>
      <w:r w:rsidRPr="00215667">
        <w:rPr>
          <w:bCs/>
        </w:rPr>
        <w:t xml:space="preserve"> идентификувани со скрининг тестовите во нашите податоци. Сите претходни резултати во нашата студија, потврдиле забележително намалување на постоперативното </w:t>
      </w:r>
      <w:r w:rsidR="00EC49EB" w:rsidRPr="00215667">
        <w:rPr>
          <w:bCs/>
        </w:rPr>
        <w:t>крвавење</w:t>
      </w:r>
      <w:r w:rsidRPr="00215667">
        <w:rPr>
          <w:bCs/>
        </w:rPr>
        <w:t xml:space="preserve"> по кога се користи TXA, како рутинската предоперативна процедура (Lewandowski</w:t>
      </w:r>
      <w:r w:rsidRPr="00215667">
        <w:t xml:space="preserve"> </w:t>
      </w:r>
      <w:r w:rsidRPr="00215667">
        <w:rPr>
          <w:bCs/>
        </w:rPr>
        <w:t>B. et all. (2021)</w:t>
      </w:r>
      <w:r w:rsidRPr="00215667">
        <w:rPr>
          <w:bCs/>
          <w:vertAlign w:val="superscript"/>
        </w:rPr>
        <w:t>139</w:t>
      </w:r>
      <w:r w:rsidRPr="00215667">
        <w:rPr>
          <w:bCs/>
        </w:rPr>
        <w:t xml:space="preserve">. </w:t>
      </w:r>
      <w:bookmarkEnd w:id="46"/>
      <w:r w:rsidRPr="00215667">
        <w:rPr>
          <w:bCs/>
        </w:rPr>
        <w:t>Според индексот на динамика регистриравме темпо на пораст на лесниот интензитет на крвавење постекстракционо за 53</w:t>
      </w:r>
      <w:r w:rsidR="00AA3088">
        <w:rPr>
          <w:bCs/>
        </w:rPr>
        <w:t>.</w:t>
      </w:r>
      <w:r w:rsidRPr="00215667">
        <w:rPr>
          <w:bCs/>
        </w:rPr>
        <w:t>0</w:t>
      </w:r>
      <w:r w:rsidR="00AA3088">
        <w:rPr>
          <w:bCs/>
        </w:rPr>
        <w:t>.</w:t>
      </w:r>
      <w:r w:rsidRPr="00215667">
        <w:rPr>
          <w:bCs/>
        </w:rPr>
        <w:t>% во однос на неприпремените пациенти и темпо на опаѓање на умерениот интензитет на крвавење  за  94.1</w:t>
      </w:r>
      <w:r w:rsidR="00AA3088">
        <w:rPr>
          <w:bCs/>
        </w:rPr>
        <w:t xml:space="preserve"> </w:t>
      </w:r>
      <w:r w:rsidRPr="00215667">
        <w:rPr>
          <w:bCs/>
        </w:rPr>
        <w:t>%</w:t>
      </w:r>
      <w:r w:rsidR="00AA3088">
        <w:rPr>
          <w:bCs/>
        </w:rPr>
        <w:t>,</w:t>
      </w:r>
      <w:r w:rsidRPr="00215667">
        <w:rPr>
          <w:bCs/>
        </w:rPr>
        <w:t xml:space="preserve"> а на тешки крвавења за 100</w:t>
      </w:r>
      <w:r w:rsidR="00AA3088">
        <w:rPr>
          <w:bCs/>
        </w:rPr>
        <w:t xml:space="preserve"> </w:t>
      </w:r>
      <w:r w:rsidRPr="00215667">
        <w:rPr>
          <w:bCs/>
        </w:rPr>
        <w:t>%, во однос на неприпремените пациенти.</w:t>
      </w:r>
    </w:p>
    <w:p w14:paraId="0AD1E856" w14:textId="3FEEA812" w:rsidR="00412474" w:rsidRPr="00215667" w:rsidRDefault="00412474" w:rsidP="00AA3088">
      <w:pPr>
        <w:pStyle w:val="p1"/>
        <w:spacing w:line="360" w:lineRule="auto"/>
        <w:ind w:firstLine="720"/>
        <w:jc w:val="both"/>
        <w:rPr>
          <w:bCs/>
        </w:rPr>
      </w:pPr>
      <w:r w:rsidRPr="00215667">
        <w:rPr>
          <w:bCs/>
        </w:rPr>
        <w:t xml:space="preserve">Базирано на досегашните водичи и упатства за пациенти со хипоагрегабилност на тромбоцити, со предоперативна профилакса со </w:t>
      </w:r>
      <w:r w:rsidR="00AA3088">
        <w:rPr>
          <w:bCs/>
        </w:rPr>
        <w:t>т</w:t>
      </w:r>
      <w:r w:rsidRPr="00215667">
        <w:rPr>
          <w:bCs/>
        </w:rPr>
        <w:t>ранексемичка киселина, технички внимателно извршената операција (со минимално оштетување на коските и слузницата) и употребата на предложени локални хемостатски методи се клучот за намалување на ризикот од PEB и несакани ефекти; се минимизира</w:t>
      </w:r>
      <w:r w:rsidR="00AA3088">
        <w:rPr>
          <w:bCs/>
        </w:rPr>
        <w:t xml:space="preserve"> </w:t>
      </w:r>
      <w:r w:rsidRPr="00215667">
        <w:rPr>
          <w:bCs/>
        </w:rPr>
        <w:t>ризикот и пациентите при изведување на дентоалвеоларни процедури се безбедни во 98</w:t>
      </w:r>
      <w:r w:rsidR="00AA3088">
        <w:rPr>
          <w:bCs/>
        </w:rPr>
        <w:t xml:space="preserve"> </w:t>
      </w:r>
      <w:r w:rsidRPr="00215667">
        <w:rPr>
          <w:bCs/>
        </w:rPr>
        <w:t>% од случаите.</w:t>
      </w:r>
    </w:p>
    <w:p w14:paraId="5CD714A2" w14:textId="17DDEB42" w:rsidR="001B261B" w:rsidRPr="00215667" w:rsidRDefault="001B261B" w:rsidP="00412474">
      <w:pPr>
        <w:spacing w:line="240" w:lineRule="auto"/>
        <w:rPr>
          <w:rFonts w:ascii="Times New Roman" w:hAnsi="Times New Roman" w:cs="Times New Roman"/>
          <w:sz w:val="24"/>
          <w:szCs w:val="24"/>
        </w:rPr>
      </w:pPr>
    </w:p>
    <w:p w14:paraId="2E5C4833" w14:textId="5240107E" w:rsidR="001B261B" w:rsidRPr="00215667" w:rsidRDefault="001B261B" w:rsidP="00215667">
      <w:pPr>
        <w:pStyle w:val="Heading2"/>
        <w:rPr>
          <w:rFonts w:ascii="Times New Roman" w:hAnsi="Times New Roman" w:cs="Times New Roman"/>
          <w:b/>
          <w:bCs/>
          <w:color w:val="000000" w:themeColor="text1"/>
          <w:sz w:val="24"/>
          <w:szCs w:val="24"/>
        </w:rPr>
      </w:pPr>
      <w:bookmarkStart w:id="47" w:name="_Toc209005162"/>
      <w:r w:rsidRPr="00215667">
        <w:rPr>
          <w:rFonts w:ascii="Times New Roman" w:hAnsi="Times New Roman" w:cs="Times New Roman"/>
          <w:b/>
          <w:bCs/>
          <w:color w:val="000000" w:themeColor="text1"/>
          <w:sz w:val="24"/>
          <w:szCs w:val="24"/>
        </w:rPr>
        <w:t xml:space="preserve">Орална </w:t>
      </w:r>
      <w:r w:rsidR="00AA3088">
        <w:rPr>
          <w:rFonts w:ascii="Times New Roman" w:hAnsi="Times New Roman" w:cs="Times New Roman"/>
          <w:b/>
          <w:bCs/>
          <w:color w:val="000000" w:themeColor="text1"/>
          <w:sz w:val="24"/>
          <w:szCs w:val="24"/>
        </w:rPr>
        <w:t>антикоагулантна</w:t>
      </w:r>
      <w:r w:rsidRPr="00215667">
        <w:rPr>
          <w:rFonts w:ascii="Times New Roman" w:hAnsi="Times New Roman" w:cs="Times New Roman"/>
          <w:b/>
          <w:bCs/>
          <w:color w:val="000000" w:themeColor="text1"/>
          <w:sz w:val="24"/>
          <w:szCs w:val="24"/>
        </w:rPr>
        <w:t xml:space="preserve"> и антиагрегациона терапија</w:t>
      </w:r>
      <w:bookmarkEnd w:id="47"/>
      <w:r w:rsidRPr="00215667">
        <w:rPr>
          <w:rFonts w:ascii="Times New Roman" w:hAnsi="Times New Roman" w:cs="Times New Roman"/>
          <w:b/>
          <w:bCs/>
          <w:color w:val="000000" w:themeColor="text1"/>
          <w:sz w:val="24"/>
          <w:szCs w:val="24"/>
        </w:rPr>
        <w:t xml:space="preserve"> </w:t>
      </w:r>
    </w:p>
    <w:p w14:paraId="3B47257E" w14:textId="77777777" w:rsidR="001B261B" w:rsidRPr="00215667" w:rsidRDefault="001B261B" w:rsidP="00412474">
      <w:pPr>
        <w:spacing w:line="240" w:lineRule="auto"/>
        <w:rPr>
          <w:rFonts w:ascii="Times New Roman" w:hAnsi="Times New Roman" w:cs="Times New Roman"/>
          <w:sz w:val="24"/>
          <w:szCs w:val="24"/>
        </w:rPr>
      </w:pPr>
    </w:p>
    <w:p w14:paraId="18A01AA7" w14:textId="42053535" w:rsidR="00412474" w:rsidRPr="00215667" w:rsidRDefault="00412474" w:rsidP="00AA3088">
      <w:pPr>
        <w:pStyle w:val="p1"/>
        <w:spacing w:line="360" w:lineRule="auto"/>
        <w:ind w:firstLine="720"/>
        <w:jc w:val="both"/>
      </w:pPr>
      <w:r w:rsidRPr="00215667">
        <w:t xml:space="preserve">Анализата на постекстракционото крвавење кај пациенти кои примаат орална антикоагулантна или антиагрегациона терапија покажа дека овие лекови влијаат на зголемување на PEB. Мултипните вкрстувачки анализи покажаа дека постојат значајни статистички разлики во времето на постекстракционо крвавење кај пациентите кои ја прекинале наспроти пациентите кои не ја прекинале оваа терапија, независно од возраста. Се покажа дека вредноста на INR има големо </w:t>
      </w:r>
      <w:r w:rsidRPr="00215667">
        <w:lastRenderedPageBreak/>
        <w:t xml:space="preserve">влијание врз степенот на постекстракционо крвавење. Кај групата со највисоки вредности на INR (над 1.65), се добија резултати кои укажуваат на најсилно постекстракционо крвавење. Безбедни вредности на INR за извршување екстракција на заби или дентоалвеоларни хируршки интервенции се под 1.65. HAS-BLED индексот се покажа дека е значаен фактор за вредноста на PEB, особено вредностите на овој индекс над 3. </w:t>
      </w:r>
    </w:p>
    <w:p w14:paraId="512B4A0A" w14:textId="55A7B5AB" w:rsidR="00412474" w:rsidRPr="00215667" w:rsidRDefault="00412474" w:rsidP="00AA3088">
      <w:pPr>
        <w:pStyle w:val="p1"/>
        <w:spacing w:line="360" w:lineRule="auto"/>
        <w:ind w:firstLine="720"/>
        <w:jc w:val="both"/>
      </w:pPr>
      <w:r w:rsidRPr="00215667">
        <w:t xml:space="preserve">Антикоагулантната терапија е позната по тоа што обезбедува значајна терапевтска предност преку намалување на ризикот од тромбоемболизам кај бројни системски заболувања (Mega и Simon, 2015; Kapil </w:t>
      </w:r>
      <w:r w:rsidR="001B261B" w:rsidRPr="00215667">
        <w:rPr>
          <w:lang w:val="en-US"/>
        </w:rPr>
        <w:t>et al</w:t>
      </w:r>
      <w:r w:rsidRPr="00215667">
        <w:t>., 2017)</w:t>
      </w:r>
      <w:r w:rsidR="00AA3088">
        <w:t>.</w:t>
      </w:r>
      <w:r w:rsidR="001B261B" w:rsidRPr="00215667">
        <w:rPr>
          <w:vertAlign w:val="superscript"/>
          <w:lang w:val="en-US"/>
        </w:rPr>
        <w:t>140, 141</w:t>
      </w:r>
      <w:r w:rsidR="00AA3088">
        <w:t xml:space="preserve"> </w:t>
      </w:r>
      <w:r w:rsidRPr="00215667">
        <w:t xml:space="preserve">Антагонистите на витамин К (VKA) долго време се сметаа за златен стандард во системската антикоагулација. Сепак, значајна недостаток при нивната примена е потребата од чести прилагодувања на дозата за да се одржи терапевтскиот интервал на INR. Дополнително, VKA имаат бројни интеракции со храна и други лекови, бавно почнуваат да дејствуваат (што бара поклопување со хепаринска терапија), и се поврзани со зголемен ризик од хеморагиски настани (Zolfaghari </w:t>
      </w:r>
      <w:r w:rsidR="001B261B" w:rsidRPr="00215667">
        <w:rPr>
          <w:lang w:val="en-US"/>
        </w:rPr>
        <w:t>et al.</w:t>
      </w:r>
      <w:r w:rsidRPr="00215667">
        <w:t xml:space="preserve">, 2014; Ntaios </w:t>
      </w:r>
      <w:r w:rsidR="001B261B" w:rsidRPr="00215667">
        <w:rPr>
          <w:lang w:val="en-US"/>
        </w:rPr>
        <w:t>et al</w:t>
      </w:r>
      <w:r w:rsidRPr="00215667">
        <w:t>., 2017)</w:t>
      </w:r>
      <w:r w:rsidR="00AA3088">
        <w:t>.</w:t>
      </w:r>
      <w:r w:rsidR="001B261B" w:rsidRPr="00215667">
        <w:rPr>
          <w:vertAlign w:val="superscript"/>
          <w:lang w:val="en-US"/>
        </w:rPr>
        <w:t>142,143</w:t>
      </w:r>
    </w:p>
    <w:p w14:paraId="04C44584" w14:textId="0150E888" w:rsidR="00412474" w:rsidRPr="00215667" w:rsidRDefault="00412474" w:rsidP="00AA3088">
      <w:pPr>
        <w:pStyle w:val="p1"/>
        <w:spacing w:line="360" w:lineRule="auto"/>
        <w:ind w:firstLine="720"/>
        <w:jc w:val="both"/>
      </w:pPr>
      <w:r w:rsidRPr="00215667">
        <w:t xml:space="preserve">Развојот на директните орални антикоагуланси (DOAC), кои делуваат директно на поединечни фактори на коагулација, во голема мера ги надмина овие ограничувања. Тие имаат брзо дејство, ограничени интеракции со храна и лекови, не бараат редовно терапевтско следење, и генерално се карактеризираат со повисока ефикасност и подобар безбедносен профил (Almutairi </w:t>
      </w:r>
      <w:r w:rsidR="001B261B" w:rsidRPr="00215667">
        <w:t>e</w:t>
      </w:r>
      <w:r w:rsidR="001B261B" w:rsidRPr="00215667">
        <w:rPr>
          <w:lang w:val="en-US"/>
        </w:rPr>
        <w:t>t al</w:t>
      </w:r>
      <w:r w:rsidRPr="00215667">
        <w:t xml:space="preserve">., 2017; Ntaios </w:t>
      </w:r>
      <w:r w:rsidR="001B261B" w:rsidRPr="00215667">
        <w:rPr>
          <w:lang w:val="en-US"/>
        </w:rPr>
        <w:t>et al</w:t>
      </w:r>
      <w:r w:rsidRPr="00215667">
        <w:t>., 2017)</w:t>
      </w:r>
      <w:r w:rsidR="00AA3088">
        <w:t>.</w:t>
      </w:r>
      <w:r w:rsidR="001B261B" w:rsidRPr="00215667">
        <w:rPr>
          <w:vertAlign w:val="superscript"/>
          <w:lang w:val="en-US"/>
        </w:rPr>
        <w:t>144,</w:t>
      </w:r>
      <w:r w:rsidR="00AA3088">
        <w:rPr>
          <w:vertAlign w:val="superscript"/>
        </w:rPr>
        <w:t xml:space="preserve"> </w:t>
      </w:r>
      <w:r w:rsidR="001B261B" w:rsidRPr="00215667">
        <w:rPr>
          <w:vertAlign w:val="superscript"/>
          <w:lang w:val="en-US"/>
        </w:rPr>
        <w:t>143</w:t>
      </w:r>
      <w:r w:rsidRPr="00215667">
        <w:t xml:space="preserve"> Всушност, во </w:t>
      </w:r>
      <w:r w:rsidR="00AA3088">
        <w:t>метаанализа</w:t>
      </w:r>
      <w:r w:rsidRPr="00215667">
        <w:t xml:space="preserve"> на седум рандомизирани контролирани студии (RCTs), Almutairi </w:t>
      </w:r>
      <w:r w:rsidR="001B261B" w:rsidRPr="00215667">
        <w:rPr>
          <w:lang w:val="en-US"/>
        </w:rPr>
        <w:t>et al</w:t>
      </w:r>
      <w:r w:rsidRPr="00215667">
        <w:t xml:space="preserve">. (2017) покажале намалување на ризикот од тешко </w:t>
      </w:r>
      <w:r w:rsidR="00EC49EB" w:rsidRPr="00215667">
        <w:t>крвавење</w:t>
      </w:r>
      <w:r w:rsidRPr="00215667">
        <w:t xml:space="preserve"> од 32</w:t>
      </w:r>
      <w:r w:rsidR="00AF69F8">
        <w:t xml:space="preserve"> </w:t>
      </w:r>
      <w:r w:rsidRPr="00215667">
        <w:t>% до 69</w:t>
      </w:r>
      <w:r w:rsidR="00AF69F8">
        <w:t xml:space="preserve"> </w:t>
      </w:r>
      <w:r w:rsidRPr="00215667">
        <w:t>% при употреба на DOAC во споредба со VKA.</w:t>
      </w:r>
      <w:r w:rsidR="001B261B" w:rsidRPr="00215667">
        <w:rPr>
          <w:lang w:val="en-US"/>
        </w:rPr>
        <w:t xml:space="preserve"> </w:t>
      </w:r>
      <w:r w:rsidRPr="00215667">
        <w:t>Сепак, останува нејасен ризикот од хеморагија по мали хируршки интервенции како што е екстракцијата на заби при споредба меѓу овие две класи лекови</w:t>
      </w:r>
      <w:r w:rsidR="00AF69F8">
        <w:t>, и</w:t>
      </w:r>
      <w:r w:rsidRPr="00215667">
        <w:t xml:space="preserve"> покрај нивниот генерално поволен профил</w:t>
      </w:r>
      <w:r w:rsidR="00AF69F8">
        <w:t>.</w:t>
      </w:r>
    </w:p>
    <w:p w14:paraId="78AB914C" w14:textId="4CE38590" w:rsidR="00412474" w:rsidRPr="00215667" w:rsidRDefault="00412474" w:rsidP="00AF69F8">
      <w:pPr>
        <w:pStyle w:val="p1"/>
        <w:spacing w:line="360" w:lineRule="auto"/>
        <w:ind w:firstLine="720"/>
        <w:jc w:val="both"/>
      </w:pPr>
      <w:r w:rsidRPr="00215667">
        <w:t xml:space="preserve">Постојат дилеми меѓу клиничарите во однос на реверзибилноста на овие лекови во случаи на тешко </w:t>
      </w:r>
      <w:r w:rsidR="00EC49EB" w:rsidRPr="00215667">
        <w:t>крвавење</w:t>
      </w:r>
      <w:r w:rsidRPr="00215667">
        <w:t xml:space="preserve">. Иако неодамна се развиени реверзибилни агенси како андексанет алфа, нивната цена и достапност сè уште претставуваат </w:t>
      </w:r>
      <w:r w:rsidRPr="00215667">
        <w:lastRenderedPageBreak/>
        <w:t>ограничувачки фактор (Frontera et al., 2020)</w:t>
      </w:r>
      <w:r w:rsidR="001B261B" w:rsidRPr="00215667">
        <w:rPr>
          <w:vertAlign w:val="superscript"/>
          <w:lang w:val="en-US"/>
        </w:rPr>
        <w:t>145</w:t>
      </w:r>
      <w:r w:rsidRPr="00215667">
        <w:t xml:space="preserve">. Второ, клиничарите можат да го следат INR кај пациенти на терапија со VKA за да го проценат ризикот од </w:t>
      </w:r>
      <w:r w:rsidR="00EC49EB" w:rsidRPr="00215667">
        <w:t>крвавење</w:t>
      </w:r>
      <w:r w:rsidRPr="00215667">
        <w:t>, но не постои слична алатка за проценка на ризик кај пациенти на DOAC (Favaloro, 201</w:t>
      </w:r>
      <w:r w:rsidR="001B261B" w:rsidRPr="00215667">
        <w:rPr>
          <w:lang w:val="en-US"/>
        </w:rPr>
        <w:t>5</w:t>
      </w:r>
      <w:r w:rsidRPr="00215667">
        <w:t>)</w:t>
      </w:r>
      <w:r w:rsidR="001B261B" w:rsidRPr="00215667">
        <w:rPr>
          <w:vertAlign w:val="superscript"/>
          <w:lang w:val="en-US"/>
        </w:rPr>
        <w:t>146</w:t>
      </w:r>
      <w:r w:rsidRPr="00215667">
        <w:t>. И покрај сѐ, не постојат јасни насоки за периоперативно менаџирање на пациенти кои примаат DOAC (Brennan et al., 20</w:t>
      </w:r>
      <w:r w:rsidR="001B261B" w:rsidRPr="00215667">
        <w:rPr>
          <w:lang w:val="en-US"/>
        </w:rPr>
        <w:t>20</w:t>
      </w:r>
      <w:r w:rsidRPr="00215667">
        <w:t>).</w:t>
      </w:r>
      <w:r w:rsidR="001B261B" w:rsidRPr="00215667">
        <w:rPr>
          <w:vertAlign w:val="superscript"/>
          <w:lang w:val="en-US"/>
        </w:rPr>
        <w:t>147</w:t>
      </w:r>
      <w:r w:rsidRPr="00215667">
        <w:t xml:space="preserve"> Препораките варираат </w:t>
      </w:r>
      <w:r w:rsidR="00AF69F8">
        <w:t>-</w:t>
      </w:r>
      <w:r w:rsidRPr="00215667">
        <w:t xml:space="preserve"> од продолжување на терапијата со DOAC за време на екстракцијата, до прекинување на една или две дози пред интервенцијата (Brennan et al., 20</w:t>
      </w:r>
      <w:r w:rsidR="001B261B" w:rsidRPr="00215667">
        <w:rPr>
          <w:lang w:val="en-US"/>
        </w:rPr>
        <w:t>20</w:t>
      </w:r>
      <w:r w:rsidRPr="00215667">
        <w:t>). Едно неодамнешно истражување спроведено од Precht et al. (2019) покажува дека 94</w:t>
      </w:r>
      <w:r w:rsidR="00AF69F8">
        <w:t xml:space="preserve"> </w:t>
      </w:r>
      <w:r w:rsidRPr="00215667">
        <w:t>% од стоматолозите продолжуваат со терапијата со VKA при екстракција на еден заб, додека 62</w:t>
      </w:r>
      <w:r w:rsidR="00AF69F8">
        <w:t xml:space="preserve"> </w:t>
      </w:r>
      <w:r w:rsidRPr="00215667">
        <w:t>% од нив ја прекинуваат терапијата со DOAC</w:t>
      </w:r>
      <w:r w:rsidR="001B261B" w:rsidRPr="00215667">
        <w:rPr>
          <w:lang w:val="en-US"/>
        </w:rPr>
        <w:t>.</w:t>
      </w:r>
      <w:r w:rsidR="001B261B" w:rsidRPr="00215667">
        <w:rPr>
          <w:vertAlign w:val="superscript"/>
          <w:lang w:val="en-US"/>
        </w:rPr>
        <w:t>148</w:t>
      </w:r>
      <w:r w:rsidRPr="00215667">
        <w:t xml:space="preserve"> Со оглед на ваквата неодреденост, резултатите од нашата анализа на </w:t>
      </w:r>
      <w:r w:rsidRPr="00215667">
        <w:rPr>
          <w:rStyle w:val="s1"/>
          <w:rFonts w:eastAsiaTheme="majorEastAsia"/>
        </w:rPr>
        <w:t>постекстракционото крвавење</w:t>
      </w:r>
      <w:r w:rsidRPr="00215667">
        <w:rPr>
          <w:rStyle w:val="s1"/>
          <w:rFonts w:eastAsiaTheme="majorEastAsia"/>
          <w:b/>
          <w:bCs/>
        </w:rPr>
        <w:t xml:space="preserve"> </w:t>
      </w:r>
      <w:r w:rsidRPr="00215667">
        <w:t>даваат одредено разјаснување во однос на ризикот од хеморагија при непрекината терапија со DOAC/VKA и аспирин во споредба со непрекината терапија.</w:t>
      </w:r>
    </w:p>
    <w:p w14:paraId="68F20139" w14:textId="13C83F87" w:rsidR="00412474" w:rsidRPr="00215667" w:rsidRDefault="00412474" w:rsidP="00AF69F8">
      <w:pPr>
        <w:pStyle w:val="p1"/>
        <w:spacing w:line="360" w:lineRule="auto"/>
        <w:ind w:firstLine="720"/>
        <w:jc w:val="both"/>
      </w:pPr>
      <w:r w:rsidRPr="00215667">
        <w:t xml:space="preserve">Во Јапонија се воспоставени </w:t>
      </w:r>
      <w:r w:rsidRPr="00215667">
        <w:rPr>
          <w:rStyle w:val="s1"/>
          <w:rFonts w:eastAsiaTheme="majorEastAsia"/>
        </w:rPr>
        <w:t>„насоки за пациенти на антикоагулантна терапија кои имаат потреба од дентална екстракција“</w:t>
      </w:r>
      <w:r w:rsidRPr="00215667">
        <w:t xml:space="preserve">, а слични клинички насоки се објавени и во бројни други земји. Општо земено, антикоагулантната терапија се смета за еден од главните ризик-фактори за </w:t>
      </w:r>
      <w:r w:rsidR="001B261B" w:rsidRPr="00215667">
        <w:t>постекстракционо</w:t>
      </w:r>
      <w:r w:rsidRPr="00215667">
        <w:t xml:space="preserve"> </w:t>
      </w:r>
      <w:r w:rsidR="00EC49EB" w:rsidRPr="00215667">
        <w:t>крвавење</w:t>
      </w:r>
      <w:r w:rsidRPr="00215667">
        <w:t xml:space="preserve">. Неколку студии се фокусирале на проценката на ризикот од </w:t>
      </w:r>
      <w:r w:rsidR="00EC49EB" w:rsidRPr="00215667">
        <w:t>крвавење</w:t>
      </w:r>
      <w:r w:rsidRPr="00215667">
        <w:t xml:space="preserve"> во зависност од видот на антикоагулантната терапија; сепак, повеќето од нив биле спроведени на мал број испитаници. Покрај тоа, зачестеноста на </w:t>
      </w:r>
      <w:r w:rsidR="00EC49EB" w:rsidRPr="00215667">
        <w:t>крвавење</w:t>
      </w:r>
      <w:r w:rsidRPr="00215667">
        <w:t>то значително варира, во распон од 0</w:t>
      </w:r>
      <w:r w:rsidR="00AF69F8">
        <w:t xml:space="preserve"> </w:t>
      </w:r>
      <w:r w:rsidRPr="00215667">
        <w:t>% до 66.7</w:t>
      </w:r>
      <w:r w:rsidR="00AF69F8">
        <w:t xml:space="preserve"> </w:t>
      </w:r>
      <w:r w:rsidRPr="00215667">
        <w:t>%.</w:t>
      </w:r>
    </w:p>
    <w:p w14:paraId="2725E836" w14:textId="7EAA4EE1" w:rsidR="00412474" w:rsidRPr="00215667" w:rsidRDefault="00412474" w:rsidP="00AF69F8">
      <w:pPr>
        <w:pStyle w:val="p1"/>
        <w:spacing w:line="360" w:lineRule="auto"/>
        <w:ind w:firstLine="720"/>
        <w:jc w:val="both"/>
      </w:pPr>
      <w:r w:rsidRPr="00215667">
        <w:t xml:space="preserve">Дополнително, постојат различни класификации според бројот и типот на лекови користени во рамките на антикоагулантната терапија. На пример, антиагрегациските лекови главно се користат за превенција на тромбоемболиски настани во артерискиот систем, додека антикоагулансите се применуваат за спречување на тромбоза во венскиот систем. Бидејќи различните видови антикоагулантна терапија делуваат преку различни механизми, секој тип треба да се анализира поединечно. Недостасуваат детални анализи за ефектите од различните видови антикоагулантна терапија врз </w:t>
      </w:r>
      <w:r w:rsidR="001B261B" w:rsidRPr="00215667">
        <w:t>постекстракционо</w:t>
      </w:r>
      <w:r w:rsidRPr="00215667">
        <w:t xml:space="preserve">то </w:t>
      </w:r>
      <w:r w:rsidR="00EC49EB" w:rsidRPr="00215667">
        <w:t>крвавење</w:t>
      </w:r>
      <w:r w:rsidRPr="00215667">
        <w:t xml:space="preserve">, </w:t>
      </w:r>
      <w:r w:rsidRPr="00215667">
        <w:lastRenderedPageBreak/>
        <w:t>што ја отежнува примената на достапните податоци во клиничката практика – како при објаснување на пациентот така и при пресургикално менаџирање.</w:t>
      </w:r>
    </w:p>
    <w:p w14:paraId="744A26CC" w14:textId="6BFDD03F" w:rsidR="00412474" w:rsidRPr="00215667" w:rsidRDefault="00412474" w:rsidP="00AF69F8">
      <w:pPr>
        <w:pStyle w:val="p1"/>
        <w:spacing w:line="360" w:lineRule="auto"/>
        <w:ind w:firstLine="720"/>
        <w:jc w:val="both"/>
      </w:pPr>
      <w:r w:rsidRPr="00215667">
        <w:t>Во студијата на Nakamura et al., aнтитромботична терапија била администрирана кај 14.343 пациенти (13,3</w:t>
      </w:r>
      <w:r w:rsidR="00AF69F8">
        <w:t xml:space="preserve"> </w:t>
      </w:r>
      <w:r w:rsidRPr="00215667">
        <w:t>%).</w:t>
      </w:r>
      <w:r w:rsidR="001B261B" w:rsidRPr="00215667">
        <w:rPr>
          <w:vertAlign w:val="superscript"/>
          <w:lang w:val="en-US"/>
        </w:rPr>
        <w:t>149</w:t>
      </w:r>
      <w:r w:rsidRPr="00215667">
        <w:t xml:space="preserve"> Зачестеноста на </w:t>
      </w:r>
      <w:r w:rsidR="001B261B" w:rsidRPr="00215667">
        <w:t>постекстракционо</w:t>
      </w:r>
      <w:r w:rsidRPr="00215667">
        <w:t xml:space="preserve"> </w:t>
      </w:r>
      <w:r w:rsidR="00EC49EB" w:rsidRPr="00215667">
        <w:t>крвавење</w:t>
      </w:r>
      <w:r w:rsidRPr="00215667">
        <w:t xml:space="preserve"> изнесувала 0,3</w:t>
      </w:r>
      <w:r w:rsidR="00AF69F8">
        <w:t xml:space="preserve"> </w:t>
      </w:r>
      <w:r w:rsidRPr="00215667">
        <w:t>% кај групата без антитромботична терапија, 0,6</w:t>
      </w:r>
      <w:r w:rsidR="00AF69F8">
        <w:t xml:space="preserve"> </w:t>
      </w:r>
      <w:r w:rsidRPr="00215667">
        <w:t>% кај групата со монотерапија со антиагреганс, 1,3</w:t>
      </w:r>
      <w:r w:rsidR="00AF69F8">
        <w:t xml:space="preserve"> </w:t>
      </w:r>
      <w:r w:rsidRPr="00215667">
        <w:t>% кај групата со два антиагрегансни лекови, 1,7</w:t>
      </w:r>
      <w:r w:rsidR="00AF69F8">
        <w:t xml:space="preserve"> </w:t>
      </w:r>
      <w:r w:rsidRPr="00215667">
        <w:t>% кај групата со директни орални антикоагуланси (DOAC), 1,9</w:t>
      </w:r>
      <w:r w:rsidR="00AF69F8">
        <w:t xml:space="preserve"> </w:t>
      </w:r>
      <w:r w:rsidRPr="00215667">
        <w:t>% кај групата со варфарин и 2,8</w:t>
      </w:r>
      <w:r w:rsidR="00AF69F8">
        <w:t xml:space="preserve"> </w:t>
      </w:r>
      <w:r w:rsidRPr="00215667">
        <w:t>% кај групата со комбинирана терапија (антиагреганс + антикоагуланс)</w:t>
      </w:r>
      <w:r w:rsidR="001B261B" w:rsidRPr="00215667">
        <w:t>.</w:t>
      </w:r>
      <w:r w:rsidRPr="00215667">
        <w:t xml:space="preserve"> Независно од типот на лекот, </w:t>
      </w:r>
      <w:r w:rsidR="001B261B" w:rsidRPr="00215667">
        <w:t>постекстракционо</w:t>
      </w:r>
      <w:r w:rsidRPr="00215667">
        <w:t xml:space="preserve"> </w:t>
      </w:r>
      <w:r w:rsidR="00EC49EB" w:rsidRPr="00215667">
        <w:t>крвавење</w:t>
      </w:r>
      <w:r w:rsidRPr="00215667">
        <w:t xml:space="preserve"> било статистички значајно повисоко кај сите терапевтски групи споредено со групата без терапија (OR [95</w:t>
      </w:r>
      <w:r w:rsidR="00AF69F8">
        <w:t xml:space="preserve"> </w:t>
      </w:r>
      <w:r w:rsidRPr="00215667">
        <w:t xml:space="preserve">% CI]): монотерапија со антиагреганс: 2.00 [1.43–2.77], два антиагрегансни лекови: 4.63 [2.90–7.41], DOAC: 5.48 [3.84–7.83], варфарин: 5.93 [4.14–8.48], комбинирана антиагрегантно–антикоагулантна терапија: 9.02 [5.79–14.0] Резултатите од логистичката регресиона анализа со монотерапијата со антиагреганс како референтна група и групите третирани со останати типови антикоагулантни/антиагрегациони лекови, покажала статистички значајно повисоки стапки на </w:t>
      </w:r>
      <w:r w:rsidR="001B261B" w:rsidRPr="00215667">
        <w:t>постекстракционо</w:t>
      </w:r>
      <w:r w:rsidRPr="00215667">
        <w:t xml:space="preserve"> </w:t>
      </w:r>
      <w:r w:rsidR="00EC49EB" w:rsidRPr="00215667">
        <w:t>крвавење</w:t>
      </w:r>
      <w:r w:rsidRPr="00215667">
        <w:t xml:space="preserve">  (OR [95% CI]): два антиагрегансни лекови: 2.33 [1.34–3.91], DOAC: 2.76 [1.76–4.29], варфарин: 2.98 [1.91–4.63], комбинирана антиагрегантно–антикоагулантна терапија: 4.53 [2.68–7.48]. Резултатите од нашата студија се во согласност со резултатите од оваа студија, и покрај тоа што во нашата студија не беа анализирани пациенти со мултипна антиагрегациона/антикоагулантна терапија. Пациентите кои примаа DOAC/VKА и антиагрегациона терапија и во нашето истражување имаа статистички значајно повисоки вредности на постекстракционо крвавење. </w:t>
      </w:r>
    </w:p>
    <w:p w14:paraId="5BBF4F60" w14:textId="529DC295" w:rsidR="00412474" w:rsidRPr="00215667" w:rsidRDefault="00412474" w:rsidP="00AF69F8">
      <w:pPr>
        <w:pStyle w:val="p1"/>
        <w:spacing w:line="360" w:lineRule="auto"/>
        <w:ind w:firstLine="720"/>
        <w:jc w:val="both"/>
      </w:pPr>
      <w:r w:rsidRPr="00215667">
        <w:t xml:space="preserve">Статистички значајна разлика во вредностите на постекстракционото крвавење (PEB) беше утврдена и при анализата на групите на орална антикоагулантна терапија (ОАТ) во зависност од тоа дали терапијата била прекината пред хируршката интервенција или не. Во групата на пациенти кои примале VKA/DOAC, резултатите покажаа значајна разлика во PEB, при што пациентите кои не ја прекинале терапијата имаа значително повисоки вредности </w:t>
      </w:r>
      <w:r w:rsidRPr="00215667">
        <w:lastRenderedPageBreak/>
        <w:t>на постекстракционо крвавење (p</w:t>
      </w:r>
      <w:r w:rsidR="00AF69F8">
        <w:t xml:space="preserve"> </w:t>
      </w:r>
      <w:r w:rsidRPr="00215667">
        <w:t>&lt;</w:t>
      </w:r>
      <w:r w:rsidR="00AF69F8">
        <w:t xml:space="preserve"> </w:t>
      </w:r>
      <w:r w:rsidRPr="00215667">
        <w:t>0.0001, Z</w:t>
      </w:r>
      <w:r w:rsidR="00AF69F8">
        <w:t xml:space="preserve"> </w:t>
      </w:r>
      <w:r w:rsidRPr="00215667">
        <w:t>=</w:t>
      </w:r>
      <w:r w:rsidR="00AF69F8">
        <w:t xml:space="preserve"> </w:t>
      </w:r>
      <w:r w:rsidRPr="00215667">
        <w:t>8.6881, U</w:t>
      </w:r>
      <w:r w:rsidR="00AF69F8">
        <w:t xml:space="preserve"> </w:t>
      </w:r>
      <w:r w:rsidRPr="00215667">
        <w:t>=</w:t>
      </w:r>
      <w:r w:rsidR="00AF69F8">
        <w:t xml:space="preserve"> </w:t>
      </w:r>
      <w:r w:rsidRPr="00215667">
        <w:t>4921). Ова укажува на јасно влијание на непрекинатата терапија врз зголемен ризик од крвавење по екстракција на заб. Во однос на антиагрегационата терапија со аспирин, анализата покажа слични резултати, односно непрекинатата терапија со аспирин пред хируршката интервенција беше поврзана со значително зголемени вредности на постекстракционото крвавење (PEB) (p</w:t>
      </w:r>
      <w:r w:rsidR="00AF69F8">
        <w:t xml:space="preserve"> </w:t>
      </w:r>
      <w:r w:rsidRPr="00215667">
        <w:t>&lt;</w:t>
      </w:r>
      <w:r w:rsidR="00AF69F8">
        <w:t xml:space="preserve"> </w:t>
      </w:r>
      <w:r w:rsidRPr="00215667">
        <w:t>0.0001, Z</w:t>
      </w:r>
      <w:r w:rsidR="00AF69F8">
        <w:t xml:space="preserve"> </w:t>
      </w:r>
      <w:r w:rsidRPr="00215667">
        <w:t>=</w:t>
      </w:r>
      <w:r w:rsidR="00AF69F8">
        <w:t xml:space="preserve"> </w:t>
      </w:r>
      <w:r w:rsidRPr="00215667">
        <w:t>6.5868, U</w:t>
      </w:r>
      <w:r w:rsidR="00AF69F8">
        <w:t xml:space="preserve"> </w:t>
      </w:r>
      <w:r w:rsidRPr="00215667">
        <w:t>=</w:t>
      </w:r>
      <w:r w:rsidR="00AF69F8">
        <w:t xml:space="preserve"> </w:t>
      </w:r>
      <w:r w:rsidRPr="00215667">
        <w:t>2118). Овие резултати укажуваат на повисок ризик од крвавење кај пациенти кои ја продолжиле терапијата со аспирин во периодот пред интервенцијата.</w:t>
      </w:r>
    </w:p>
    <w:p w14:paraId="55550C09" w14:textId="5E33D4F3" w:rsidR="00412474" w:rsidRPr="00215667" w:rsidRDefault="00412474" w:rsidP="00AF69F8">
      <w:pPr>
        <w:pStyle w:val="p1"/>
        <w:spacing w:line="360" w:lineRule="auto"/>
        <w:ind w:firstLine="720"/>
        <w:jc w:val="both"/>
      </w:pPr>
      <w:r w:rsidRPr="00215667">
        <w:t xml:space="preserve">Анализата на постекстракционото крвавење (PEB) во зависност од полот и прекинувањето на терапијата со VKA/DOAC со помош на </w:t>
      </w:r>
      <w:r w:rsidRPr="00AF69F8">
        <w:rPr>
          <w:i/>
          <w:iCs/>
        </w:rPr>
        <w:t>Kruskal-Wallis H</w:t>
      </w:r>
      <w:r w:rsidRPr="00215667">
        <w:t xml:space="preserve"> тестот покажа статистички значајни разлики меѓу испитуваните групи (χ²(3) = 61.57, p &lt; 0.001). Големата вредност на ефектот (η² = 0.46) укажува дека разликите во PEB меѓу групите се со значителна големина. Пост-хок анализата според Dunn ја потенцираше разликата помеѓу мажите и жените кои ја прекинале терапијата и оние кои ја продолжиле, со зголемено крвавење кај пациентите што ја прекинале терапијата. Овие наоди упатуваат на значајна улога на континуитетот на терапијата во влијанието врз </w:t>
      </w:r>
      <w:r w:rsidR="00EC49EB" w:rsidRPr="00215667">
        <w:t>крвавење</w:t>
      </w:r>
      <w:r w:rsidRPr="00215667">
        <w:t>то, без оглед на полот.</w:t>
      </w:r>
    </w:p>
    <w:p w14:paraId="3ABBA045" w14:textId="6261FCF9" w:rsidR="00412474" w:rsidRPr="00215667" w:rsidRDefault="00412474" w:rsidP="00AF69F8">
      <w:pPr>
        <w:pStyle w:val="p1"/>
        <w:spacing w:line="360" w:lineRule="auto"/>
        <w:ind w:firstLine="720"/>
        <w:jc w:val="both"/>
      </w:pPr>
      <w:r w:rsidRPr="00215667">
        <w:t xml:space="preserve">Аналогно, кај пациентите кои користат аспирин, </w:t>
      </w:r>
      <w:r w:rsidRPr="00AF69F8">
        <w:rPr>
          <w:i/>
          <w:iCs/>
        </w:rPr>
        <w:t>Kruskal-Wallis</w:t>
      </w:r>
      <w:r w:rsidRPr="00215667">
        <w:t xml:space="preserve"> тестот (χ²(3) = 21.25, p &lt; 0.001) исто така откри статистички значајни разлики во PEB меѓу групите според полот и статусот на прекин на терапијата. Особено, мажите кои ја прекинале терапија</w:t>
      </w:r>
      <w:r w:rsidR="001B261B" w:rsidRPr="00215667">
        <w:t>та со аспирин</w:t>
      </w:r>
      <w:r w:rsidRPr="00215667">
        <w:t xml:space="preserve"> имаат значително пониски вредности на крвавење во споредба со оние кои ја продолжиле, а кај жените разликата е помала, што веројатно се должи на помалиот примерок во оваа подгрупа.</w:t>
      </w:r>
    </w:p>
    <w:p w14:paraId="4B00393A" w14:textId="77777777" w:rsidR="00412474" w:rsidRPr="00215667" w:rsidRDefault="00412474" w:rsidP="00AF69F8">
      <w:pPr>
        <w:pStyle w:val="p1"/>
        <w:spacing w:line="360" w:lineRule="auto"/>
        <w:ind w:firstLine="720"/>
        <w:jc w:val="both"/>
      </w:pPr>
      <w:r w:rsidRPr="00215667">
        <w:t>Овие резултати потенцираат дека и кај антикоагулантната и кај антиагрегационата терапија, прекинувањето на терапијата пред хируршки интервенции значајно влијае на интензитетот на постекстракционото крвавење, што е важно за клиничките одлуки околу управувањето со терапијата во предоперативниот период.</w:t>
      </w:r>
    </w:p>
    <w:p w14:paraId="62A04ED1" w14:textId="3BF7DC15" w:rsidR="00412474" w:rsidRPr="00215667" w:rsidRDefault="00412474" w:rsidP="00AF69F8">
      <w:pPr>
        <w:pStyle w:val="p1"/>
        <w:spacing w:line="360" w:lineRule="auto"/>
        <w:ind w:firstLine="720"/>
        <w:jc w:val="both"/>
      </w:pPr>
      <w:r w:rsidRPr="00215667">
        <w:t xml:space="preserve">Во еден скорешен систематски преглед на литературата, биле анализирани вкупно 931 пациенти, третирани со нови орални антикоагуланси, со просечна </w:t>
      </w:r>
      <w:r w:rsidRPr="00215667">
        <w:lastRenderedPageBreak/>
        <w:t>возраст од 70 години и со доминација на машки пациенти.</w:t>
      </w:r>
      <w:r w:rsidR="001B261B" w:rsidRPr="00215667">
        <w:rPr>
          <w:vertAlign w:val="superscript"/>
          <w:lang w:val="en-US"/>
        </w:rPr>
        <w:t>150</w:t>
      </w:r>
      <w:r w:rsidRPr="00215667">
        <w:t xml:space="preserve"> Вкупно биле </w:t>
      </w:r>
      <w:r w:rsidR="00191927" w:rsidRPr="00215667">
        <w:t>екстрахирани</w:t>
      </w:r>
      <w:r w:rsidRPr="00215667">
        <w:t xml:space="preserve"> 1795 заби: 375 кај пациенти кои земале DOAC, 305 кај пациенти третирани со VKA и 1115 кај пациенти без орална антикоагулантна терапија (non-OAT). Една студија ги споредувала апиксабан, дабигатран, едоксабан и ривароксабан со варфарин, додека друга студија ги споредувала генерално VKA и DOAC. Пациентите без орална антикоагулантна терапија биле споредувани со пациенти под DOAC во една студија, а во друга со пациенти под DOAC и VKA. Во две студии, пациентите биле подложени на едноставна и хируршка дентална екстракција, при што процентот на хируршки екстракции бил под 15</w:t>
      </w:r>
      <w:r w:rsidR="00AF69F8">
        <w:t xml:space="preserve"> </w:t>
      </w:r>
      <w:r w:rsidRPr="00215667">
        <w:t>%. Во сите студии екстракцијата била изведена атра</w:t>
      </w:r>
      <w:r w:rsidR="001B261B" w:rsidRPr="00215667">
        <w:t>у</w:t>
      </w:r>
      <w:r w:rsidRPr="00215667">
        <w:t xml:space="preserve">матски, со употреба на </w:t>
      </w:r>
      <w:r w:rsidR="001B261B" w:rsidRPr="00215667">
        <w:t>полуги и клешти</w:t>
      </w:r>
      <w:r w:rsidRPr="00215667">
        <w:t xml:space="preserve">, без сечење на коската или гингивата, следено со целосна киретажа на воспаленото гранулациско ткиво. Потоа биле применети хемостатски мерки. Во две студии, хемостазата била постигната со компресија со газа и последователно шиење. Во две други студии, кај сите пациенти биле употребени апсорбирачки хемостатски сунѓери (како оксидирана целулоза, желатински сунѓер), во комбинација со шиење. Терапијата со DOAC била прекината пред екстракцијата во две студии. Во една студија, дозата на DOAC била прескокната наутро пред интервенцијата и продолжена најмалку 4 часа по екстракцијата, по постигнување на адекватна хемостаза. Во другата студија, периоперативниот прекин на OAT траел од 1 до 14 дена. Во повеќето студии, степенот на </w:t>
      </w:r>
      <w:r w:rsidR="00EC49EB" w:rsidRPr="00215667">
        <w:t>крвавење</w:t>
      </w:r>
      <w:r w:rsidRPr="00215667">
        <w:t xml:space="preserve"> бил класифициран како: без </w:t>
      </w:r>
      <w:r w:rsidR="00EC49EB" w:rsidRPr="00215667">
        <w:t>крвавење</w:t>
      </w:r>
      <w:r w:rsidRPr="00215667">
        <w:t xml:space="preserve">, слабо, умерено или тешко. Во една студија не бил прецизно опишан степенот на </w:t>
      </w:r>
      <w:r w:rsidR="00EC49EB" w:rsidRPr="00215667">
        <w:t>крвавење</w:t>
      </w:r>
      <w:r w:rsidRPr="00215667">
        <w:t xml:space="preserve">, но било наведено дека сите случаи биле успешно третирани со локални хемостатски мерки, што укажува на слаб интензитет на </w:t>
      </w:r>
      <w:r w:rsidR="00EC49EB" w:rsidRPr="00215667">
        <w:t>крвавење</w:t>
      </w:r>
      <w:r w:rsidRPr="00215667">
        <w:t>. Сите 7 студии вклучувале постоперативно следење, кое траело од 30 минути по интервенцијата до 2 недели по екстракцијата.</w:t>
      </w:r>
    </w:p>
    <w:p w14:paraId="3AFCA595" w14:textId="4FDE7006" w:rsidR="00412474" w:rsidRPr="00215667" w:rsidRDefault="00412474" w:rsidP="00AF69F8">
      <w:pPr>
        <w:pStyle w:val="p1"/>
        <w:spacing w:line="360" w:lineRule="auto"/>
        <w:ind w:firstLine="720"/>
        <w:jc w:val="both"/>
        <w:rPr>
          <w:lang w:val="en-US"/>
        </w:rPr>
      </w:pPr>
      <w:r w:rsidRPr="00215667">
        <w:t>Во студијата на Morimoto et al.</w:t>
      </w:r>
      <w:r w:rsidR="001B261B" w:rsidRPr="00215667">
        <w:rPr>
          <w:vertAlign w:val="superscript"/>
          <w:lang w:val="en-US"/>
        </w:rPr>
        <w:t>151</w:t>
      </w:r>
      <w:r w:rsidRPr="00215667">
        <w:t xml:space="preserve">, постоперативната компликација била претежно слабо постоперативно </w:t>
      </w:r>
      <w:r w:rsidR="00EC49EB" w:rsidRPr="00215667">
        <w:t>крвавење</w:t>
      </w:r>
      <w:r w:rsidRPr="00215667">
        <w:t xml:space="preserve">. Сепак, не е наведено дали </w:t>
      </w:r>
      <w:r w:rsidR="00EC49EB" w:rsidRPr="00215667">
        <w:t>крвавење</w:t>
      </w:r>
      <w:r w:rsidRPr="00215667">
        <w:t>то се сметало за непосредно или задоцнето. M</w:t>
      </w:r>
      <w:r w:rsidR="001B261B" w:rsidRPr="00215667">
        <w:t>о</w:t>
      </w:r>
      <w:r w:rsidRPr="00215667">
        <w:t>rimoto et al.</w:t>
      </w:r>
      <w:r w:rsidR="001B261B" w:rsidRPr="00215667">
        <w:rPr>
          <w:vertAlign w:val="superscript"/>
          <w:lang w:val="en-US"/>
        </w:rPr>
        <w:t>151</w:t>
      </w:r>
      <w:r w:rsidRPr="00215667">
        <w:t xml:space="preserve"> и Miclotte et al.</w:t>
      </w:r>
      <w:r w:rsidR="001B261B" w:rsidRPr="00215667">
        <w:rPr>
          <w:vertAlign w:val="superscript"/>
          <w:lang w:val="en-US"/>
        </w:rPr>
        <w:t>152</w:t>
      </w:r>
      <w:r w:rsidRPr="00215667">
        <w:t xml:space="preserve">, сите пациенти имале </w:t>
      </w:r>
      <w:r w:rsidR="00EC49EB" w:rsidRPr="00215667">
        <w:t>крвавење</w:t>
      </w:r>
      <w:r w:rsidRPr="00215667">
        <w:t xml:space="preserve"> по екстракцијата, за разлика од студијата на Rocha et al.</w:t>
      </w:r>
      <w:r w:rsidR="001B261B" w:rsidRPr="00215667">
        <w:rPr>
          <w:vertAlign w:val="superscript"/>
          <w:lang w:val="en-US"/>
        </w:rPr>
        <w:t>153</w:t>
      </w:r>
      <w:r w:rsidRPr="00215667">
        <w:t xml:space="preserve">, каде не било забележано </w:t>
      </w:r>
      <w:r w:rsidR="001B261B" w:rsidRPr="00215667">
        <w:t>постекстракционо</w:t>
      </w:r>
      <w:r w:rsidRPr="00215667">
        <w:t xml:space="preserve"> </w:t>
      </w:r>
      <w:r w:rsidR="00EC49EB" w:rsidRPr="00215667">
        <w:t>крвавење</w:t>
      </w:r>
      <w:r w:rsidRPr="00215667">
        <w:t xml:space="preserve">. Дополнително, задоцнето </w:t>
      </w:r>
      <w:r w:rsidR="00EC49EB" w:rsidRPr="00215667">
        <w:t>крвавење</w:t>
      </w:r>
      <w:r w:rsidRPr="00215667">
        <w:t xml:space="preserve"> било забележано само во студијата на Miclotte et al.</w:t>
      </w:r>
      <w:r w:rsidR="001B261B" w:rsidRPr="00215667">
        <w:rPr>
          <w:vertAlign w:val="superscript"/>
          <w:lang w:val="en-US"/>
        </w:rPr>
        <w:t>152</w:t>
      </w:r>
      <w:r w:rsidRPr="00215667">
        <w:t xml:space="preserve"> Постоперативни дополнителни хемостатски мерки биле применети само во една </w:t>
      </w:r>
      <w:r w:rsidRPr="00215667">
        <w:lastRenderedPageBreak/>
        <w:t>студија, каде тие биле потребни кај еден случај во групата без антикоагулантна терапија, додека кај пациентите кои примале DOAC не биле потребни дополнителни мерки по екстракцијата. Во избраните студии, две вклучиле пациенти кај кои дозата на DOAC наутро пред денот на денталната екстракција била прекината. Во студијата на Lababidi et al.</w:t>
      </w:r>
      <w:r w:rsidR="001B261B" w:rsidRPr="00215667">
        <w:rPr>
          <w:vertAlign w:val="superscript"/>
          <w:lang w:val="en-US"/>
        </w:rPr>
        <w:t>154</w:t>
      </w:r>
      <w:r w:rsidRPr="00215667">
        <w:t xml:space="preserve"> не биле забележани случаи на </w:t>
      </w:r>
      <w:r w:rsidR="00EC49EB" w:rsidRPr="00215667">
        <w:t>крвавење</w:t>
      </w:r>
      <w:r w:rsidRPr="00215667">
        <w:t xml:space="preserve"> кај овие пациенти, иако повеќето од процедурите вклучувале дополнителни хемостатски мерки по екстракцијата. Исто така, во студијата на Miclotte et al. и соработниците, повеќето пациенти имале висок интензитет на </w:t>
      </w:r>
      <w:r w:rsidR="00EC49EB" w:rsidRPr="00215667">
        <w:t>крвавење</w:t>
      </w:r>
      <w:r w:rsidRPr="00215667">
        <w:t xml:space="preserve"> за време на интервенцијата; постоперативното </w:t>
      </w:r>
      <w:r w:rsidR="00EC49EB" w:rsidRPr="00215667">
        <w:t>крвавење</w:t>
      </w:r>
      <w:r w:rsidRPr="00215667">
        <w:t xml:space="preserve"> </w:t>
      </w:r>
      <w:r w:rsidR="00AF69F8">
        <w:t>-</w:t>
      </w:r>
      <w:r w:rsidRPr="00215667">
        <w:t xml:space="preserve"> иако претежно слабо </w:t>
      </w:r>
      <w:r w:rsidR="00AF69F8">
        <w:t>-</w:t>
      </w:r>
      <w:r w:rsidRPr="00215667">
        <w:t xml:space="preserve"> било забележано веднаш по екстракцијата, но и до 6 дена по интервенцијата во некои случаи. </w:t>
      </w:r>
    </w:p>
    <w:p w14:paraId="09691010" w14:textId="2A52F969" w:rsidR="00412474" w:rsidRPr="00215667" w:rsidRDefault="00412474" w:rsidP="00AF69F8">
      <w:pPr>
        <w:pStyle w:val="p1"/>
        <w:spacing w:line="360" w:lineRule="auto"/>
        <w:ind w:firstLine="720"/>
        <w:jc w:val="both"/>
      </w:pPr>
      <w:r w:rsidRPr="00215667">
        <w:t>Овие резултати се во согласност со резултатите од нашата студија, во која се покажа дека прекинувањето на антикоагулантната и антигрегационата терапија пред извршувањето на екстракцијата на заби значајно го намалува интензитетот на постекстракционо крвавење во споредба со самопријавените вредности на постекстракционо крвавење при претходно интерве</w:t>
      </w:r>
      <w:r w:rsidR="001B261B" w:rsidRPr="00215667">
        <w:t>н</w:t>
      </w:r>
      <w:r w:rsidRPr="00215667">
        <w:t xml:space="preserve">ции пред кои терапијата не била прекината. </w:t>
      </w:r>
    </w:p>
    <w:p w14:paraId="1E99DB81" w14:textId="26D826EF" w:rsidR="00412474" w:rsidRPr="00215667" w:rsidRDefault="00412474" w:rsidP="00AF69F8">
      <w:pPr>
        <w:pStyle w:val="p1"/>
        <w:spacing w:line="360" w:lineRule="auto"/>
        <w:ind w:firstLine="720"/>
        <w:jc w:val="both"/>
      </w:pPr>
      <w:r w:rsidRPr="00215667">
        <w:t>Во друг систематски преглед од литературата, Hua et al. анализирале осум објавени студии поврзани со оваа проблематика.</w:t>
      </w:r>
      <w:r w:rsidR="001B261B" w:rsidRPr="00215667">
        <w:rPr>
          <w:vertAlign w:val="superscript"/>
          <w:lang w:val="en-US"/>
        </w:rPr>
        <w:t>155</w:t>
      </w:r>
      <w:r w:rsidRPr="00215667">
        <w:t xml:space="preserve"> Пет од вклучените студии биле спроведени проспективно, додека останатите претставувале ретроспективни анализи. Големината на примерокот во групата со директни орални антикоагуланси (DOAC) се движела од 21 до 138 пациенти, додека во групата со антагонисти на витамин К (VKA) од 20 до 248 пациенти. Само две студии (Caliskan et al., 2017; Berton et al., 2019)</w:t>
      </w:r>
      <w:r w:rsidR="00191927" w:rsidRPr="00215667">
        <w:rPr>
          <w:vertAlign w:val="superscript"/>
          <w:lang w:val="en-US"/>
        </w:rPr>
        <w:t>156,157</w:t>
      </w:r>
      <w:r w:rsidRPr="00215667">
        <w:t xml:space="preserve"> извршиле екстракција на еден заб, додека останатите студии вклучувале и поединечни и повеќекратни екстракции. Хируршката екстракција, која подразбира подигнување на мукопериосталниот ламбо и </w:t>
      </w:r>
      <w:r w:rsidR="00191927" w:rsidRPr="00215667">
        <w:t>остеотомија на горната или долната вилица</w:t>
      </w:r>
      <w:r w:rsidRPr="00215667">
        <w:t>, била спроведена во четири студии (Mauprivez et al., 2016; Lababidi et al., 2018; Yoshikawa et al., 2019; Brennan et al., 2020)</w:t>
      </w:r>
      <w:r w:rsidR="00191927" w:rsidRPr="00215667">
        <w:rPr>
          <w:lang w:val="en-US"/>
        </w:rPr>
        <w:t>.</w:t>
      </w:r>
      <w:r w:rsidR="00191927" w:rsidRPr="00215667">
        <w:rPr>
          <w:vertAlign w:val="superscript"/>
          <w:lang w:val="en-US"/>
        </w:rPr>
        <w:t>158,154,159,147</w:t>
      </w:r>
      <w:r w:rsidRPr="00215667">
        <w:t xml:space="preserve"> Сепак, вкупниот процент на хируршки екстракции бил под 20</w:t>
      </w:r>
      <w:r w:rsidR="00AF69F8">
        <w:t xml:space="preserve"> </w:t>
      </w:r>
      <w:r w:rsidRPr="00215667">
        <w:t>% во сите студии.</w:t>
      </w:r>
    </w:p>
    <w:p w14:paraId="0F86A55B" w14:textId="19599639" w:rsidR="00412474" w:rsidRPr="00215667" w:rsidRDefault="00412474" w:rsidP="00AF69F8">
      <w:pPr>
        <w:pStyle w:val="p1"/>
        <w:spacing w:line="360" w:lineRule="auto"/>
        <w:ind w:firstLine="720"/>
        <w:jc w:val="both"/>
      </w:pPr>
      <w:r w:rsidRPr="00215667">
        <w:lastRenderedPageBreak/>
        <w:t>Истовремена употреба на антитромбоцитни лекови била забележана во пет студии (Yagyuu et al., 2017; Lababidi et al., 2018; Yoshikawa et al., 2019; Brennan et al., 2020; Inokoshi et al., 2021)</w:t>
      </w:r>
      <w:r w:rsidR="00191927" w:rsidRPr="00215667">
        <w:rPr>
          <w:vertAlign w:val="superscript"/>
        </w:rPr>
        <w:t>160, 154, 159, 147, 161</w:t>
      </w:r>
      <w:r w:rsidRPr="00215667">
        <w:t>. Во три од овие студии (Yagyuu et al., 2017; Lababidi et al., 2018; Yoshikawa et al., 2019) употребата на антитромбоцитни лекови била значително пониска во групата со DOAC. Референтните вредности на INR за</w:t>
      </w:r>
      <w:r w:rsidR="00AF69F8">
        <w:t xml:space="preserve"> </w:t>
      </w:r>
      <w:r w:rsidRPr="00215667">
        <w:t xml:space="preserve">VKA групата варирале меѓу различните студии. Употребата на локални хемостатски мерки, вклучително поставување на хемостатски агенси како што е оксидирана целулоза и шиење, била пријавена во поголемиот дел од вклучените студии. </w:t>
      </w:r>
      <w:r w:rsidR="00AA3088">
        <w:t>Метаанализа</w:t>
      </w:r>
      <w:r w:rsidRPr="00215667">
        <w:t xml:space="preserve">та на сите осум студии со вкупно 539 пациенти во групата третирана со директни орални антикоагуланси (DOAC) и 574 пациенти во групата со антагонисти на витамин К (VKA) укажа на статистички значајно помал ризик од </w:t>
      </w:r>
      <w:r w:rsidR="00EC49EB" w:rsidRPr="00215667">
        <w:t>крвавење</w:t>
      </w:r>
      <w:r w:rsidRPr="00215667">
        <w:t xml:space="preserve"> кај пациентите под DOAC терапија (RR 0.68; 95% CI: 0.49–0.95; I² = 0%). Анализата на чувствителност покажа статистички незна</w:t>
      </w:r>
      <w:r w:rsidRPr="00215667">
        <w:softHyphen/>
        <w:t xml:space="preserve">чајна разлика меѓу двете групи по исклучување на </w:t>
      </w:r>
      <w:r w:rsidR="00AF69F8" w:rsidRPr="00215667">
        <w:t xml:space="preserve">која </w:t>
      </w:r>
      <w:r w:rsidRPr="00215667">
        <w:t xml:space="preserve">било од вклучените студии, иако постоеше тенденција на понизок ризик од </w:t>
      </w:r>
      <w:r w:rsidR="00EC49EB" w:rsidRPr="00215667">
        <w:t>крвавење</w:t>
      </w:r>
      <w:r w:rsidRPr="00215667">
        <w:t xml:space="preserve"> со DOAC терапијата.</w:t>
      </w:r>
      <w:r w:rsidR="00191927" w:rsidRPr="00215667">
        <w:rPr>
          <w:lang w:val="en-US"/>
        </w:rPr>
        <w:t xml:space="preserve"> </w:t>
      </w:r>
      <w:r w:rsidRPr="00215667">
        <w:t xml:space="preserve">Податоци за индивидуалните DOAC лекови </w:t>
      </w:r>
      <w:r w:rsidR="00191927" w:rsidRPr="00215667">
        <w:t>се</w:t>
      </w:r>
      <w:r w:rsidRPr="00215667">
        <w:t xml:space="preserve"> </w:t>
      </w:r>
      <w:r w:rsidR="00191927" w:rsidRPr="00215667">
        <w:t>дадени</w:t>
      </w:r>
      <w:r w:rsidRPr="00215667">
        <w:t xml:space="preserve"> во ограничен број студии. Споената анализа не покажа статистички значајна разлика во ризикот од </w:t>
      </w:r>
      <w:r w:rsidR="00EC49EB" w:rsidRPr="00215667">
        <w:t>крвавење</w:t>
      </w:r>
      <w:r w:rsidRPr="00215667">
        <w:t xml:space="preserve"> меѓу апиксабан (RR 0.85; 95% CI: 0.45–1.60; I² = 0</w:t>
      </w:r>
      <w:r w:rsidR="00AF69F8">
        <w:t xml:space="preserve"> </w:t>
      </w:r>
      <w:r w:rsidRPr="00215667">
        <w:t>%; p = 0.61), ривароксабан (RR 0.95; 95</w:t>
      </w:r>
      <w:r w:rsidR="00AF69F8">
        <w:t xml:space="preserve"> </w:t>
      </w:r>
      <w:r w:rsidRPr="00215667">
        <w:t>% CI: 0.36–2.48; I² = 45</w:t>
      </w:r>
      <w:r w:rsidR="00AF69F8">
        <w:t xml:space="preserve"> </w:t>
      </w:r>
      <w:r w:rsidRPr="00215667">
        <w:t>%), дабигатран (RR 0.49; 95</w:t>
      </w:r>
      <w:r w:rsidR="00AF69F8">
        <w:t xml:space="preserve"> </w:t>
      </w:r>
      <w:r w:rsidRPr="00215667">
        <w:t>% CI: 0.19–1.28; I² = 5</w:t>
      </w:r>
      <w:r w:rsidR="00AF69F8">
        <w:t xml:space="preserve"> </w:t>
      </w:r>
      <w:r w:rsidRPr="00215667">
        <w:t>%), ендоксабан (RR 0.41; 95</w:t>
      </w:r>
      <w:r w:rsidR="00AF69F8">
        <w:t xml:space="preserve"> </w:t>
      </w:r>
      <w:r w:rsidRPr="00215667">
        <w:t>% CI: 0.13–1.27; I² = 0</w:t>
      </w:r>
      <w:r w:rsidR="00AF69F8">
        <w:t xml:space="preserve"> </w:t>
      </w:r>
      <w:r w:rsidRPr="00215667">
        <w:t>%) и VKA терапијата. Сигурноста на доказите, проценета според GRADE пристапот, беше оценета како „многу ниска“. Сметаме дека ограничената големина на примерокот можеби придонела за недостигот на статистичка значајност во поединечните анализи, додека обединетата анализа, која ги споредуваше податоците од над 1000 пациенти, значително ја зголеми статистичката моќ на истражувањето. Тоа се потврди и со</w:t>
      </w:r>
      <w:r w:rsidR="001B261B" w:rsidRPr="00215667">
        <w:t xml:space="preserve"> </w:t>
      </w:r>
      <w:r w:rsidRPr="00215667">
        <w:t>анализа</w:t>
      </w:r>
      <w:r w:rsidR="001B261B" w:rsidRPr="00215667">
        <w:t xml:space="preserve"> на осетливост</w:t>
      </w:r>
      <w:r w:rsidRPr="00215667">
        <w:t xml:space="preserve">, каде што ефектот остана статистички </w:t>
      </w:r>
      <w:r w:rsidR="001B261B" w:rsidRPr="00215667">
        <w:t>незначаен</w:t>
      </w:r>
      <w:r w:rsidRPr="00215667">
        <w:t xml:space="preserve"> дури и при исклучување на која било од вклучените студии. Сепак, треба да се забележи дека во севкупната анализа, горната граница на 95</w:t>
      </w:r>
      <w:r w:rsidR="00430A45">
        <w:t xml:space="preserve"> </w:t>
      </w:r>
      <w:r w:rsidRPr="00215667">
        <w:t>% интервал на прифатливост беше 0.95, што е многу блиску до 1, што укажува на можност за отсуство на реална разлика. Оттука, резултатите треба да се интерпретираат со претпазливост и да бидат потврдени преку идни истражувања.</w:t>
      </w:r>
    </w:p>
    <w:p w14:paraId="3B823E18" w14:textId="09B7CA2D" w:rsidR="00412474" w:rsidRPr="00215667" w:rsidRDefault="00412474" w:rsidP="00430A45">
      <w:pPr>
        <w:pStyle w:val="p1"/>
        <w:spacing w:line="360" w:lineRule="auto"/>
        <w:ind w:firstLine="720"/>
        <w:jc w:val="both"/>
        <w:rPr>
          <w:vertAlign w:val="superscript"/>
        </w:rPr>
      </w:pPr>
      <w:r w:rsidRPr="00215667">
        <w:lastRenderedPageBreak/>
        <w:t>Понискиот ризик од хеморагија кај пациентите третирани со DOAC во споредба со оние на VKA во одредени студии можеби е поврзан со разликите во фармакокинетиката на овие лекови. VKA делуваат преку инхибиција на неколку фактори на коагулација и предизвикуваат постојан антикоагулантен ефект без дневни флуктуации, поради нивниот долг полуживот кој се движи од 55 до 133 часа. Наспроти тоа, DOAC обезбедуваат интермитентна антикоагулација поради нивниот пократок полуживот од 7–17 часа, при што врвната концентрација се постигнува во рок од 1–4 часа (Ieko et al., 2016).</w:t>
      </w:r>
      <w:r w:rsidR="00191927" w:rsidRPr="00215667">
        <w:rPr>
          <w:vertAlign w:val="superscript"/>
          <w:lang w:val="en-US"/>
        </w:rPr>
        <w:t>162</w:t>
      </w:r>
      <w:r w:rsidRPr="00215667">
        <w:t xml:space="preserve"> Можно е временскиот интервал помеѓу последната доза на DOAC и екстракцијата на заб да го намалил ризикот од хеморагија кај овие пациенти, што се покажа како точно во нашата студија. Дополнително, генерално подобриот безбедносен профил на DOAC во споредба со VKA може да придонесува за овие разлики во резултатите и толкувањата (Almutairi et al., 2017).</w:t>
      </w:r>
      <w:r w:rsidR="00191927" w:rsidRPr="00215667">
        <w:rPr>
          <w:vertAlign w:val="superscript"/>
          <w:lang w:val="en-US"/>
        </w:rPr>
        <w:t>144</w:t>
      </w:r>
      <w:r w:rsidRPr="00215667">
        <w:t xml:space="preserve"> </w:t>
      </w:r>
    </w:p>
    <w:p w14:paraId="0E94F4BD" w14:textId="71EA06B4" w:rsidR="00412474" w:rsidRPr="00215667" w:rsidRDefault="00412474" w:rsidP="00430A45">
      <w:pPr>
        <w:pStyle w:val="p1"/>
        <w:spacing w:line="360" w:lineRule="auto"/>
        <w:ind w:firstLine="720"/>
        <w:jc w:val="both"/>
      </w:pPr>
      <w:r w:rsidRPr="00215667">
        <w:t>Нашата студија направи синтетизирана анализа на пациентите кои примаат DOAC и VKA како цела група на антикоагулантни лекови, во споредба со антиагрегационите лекови. Како што наведува и претходно цитираниот систематски преглед, објавените трудови се доста хетерогени, т.е. во поголем број нема доволно податоци за индивидуалните антикоагулантни лекови. И покрај тоа што во некои студии не е најдена значајна разлика, сигурноста на доказите била многу ниска. Нашата студија покажува јасна зависност меѓу користењето на антикоагулантни и антигрегациони лекови и постекстракционо крвав</w:t>
      </w:r>
      <w:r w:rsidR="002A1D7C" w:rsidRPr="00215667">
        <w:t>е</w:t>
      </w:r>
      <w:r w:rsidRPr="00215667">
        <w:t>ње, без да се изврши претходно прекинување на терапијата. Ограничувачки фактор во нашата студија е тоа што групата на пациенти кај кои терапијата не била прекината и кај кои се јавиле поголеми вредности на постекстракционо крвавење се јавила на преглед во клиниката. Оваа студија не ги зема предвид пациентите кои не ја прекинале антикоагулантната и антиагрегационата терапија пред извршување на интервенцијата, а кај кои не се јавило продолжено PEB.</w:t>
      </w:r>
    </w:p>
    <w:p w14:paraId="037DBE38" w14:textId="546E87A4" w:rsidR="00412474" w:rsidRPr="00215667" w:rsidRDefault="00412474" w:rsidP="00430A45">
      <w:pPr>
        <w:pStyle w:val="p1"/>
        <w:spacing w:line="360" w:lineRule="auto"/>
        <w:ind w:firstLine="720"/>
        <w:jc w:val="both"/>
        <w:rPr>
          <w:lang w:val="en-US"/>
        </w:rPr>
      </w:pPr>
      <w:r w:rsidRPr="00215667">
        <w:t xml:space="preserve">Во врска со примената на аспирин, во една </w:t>
      </w:r>
      <w:r w:rsidR="00AA3088">
        <w:t>метаанализа</w:t>
      </w:r>
      <w:r w:rsidRPr="00215667">
        <w:t xml:space="preserve"> биле анализирани вкупно 1752 пациенти; испитуваната група опфаќала 529 пациенти на долготрајна терапија со аспирин, додека контролната група се состоеше од 1223 пациенти (од кои 1038 не користеле аспирин и 185 биле на долготрајна терапија со аспирин што </w:t>
      </w:r>
      <w:r w:rsidRPr="00215667">
        <w:lastRenderedPageBreak/>
        <w:t>била прекината пред екстракцијата на забите).</w:t>
      </w:r>
      <w:r w:rsidR="002A1D7C" w:rsidRPr="00215667">
        <w:rPr>
          <w:vertAlign w:val="superscript"/>
          <w:lang w:val="en-US"/>
        </w:rPr>
        <w:t>163</w:t>
      </w:r>
      <w:r w:rsidRPr="00215667">
        <w:t>Дозите на аспирин варир</w:t>
      </w:r>
      <w:r w:rsidR="001B261B" w:rsidRPr="00215667">
        <w:t>а</w:t>
      </w:r>
      <w:r w:rsidRPr="00215667">
        <w:t>ле од 75 mg/ден до 325 mg/ден, а прекинот на терапијата траел од 1 до 10 дена пред екстракцијата.</w:t>
      </w:r>
    </w:p>
    <w:p w14:paraId="09F72FBB" w14:textId="124A8C16" w:rsidR="00412474" w:rsidRPr="00215667" w:rsidRDefault="00412474" w:rsidP="00430A45">
      <w:pPr>
        <w:pStyle w:val="p1"/>
        <w:spacing w:line="360" w:lineRule="auto"/>
        <w:ind w:firstLine="720"/>
        <w:jc w:val="both"/>
      </w:pPr>
      <w:r w:rsidRPr="00215667">
        <w:t>Иако видовите на екстракција опфаќале поединечни и повеќекратни, едноставни и хируршки интервенции, во поголемиот дел од вклучените студии доминирале поединечни или едноставни екстракции (три студии). Шест студии пријавиле стапки на крвавење како исход, вклучувајќи 425 пациенти на терапија со аспирин и 1130 пациенти без аспирин. Во целина, пациентите кои примале аспирин покажале значително зголемен ризик од крвавење (аспирин наспроти без аспирин: RR = 2.46; 9</w:t>
      </w:r>
      <w:r w:rsidR="00430A45">
        <w:t xml:space="preserve"> </w:t>
      </w:r>
      <w:r w:rsidRPr="00215667">
        <w:t>5% CI: 1.45 до 4.81; P = 0.0009). Поради ниската хетерогеност (I² = 0%, P = 0.79), применет е модел со фиксен ефект.</w:t>
      </w:r>
    </w:p>
    <w:p w14:paraId="6AEED40D" w14:textId="340223EF" w:rsidR="00412474" w:rsidRPr="00215667" w:rsidRDefault="00412474" w:rsidP="00430A45">
      <w:pPr>
        <w:pStyle w:val="p1"/>
        <w:spacing w:line="360" w:lineRule="auto"/>
        <w:ind w:firstLine="720"/>
        <w:jc w:val="both"/>
      </w:pPr>
      <w:r w:rsidRPr="00215667">
        <w:t>Во анализите на сензитивност, разликата во крвавењето меѓу пациентите со и без аспирин станала статистички незначајна кога била исклучена студијата на Lu et al. (RR = 1.99; 95</w:t>
      </w:r>
      <w:r w:rsidR="00430A45">
        <w:t xml:space="preserve"> </w:t>
      </w:r>
      <w:r w:rsidRPr="00215667">
        <w:t>% CI: 0.91 до 4.36; P = 0.08; I² = 0</w:t>
      </w:r>
      <w:r w:rsidR="00430A45">
        <w:t xml:space="preserve"> </w:t>
      </w:r>
      <w:r w:rsidRPr="00215667">
        <w:t>%). Слични резултати биле добиени и при исклучување на други студии.</w:t>
      </w:r>
    </w:p>
    <w:p w14:paraId="6749DCA0" w14:textId="16D47479" w:rsidR="00412474" w:rsidRPr="00215667" w:rsidRDefault="00412474" w:rsidP="00430A45">
      <w:pPr>
        <w:pStyle w:val="p1"/>
        <w:spacing w:line="360" w:lineRule="auto"/>
        <w:ind w:firstLine="720"/>
        <w:jc w:val="both"/>
      </w:pPr>
      <w:r w:rsidRPr="00215667">
        <w:t>Пет студии го проценувале времето на крвавење (BT), вклучувајќи 123 пациенти на терапија со аспирин и 113 без аспирин. Општо земено, терапијата со аспирин значително го продолжила BT (аспирин наспроти без аспирин: SMD = 0.45; 95</w:t>
      </w:r>
      <w:r w:rsidR="00430A45">
        <w:t xml:space="preserve"> </w:t>
      </w:r>
      <w:r w:rsidRPr="00215667">
        <w:t>% CI: 0.18 до 0.72; P = 0.001). Се забележала висока хетерогеност (I² = 84</w:t>
      </w:r>
      <w:r w:rsidR="00430A45">
        <w:t xml:space="preserve"> </w:t>
      </w:r>
      <w:r w:rsidRPr="00215667">
        <w:t>%; P &lt; 0.0001), и кога бил применет моделот со случаен ефект, разликата во BT станала статистички незначајна.</w:t>
      </w:r>
    </w:p>
    <w:p w14:paraId="17A1C12A" w14:textId="6F323185" w:rsidR="00412474" w:rsidRPr="00215667" w:rsidRDefault="00412474" w:rsidP="00430A45">
      <w:pPr>
        <w:pStyle w:val="p1"/>
        <w:spacing w:line="360" w:lineRule="auto"/>
        <w:ind w:firstLine="720"/>
        <w:jc w:val="both"/>
      </w:pPr>
      <w:r w:rsidRPr="00215667">
        <w:t>Во анализите на сензитивност, при исклучување на студијата на Ardekian et al.</w:t>
      </w:r>
      <w:r w:rsidR="002A1D7C" w:rsidRPr="00430A45">
        <w:t>164</w:t>
      </w:r>
      <w:r w:rsidRPr="00215667">
        <w:t>, хетерогеноста се намалила, но разликата во BT сѐ уште не била статистички значајна (SMD = 0.24; 95</w:t>
      </w:r>
      <w:r w:rsidR="00430A45">
        <w:t xml:space="preserve"> </w:t>
      </w:r>
      <w:r w:rsidRPr="00215667">
        <w:t>% CI: –0.07 до 0.56; P = 0.13; I² = 18</w:t>
      </w:r>
      <w:r w:rsidR="00430A45">
        <w:t xml:space="preserve"> </w:t>
      </w:r>
      <w:r w:rsidRPr="00215667">
        <w:t>%). Сепак, кога била исклучена студијата на Krishnan et al., разликите во BT станале статистички значајни (SMD = 0.83; 95</w:t>
      </w:r>
      <w:r w:rsidR="00430A45">
        <w:t xml:space="preserve"> </w:t>
      </w:r>
      <w:r w:rsidRPr="00215667">
        <w:t>% CI: 0.04 до 1.63; P = 0.04; I² = 84</w:t>
      </w:r>
      <w:r w:rsidR="00430A45">
        <w:t xml:space="preserve"> </w:t>
      </w:r>
      <w:r w:rsidRPr="00215667">
        <w:t>%)</w:t>
      </w:r>
    </w:p>
    <w:p w14:paraId="337C3656" w14:textId="1B1339E3" w:rsidR="00412474" w:rsidRPr="00215667" w:rsidRDefault="00412474" w:rsidP="00430A45">
      <w:pPr>
        <w:pStyle w:val="p1"/>
        <w:spacing w:line="360" w:lineRule="auto"/>
        <w:ind w:firstLine="720"/>
        <w:jc w:val="both"/>
        <w:rPr>
          <w:vertAlign w:val="superscript"/>
          <w:lang w:val="en-US"/>
        </w:rPr>
      </w:pPr>
      <w:r w:rsidRPr="00215667">
        <w:t xml:space="preserve">Резултатите од нашето истражување укажуваат на статистички значајно зголемување на постекстракционото </w:t>
      </w:r>
      <w:r w:rsidR="00EC49EB" w:rsidRPr="00215667">
        <w:t>крвавење</w:t>
      </w:r>
      <w:r w:rsidRPr="00215667">
        <w:t xml:space="preserve"> (PEB) кај пациенти кои не ја прекинале оралната антикоагулантна терапија (VKA/DOAC) пред хируршката </w:t>
      </w:r>
      <w:r w:rsidRPr="00215667">
        <w:lastRenderedPageBreak/>
        <w:t xml:space="preserve">интервенција. Овој наод е во согласност со повеќе претходни студии кои ја потенцираат поврзаноста помеѓу континуитетот на терапијата и зголемениот ризик од </w:t>
      </w:r>
      <w:r w:rsidR="00EC49EB" w:rsidRPr="00215667">
        <w:t>крвавење</w:t>
      </w:r>
      <w:r w:rsidRPr="00215667">
        <w:t xml:space="preserve">. На пример, студијата на Douketis et al. (2012) истакнува дека прекинувањето на варфарин терапијата значително го намалува ризикот од </w:t>
      </w:r>
      <w:r w:rsidR="00EC49EB" w:rsidRPr="00215667">
        <w:t>крвавење</w:t>
      </w:r>
      <w:r w:rsidRPr="00215667">
        <w:t xml:space="preserve"> при стоматолошки интервенции, но истовремено го зголемува ризикот од тромбоза, што ја нагласува комплексноста на одлуките во клиничката </w:t>
      </w:r>
      <w:r w:rsidR="00562A37">
        <w:t>практика</w:t>
      </w:r>
      <w:r w:rsidRPr="00215667">
        <w:t>.</w:t>
      </w:r>
      <w:r w:rsidR="002A1D7C" w:rsidRPr="00215667">
        <w:rPr>
          <w:vertAlign w:val="superscript"/>
          <w:lang w:val="en-US"/>
        </w:rPr>
        <w:t>165</w:t>
      </w:r>
    </w:p>
    <w:p w14:paraId="3F3D3F0F" w14:textId="44B587A1" w:rsidR="00412474" w:rsidRPr="00215667" w:rsidRDefault="00412474" w:rsidP="00430A45">
      <w:pPr>
        <w:pStyle w:val="p1"/>
        <w:spacing w:line="360" w:lineRule="auto"/>
        <w:ind w:firstLine="720"/>
        <w:jc w:val="both"/>
      </w:pPr>
      <w:r w:rsidRPr="00215667">
        <w:t xml:space="preserve">Во однос на резултатите за аспирин, нашето истражување потврдува дека непрекинатата антиагрегациона терапија е поврзана со повисок интензитет на постекстракционо </w:t>
      </w:r>
      <w:r w:rsidR="00EC49EB" w:rsidRPr="00215667">
        <w:t>крвавење</w:t>
      </w:r>
      <w:r w:rsidRPr="00215667">
        <w:t xml:space="preserve">. Слични наоди се забележани во студијата на Wahl et al. (2015), каде што се нагласува дека пациенти на континуирана терапија со аспирин имаат поголем ризик од постоперативно </w:t>
      </w:r>
      <w:r w:rsidR="00EC49EB" w:rsidRPr="00215667">
        <w:t>крвавење</w:t>
      </w:r>
      <w:r w:rsidRPr="00215667">
        <w:t>, што бара внимателно следење и индивидуализирана проценка на ризиците.</w:t>
      </w:r>
      <w:r w:rsidR="002A1D7C" w:rsidRPr="00215667">
        <w:rPr>
          <w:vertAlign w:val="superscript"/>
          <w:lang w:val="en-US"/>
        </w:rPr>
        <w:t>166</w:t>
      </w:r>
      <w:r w:rsidRPr="00215667">
        <w:t xml:space="preserve"> Нашите податоци за влијанието на полот и статусот на прекин на терапијата се надоврзуваат на резултати од студии кои укажуваат дека ризикот од </w:t>
      </w:r>
      <w:r w:rsidR="00EC49EB" w:rsidRPr="00215667">
        <w:t>крвавење</w:t>
      </w:r>
      <w:r w:rsidRPr="00215667">
        <w:t xml:space="preserve"> може да варира и според биолошките фактори како што е полот. На пример, </w:t>
      </w:r>
      <w:r w:rsidR="002A1D7C" w:rsidRPr="00215667">
        <w:t>трудот</w:t>
      </w:r>
      <w:r w:rsidRPr="00215667">
        <w:t xml:space="preserve"> на Horowitz et al. (2018) покажува дека мажите имаат тенденција за поголем интензитет на </w:t>
      </w:r>
      <w:r w:rsidR="00EC49EB" w:rsidRPr="00215667">
        <w:t>крвавење</w:t>
      </w:r>
      <w:r w:rsidRPr="00215667">
        <w:t xml:space="preserve"> во некои контексти на антикоагулантна терапија, што се совпаѓа со наодите од нашето истражување каде што мажите кои ја прекинале терапијата имаат значително пониски вредности на PEB во споредба со оние што ја продолжиле.</w:t>
      </w:r>
    </w:p>
    <w:p w14:paraId="2BA8F6AC" w14:textId="01B1F00D" w:rsidR="00412474" w:rsidRPr="00215667" w:rsidRDefault="00412474" w:rsidP="00430A45">
      <w:pPr>
        <w:pStyle w:val="p1"/>
        <w:spacing w:line="360" w:lineRule="auto"/>
        <w:ind w:firstLine="720"/>
        <w:jc w:val="both"/>
      </w:pPr>
      <w:r w:rsidRPr="00215667">
        <w:t xml:space="preserve">Големата вредност на ефектот (η² = 0.46) во нашата анализа ја потенцира значајноста на влијанието на статусот на терапијата врз постекстракционото </w:t>
      </w:r>
      <w:r w:rsidR="00EC49EB" w:rsidRPr="00215667">
        <w:t>крвавење</w:t>
      </w:r>
      <w:r w:rsidRPr="00215667">
        <w:t>, што ја потенцира потребата за јасни клинички протоколи за управување со антикоагулантната и антиагрегационата терапија пред стоматолошки интервенции. Ова е во согласност и со препораките од водечките стоматолошки и хематолошки здруженија (на пр. American Dental Association, 2020), кои истакнуваат важност од мултидисциплинарен пристап при планирање на третманот кај пациенти на таква терапија.</w:t>
      </w:r>
    </w:p>
    <w:p w14:paraId="0C0BDE42" w14:textId="2C7B2B04" w:rsidR="00412474" w:rsidRPr="00215667" w:rsidRDefault="00412474" w:rsidP="00430A45">
      <w:pPr>
        <w:pStyle w:val="p1"/>
        <w:spacing w:line="360" w:lineRule="auto"/>
        <w:ind w:firstLine="720"/>
        <w:jc w:val="both"/>
      </w:pPr>
      <w:r w:rsidRPr="00215667">
        <w:lastRenderedPageBreak/>
        <w:t xml:space="preserve">Во минатото, се сугерираше дека одлуката за продолжување или прекинување на варфарин кај пациенти кои подлежат на стоматолошки екстракции треба да се прилагоди според нивото на INR: продолжување на употребата на варфарин со примена на локални хемостатски средства доколку INR е во терапевтскиот опсег и одложување на варфарин со цел корекција на дозата ако INR ја надминува вредноста од 3.5 или 4.0. Систематски преглед и метаанализa од 2009 година на пет рандомизирани контролирани студии (RCTs) заклучи дека продолжувањето со редовната доза на варфарин не го зголемува ризикот од </w:t>
      </w:r>
      <w:r w:rsidR="00EC49EB" w:rsidRPr="00215667">
        <w:t>крвавење</w:t>
      </w:r>
      <w:r w:rsidRPr="00215667">
        <w:t xml:space="preserve"> при мали стоматолошки интервенции во споредба со промена или прекин на дозата.</w:t>
      </w:r>
      <w:r w:rsidR="002A1D7C" w:rsidRPr="00215667">
        <w:rPr>
          <w:vertAlign w:val="superscript"/>
          <w:lang w:val="en-US"/>
        </w:rPr>
        <w:t>167</w:t>
      </w:r>
      <w:r w:rsidRPr="00215667">
        <w:t xml:space="preserve"> Сепак, оваа анализа не го проценуваше ефектот на другите хемостатски средства кои биле користени од пациентите во студиите. За разлика од ова, најновите препораки од Американскиот колеџ за пулмологија и интензивна медицина препорачуваат, кај пациенти кои подлежат на мали стоматолошки интервенции, „продолжување со ВКА (витамин К антагонисти) со коадминистрација на орален про-хемостатски агенс или прекинување на ВКА 2 до 3 дена пред интервенцијата, наместо користење на алтернативни стратегии“ — слаба препорака заснована на ниско или многу ниско ниво на докази (степен 2С).</w:t>
      </w:r>
    </w:p>
    <w:p w14:paraId="3E5A3F2D" w14:textId="1E27D2E5" w:rsidR="00412474" w:rsidRPr="00215667" w:rsidRDefault="00412474" w:rsidP="00430A45">
      <w:pPr>
        <w:pStyle w:val="p1"/>
        <w:spacing w:line="360" w:lineRule="auto"/>
        <w:ind w:firstLine="720"/>
        <w:jc w:val="both"/>
      </w:pPr>
      <w:r w:rsidRPr="00215667">
        <w:t xml:space="preserve">Резултатите од нашата анализа јасно ја потврдуваат поврзаноста помеѓу вредностите на INR и сериозноста на </w:t>
      </w:r>
      <w:r w:rsidR="001B261B" w:rsidRPr="00215667">
        <w:t>постекстракционо</w:t>
      </w:r>
      <w:r w:rsidRPr="00215667">
        <w:t xml:space="preserve">то </w:t>
      </w:r>
      <w:r w:rsidR="00EC49EB" w:rsidRPr="00215667">
        <w:t>крвавење</w:t>
      </w:r>
      <w:r w:rsidRPr="00215667">
        <w:t xml:space="preserve"> (PEB). Примената на </w:t>
      </w:r>
      <w:r w:rsidRPr="00430A45">
        <w:rPr>
          <w:i/>
          <w:iCs/>
        </w:rPr>
        <w:t>Kruskal-Wallis H</w:t>
      </w:r>
      <w:r w:rsidRPr="00215667">
        <w:t xml:space="preserve"> тестот покажа статистички значајни разлики во степенот на </w:t>
      </w:r>
      <w:r w:rsidR="00EC49EB" w:rsidRPr="00215667">
        <w:t>крвавење</w:t>
      </w:r>
      <w:r w:rsidRPr="00215667">
        <w:t xml:space="preserve"> помеѓу различни INR групи, при што пациентите со повисоки INR вредности имале повисоки средни рангови на PEB. Посебно значајни беа разликите кај INR &gt; 1.6, што укажува на значително повисок ризик за </w:t>
      </w:r>
      <w:r w:rsidR="00EC49EB" w:rsidRPr="00215667">
        <w:t>крвавење</w:t>
      </w:r>
      <w:r w:rsidRPr="00215667">
        <w:t>.</w:t>
      </w:r>
      <w:r w:rsidR="001B261B" w:rsidRPr="00215667">
        <w:rPr>
          <w:lang w:val="en-US"/>
        </w:rPr>
        <w:t xml:space="preserve"> </w:t>
      </w:r>
      <w:r w:rsidRPr="00215667">
        <w:t xml:space="preserve">Пост-хок анализата дополнително ги потврди овие наоди, каде што споредбата помеѓу групите со ниски и високи INR вредности покажа статистички значајни разлики. Пирсоновата корелациона анализа покажа силна и позитивна врска (r = 0.592, p &lt; 0.001) меѓу двете варијабли, што дополнително ја зацврстува хипотезата дека INR вредноста е добар индикатор за проценка на ризик од </w:t>
      </w:r>
      <w:r w:rsidR="001B261B" w:rsidRPr="00215667">
        <w:t>постекстракционо</w:t>
      </w:r>
      <w:r w:rsidRPr="00215667">
        <w:t xml:space="preserve"> </w:t>
      </w:r>
      <w:r w:rsidR="00EC49EB" w:rsidRPr="00215667">
        <w:t>крвавење</w:t>
      </w:r>
      <w:r w:rsidRPr="00215667">
        <w:t>.</w:t>
      </w:r>
    </w:p>
    <w:p w14:paraId="273679D7" w14:textId="77777777" w:rsidR="00412474" w:rsidRPr="00215667" w:rsidRDefault="00412474" w:rsidP="00430A45">
      <w:pPr>
        <w:pStyle w:val="p1"/>
        <w:spacing w:line="360" w:lineRule="auto"/>
        <w:ind w:firstLine="720"/>
        <w:jc w:val="both"/>
      </w:pPr>
      <w:r w:rsidRPr="00215667">
        <w:t xml:space="preserve">Овие наоди се во согласност со претходните истражувања кои укажуваат дека терапевтски и супратерапевтски INR вредности значајно го зголемуваат </w:t>
      </w:r>
      <w:r w:rsidRPr="00215667">
        <w:lastRenderedPageBreak/>
        <w:t>ризикот од крваречки компликации, особено кај пациенти на орална антикоагулантна терапија. Практично, ова значи дека пациентите со INR &gt; 1.6 бараат повисоко ниво на внимание при планирање на хируршки интервенции, а можно е и потреба за прилагодување на терапијата или спроведување на дополнителни хемостатски мерки.</w:t>
      </w:r>
    </w:p>
    <w:p w14:paraId="6FECF46F" w14:textId="0497FD95" w:rsidR="00412474" w:rsidRPr="00215667" w:rsidRDefault="00412474" w:rsidP="00430A45">
      <w:pPr>
        <w:pStyle w:val="p1"/>
        <w:spacing w:line="360" w:lineRule="auto"/>
        <w:ind w:firstLine="720"/>
        <w:jc w:val="both"/>
      </w:pPr>
      <w:r w:rsidRPr="00215667">
        <w:t xml:space="preserve">Во последно време, </w:t>
      </w:r>
      <w:r w:rsidRPr="00215667">
        <w:rPr>
          <w:rStyle w:val="s1"/>
          <w:rFonts w:eastAsiaTheme="majorEastAsia"/>
        </w:rPr>
        <w:t xml:space="preserve">HAS-BLED </w:t>
      </w:r>
      <w:r w:rsidR="00FA7E6F">
        <w:rPr>
          <w:rStyle w:val="s1"/>
          <w:rFonts w:eastAsiaTheme="majorEastAsia"/>
        </w:rPr>
        <w:t>индексот</w:t>
      </w:r>
      <w:r w:rsidRPr="00215667">
        <w:t xml:space="preserve"> се користи како индекс за проценка на ризикот од компликации со </w:t>
      </w:r>
      <w:r w:rsidR="00EC49EB" w:rsidRPr="00215667">
        <w:t>крвавење</w:t>
      </w:r>
      <w:r w:rsidRPr="00215667">
        <w:t xml:space="preserve"> кај пациенти кои примаат терапија со антикоагуланси. HAS-BLED </w:t>
      </w:r>
      <w:r w:rsidR="00FA7E6F">
        <w:t>индексот</w:t>
      </w:r>
      <w:r w:rsidRPr="00215667">
        <w:t xml:space="preserve"> ја оценува присутноста на девет ризик-фактори за </w:t>
      </w:r>
      <w:r w:rsidR="00EC49EB" w:rsidRPr="00215667">
        <w:t>крвавење</w:t>
      </w:r>
      <w:r w:rsidRPr="00215667">
        <w:t xml:space="preserve">. Насоките на Европското кардиолошко здружение наведуваат дека пациентите со скор од три поени или повеќе имаат зголемен ризик од хеморагиски компликации. Сепак, досега нема објавени истражувања кои ја испитуваат поврзаноста помеѓу </w:t>
      </w:r>
      <w:r w:rsidR="001B261B" w:rsidRPr="00215667">
        <w:t>постекстракционо</w:t>
      </w:r>
      <w:r w:rsidRPr="00215667">
        <w:t xml:space="preserve">то </w:t>
      </w:r>
      <w:r w:rsidR="00EC49EB" w:rsidRPr="00215667">
        <w:t>крвавење</w:t>
      </w:r>
      <w:r w:rsidRPr="00215667">
        <w:t xml:space="preserve"> и HAS-BLED </w:t>
      </w:r>
      <w:r w:rsidR="00FA7E6F">
        <w:t>индексот</w:t>
      </w:r>
      <w:r w:rsidRPr="00215667">
        <w:t xml:space="preserve">. </w:t>
      </w:r>
      <w:r w:rsidRPr="00215667">
        <w:rPr>
          <w:rStyle w:val="s1"/>
          <w:rFonts w:eastAsiaTheme="majorEastAsia"/>
        </w:rPr>
        <w:t>Предоперативна идентификација</w:t>
      </w:r>
      <w:r w:rsidRPr="00215667">
        <w:t xml:space="preserve"> на пациенти со висок ризик за </w:t>
      </w:r>
      <w:r w:rsidR="001B261B" w:rsidRPr="00215667">
        <w:t>постекстракционо</w:t>
      </w:r>
      <w:r w:rsidRPr="00215667">
        <w:t xml:space="preserve"> </w:t>
      </w:r>
      <w:r w:rsidR="00EC49EB" w:rsidRPr="00215667">
        <w:t>крвавење</w:t>
      </w:r>
      <w:r w:rsidRPr="00215667">
        <w:t xml:space="preserve"> би можела да овозможи соодветна подготовка пред изведување на екстракцијата на заб. Затоа, ја истражувавме корисноста на HAS-BLED </w:t>
      </w:r>
      <w:r w:rsidR="00FA7E6F">
        <w:t>индексот</w:t>
      </w:r>
      <w:r w:rsidRPr="00215667">
        <w:t xml:space="preserve"> како прогностички алат за </w:t>
      </w:r>
      <w:r w:rsidR="001B261B" w:rsidRPr="00215667">
        <w:t>постекстракционо</w:t>
      </w:r>
      <w:r w:rsidRPr="00215667">
        <w:t xml:space="preserve"> </w:t>
      </w:r>
      <w:r w:rsidR="00EC49EB" w:rsidRPr="00215667">
        <w:t>крвавење</w:t>
      </w:r>
      <w:r w:rsidRPr="00215667">
        <w:t xml:space="preserve"> кај пациенти кои примаат антикоагулантна и антиагрегациона терапија.</w:t>
      </w:r>
    </w:p>
    <w:p w14:paraId="706A4387" w14:textId="4B170B2B" w:rsidR="00412474" w:rsidRPr="00215667" w:rsidRDefault="00412474" w:rsidP="00430A45">
      <w:pPr>
        <w:pStyle w:val="p1"/>
        <w:spacing w:line="360" w:lineRule="auto"/>
        <w:ind w:firstLine="720"/>
        <w:jc w:val="both"/>
      </w:pPr>
      <w:r w:rsidRPr="00215667">
        <w:t xml:space="preserve">HAS-BLED </w:t>
      </w:r>
      <w:r w:rsidR="00FA7E6F">
        <w:t>индексот</w:t>
      </w:r>
      <w:r w:rsidRPr="00215667">
        <w:t xml:space="preserve"> беше оценет според насоките на Европското кардиолошко здружение и е опишан во продолжение.</w:t>
      </w:r>
      <w:r w:rsidR="002A1D7C" w:rsidRPr="00215667">
        <w:rPr>
          <w:vertAlign w:val="superscript"/>
          <w:lang w:val="en-US"/>
        </w:rPr>
        <w:t>168</w:t>
      </w:r>
      <w:r w:rsidRPr="00215667">
        <w:t xml:space="preserve"> Пациентите со систоличен крвен притисок ≥1</w:t>
      </w:r>
      <w:r w:rsidR="00430A45">
        <w:t xml:space="preserve"> </w:t>
      </w:r>
      <w:r w:rsidRPr="00215667">
        <w:t>60 мм Hg, измерен при пристигнувањето во болница, беа категоризирани како пациенти со „хипертензија“. Пациентите беа категоризирани како пациенти со „абнормална бубрежна или црнодробна функција“ врз основа на следните состојби: (1) пациенти кои се на хемодијализа или оние кои имале трансплантација на бубрег; (2) пациенти со серумски креатинин ≥</w:t>
      </w:r>
      <w:r w:rsidR="00430A45">
        <w:t xml:space="preserve"> </w:t>
      </w:r>
      <w:r w:rsidRPr="00215667">
        <w:t>2.26 mg/dL во најновиот крвен тест; (3) пациенти со хронична болест на црниот дроб, како што е цироза на црниот дроб, и ниво на билирубин најмалку двојно поголемо од горната граница на нормалата; и (4) пациенти со најмалку тројно зголемени нивоа на една од следниве ензими: аланин трансаминаза, аспартат аминотрансфераза или алкална фосфатаза.</w:t>
      </w:r>
    </w:p>
    <w:p w14:paraId="37AD7FF7" w14:textId="155CFE15" w:rsidR="00412474" w:rsidRPr="00215667" w:rsidRDefault="00412474" w:rsidP="00430A45">
      <w:pPr>
        <w:pStyle w:val="p1"/>
        <w:spacing w:line="360" w:lineRule="auto"/>
        <w:ind w:firstLine="720"/>
        <w:jc w:val="both"/>
      </w:pPr>
      <w:r w:rsidRPr="00215667">
        <w:lastRenderedPageBreak/>
        <w:t>Пациентите беа категоризирани како со „инсулт“ или „</w:t>
      </w:r>
      <w:r w:rsidR="00EC49EB" w:rsidRPr="00215667">
        <w:t>крвавење</w:t>
      </w:r>
      <w:r w:rsidRPr="00215667">
        <w:t>“ врз основа на информации добиени од медицинск</w:t>
      </w:r>
      <w:r w:rsidR="001B261B" w:rsidRPr="00215667">
        <w:rPr>
          <w:lang w:val="en-US"/>
        </w:rPr>
        <w:t>a</w:t>
      </w:r>
      <w:r w:rsidR="00430A45">
        <w:t>та</w:t>
      </w:r>
      <w:r w:rsidRPr="00215667">
        <w:t xml:space="preserve"> анамнез</w:t>
      </w:r>
      <w:r w:rsidR="001B261B" w:rsidRPr="00215667">
        <w:rPr>
          <w:lang w:val="en-US"/>
        </w:rPr>
        <w:t>a</w:t>
      </w:r>
      <w:r w:rsidRPr="00215667">
        <w:t xml:space="preserve"> при прием во болница. „Лабилен INR“ беше дефиниран како нестабилен/висок INR или лошо време во терапевтскиот опсег (на пример, &lt;</w:t>
      </w:r>
      <w:r w:rsidR="00430A45">
        <w:t xml:space="preserve"> </w:t>
      </w:r>
      <w:r w:rsidRPr="00215667">
        <w:t>60</w:t>
      </w:r>
      <w:r w:rsidR="00430A45">
        <w:t xml:space="preserve"> </w:t>
      </w:r>
      <w:r w:rsidRPr="00215667">
        <w:t>%). Пациентите на возраст ≥</w:t>
      </w:r>
      <w:r w:rsidR="00430A45">
        <w:t xml:space="preserve"> </w:t>
      </w:r>
      <w:r w:rsidRPr="00215667">
        <w:t>65 години во моментот на екстракцијата на забот беа категоризирани како „постари лица“. Пациентите кои примале долгорочно антитромбоцитна терапија или нестероидни антиинфламаторни лекови (НСАИЛ) или зависници од алкохол беа вклучени во групата „лекови и алкохол“. За секоја од овие категории се доделуваше по еден поен, со можен максимален вкупен скор од девет поени.</w:t>
      </w:r>
    </w:p>
    <w:p w14:paraId="1612EC31" w14:textId="4F823B6D" w:rsidR="00412474" w:rsidRPr="00215667" w:rsidRDefault="00412474" w:rsidP="00430A45">
      <w:pPr>
        <w:pStyle w:val="p1"/>
        <w:spacing w:line="360" w:lineRule="auto"/>
        <w:ind w:firstLine="720"/>
        <w:jc w:val="both"/>
      </w:pPr>
      <w:r w:rsidRPr="00215667">
        <w:t>Утврдивме дека највисокиот постигнат HAS-BLED скор беше шест поени. Скор од 1 и 2 поена беше најчесто постигнатиот резултат кај пациентите со најмали вредности на PEB, а речиси кај сите пациенти со вредност над три беше евидентирана повисока вредност на постекстрационо крвавење. Кај случаите со постекстракци</w:t>
      </w:r>
      <w:r w:rsidR="001B261B" w:rsidRPr="00215667">
        <w:t>оно</w:t>
      </w:r>
      <w:r w:rsidRPr="00215667">
        <w:t xml:space="preserve"> </w:t>
      </w:r>
      <w:r w:rsidR="00EC49EB" w:rsidRPr="00215667">
        <w:t>крвавење</w:t>
      </w:r>
      <w:r w:rsidRPr="00215667">
        <w:t xml:space="preserve">, ги споредивме пациентите со HAS-BLED скор од три или повеќе со оние со скор од два или помалку, при што откривме статистички значајна разлика во вредностите на постекстракционото крвавење. Резултатите од спроведената анализа ја потврдуваат силната и статистички значајна асоцијација помеѓу HAS-BLED </w:t>
      </w:r>
      <w:r w:rsidR="00FA7E6F">
        <w:t>индексот</w:t>
      </w:r>
      <w:r w:rsidRPr="00215667">
        <w:t xml:space="preserve"> и степенот на постекстракци</w:t>
      </w:r>
      <w:r w:rsidR="001B261B" w:rsidRPr="00215667">
        <w:t>оно</w:t>
      </w:r>
      <w:r w:rsidRPr="00215667">
        <w:t xml:space="preserve"> </w:t>
      </w:r>
      <w:r w:rsidR="00EC49EB" w:rsidRPr="00215667">
        <w:t>крвавење</w:t>
      </w:r>
      <w:r w:rsidRPr="00215667">
        <w:t xml:space="preserve"> (PEB). </w:t>
      </w:r>
      <w:r w:rsidRPr="00430A45">
        <w:rPr>
          <w:i/>
          <w:iCs/>
        </w:rPr>
        <w:t>Kruskal-Wallis H</w:t>
      </w:r>
      <w:r w:rsidRPr="00215667">
        <w:t xml:space="preserve"> тестот покажа статистички значајни разлики во HAS-BLED </w:t>
      </w:r>
      <w:r w:rsidR="00FA7E6F">
        <w:t>индексот</w:t>
      </w:r>
      <w:r w:rsidRPr="00215667">
        <w:t xml:space="preserve"> помеѓу различните групи на PEB (χ²(3) = 96.05, </w:t>
      </w:r>
      <w:r w:rsidRPr="00215667">
        <w:rPr>
          <w:i/>
          <w:iCs/>
        </w:rPr>
        <w:t>p</w:t>
      </w:r>
      <w:r w:rsidRPr="00215667">
        <w:t xml:space="preserve"> &lt; 0.001), со јасно изразен тренд на зголемување на средните рангови од PEB 1 кон PEB 4. Овие резултати упатуваат на тоа дека поголема сериозност на </w:t>
      </w:r>
      <w:r w:rsidR="00EC49EB" w:rsidRPr="00215667">
        <w:t>крвавење</w:t>
      </w:r>
      <w:r w:rsidRPr="00215667">
        <w:t xml:space="preserve">то е поврзана со повисоки вредности на HAS-BLED </w:t>
      </w:r>
      <w:r w:rsidR="00FA7E6F">
        <w:t>индексот</w:t>
      </w:r>
      <w:r w:rsidRPr="00215667">
        <w:t xml:space="preserve">. Пост-хок </w:t>
      </w:r>
      <w:r w:rsidRPr="00B950C4">
        <w:rPr>
          <w:i/>
          <w:iCs/>
        </w:rPr>
        <w:t>Dunn</w:t>
      </w:r>
      <w:r w:rsidRPr="00215667">
        <w:t xml:space="preserve"> тестот со </w:t>
      </w:r>
      <w:r w:rsidRPr="00B950C4">
        <w:rPr>
          <w:i/>
          <w:iCs/>
        </w:rPr>
        <w:t>Bonferroni</w:t>
      </w:r>
      <w:r w:rsidRPr="00215667">
        <w:t xml:space="preserve"> корекција ги потврди статистички значајните разлики помеѓу повеќето парови на групи, што дополнително ја зајакнува валидноста на утврдениот тренд.</w:t>
      </w:r>
    </w:p>
    <w:p w14:paraId="6EFBD5E3" w14:textId="6016D0A7" w:rsidR="00412474" w:rsidRPr="00215667" w:rsidRDefault="00412474" w:rsidP="00430A45">
      <w:pPr>
        <w:pStyle w:val="p1"/>
        <w:spacing w:line="360" w:lineRule="auto"/>
        <w:ind w:firstLine="720"/>
        <w:jc w:val="both"/>
      </w:pPr>
      <w:r w:rsidRPr="00215667">
        <w:t xml:space="preserve">Корелациската анализа според Пирсон откри силна и позитивна врска помеѓу степенот на </w:t>
      </w:r>
      <w:r w:rsidR="00EC49EB" w:rsidRPr="00215667">
        <w:t>крвавење</w:t>
      </w:r>
      <w:r w:rsidRPr="00215667">
        <w:t xml:space="preserve"> и HAS-BLED </w:t>
      </w:r>
      <w:r w:rsidR="00FA7E6F">
        <w:t>индексот</w:t>
      </w:r>
      <w:r w:rsidRPr="00215667">
        <w:t xml:space="preserve"> (</w:t>
      </w:r>
      <w:r w:rsidRPr="00215667">
        <w:rPr>
          <w:i/>
          <w:iCs/>
        </w:rPr>
        <w:t>r</w:t>
      </w:r>
      <w:r w:rsidRPr="00215667">
        <w:t xml:space="preserve">(183) = 0.811, </w:t>
      </w:r>
      <w:r w:rsidRPr="00215667">
        <w:rPr>
          <w:i/>
          <w:iCs/>
        </w:rPr>
        <w:t>p</w:t>
      </w:r>
      <w:r w:rsidRPr="00215667">
        <w:t xml:space="preserve"> &lt; 0.001), што значи дека со зголемување на HAS-BLED вредноста, значајно се зголемува и ризикот од </w:t>
      </w:r>
      <w:r w:rsidR="001B261B" w:rsidRPr="00215667">
        <w:t>постекстракционо</w:t>
      </w:r>
      <w:r w:rsidRPr="00215667">
        <w:t xml:space="preserve"> </w:t>
      </w:r>
      <w:r w:rsidR="00EC49EB" w:rsidRPr="00215667">
        <w:t>крвавење</w:t>
      </w:r>
      <w:r w:rsidRPr="00215667">
        <w:t xml:space="preserve">. Оваа врска има јасна клиничка важност, со што се потврдува дека HAS-BLED може да се користи како сигурен предиктор за проценка на ризикот од </w:t>
      </w:r>
      <w:r w:rsidR="00EC49EB" w:rsidRPr="00215667">
        <w:t>крвавење</w:t>
      </w:r>
      <w:r w:rsidRPr="00215667">
        <w:t xml:space="preserve"> по стоматолошки интервенции.</w:t>
      </w:r>
    </w:p>
    <w:p w14:paraId="4E49473F" w14:textId="2CA9F47B" w:rsidR="00412474" w:rsidRPr="00215667" w:rsidRDefault="00412474" w:rsidP="00B950C4">
      <w:pPr>
        <w:pStyle w:val="p1"/>
        <w:spacing w:line="360" w:lineRule="auto"/>
        <w:ind w:firstLine="720"/>
        <w:jc w:val="both"/>
      </w:pPr>
      <w:r w:rsidRPr="00215667">
        <w:lastRenderedPageBreak/>
        <w:t xml:space="preserve">Анализата поделена според типот на антикоагулантна терапија понатаму ја потврди релевантноста на HAS-BLED </w:t>
      </w:r>
      <w:r w:rsidR="00FA7E6F">
        <w:t>индексот</w:t>
      </w:r>
      <w:r w:rsidRPr="00215667">
        <w:t xml:space="preserve">. Кај пациентите третирани со VKA или DOAC, повторно беше утврдена статистички значајна разлика во HAS-BLED вредностите во однос на степенот на </w:t>
      </w:r>
      <w:r w:rsidR="00EC49EB" w:rsidRPr="00215667">
        <w:t>крвавење</w:t>
      </w:r>
      <w:r w:rsidRPr="00215667">
        <w:t xml:space="preserve"> (χ²(3) = 68.54, </w:t>
      </w:r>
      <w:r w:rsidRPr="00215667">
        <w:rPr>
          <w:i/>
          <w:iCs/>
        </w:rPr>
        <w:t>p</w:t>
      </w:r>
      <w:r w:rsidRPr="00215667">
        <w:t xml:space="preserve"> &lt; 0.001), при што се бележи растечка тенденција во средните рангови со зголемување на PEB. Пост-хок анализата покажа статистички значајни разлики речиси помеѓу сите групи, што ја потврдува способноста на HAS-BLED да стратифицира ризик во оваа популација. Вредноста на корелацијата (</w:t>
      </w:r>
      <w:r w:rsidRPr="00215667">
        <w:rPr>
          <w:i/>
          <w:iCs/>
        </w:rPr>
        <w:t>r</w:t>
      </w:r>
      <w:r w:rsidRPr="00215667">
        <w:t xml:space="preserve">(75) = 0.687, </w:t>
      </w:r>
      <w:r w:rsidRPr="00215667">
        <w:rPr>
          <w:i/>
          <w:iCs/>
        </w:rPr>
        <w:t>p</w:t>
      </w:r>
      <w:r w:rsidRPr="00215667">
        <w:t xml:space="preserve"> &lt; 0.001) укажува на силна, статистички значајна поврзаност помеѓу HAS-BLED </w:t>
      </w:r>
      <w:r w:rsidR="00FA7E6F">
        <w:t>индексот</w:t>
      </w:r>
      <w:r w:rsidRPr="00215667">
        <w:t xml:space="preserve"> и интензитетот на PEB кај антикоагулирани пациенти.</w:t>
      </w:r>
    </w:p>
    <w:p w14:paraId="6C3F175F" w14:textId="69958D76" w:rsidR="00412474" w:rsidRPr="00215667" w:rsidRDefault="00412474" w:rsidP="00B950C4">
      <w:pPr>
        <w:pStyle w:val="p1"/>
        <w:spacing w:line="360" w:lineRule="auto"/>
        <w:ind w:firstLine="720"/>
        <w:jc w:val="both"/>
      </w:pPr>
      <w:r w:rsidRPr="00215667">
        <w:t xml:space="preserve">Слични резултати се добиени и кај пациентите кои примаат терапија со аспирин. </w:t>
      </w:r>
      <w:r w:rsidRPr="00B950C4">
        <w:rPr>
          <w:i/>
          <w:iCs/>
        </w:rPr>
        <w:t>Kruskal-Wallis</w:t>
      </w:r>
      <w:r w:rsidRPr="00215667">
        <w:t xml:space="preserve"> анализата откри статистички значајни разлики во HAS-BLED </w:t>
      </w:r>
      <w:r w:rsidR="00FA7E6F">
        <w:t>индексот</w:t>
      </w:r>
      <w:r w:rsidRPr="00215667">
        <w:t xml:space="preserve"> помеѓу групите со различен степен на PEB (χ²(2) = 23.15, </w:t>
      </w:r>
      <w:r w:rsidRPr="00215667">
        <w:rPr>
          <w:i/>
          <w:iCs/>
        </w:rPr>
        <w:t>p</w:t>
      </w:r>
      <w:r w:rsidRPr="00215667">
        <w:t xml:space="preserve"> &lt; 0.001), со зголемување на средниот ранг паралелно со зголемувањето на степенот на </w:t>
      </w:r>
      <w:r w:rsidR="00EC49EB" w:rsidRPr="00215667">
        <w:t>крвавење</w:t>
      </w:r>
      <w:r w:rsidRPr="00215667">
        <w:t>. Пост-хок тестот според Dunn потврди дека сите парови покажуваат статистички значајни разлики. Пирсоновата корелациска анализа исто така укажа на умерено силна и позитивна врска (</w:t>
      </w:r>
      <w:r w:rsidRPr="00215667">
        <w:rPr>
          <w:i/>
          <w:iCs/>
        </w:rPr>
        <w:t>r</w:t>
      </w:r>
      <w:r w:rsidRPr="00215667">
        <w:t xml:space="preserve">(81) = 0.563, </w:t>
      </w:r>
      <w:r w:rsidRPr="00215667">
        <w:rPr>
          <w:i/>
          <w:iCs/>
        </w:rPr>
        <w:t>p</w:t>
      </w:r>
      <w:r w:rsidRPr="00215667">
        <w:t xml:space="preserve"> &lt; 0.001), што дополнително ја потврдува валидноста на HAS-BLED како предиктор и во оваа група. Резултатите од нашето истражување, кои укажуваат на значајна поврзаност помеѓу HAS-BLED </w:t>
      </w:r>
      <w:r w:rsidR="00FA7E6F">
        <w:t>индексот</w:t>
      </w:r>
      <w:r w:rsidRPr="00215667">
        <w:t xml:space="preserve"> и степенот на </w:t>
      </w:r>
      <w:r w:rsidR="001B261B" w:rsidRPr="00215667">
        <w:t>постекстракционо</w:t>
      </w:r>
      <w:r w:rsidRPr="00215667">
        <w:t xml:space="preserve"> </w:t>
      </w:r>
      <w:r w:rsidR="00EC49EB" w:rsidRPr="00215667">
        <w:t>крвавење</w:t>
      </w:r>
      <w:r w:rsidRPr="00215667">
        <w:t xml:space="preserve"> (PEB), се во согласност со наодите од претходни студии кои ја истакнуваат важноста на овој клинички инструмент како предиктор за ризик од </w:t>
      </w:r>
      <w:r w:rsidR="00EC49EB" w:rsidRPr="00215667">
        <w:t>крвавење</w:t>
      </w:r>
      <w:r w:rsidRPr="00215667">
        <w:t xml:space="preserve"> кај пациенти на антикоагулантна терапија.</w:t>
      </w:r>
    </w:p>
    <w:p w14:paraId="4B708F66" w14:textId="00E58391" w:rsidR="00412474" w:rsidRPr="00215667" w:rsidRDefault="00412474" w:rsidP="00B950C4">
      <w:pPr>
        <w:pStyle w:val="p1"/>
        <w:spacing w:line="360" w:lineRule="auto"/>
        <w:ind w:firstLine="720"/>
        <w:jc w:val="both"/>
      </w:pPr>
      <w:r w:rsidRPr="00215667">
        <w:t>Истражување на Douketis et al. (201</w:t>
      </w:r>
      <w:r w:rsidR="002A1D7C" w:rsidRPr="00215667">
        <w:rPr>
          <w:lang w:val="en-US"/>
        </w:rPr>
        <w:t>5</w:t>
      </w:r>
      <w:r w:rsidRPr="00215667">
        <w:t xml:space="preserve">) покажа дека повисоките HAS-BLED скорови се тесно поврзани со зголемен ризик од </w:t>
      </w:r>
      <w:r w:rsidR="00EC49EB" w:rsidRPr="00215667">
        <w:t>крвавење</w:t>
      </w:r>
      <w:r w:rsidRPr="00215667">
        <w:t xml:space="preserve"> кај пациенти на варфарин терапија,</w:t>
      </w:r>
      <w:r w:rsidR="002A1D7C" w:rsidRPr="00215667">
        <w:rPr>
          <w:vertAlign w:val="superscript"/>
          <w:lang w:val="en-US"/>
        </w:rPr>
        <w:t>169</w:t>
      </w:r>
      <w:r w:rsidRPr="00215667">
        <w:t xml:space="preserve"> што ја поддржува нашата анализа во која повисоките HAS-BLED вредности кореспондираат со потешки облици на PEB. Слично, студи</w:t>
      </w:r>
      <w:r w:rsidR="00215667" w:rsidRPr="00215667">
        <w:t>јата</w:t>
      </w:r>
      <w:r w:rsidRPr="00215667">
        <w:t xml:space="preserve"> на </w:t>
      </w:r>
      <w:r w:rsidR="00215667" w:rsidRPr="00215667">
        <w:rPr>
          <w:lang w:val="en-US"/>
        </w:rPr>
        <w:t>Kataoka et al</w:t>
      </w:r>
      <w:r w:rsidRPr="00215667">
        <w:t>. (201</w:t>
      </w:r>
      <w:r w:rsidR="00215667" w:rsidRPr="00215667">
        <w:rPr>
          <w:lang w:val="en-US"/>
        </w:rPr>
        <w:t>6</w:t>
      </w:r>
      <w:r w:rsidRPr="00215667">
        <w:t xml:space="preserve">) укажа дека HAS-BLED </w:t>
      </w:r>
      <w:r w:rsidR="00215667" w:rsidRPr="00215667">
        <w:t>индексот може да биде индикатор за постекстракционо крвавење кај пациенти кои истовремено користат антиагрегациона терапија</w:t>
      </w:r>
      <w:r w:rsidRPr="00215667">
        <w:t>.</w:t>
      </w:r>
      <w:r w:rsidR="00215667" w:rsidRPr="00215667">
        <w:rPr>
          <w:vertAlign w:val="superscript"/>
        </w:rPr>
        <w:t>170</w:t>
      </w:r>
      <w:r w:rsidRPr="00215667">
        <w:t xml:space="preserve"> Исто така, нашите наоди за силната корелација помеѓу HAS-BLED </w:t>
      </w:r>
      <w:r w:rsidR="00FA7E6F">
        <w:t>индексот</w:t>
      </w:r>
      <w:r w:rsidRPr="00215667">
        <w:t xml:space="preserve"> и </w:t>
      </w:r>
      <w:r w:rsidR="001B261B" w:rsidRPr="00215667">
        <w:t>постекстракционо</w:t>
      </w:r>
      <w:r w:rsidRPr="00215667">
        <w:t xml:space="preserve">то </w:t>
      </w:r>
      <w:r w:rsidR="00EC49EB" w:rsidRPr="00215667">
        <w:t>крвавење</w:t>
      </w:r>
      <w:r w:rsidRPr="00215667">
        <w:t xml:space="preserve"> кај пациенти на </w:t>
      </w:r>
      <w:r w:rsidRPr="00215667">
        <w:lastRenderedPageBreak/>
        <w:t>DOAC терапија се согласуваат со резултатите од студијата на</w:t>
      </w:r>
      <w:r w:rsidR="00215667" w:rsidRPr="00215667">
        <w:rPr>
          <w:lang w:val="en-US"/>
        </w:rPr>
        <w:t xml:space="preserve"> Apostolakis et al. (2012)</w:t>
      </w:r>
      <w:r w:rsidR="00215667" w:rsidRPr="00215667">
        <w:rPr>
          <w:vertAlign w:val="superscript"/>
          <w:lang w:val="en-US"/>
        </w:rPr>
        <w:t>171</w:t>
      </w:r>
      <w:r w:rsidRPr="00215667">
        <w:t xml:space="preserve"> која укажа дека и кај пациенти кои користат нови орални антикоагуланси (DOAC) ризикот од </w:t>
      </w:r>
      <w:r w:rsidR="00EC49EB" w:rsidRPr="00215667">
        <w:t>крвавење</w:t>
      </w:r>
      <w:r w:rsidRPr="00215667">
        <w:t xml:space="preserve"> се зголемува со порастот на HAS-BLED вредностите.</w:t>
      </w:r>
    </w:p>
    <w:p w14:paraId="383A0782" w14:textId="533CE3A2" w:rsidR="00412474" w:rsidRPr="00215667" w:rsidRDefault="00412474" w:rsidP="00B950C4">
      <w:pPr>
        <w:pStyle w:val="p1"/>
        <w:spacing w:line="360" w:lineRule="auto"/>
        <w:ind w:firstLine="720"/>
        <w:jc w:val="both"/>
      </w:pPr>
      <w:r w:rsidRPr="00215667">
        <w:t xml:space="preserve">Во однос на пациентите кои примаат антиагрегациона терапија, нашите резултати, кои покажуваат корелација помеѓу HAS-BLED и степенот на </w:t>
      </w:r>
      <w:r w:rsidR="00EC49EB" w:rsidRPr="00215667">
        <w:t>крвавење</w:t>
      </w:r>
      <w:r w:rsidRPr="00215667">
        <w:t xml:space="preserve">, </w:t>
      </w:r>
      <w:r w:rsidR="00215667" w:rsidRPr="00215667">
        <w:t>упатуваат на тоа дека</w:t>
      </w:r>
      <w:r w:rsidRPr="00215667">
        <w:t xml:space="preserve"> иако HAS-BLED првично бил развиен за проценка на ризик кај пациенти на антикоагулантна терапија, тој има примена и кај пациенти кои користат антиагреганси како аспирин.</w:t>
      </w:r>
    </w:p>
    <w:p w14:paraId="253EDCB2" w14:textId="36A4F587" w:rsidR="00412474" w:rsidRPr="00215667" w:rsidRDefault="00412474" w:rsidP="00B950C4">
      <w:pPr>
        <w:pStyle w:val="p1"/>
        <w:spacing w:line="360" w:lineRule="auto"/>
        <w:ind w:firstLine="720"/>
        <w:jc w:val="both"/>
      </w:pPr>
      <w:r w:rsidRPr="00215667">
        <w:t xml:space="preserve">Во студијата на Iwata et al. во која е анализирано влијанието на HAS-BLED индексот врз степенот на постекстракционо крвавење, било забележано дека инциденцата на постекстракционо </w:t>
      </w:r>
      <w:r w:rsidR="00EC49EB" w:rsidRPr="00215667">
        <w:t>крвавење</w:t>
      </w:r>
      <w:r w:rsidRPr="00215667">
        <w:t xml:space="preserve"> изнесувала 26,8</w:t>
      </w:r>
      <w:r w:rsidR="00B950C4">
        <w:t xml:space="preserve"> </w:t>
      </w:r>
      <w:r w:rsidRPr="00215667">
        <w:t>% (77 од 287 пациенти; степен 1: 63, степен 2: 14) кај пациенти кои примале варфарин и 26,0</w:t>
      </w:r>
      <w:r w:rsidR="00B950C4">
        <w:t xml:space="preserve"> </w:t>
      </w:r>
      <w:r w:rsidRPr="00215667">
        <w:t>% (27 од 104 пациенти; степен 1: 20, степен 2: 7) кај пациенти третирани со DOAC.</w:t>
      </w:r>
      <w:r w:rsidR="00215667" w:rsidRPr="00215667">
        <w:rPr>
          <w:vertAlign w:val="superscript"/>
          <w:lang w:val="en-US"/>
        </w:rPr>
        <w:t>91</w:t>
      </w:r>
      <w:r w:rsidRPr="00215667">
        <w:t xml:space="preserve"> Мултиваријантните анализи покажале дека кај пациентите кои примале варфарин, екстракција на повеќе заби и HAS-BLED скор поголем од 3 биле значајно поврзани со постекстракционо </w:t>
      </w:r>
      <w:r w:rsidR="00EC49EB" w:rsidRPr="00215667">
        <w:t>крвавење</w:t>
      </w:r>
      <w:r w:rsidRPr="00215667">
        <w:t xml:space="preserve">. Кај пациентите кои примале DOAC, единствено екстракцијата на повеќе заби била значајно асоцирана со појава на постекстракционо </w:t>
      </w:r>
      <w:r w:rsidR="00EC49EB" w:rsidRPr="00215667">
        <w:t>крвавење</w:t>
      </w:r>
      <w:r w:rsidRPr="00215667">
        <w:t xml:space="preserve">. Овие резултати се во корелација со наодите од нашето истражување, според кое вредностите на HAS-BLED над 3 се поврзани со значајно поголеми вредности на постекстракционо крвавење. </w:t>
      </w:r>
    </w:p>
    <w:p w14:paraId="77A563AA" w14:textId="759FBD2A" w:rsidR="00412474" w:rsidRPr="00215667" w:rsidRDefault="00412474" w:rsidP="00B950C4">
      <w:pPr>
        <w:pStyle w:val="p1"/>
        <w:spacing w:line="360" w:lineRule="auto"/>
        <w:ind w:firstLine="720"/>
        <w:jc w:val="both"/>
      </w:pPr>
      <w:r w:rsidRPr="00215667">
        <w:t xml:space="preserve">Сепак, нашето истражување ја истакнува и потребата од понатамошно тестирање и валидација на HAS-BLED </w:t>
      </w:r>
      <w:r w:rsidR="00FA7E6F">
        <w:t>индексот</w:t>
      </w:r>
      <w:r w:rsidRPr="00215667">
        <w:t xml:space="preserve"> во контекст на инвазивни хируршки интервенции, особено во групи со различни типови на терапија.</w:t>
      </w:r>
    </w:p>
    <w:p w14:paraId="06671164" w14:textId="77777777" w:rsidR="00215667" w:rsidRDefault="00215667" w:rsidP="00412474">
      <w:pPr>
        <w:ind w:firstLine="720"/>
        <w:jc w:val="both"/>
        <w:rPr>
          <w:rFonts w:ascii="Times New Roman" w:hAnsi="Times New Roman" w:cs="Times New Roman"/>
          <w:b/>
          <w:sz w:val="24"/>
          <w:szCs w:val="24"/>
        </w:rPr>
      </w:pPr>
    </w:p>
    <w:p w14:paraId="60961B03" w14:textId="77777777" w:rsidR="00215667" w:rsidRDefault="00215667" w:rsidP="00412474">
      <w:pPr>
        <w:ind w:firstLine="720"/>
        <w:jc w:val="both"/>
        <w:rPr>
          <w:rFonts w:ascii="Times New Roman" w:hAnsi="Times New Roman" w:cs="Times New Roman"/>
          <w:b/>
          <w:sz w:val="24"/>
          <w:szCs w:val="24"/>
        </w:rPr>
      </w:pPr>
    </w:p>
    <w:p w14:paraId="360BA024" w14:textId="77777777" w:rsidR="00215667" w:rsidRDefault="00215667" w:rsidP="00412474">
      <w:pPr>
        <w:ind w:firstLine="720"/>
        <w:jc w:val="both"/>
        <w:rPr>
          <w:rFonts w:ascii="Times New Roman" w:hAnsi="Times New Roman" w:cs="Times New Roman"/>
          <w:b/>
          <w:sz w:val="24"/>
          <w:szCs w:val="24"/>
        </w:rPr>
      </w:pPr>
    </w:p>
    <w:p w14:paraId="0976385C" w14:textId="77777777" w:rsidR="00215667" w:rsidRDefault="00215667" w:rsidP="00412474">
      <w:pPr>
        <w:ind w:firstLine="720"/>
        <w:jc w:val="both"/>
        <w:rPr>
          <w:rFonts w:ascii="Times New Roman" w:hAnsi="Times New Roman" w:cs="Times New Roman"/>
          <w:b/>
          <w:sz w:val="24"/>
          <w:szCs w:val="24"/>
        </w:rPr>
      </w:pPr>
    </w:p>
    <w:p w14:paraId="5DC81F97" w14:textId="77777777" w:rsidR="00215667" w:rsidRDefault="00215667" w:rsidP="00412474">
      <w:pPr>
        <w:ind w:firstLine="720"/>
        <w:jc w:val="both"/>
        <w:rPr>
          <w:rFonts w:ascii="Times New Roman" w:hAnsi="Times New Roman" w:cs="Times New Roman"/>
          <w:b/>
          <w:sz w:val="24"/>
          <w:szCs w:val="24"/>
        </w:rPr>
      </w:pPr>
    </w:p>
    <w:p w14:paraId="2708D355" w14:textId="54C3424A" w:rsidR="00412474" w:rsidRPr="00215667" w:rsidRDefault="00412474" w:rsidP="00215667">
      <w:pPr>
        <w:pStyle w:val="Heading1"/>
        <w:rPr>
          <w:rFonts w:ascii="Times New Roman" w:hAnsi="Times New Roman" w:cs="Times New Roman"/>
          <w:b/>
          <w:bCs/>
          <w:color w:val="000000" w:themeColor="text1"/>
          <w:sz w:val="28"/>
          <w:szCs w:val="28"/>
        </w:rPr>
      </w:pPr>
      <w:bookmarkStart w:id="48" w:name="_Toc209005163"/>
      <w:r w:rsidRPr="00215667">
        <w:rPr>
          <w:rFonts w:ascii="Times New Roman" w:hAnsi="Times New Roman" w:cs="Times New Roman"/>
          <w:b/>
          <w:bCs/>
          <w:color w:val="000000" w:themeColor="text1"/>
          <w:sz w:val="28"/>
          <w:szCs w:val="28"/>
        </w:rPr>
        <w:lastRenderedPageBreak/>
        <w:t>ЗАКЛУЧОЦИ</w:t>
      </w:r>
      <w:bookmarkEnd w:id="48"/>
    </w:p>
    <w:p w14:paraId="266C2ED6" w14:textId="77777777" w:rsidR="00412474" w:rsidRPr="00215667" w:rsidRDefault="00412474" w:rsidP="00412474">
      <w:pPr>
        <w:ind w:firstLine="720"/>
        <w:jc w:val="both"/>
        <w:rPr>
          <w:rFonts w:ascii="Times New Roman" w:hAnsi="Times New Roman" w:cs="Times New Roman"/>
          <w:bCs/>
          <w:sz w:val="24"/>
          <w:szCs w:val="24"/>
        </w:rPr>
      </w:pPr>
    </w:p>
    <w:p w14:paraId="76A9157D" w14:textId="5AC6C70B" w:rsidR="00412474" w:rsidRPr="00215667" w:rsidRDefault="00412474" w:rsidP="00B950C4">
      <w:pPr>
        <w:pStyle w:val="NoSpacing"/>
        <w:numPr>
          <w:ilvl w:val="0"/>
          <w:numId w:val="21"/>
        </w:numPr>
        <w:spacing w:line="360" w:lineRule="auto"/>
        <w:ind w:left="0" w:firstLine="180"/>
        <w:jc w:val="both"/>
        <w:rPr>
          <w:rFonts w:ascii="Times New Roman" w:hAnsi="Times New Roman" w:cs="Times New Roman"/>
          <w:sz w:val="24"/>
          <w:szCs w:val="24"/>
        </w:rPr>
      </w:pPr>
      <w:r w:rsidRPr="00215667">
        <w:rPr>
          <w:rFonts w:ascii="Times New Roman" w:hAnsi="Times New Roman" w:cs="Times New Roman"/>
          <w:sz w:val="24"/>
          <w:szCs w:val="24"/>
        </w:rPr>
        <w:t xml:space="preserve">Сомнение за постоење на хипоагрегабилна состојба, врз основа на анамнестичка, висока инциденца на самопријавени симптоми на крвавење е прва влезна етапа во поставување на дијагнозата. Дефинитивната дијагноза се поставува со </w:t>
      </w:r>
      <w:r w:rsidR="00D80713">
        <w:rPr>
          <w:rFonts w:ascii="Times New Roman" w:hAnsi="Times New Roman" w:cs="Times New Roman"/>
          <w:sz w:val="24"/>
          <w:szCs w:val="24"/>
        </w:rPr>
        <w:t>лабораториски</w:t>
      </w:r>
      <w:r w:rsidRPr="00215667">
        <w:rPr>
          <w:rFonts w:ascii="Times New Roman" w:hAnsi="Times New Roman" w:cs="Times New Roman"/>
          <w:sz w:val="24"/>
          <w:szCs w:val="24"/>
        </w:rPr>
        <w:t xml:space="preserve"> тестови за коагулација и агрегација. Редуцираните вредности на ADP, </w:t>
      </w:r>
      <w:r w:rsidR="0021755D">
        <w:rPr>
          <w:rFonts w:ascii="Times New Roman" w:hAnsi="Times New Roman" w:cs="Times New Roman"/>
          <w:sz w:val="24"/>
          <w:szCs w:val="24"/>
        </w:rPr>
        <w:t>ристоцетин</w:t>
      </w:r>
      <w:r w:rsidRPr="00215667">
        <w:rPr>
          <w:rFonts w:ascii="Times New Roman" w:hAnsi="Times New Roman" w:cs="Times New Roman"/>
          <w:sz w:val="24"/>
          <w:szCs w:val="24"/>
        </w:rPr>
        <w:t xml:space="preserve"> и </w:t>
      </w:r>
      <w:r w:rsidR="0021755D">
        <w:rPr>
          <w:rFonts w:ascii="Times New Roman" w:hAnsi="Times New Roman" w:cs="Times New Roman"/>
          <w:sz w:val="24"/>
          <w:szCs w:val="24"/>
        </w:rPr>
        <w:t>колаген</w:t>
      </w:r>
      <w:r w:rsidRPr="00215667">
        <w:rPr>
          <w:rFonts w:ascii="Times New Roman" w:hAnsi="Times New Roman" w:cs="Times New Roman"/>
          <w:sz w:val="24"/>
          <w:szCs w:val="24"/>
        </w:rPr>
        <w:t xml:space="preserve"> се предиктивните фактори за поставување на дијагнозата на тромбоцитната хипоагрегабилност</w:t>
      </w:r>
      <w:r w:rsidR="00FB13E5">
        <w:rPr>
          <w:rFonts w:ascii="Times New Roman" w:hAnsi="Times New Roman" w:cs="Times New Roman"/>
          <w:sz w:val="24"/>
          <w:szCs w:val="24"/>
        </w:rPr>
        <w:t xml:space="preserve"> </w:t>
      </w:r>
      <w:r w:rsidRPr="00215667">
        <w:rPr>
          <w:rFonts w:ascii="Times New Roman" w:hAnsi="Times New Roman" w:cs="Times New Roman"/>
          <w:sz w:val="24"/>
          <w:szCs w:val="24"/>
        </w:rPr>
        <w:t>се сигнифи</w:t>
      </w:r>
      <w:r w:rsidR="00B950C4">
        <w:rPr>
          <w:rFonts w:ascii="Times New Roman" w:hAnsi="Times New Roman" w:cs="Times New Roman"/>
          <w:sz w:val="24"/>
          <w:szCs w:val="24"/>
        </w:rPr>
        <w:t>к</w:t>
      </w:r>
      <w:r w:rsidRPr="00215667">
        <w:rPr>
          <w:rFonts w:ascii="Times New Roman" w:hAnsi="Times New Roman" w:cs="Times New Roman"/>
          <w:sz w:val="24"/>
          <w:szCs w:val="24"/>
        </w:rPr>
        <w:t>антни предиктори на тромбоцитна хипоагрегабилност, независни од останатите фактори на коагулација</w:t>
      </w:r>
      <w:r w:rsidR="00435E3A">
        <w:rPr>
          <w:rFonts w:ascii="Times New Roman" w:hAnsi="Times New Roman" w:cs="Times New Roman"/>
          <w:sz w:val="24"/>
          <w:szCs w:val="24"/>
        </w:rPr>
        <w:t xml:space="preserve">. </w:t>
      </w:r>
      <w:r w:rsidRPr="00215667">
        <w:rPr>
          <w:rFonts w:ascii="Times New Roman" w:hAnsi="Times New Roman" w:cs="Times New Roman"/>
          <w:sz w:val="24"/>
          <w:szCs w:val="24"/>
        </w:rPr>
        <w:t xml:space="preserve"> Идентификувањето на факторите на ризик за продолжени и абудантни крвавења пред екстракција на заби и изведувањето на дентоалвеоларна хирургија,  му дава можност и време на пациентот и хирургот, соодветно да се припремат и да знаат што да очекуваат, со цел да се сведе на минимум веројатноста за изненадни и непријатни појави на постекстракциони крвавења</w:t>
      </w:r>
      <w:r w:rsidR="00B950C4">
        <w:rPr>
          <w:rFonts w:ascii="Times New Roman" w:hAnsi="Times New Roman" w:cs="Times New Roman"/>
          <w:sz w:val="24"/>
          <w:szCs w:val="24"/>
        </w:rPr>
        <w:t>;</w:t>
      </w:r>
    </w:p>
    <w:p w14:paraId="312CEE92" w14:textId="77777777" w:rsidR="00412474" w:rsidRPr="00215667" w:rsidRDefault="00412474" w:rsidP="00B950C4">
      <w:pPr>
        <w:pStyle w:val="NoSpacing"/>
        <w:spacing w:line="360" w:lineRule="auto"/>
        <w:ind w:left="180"/>
        <w:jc w:val="both"/>
        <w:rPr>
          <w:rFonts w:ascii="Times New Roman" w:hAnsi="Times New Roman" w:cs="Times New Roman"/>
          <w:sz w:val="24"/>
          <w:szCs w:val="24"/>
        </w:rPr>
      </w:pPr>
    </w:p>
    <w:p w14:paraId="4FAA4649" w14:textId="767F0D6C" w:rsidR="00412474" w:rsidRPr="00215667" w:rsidRDefault="00FB13E5" w:rsidP="00B950C4">
      <w:pPr>
        <w:pStyle w:val="NoSpacing"/>
        <w:numPr>
          <w:ilvl w:val="0"/>
          <w:numId w:val="21"/>
        </w:numPr>
        <w:spacing w:line="360" w:lineRule="auto"/>
        <w:ind w:left="0" w:firstLine="180"/>
        <w:jc w:val="both"/>
        <w:rPr>
          <w:rFonts w:ascii="Times New Roman" w:hAnsi="Times New Roman" w:cs="Times New Roman"/>
          <w:sz w:val="24"/>
          <w:szCs w:val="24"/>
        </w:rPr>
      </w:pPr>
      <w:r>
        <w:rPr>
          <w:rFonts w:ascii="Times New Roman" w:eastAsia="Times New Roman" w:hAnsi="Times New Roman" w:cs="Times New Roman"/>
          <w:color w:val="0E0E0E"/>
          <w:sz w:val="24"/>
          <w:szCs w:val="24"/>
          <w:lang w:eastAsia="en-GB"/>
        </w:rPr>
        <w:t xml:space="preserve">Кај пациентите со хипоагрегабилна состојба на тромбоцитите, заклучивме дека </w:t>
      </w:r>
      <w:r w:rsidR="00412474" w:rsidRPr="00215667">
        <w:rPr>
          <w:rFonts w:ascii="Times New Roman" w:eastAsia="Times New Roman" w:hAnsi="Times New Roman" w:cs="Times New Roman"/>
          <w:color w:val="0E0E0E"/>
          <w:sz w:val="24"/>
          <w:szCs w:val="24"/>
          <w:lang w:eastAsia="en-GB"/>
        </w:rPr>
        <w:t>клиничкиот ризик</w:t>
      </w:r>
      <w:r>
        <w:rPr>
          <w:rFonts w:ascii="Times New Roman" w:eastAsia="Times New Roman" w:hAnsi="Times New Roman" w:cs="Times New Roman"/>
          <w:color w:val="0E0E0E"/>
          <w:sz w:val="24"/>
          <w:szCs w:val="24"/>
          <w:lang w:eastAsia="en-GB"/>
        </w:rPr>
        <w:t xml:space="preserve"> </w:t>
      </w:r>
      <w:r w:rsidR="00412474" w:rsidRPr="00215667">
        <w:rPr>
          <w:rFonts w:ascii="Times New Roman" w:eastAsia="Times New Roman" w:hAnsi="Times New Roman" w:cs="Times New Roman"/>
          <w:color w:val="0E0E0E"/>
          <w:sz w:val="24"/>
          <w:szCs w:val="24"/>
          <w:lang w:eastAsia="en-GB"/>
        </w:rPr>
        <w:t>од пролонгирано постоперативно крвавење е директно поврзан со намалените вредности на агрегациските параметри</w:t>
      </w:r>
      <w:r>
        <w:rPr>
          <w:rFonts w:ascii="Times New Roman" w:eastAsia="Times New Roman" w:hAnsi="Times New Roman" w:cs="Times New Roman"/>
          <w:color w:val="0E0E0E"/>
          <w:sz w:val="24"/>
          <w:szCs w:val="24"/>
          <w:lang w:eastAsia="en-GB"/>
        </w:rPr>
        <w:t>-</w:t>
      </w:r>
      <w:r w:rsidR="00412474" w:rsidRPr="00215667">
        <w:rPr>
          <w:rFonts w:ascii="Times New Roman" w:eastAsia="Times New Roman" w:hAnsi="Times New Roman" w:cs="Times New Roman"/>
          <w:color w:val="0E0E0E"/>
          <w:sz w:val="24"/>
          <w:szCs w:val="24"/>
          <w:lang w:eastAsia="en-GB"/>
        </w:rPr>
        <w:t xml:space="preserve"> ADP, </w:t>
      </w:r>
      <w:r w:rsidR="00B950C4">
        <w:rPr>
          <w:rFonts w:ascii="Times New Roman" w:eastAsia="Times New Roman" w:hAnsi="Times New Roman" w:cs="Times New Roman"/>
          <w:color w:val="0E0E0E"/>
          <w:sz w:val="24"/>
          <w:szCs w:val="24"/>
          <w:lang w:eastAsia="en-GB"/>
        </w:rPr>
        <w:t>р</w:t>
      </w:r>
      <w:r w:rsidR="0021755D">
        <w:rPr>
          <w:rFonts w:ascii="Times New Roman" w:eastAsia="Times New Roman" w:hAnsi="Times New Roman" w:cs="Times New Roman"/>
          <w:color w:val="0E0E0E"/>
          <w:sz w:val="24"/>
          <w:szCs w:val="24"/>
          <w:lang w:eastAsia="en-GB"/>
        </w:rPr>
        <w:t>истоцетин</w:t>
      </w:r>
      <w:r w:rsidR="00412474" w:rsidRPr="00215667">
        <w:rPr>
          <w:rFonts w:ascii="Times New Roman" w:eastAsia="Times New Roman" w:hAnsi="Times New Roman" w:cs="Times New Roman"/>
          <w:color w:val="0E0E0E"/>
          <w:sz w:val="24"/>
          <w:szCs w:val="24"/>
          <w:lang w:eastAsia="en-GB"/>
        </w:rPr>
        <w:t xml:space="preserve"> и </w:t>
      </w:r>
      <w:r w:rsidR="00B950C4">
        <w:rPr>
          <w:rFonts w:ascii="Times New Roman" w:eastAsia="Times New Roman" w:hAnsi="Times New Roman" w:cs="Times New Roman"/>
          <w:color w:val="0E0E0E"/>
          <w:sz w:val="24"/>
          <w:szCs w:val="24"/>
          <w:lang w:eastAsia="en-GB"/>
        </w:rPr>
        <w:t>к</w:t>
      </w:r>
      <w:r w:rsidR="0021755D">
        <w:rPr>
          <w:rFonts w:ascii="Times New Roman" w:eastAsia="Times New Roman" w:hAnsi="Times New Roman" w:cs="Times New Roman"/>
          <w:color w:val="0E0E0E"/>
          <w:sz w:val="24"/>
          <w:szCs w:val="24"/>
          <w:lang w:eastAsia="en-GB"/>
        </w:rPr>
        <w:t>олаген</w:t>
      </w:r>
      <w:r>
        <w:rPr>
          <w:rFonts w:ascii="Times New Roman" w:eastAsia="Times New Roman" w:hAnsi="Times New Roman" w:cs="Times New Roman"/>
          <w:color w:val="0E0E0E"/>
          <w:sz w:val="24"/>
          <w:szCs w:val="24"/>
          <w:lang w:eastAsia="en-GB"/>
        </w:rPr>
        <w:t xml:space="preserve">. </w:t>
      </w:r>
      <w:r w:rsidR="00412474" w:rsidRPr="00215667">
        <w:rPr>
          <w:rFonts w:ascii="Times New Roman" w:eastAsia="Times New Roman" w:hAnsi="Times New Roman" w:cs="Times New Roman"/>
          <w:color w:val="0E0E0E"/>
          <w:sz w:val="24"/>
          <w:szCs w:val="24"/>
          <w:lang w:eastAsia="en-GB"/>
        </w:rPr>
        <w:t xml:space="preserve">Имено, постои инверзна линеарна корелација помеѓу овие вредности и ризикот за продолжено крвавење, како и со интензитетот на </w:t>
      </w:r>
      <w:r w:rsidR="001B261B" w:rsidRPr="00215667">
        <w:rPr>
          <w:rFonts w:ascii="Times New Roman" w:eastAsia="Times New Roman" w:hAnsi="Times New Roman" w:cs="Times New Roman"/>
          <w:color w:val="0E0E0E"/>
          <w:sz w:val="24"/>
          <w:szCs w:val="24"/>
          <w:lang w:eastAsia="en-GB"/>
        </w:rPr>
        <w:t>постекстракционо</w:t>
      </w:r>
      <w:r w:rsidR="00412474" w:rsidRPr="00215667">
        <w:rPr>
          <w:rFonts w:ascii="Times New Roman" w:eastAsia="Times New Roman" w:hAnsi="Times New Roman" w:cs="Times New Roman"/>
          <w:color w:val="0E0E0E"/>
          <w:sz w:val="24"/>
          <w:szCs w:val="24"/>
          <w:lang w:eastAsia="en-GB"/>
        </w:rPr>
        <w:t xml:space="preserve"> </w:t>
      </w:r>
      <w:r w:rsidR="00EC49EB" w:rsidRPr="00215667">
        <w:rPr>
          <w:rFonts w:ascii="Times New Roman" w:eastAsia="Times New Roman" w:hAnsi="Times New Roman" w:cs="Times New Roman"/>
          <w:color w:val="0E0E0E"/>
          <w:sz w:val="24"/>
          <w:szCs w:val="24"/>
          <w:lang w:eastAsia="en-GB"/>
        </w:rPr>
        <w:t>крвавење</w:t>
      </w:r>
      <w:r w:rsidR="00412474" w:rsidRPr="00215667">
        <w:rPr>
          <w:rFonts w:ascii="Times New Roman" w:eastAsia="Times New Roman" w:hAnsi="Times New Roman" w:cs="Times New Roman"/>
          <w:color w:val="0E0E0E"/>
          <w:sz w:val="24"/>
          <w:szCs w:val="24"/>
          <w:lang w:eastAsia="en-GB"/>
        </w:rPr>
        <w:t xml:space="preserve"> (PEB). Свесноста и разбирањето за зголемениот ризик од постоперативно крвавење ја нагласуваат суштинската важност од примена на утврдени периоперативни системски и локални хемостатски мерки кај пациенти со тромбоцитна хипоагрегабилност.</w:t>
      </w:r>
      <w:r w:rsidR="00215667" w:rsidRPr="00215667">
        <w:rPr>
          <w:rFonts w:ascii="Times New Roman" w:eastAsia="Times New Roman" w:hAnsi="Times New Roman" w:cs="Times New Roman"/>
          <w:color w:val="0E0E0E"/>
          <w:sz w:val="24"/>
          <w:szCs w:val="24"/>
          <w:lang w:eastAsia="en-GB"/>
        </w:rPr>
        <w:t xml:space="preserve"> </w:t>
      </w:r>
      <w:r w:rsidR="00412474" w:rsidRPr="00215667">
        <w:rPr>
          <w:rFonts w:ascii="Times New Roman" w:eastAsia="Times New Roman" w:hAnsi="Times New Roman" w:cs="Times New Roman"/>
          <w:color w:val="0E0E0E"/>
          <w:sz w:val="24"/>
          <w:szCs w:val="24"/>
          <w:lang w:eastAsia="en-GB"/>
        </w:rPr>
        <w:t xml:space="preserve">Прецизна предоперативна подготовка на пациентите, </w:t>
      </w:r>
      <w:r w:rsidR="007270B2">
        <w:rPr>
          <w:rFonts w:ascii="Times New Roman" w:eastAsia="Times New Roman" w:hAnsi="Times New Roman" w:cs="Times New Roman"/>
          <w:color w:val="0E0E0E"/>
          <w:sz w:val="24"/>
          <w:szCs w:val="24"/>
          <w:lang w:eastAsia="en-GB"/>
        </w:rPr>
        <w:t xml:space="preserve">според горенаведените упатства, </w:t>
      </w:r>
      <w:r w:rsidR="00412474" w:rsidRPr="00215667">
        <w:rPr>
          <w:rFonts w:ascii="Times New Roman" w:eastAsia="Times New Roman" w:hAnsi="Times New Roman" w:cs="Times New Roman"/>
          <w:color w:val="0E0E0E"/>
          <w:sz w:val="24"/>
          <w:szCs w:val="24"/>
          <w:lang w:eastAsia="en-GB"/>
        </w:rPr>
        <w:t>спроведена во тесна интердисциплинарна соработка со трансфузиолог, е клучен предуслов за безбедно и успешно спроведување на екстракции</w:t>
      </w:r>
      <w:r w:rsidR="007270B2">
        <w:rPr>
          <w:rFonts w:ascii="Times New Roman" w:eastAsia="Times New Roman" w:hAnsi="Times New Roman" w:cs="Times New Roman"/>
          <w:color w:val="0E0E0E"/>
          <w:sz w:val="24"/>
          <w:szCs w:val="24"/>
          <w:lang w:eastAsia="en-GB"/>
        </w:rPr>
        <w:t>/</w:t>
      </w:r>
      <w:r w:rsidR="00412474" w:rsidRPr="00215667">
        <w:rPr>
          <w:rFonts w:ascii="Times New Roman" w:eastAsia="Times New Roman" w:hAnsi="Times New Roman" w:cs="Times New Roman"/>
          <w:color w:val="0E0E0E"/>
          <w:sz w:val="24"/>
          <w:szCs w:val="24"/>
          <w:lang w:eastAsia="en-GB"/>
        </w:rPr>
        <w:t xml:space="preserve"> дентоалвеоларни хируршки зафати. Врз основа на добиените резултати, се поставуваат основи за развој и имплементација на системски и локални клинички протоколи за ефективно менаџирање на </w:t>
      </w:r>
      <w:r w:rsidR="001B261B" w:rsidRPr="00215667">
        <w:rPr>
          <w:rFonts w:ascii="Times New Roman" w:eastAsia="Times New Roman" w:hAnsi="Times New Roman" w:cs="Times New Roman"/>
          <w:color w:val="0E0E0E"/>
          <w:sz w:val="24"/>
          <w:szCs w:val="24"/>
          <w:lang w:eastAsia="en-GB"/>
        </w:rPr>
        <w:t>постекстракционо</w:t>
      </w:r>
      <w:r w:rsidR="00412474" w:rsidRPr="00215667">
        <w:rPr>
          <w:rFonts w:ascii="Times New Roman" w:eastAsia="Times New Roman" w:hAnsi="Times New Roman" w:cs="Times New Roman"/>
          <w:color w:val="0E0E0E"/>
          <w:sz w:val="24"/>
          <w:szCs w:val="24"/>
          <w:lang w:eastAsia="en-GB"/>
        </w:rPr>
        <w:t xml:space="preserve">то </w:t>
      </w:r>
      <w:r w:rsidR="00EC49EB" w:rsidRPr="00215667">
        <w:rPr>
          <w:rFonts w:ascii="Times New Roman" w:eastAsia="Times New Roman" w:hAnsi="Times New Roman" w:cs="Times New Roman"/>
          <w:color w:val="0E0E0E"/>
          <w:sz w:val="24"/>
          <w:szCs w:val="24"/>
          <w:lang w:eastAsia="en-GB"/>
        </w:rPr>
        <w:t>крвавење</w:t>
      </w:r>
      <w:r w:rsidR="00412474" w:rsidRPr="00215667">
        <w:rPr>
          <w:rFonts w:ascii="Times New Roman" w:eastAsia="Times New Roman" w:hAnsi="Times New Roman" w:cs="Times New Roman"/>
          <w:color w:val="0E0E0E"/>
          <w:sz w:val="24"/>
          <w:szCs w:val="24"/>
          <w:lang w:eastAsia="en-GB"/>
        </w:rPr>
        <w:t xml:space="preserve"> (PEB)</w:t>
      </w:r>
      <w:r w:rsidR="00B950C4">
        <w:rPr>
          <w:rFonts w:ascii="Times New Roman" w:eastAsia="Times New Roman" w:hAnsi="Times New Roman" w:cs="Times New Roman"/>
          <w:color w:val="0E0E0E"/>
          <w:sz w:val="24"/>
          <w:szCs w:val="24"/>
          <w:lang w:eastAsia="en-GB"/>
        </w:rPr>
        <w:t>;</w:t>
      </w:r>
    </w:p>
    <w:p w14:paraId="7687CEE0" w14:textId="77777777" w:rsidR="00412474" w:rsidRPr="00215667" w:rsidRDefault="00412474" w:rsidP="00B950C4">
      <w:pPr>
        <w:pStyle w:val="NoSpacing"/>
        <w:spacing w:line="360" w:lineRule="auto"/>
        <w:jc w:val="both"/>
        <w:rPr>
          <w:rFonts w:ascii="Times New Roman" w:hAnsi="Times New Roman" w:cs="Times New Roman"/>
          <w:sz w:val="24"/>
          <w:szCs w:val="24"/>
        </w:rPr>
      </w:pPr>
    </w:p>
    <w:p w14:paraId="59B5AD6F" w14:textId="302B6806" w:rsidR="00412474" w:rsidRPr="00215667" w:rsidRDefault="007270B2" w:rsidP="00B950C4">
      <w:pPr>
        <w:pStyle w:val="NoSpacing"/>
        <w:numPr>
          <w:ilvl w:val="0"/>
          <w:numId w:val="21"/>
        </w:numPr>
        <w:spacing w:line="360" w:lineRule="auto"/>
        <w:ind w:left="0" w:firstLine="360"/>
        <w:jc w:val="both"/>
        <w:rPr>
          <w:rFonts w:ascii="Times New Roman" w:hAnsi="Times New Roman" w:cs="Times New Roman"/>
          <w:sz w:val="24"/>
          <w:szCs w:val="24"/>
        </w:rPr>
      </w:pPr>
      <w:r>
        <w:rPr>
          <w:rFonts w:ascii="Times New Roman" w:eastAsia="Times New Roman" w:hAnsi="Times New Roman" w:cs="Times New Roman"/>
          <w:color w:val="0E0E0E"/>
          <w:sz w:val="24"/>
          <w:szCs w:val="24"/>
          <w:lang w:eastAsia="en-GB"/>
        </w:rPr>
        <w:lastRenderedPageBreak/>
        <w:t>Резултатите во нашата студија потврдија дека</w:t>
      </w:r>
      <w:r w:rsidR="00412474" w:rsidRPr="00215667">
        <w:rPr>
          <w:rFonts w:ascii="Times New Roman" w:eastAsia="Times New Roman" w:hAnsi="Times New Roman" w:cs="Times New Roman"/>
          <w:color w:val="0E0E0E"/>
          <w:sz w:val="24"/>
          <w:szCs w:val="24"/>
          <w:lang w:eastAsia="en-GB"/>
        </w:rPr>
        <w:t xml:space="preserve"> </w:t>
      </w:r>
      <w:r w:rsidR="00F00F01">
        <w:rPr>
          <w:rFonts w:ascii="Times New Roman" w:eastAsia="Times New Roman" w:hAnsi="Times New Roman" w:cs="Times New Roman"/>
          <w:color w:val="0E0E0E"/>
          <w:sz w:val="24"/>
          <w:szCs w:val="24"/>
          <w:lang w:eastAsia="en-GB"/>
        </w:rPr>
        <w:t>транексамична</w:t>
      </w:r>
      <w:r w:rsidR="00412474" w:rsidRPr="00215667">
        <w:rPr>
          <w:rFonts w:ascii="Times New Roman" w:eastAsia="Times New Roman" w:hAnsi="Times New Roman" w:cs="Times New Roman"/>
          <w:color w:val="0E0E0E"/>
          <w:sz w:val="24"/>
          <w:szCs w:val="24"/>
          <w:lang w:eastAsia="en-GB"/>
        </w:rPr>
        <w:t xml:space="preserve">та киселина (TXA) поседува и системско и локално хемостатско дејство, при што се забележани минимални несакани реакции. Овие наоди го поддржуваат препорачаниот статус на TXA како ефективен фармаколошки агенс за превенција на прекумерно крвавење, како и за редукција на потребата од дополнителна примена на други хемостатски препарати и/или крвни трансфузии. Предоперативниот протокол за менаџирање на пациенти со хипоагрегабилност вклучува бавна интравенска администрација на 1 до 1,5 грам </w:t>
      </w:r>
      <w:r w:rsidR="00F00F01">
        <w:rPr>
          <w:rFonts w:ascii="Times New Roman" w:eastAsia="Times New Roman" w:hAnsi="Times New Roman" w:cs="Times New Roman"/>
          <w:color w:val="0E0E0E"/>
          <w:sz w:val="24"/>
          <w:szCs w:val="24"/>
          <w:lang w:eastAsia="en-GB"/>
        </w:rPr>
        <w:t>транексамична</w:t>
      </w:r>
      <w:r w:rsidR="00412474" w:rsidRPr="00215667">
        <w:rPr>
          <w:rFonts w:ascii="Times New Roman" w:eastAsia="Times New Roman" w:hAnsi="Times New Roman" w:cs="Times New Roman"/>
          <w:color w:val="0E0E0E"/>
          <w:sz w:val="24"/>
          <w:szCs w:val="24"/>
          <w:lang w:eastAsia="en-GB"/>
        </w:rPr>
        <w:t xml:space="preserve"> киселина, растворена во 500 ml, физиолошки раствор приближно 45 минути пред хируршката интервенција</w:t>
      </w:r>
      <w:r w:rsidR="00B950C4">
        <w:rPr>
          <w:rFonts w:ascii="Times New Roman" w:hAnsi="Times New Roman" w:cs="Times New Roman"/>
          <w:sz w:val="24"/>
          <w:szCs w:val="24"/>
        </w:rPr>
        <w:t>.</w:t>
      </w:r>
      <w:r w:rsidR="00412474" w:rsidRPr="00215667">
        <w:rPr>
          <w:rFonts w:ascii="Times New Roman" w:hAnsi="Times New Roman" w:cs="Times New Roman"/>
          <w:sz w:val="24"/>
          <w:szCs w:val="24"/>
        </w:rPr>
        <w:t xml:space="preserve"> </w:t>
      </w:r>
      <w:r w:rsidR="00412474" w:rsidRPr="00215667">
        <w:rPr>
          <w:rFonts w:ascii="Times New Roman" w:eastAsia="Times New Roman" w:hAnsi="Times New Roman" w:cs="Times New Roman"/>
          <w:color w:val="0E0E0E"/>
          <w:sz w:val="24"/>
          <w:szCs w:val="24"/>
          <w:lang w:eastAsia="en-GB"/>
        </w:rPr>
        <w:t xml:space="preserve">Внимателно изведената екстракција или хируршка интервенција, со минимално трауматизирање на околните ткива и под раководство на искусен хирург, претставува клучен фактор во контролата на интра- и постоперативното </w:t>
      </w:r>
      <w:r w:rsidR="00EC49EB" w:rsidRPr="00215667">
        <w:rPr>
          <w:rFonts w:ascii="Times New Roman" w:eastAsia="Times New Roman" w:hAnsi="Times New Roman" w:cs="Times New Roman"/>
          <w:color w:val="0E0E0E"/>
          <w:sz w:val="24"/>
          <w:szCs w:val="24"/>
          <w:lang w:eastAsia="en-GB"/>
        </w:rPr>
        <w:t>крвавење</w:t>
      </w:r>
      <w:r w:rsidR="00412474" w:rsidRPr="00215667">
        <w:rPr>
          <w:rFonts w:ascii="Times New Roman" w:eastAsia="Times New Roman" w:hAnsi="Times New Roman" w:cs="Times New Roman"/>
          <w:color w:val="0E0E0E"/>
          <w:sz w:val="24"/>
          <w:szCs w:val="24"/>
          <w:lang w:eastAsia="en-GB"/>
        </w:rPr>
        <w:t xml:space="preserve">. Дополнително, примена на локални хемостатски методи – вклучувајќи топично нанесување на </w:t>
      </w:r>
      <w:r w:rsidR="00F00F01">
        <w:rPr>
          <w:rFonts w:ascii="Times New Roman" w:eastAsia="Times New Roman" w:hAnsi="Times New Roman" w:cs="Times New Roman"/>
          <w:color w:val="0E0E0E"/>
          <w:sz w:val="24"/>
          <w:szCs w:val="24"/>
          <w:lang w:eastAsia="en-GB"/>
        </w:rPr>
        <w:t>транексамична</w:t>
      </w:r>
      <w:r w:rsidR="00412474" w:rsidRPr="00215667">
        <w:rPr>
          <w:rFonts w:ascii="Times New Roman" w:eastAsia="Times New Roman" w:hAnsi="Times New Roman" w:cs="Times New Roman"/>
          <w:color w:val="0E0E0E"/>
          <w:sz w:val="24"/>
          <w:szCs w:val="24"/>
          <w:lang w:eastAsia="en-GB"/>
        </w:rPr>
        <w:t xml:space="preserve"> киселина, рана хемостаза преку шиење и апликација на компресивна газа во времетраење од приближно 30 минути – овозможува ефективна хемостаза</w:t>
      </w:r>
      <w:r w:rsidR="00B950C4">
        <w:rPr>
          <w:rFonts w:ascii="Times New Roman" w:eastAsia="Times New Roman" w:hAnsi="Times New Roman" w:cs="Times New Roman"/>
          <w:color w:val="0E0E0E"/>
          <w:sz w:val="24"/>
          <w:szCs w:val="24"/>
          <w:lang w:eastAsia="en-GB"/>
        </w:rPr>
        <w:t>;</w:t>
      </w:r>
    </w:p>
    <w:p w14:paraId="49791B29" w14:textId="77777777" w:rsidR="00412474" w:rsidRPr="00215667" w:rsidRDefault="00412474" w:rsidP="00B950C4">
      <w:pPr>
        <w:pStyle w:val="NoSpacing"/>
        <w:spacing w:line="360" w:lineRule="auto"/>
        <w:ind w:left="360"/>
        <w:jc w:val="both"/>
        <w:rPr>
          <w:rFonts w:ascii="Times New Roman" w:hAnsi="Times New Roman" w:cs="Times New Roman"/>
          <w:sz w:val="24"/>
          <w:szCs w:val="24"/>
        </w:rPr>
      </w:pPr>
    </w:p>
    <w:p w14:paraId="3A1CE459" w14:textId="0C428A58" w:rsidR="00412474" w:rsidRPr="00215667" w:rsidRDefault="00412474" w:rsidP="00B950C4">
      <w:pPr>
        <w:pStyle w:val="NoSpacing"/>
        <w:numPr>
          <w:ilvl w:val="0"/>
          <w:numId w:val="21"/>
        </w:numPr>
        <w:spacing w:line="360" w:lineRule="auto"/>
        <w:ind w:left="0" w:firstLine="360"/>
        <w:jc w:val="both"/>
        <w:rPr>
          <w:rFonts w:ascii="Times New Roman" w:hAnsi="Times New Roman" w:cs="Times New Roman"/>
          <w:sz w:val="24"/>
          <w:szCs w:val="24"/>
        </w:rPr>
      </w:pPr>
      <w:r w:rsidRPr="00215667">
        <w:rPr>
          <w:rFonts w:ascii="Times New Roman" w:eastAsia="Times New Roman" w:hAnsi="Times New Roman" w:cs="Times New Roman"/>
          <w:color w:val="0E0E0E"/>
          <w:sz w:val="24"/>
          <w:szCs w:val="24"/>
          <w:lang w:eastAsia="en-GB"/>
        </w:rPr>
        <w:t>Во рамките на нашата студија, по спроведување на стандардизиран предоперативен протокол, беше утврдено дека кај 97,5</w:t>
      </w:r>
      <w:r w:rsidR="00B950C4">
        <w:rPr>
          <w:rFonts w:ascii="Times New Roman" w:eastAsia="Times New Roman" w:hAnsi="Times New Roman" w:cs="Times New Roman"/>
          <w:color w:val="0E0E0E"/>
          <w:sz w:val="24"/>
          <w:szCs w:val="24"/>
          <w:lang w:eastAsia="en-GB"/>
        </w:rPr>
        <w:t xml:space="preserve"> </w:t>
      </w:r>
      <w:r w:rsidRPr="00215667">
        <w:rPr>
          <w:rFonts w:ascii="Times New Roman" w:eastAsia="Times New Roman" w:hAnsi="Times New Roman" w:cs="Times New Roman"/>
          <w:color w:val="0E0E0E"/>
          <w:sz w:val="24"/>
          <w:szCs w:val="24"/>
          <w:lang w:eastAsia="en-GB"/>
        </w:rPr>
        <w:t xml:space="preserve">% од пациентите еднократна, предоперативна администрација на </w:t>
      </w:r>
      <w:r w:rsidR="00F00F01">
        <w:rPr>
          <w:rFonts w:ascii="Times New Roman" w:eastAsia="Times New Roman" w:hAnsi="Times New Roman" w:cs="Times New Roman"/>
          <w:color w:val="0E0E0E"/>
          <w:sz w:val="24"/>
          <w:szCs w:val="24"/>
          <w:lang w:eastAsia="en-GB"/>
        </w:rPr>
        <w:t>транексамична</w:t>
      </w:r>
      <w:r w:rsidRPr="00215667">
        <w:rPr>
          <w:rFonts w:ascii="Times New Roman" w:eastAsia="Times New Roman" w:hAnsi="Times New Roman" w:cs="Times New Roman"/>
          <w:color w:val="0E0E0E"/>
          <w:sz w:val="24"/>
          <w:szCs w:val="24"/>
          <w:lang w:eastAsia="en-GB"/>
        </w:rPr>
        <w:t xml:space="preserve"> киселина (ТХА) беше доволна за постигнување на речиси физиолошко ниво на крвавење, без потреба од дополнителни интервенции. Само кај пациенти со значително намалени вредности на релевантни хемостатски предиктори и присуство на коморбидитети, беше индицирана уште една доза ТХА, аплицирана интравенски.</w:t>
      </w:r>
    </w:p>
    <w:p w14:paraId="01EAC9E9" w14:textId="77777777" w:rsidR="00412474" w:rsidRPr="00215667" w:rsidRDefault="00412474" w:rsidP="00B950C4">
      <w:pPr>
        <w:pStyle w:val="NoSpacing"/>
        <w:spacing w:line="360" w:lineRule="auto"/>
        <w:jc w:val="both"/>
        <w:rPr>
          <w:rFonts w:ascii="Times New Roman" w:hAnsi="Times New Roman" w:cs="Times New Roman"/>
          <w:sz w:val="24"/>
          <w:szCs w:val="24"/>
        </w:rPr>
      </w:pPr>
    </w:p>
    <w:p w14:paraId="70A5AA56" w14:textId="166EA122" w:rsidR="00412474" w:rsidRPr="00215667" w:rsidRDefault="00412474" w:rsidP="00B950C4">
      <w:pPr>
        <w:pStyle w:val="NoSpacing"/>
        <w:numPr>
          <w:ilvl w:val="0"/>
          <w:numId w:val="21"/>
        </w:numPr>
        <w:spacing w:line="360" w:lineRule="auto"/>
        <w:ind w:left="0" w:firstLine="360"/>
        <w:jc w:val="both"/>
        <w:rPr>
          <w:rFonts w:ascii="Times New Roman" w:hAnsi="Times New Roman" w:cs="Times New Roman"/>
          <w:sz w:val="24"/>
          <w:szCs w:val="24"/>
        </w:rPr>
      </w:pPr>
      <w:r w:rsidRPr="00215667">
        <w:rPr>
          <w:rFonts w:ascii="Times New Roman" w:eastAsia="Times New Roman" w:hAnsi="Times New Roman" w:cs="Times New Roman"/>
          <w:color w:val="0E0E0E"/>
          <w:sz w:val="24"/>
          <w:szCs w:val="24"/>
          <w:lang w:eastAsia="en-GB"/>
        </w:rPr>
        <w:t>Примената на ТХА се покажа како безбедна и ефикасна, со ретка појава на компликации кои, доколку се јават, се од минор</w:t>
      </w:r>
      <w:r w:rsidR="00B950C4">
        <w:rPr>
          <w:rFonts w:ascii="Times New Roman" w:eastAsia="Times New Roman" w:hAnsi="Times New Roman" w:cs="Times New Roman"/>
          <w:color w:val="0E0E0E"/>
          <w:sz w:val="24"/>
          <w:szCs w:val="24"/>
          <w:lang w:eastAsia="en-GB"/>
        </w:rPr>
        <w:t>но</w:t>
      </w:r>
      <w:r w:rsidRPr="00215667">
        <w:rPr>
          <w:rFonts w:ascii="Times New Roman" w:eastAsia="Times New Roman" w:hAnsi="Times New Roman" w:cs="Times New Roman"/>
          <w:color w:val="0E0E0E"/>
          <w:sz w:val="24"/>
          <w:szCs w:val="24"/>
          <w:lang w:eastAsia="en-GB"/>
        </w:rPr>
        <w:t xml:space="preserve"> клиничк</w:t>
      </w:r>
      <w:r w:rsidR="00B950C4">
        <w:rPr>
          <w:rFonts w:ascii="Times New Roman" w:eastAsia="Times New Roman" w:hAnsi="Times New Roman" w:cs="Times New Roman"/>
          <w:color w:val="0E0E0E"/>
          <w:sz w:val="24"/>
          <w:szCs w:val="24"/>
          <w:lang w:eastAsia="en-GB"/>
        </w:rPr>
        <w:t>о</w:t>
      </w:r>
      <w:r w:rsidRPr="00215667">
        <w:rPr>
          <w:rFonts w:ascii="Times New Roman" w:eastAsia="Times New Roman" w:hAnsi="Times New Roman" w:cs="Times New Roman"/>
          <w:color w:val="0E0E0E"/>
          <w:sz w:val="24"/>
          <w:szCs w:val="24"/>
          <w:lang w:eastAsia="en-GB"/>
        </w:rPr>
        <w:t xml:space="preserve"> знача</w:t>
      </w:r>
      <w:r w:rsidR="00B950C4">
        <w:rPr>
          <w:rFonts w:ascii="Times New Roman" w:eastAsia="Times New Roman" w:hAnsi="Times New Roman" w:cs="Times New Roman"/>
          <w:color w:val="0E0E0E"/>
          <w:sz w:val="24"/>
          <w:szCs w:val="24"/>
          <w:lang w:eastAsia="en-GB"/>
        </w:rPr>
        <w:t>ње</w:t>
      </w:r>
      <w:r w:rsidRPr="00215667">
        <w:rPr>
          <w:rFonts w:ascii="Times New Roman" w:eastAsia="Times New Roman" w:hAnsi="Times New Roman" w:cs="Times New Roman"/>
          <w:color w:val="0E0E0E"/>
          <w:sz w:val="24"/>
          <w:szCs w:val="24"/>
          <w:lang w:eastAsia="en-GB"/>
        </w:rPr>
        <w:t xml:space="preserve"> и неспоредливо мали во однос на добиената хемостатска корист. Хируршките и рутинските екстракции на два заба во еден хируршки акт се безбедни и изводливи кај пациенти со тромбоцитна хипоагрегабилност, доколку се спроведе соодветна предоперативна подготовка со ТХА, при што постоперативното </w:t>
      </w:r>
      <w:r w:rsidR="00EC49EB" w:rsidRPr="00215667">
        <w:rPr>
          <w:rFonts w:ascii="Times New Roman" w:eastAsia="Times New Roman" w:hAnsi="Times New Roman" w:cs="Times New Roman"/>
          <w:color w:val="0E0E0E"/>
          <w:sz w:val="24"/>
          <w:szCs w:val="24"/>
          <w:lang w:eastAsia="en-GB"/>
        </w:rPr>
        <w:t>крвавење</w:t>
      </w:r>
      <w:r w:rsidRPr="00215667">
        <w:rPr>
          <w:rFonts w:ascii="Times New Roman" w:eastAsia="Times New Roman" w:hAnsi="Times New Roman" w:cs="Times New Roman"/>
          <w:color w:val="0E0E0E"/>
          <w:sz w:val="24"/>
          <w:szCs w:val="24"/>
          <w:lang w:eastAsia="en-GB"/>
        </w:rPr>
        <w:t xml:space="preserve"> е ефикасно контролирано со едноставни локални мерки</w:t>
      </w:r>
      <w:r w:rsidR="00B950C4">
        <w:rPr>
          <w:rFonts w:ascii="Times New Roman" w:eastAsia="Times New Roman" w:hAnsi="Times New Roman" w:cs="Times New Roman"/>
          <w:color w:val="0E0E0E"/>
          <w:sz w:val="24"/>
          <w:szCs w:val="24"/>
          <w:lang w:eastAsia="en-GB"/>
        </w:rPr>
        <w:t>;</w:t>
      </w:r>
    </w:p>
    <w:p w14:paraId="213AF875" w14:textId="77777777" w:rsidR="00412474" w:rsidRPr="00215667" w:rsidRDefault="00412474" w:rsidP="00B950C4">
      <w:pPr>
        <w:pStyle w:val="NoSpacing"/>
        <w:spacing w:line="360" w:lineRule="auto"/>
        <w:ind w:left="360"/>
        <w:jc w:val="both"/>
        <w:rPr>
          <w:rFonts w:ascii="Times New Roman" w:hAnsi="Times New Roman" w:cs="Times New Roman"/>
          <w:sz w:val="24"/>
          <w:szCs w:val="24"/>
        </w:rPr>
      </w:pPr>
    </w:p>
    <w:p w14:paraId="11553754" w14:textId="689C46C2" w:rsidR="00412474" w:rsidRPr="00215667" w:rsidRDefault="00412474" w:rsidP="00B950C4">
      <w:pPr>
        <w:pStyle w:val="NoSpacing"/>
        <w:numPr>
          <w:ilvl w:val="0"/>
          <w:numId w:val="21"/>
        </w:numPr>
        <w:spacing w:line="360" w:lineRule="auto"/>
        <w:ind w:left="0" w:firstLine="360"/>
        <w:jc w:val="both"/>
        <w:rPr>
          <w:rStyle w:val="s1"/>
          <w:rFonts w:ascii="Times New Roman" w:hAnsi="Times New Roman" w:cs="Times New Roman"/>
          <w:sz w:val="24"/>
          <w:szCs w:val="24"/>
        </w:rPr>
      </w:pPr>
      <w:r w:rsidRPr="00215667">
        <w:rPr>
          <w:rFonts w:ascii="Times New Roman" w:hAnsi="Times New Roman" w:cs="Times New Roman"/>
          <w:sz w:val="24"/>
          <w:szCs w:val="24"/>
        </w:rPr>
        <w:t xml:space="preserve">Пациентите кои примаат орална антикоагулантна (VKA/DOAC) или антиагрегациона терапија (аспирин), а не ја прекинале пред извршување на денталната хируршка интервенција, имаат </w:t>
      </w:r>
      <w:r w:rsidRPr="00215667">
        <w:rPr>
          <w:rStyle w:val="s1"/>
          <w:rFonts w:ascii="Times New Roman" w:eastAsiaTheme="majorEastAsia" w:hAnsi="Times New Roman" w:cs="Times New Roman"/>
          <w:sz w:val="24"/>
          <w:szCs w:val="24"/>
        </w:rPr>
        <w:t>статистички значајно зголемен ризик од постекстракционо крвавење (PEB)</w:t>
      </w:r>
      <w:r w:rsidRPr="00215667">
        <w:rPr>
          <w:rFonts w:ascii="Times New Roman" w:hAnsi="Times New Roman" w:cs="Times New Roman"/>
          <w:sz w:val="24"/>
          <w:szCs w:val="24"/>
        </w:rPr>
        <w:t xml:space="preserve">. </w:t>
      </w:r>
      <w:r w:rsidRPr="00215667">
        <w:rPr>
          <w:rStyle w:val="s1"/>
          <w:rFonts w:ascii="Times New Roman" w:eastAsiaTheme="majorEastAsia" w:hAnsi="Times New Roman" w:cs="Times New Roman"/>
          <w:sz w:val="24"/>
          <w:szCs w:val="24"/>
        </w:rPr>
        <w:t xml:space="preserve">Овие резултати </w:t>
      </w:r>
      <w:r w:rsidRPr="00215667">
        <w:rPr>
          <w:rFonts w:ascii="Times New Roman" w:hAnsi="Times New Roman" w:cs="Times New Roman"/>
          <w:sz w:val="24"/>
          <w:szCs w:val="24"/>
        </w:rPr>
        <w:t>потврдуваат силна асоцијација помеѓу континуирана антикоагулантна/антиагрегациона терапија и зголемен ризик од постоперативно крвавење</w:t>
      </w:r>
      <w:r w:rsidRPr="00215667">
        <w:rPr>
          <w:rStyle w:val="s1"/>
          <w:rFonts w:ascii="Times New Roman" w:eastAsiaTheme="majorEastAsia" w:hAnsi="Times New Roman" w:cs="Times New Roman"/>
          <w:sz w:val="24"/>
          <w:szCs w:val="24"/>
        </w:rPr>
        <w:t xml:space="preserve"> по овие интервенции. Може да се заклучи дека пред извршување на екстракција на заб, </w:t>
      </w:r>
      <w:r w:rsidR="007270B2">
        <w:rPr>
          <w:rStyle w:val="s1"/>
          <w:rFonts w:ascii="Times New Roman" w:eastAsiaTheme="majorEastAsia" w:hAnsi="Times New Roman" w:cs="Times New Roman"/>
          <w:sz w:val="24"/>
          <w:szCs w:val="24"/>
        </w:rPr>
        <w:t xml:space="preserve">независно од </w:t>
      </w:r>
      <w:r w:rsidRPr="00215667">
        <w:rPr>
          <w:rStyle w:val="s1"/>
          <w:rFonts w:ascii="Times New Roman" w:eastAsiaTheme="majorEastAsia" w:hAnsi="Times New Roman" w:cs="Times New Roman"/>
          <w:sz w:val="24"/>
          <w:szCs w:val="24"/>
        </w:rPr>
        <w:t xml:space="preserve">локализацијата на забот и типот на екстракција (обична или хируршка), потребно е да се направи прекин на антикоагулантната и антиагрегационата терапија, во консултација со ординирачкиот лекар, за да се избегне ризикот од продолжено </w:t>
      </w:r>
      <w:r w:rsidR="00B950C4">
        <w:rPr>
          <w:rStyle w:val="s1"/>
          <w:rFonts w:ascii="Times New Roman" w:eastAsiaTheme="majorEastAsia" w:hAnsi="Times New Roman" w:cs="Times New Roman"/>
          <w:sz w:val="24"/>
          <w:szCs w:val="24"/>
        </w:rPr>
        <w:t>постекстракционо</w:t>
      </w:r>
      <w:r w:rsidRPr="00215667">
        <w:rPr>
          <w:rStyle w:val="s1"/>
          <w:rFonts w:ascii="Times New Roman" w:eastAsiaTheme="majorEastAsia" w:hAnsi="Times New Roman" w:cs="Times New Roman"/>
          <w:sz w:val="24"/>
          <w:szCs w:val="24"/>
        </w:rPr>
        <w:t xml:space="preserve"> крвавење. </w:t>
      </w:r>
      <w:r w:rsidR="00215667" w:rsidRPr="00215667">
        <w:rPr>
          <w:rStyle w:val="s1"/>
          <w:rFonts w:ascii="Times New Roman" w:eastAsiaTheme="majorEastAsia" w:hAnsi="Times New Roman" w:cs="Times New Roman"/>
          <w:sz w:val="24"/>
          <w:szCs w:val="24"/>
        </w:rPr>
        <w:t xml:space="preserve">Во однос на типот на терапијата, прекинувањето треба да се направи 3-5 дена за пациентите со </w:t>
      </w:r>
      <w:r w:rsidR="00215667" w:rsidRPr="00215667">
        <w:rPr>
          <w:rStyle w:val="s1"/>
          <w:rFonts w:ascii="Times New Roman" w:eastAsiaTheme="majorEastAsia" w:hAnsi="Times New Roman" w:cs="Times New Roman"/>
          <w:sz w:val="24"/>
          <w:szCs w:val="24"/>
          <w:lang w:val="en-US"/>
        </w:rPr>
        <w:t xml:space="preserve">VKA </w:t>
      </w:r>
      <w:r w:rsidR="00215667" w:rsidRPr="00215667">
        <w:rPr>
          <w:rStyle w:val="s1"/>
          <w:rFonts w:ascii="Times New Roman" w:eastAsiaTheme="majorEastAsia" w:hAnsi="Times New Roman" w:cs="Times New Roman"/>
          <w:sz w:val="24"/>
          <w:szCs w:val="24"/>
        </w:rPr>
        <w:t xml:space="preserve">и </w:t>
      </w:r>
      <w:r w:rsidR="00215667" w:rsidRPr="00215667">
        <w:rPr>
          <w:rStyle w:val="s1"/>
          <w:rFonts w:ascii="Times New Roman" w:eastAsiaTheme="majorEastAsia" w:hAnsi="Times New Roman" w:cs="Times New Roman"/>
          <w:sz w:val="24"/>
          <w:szCs w:val="24"/>
          <w:lang w:val="en-US"/>
        </w:rPr>
        <w:t xml:space="preserve">NSAID, </w:t>
      </w:r>
      <w:r w:rsidR="00215667" w:rsidRPr="00215667">
        <w:rPr>
          <w:rStyle w:val="s1"/>
          <w:rFonts w:ascii="Times New Roman" w:eastAsiaTheme="majorEastAsia" w:hAnsi="Times New Roman" w:cs="Times New Roman"/>
          <w:sz w:val="24"/>
          <w:szCs w:val="24"/>
        </w:rPr>
        <w:t xml:space="preserve">и 24 часа за пациентите кои примаат </w:t>
      </w:r>
      <w:r w:rsidR="00215667" w:rsidRPr="00215667">
        <w:rPr>
          <w:rStyle w:val="s1"/>
          <w:rFonts w:ascii="Times New Roman" w:eastAsiaTheme="majorEastAsia" w:hAnsi="Times New Roman" w:cs="Times New Roman"/>
          <w:sz w:val="24"/>
          <w:szCs w:val="24"/>
          <w:lang w:val="en-US"/>
        </w:rPr>
        <w:t>DOAC</w:t>
      </w:r>
      <w:r w:rsidR="00A45B7E">
        <w:rPr>
          <w:rStyle w:val="s1"/>
          <w:rFonts w:ascii="Times New Roman" w:eastAsiaTheme="majorEastAsia" w:hAnsi="Times New Roman" w:cs="Times New Roman"/>
          <w:sz w:val="24"/>
          <w:szCs w:val="24"/>
        </w:rPr>
        <w:t>, секако во консултација со трансфузиолог</w:t>
      </w:r>
      <w:r w:rsidR="002A7020">
        <w:rPr>
          <w:rStyle w:val="s1"/>
          <w:rFonts w:ascii="Times New Roman" w:eastAsiaTheme="majorEastAsia" w:hAnsi="Times New Roman" w:cs="Times New Roman"/>
          <w:sz w:val="24"/>
          <w:szCs w:val="24"/>
        </w:rPr>
        <w:t xml:space="preserve"> и/или кардиолог</w:t>
      </w:r>
      <w:r w:rsidR="00A45B7E">
        <w:rPr>
          <w:rStyle w:val="s1"/>
          <w:rFonts w:ascii="Times New Roman" w:eastAsiaTheme="majorEastAsia" w:hAnsi="Times New Roman" w:cs="Times New Roman"/>
          <w:sz w:val="24"/>
          <w:szCs w:val="24"/>
        </w:rPr>
        <w:t xml:space="preserve">. </w:t>
      </w:r>
      <w:r w:rsidR="00873748">
        <w:rPr>
          <w:rStyle w:val="s1"/>
          <w:rFonts w:ascii="Times New Roman" w:eastAsiaTheme="majorEastAsia" w:hAnsi="Times New Roman" w:cs="Times New Roman"/>
          <w:sz w:val="24"/>
          <w:szCs w:val="24"/>
        </w:rPr>
        <w:t>Доколку не е дозволен прекин на антикоагулантна терапија, во тој случај трансфузиологот и/или  лекарот ординариус, во извештај назначуваат потреба од нивна замена, со цел да не се влоши општата состојба на пациентот</w:t>
      </w:r>
      <w:r w:rsidR="00B950C4">
        <w:rPr>
          <w:rStyle w:val="s1"/>
          <w:rFonts w:ascii="Times New Roman" w:eastAsiaTheme="majorEastAsia" w:hAnsi="Times New Roman" w:cs="Times New Roman"/>
          <w:sz w:val="24"/>
          <w:szCs w:val="24"/>
        </w:rPr>
        <w:t>;</w:t>
      </w:r>
    </w:p>
    <w:p w14:paraId="1B37ABA4" w14:textId="77777777" w:rsidR="00412474" w:rsidRPr="00215667" w:rsidRDefault="00412474" w:rsidP="00B950C4">
      <w:pPr>
        <w:pStyle w:val="NoSpacing"/>
        <w:spacing w:line="360" w:lineRule="auto"/>
        <w:jc w:val="both"/>
        <w:rPr>
          <w:rStyle w:val="s1"/>
          <w:rFonts w:ascii="Times New Roman" w:hAnsi="Times New Roman" w:cs="Times New Roman"/>
          <w:sz w:val="24"/>
          <w:szCs w:val="24"/>
        </w:rPr>
      </w:pPr>
    </w:p>
    <w:p w14:paraId="0EEF585B" w14:textId="714C099C" w:rsidR="00412474" w:rsidRPr="00215667" w:rsidRDefault="00412474" w:rsidP="00B950C4">
      <w:pPr>
        <w:pStyle w:val="NoSpacing"/>
        <w:numPr>
          <w:ilvl w:val="0"/>
          <w:numId w:val="21"/>
        </w:numPr>
        <w:spacing w:line="360" w:lineRule="auto"/>
        <w:ind w:left="0" w:firstLine="360"/>
        <w:jc w:val="both"/>
        <w:rPr>
          <w:rFonts w:ascii="Times New Roman" w:hAnsi="Times New Roman" w:cs="Times New Roman"/>
          <w:sz w:val="24"/>
          <w:szCs w:val="24"/>
        </w:rPr>
      </w:pPr>
      <w:r w:rsidRPr="00215667">
        <w:rPr>
          <w:rFonts w:ascii="Times New Roman" w:hAnsi="Times New Roman" w:cs="Times New Roman"/>
          <w:sz w:val="24"/>
          <w:szCs w:val="24"/>
        </w:rPr>
        <w:t xml:space="preserve">Вредноста на INR има значајно влијание врз појавата и тежината на </w:t>
      </w:r>
      <w:r w:rsidR="001B261B" w:rsidRPr="00215667">
        <w:rPr>
          <w:rFonts w:ascii="Times New Roman" w:hAnsi="Times New Roman" w:cs="Times New Roman"/>
          <w:sz w:val="24"/>
          <w:szCs w:val="24"/>
        </w:rPr>
        <w:t>постекстракционо</w:t>
      </w:r>
      <w:r w:rsidRPr="00215667">
        <w:rPr>
          <w:rFonts w:ascii="Times New Roman" w:hAnsi="Times New Roman" w:cs="Times New Roman"/>
          <w:sz w:val="24"/>
          <w:szCs w:val="24"/>
        </w:rPr>
        <w:t xml:space="preserve">то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(PEB).</w:t>
      </w:r>
      <w:r w:rsidR="002A7020">
        <w:rPr>
          <w:rFonts w:ascii="Times New Roman" w:hAnsi="Times New Roman" w:cs="Times New Roman"/>
          <w:sz w:val="24"/>
          <w:szCs w:val="24"/>
        </w:rPr>
        <w:t xml:space="preserve"> </w:t>
      </w:r>
      <w:r w:rsidRPr="00215667">
        <w:rPr>
          <w:rFonts w:ascii="Times New Roman" w:hAnsi="Times New Roman" w:cs="Times New Roman"/>
          <w:sz w:val="24"/>
          <w:szCs w:val="24"/>
        </w:rPr>
        <w:t xml:space="preserve">Пациентите </w:t>
      </w:r>
      <w:r w:rsidR="002A7020">
        <w:rPr>
          <w:rFonts w:ascii="Times New Roman" w:hAnsi="Times New Roman" w:cs="Times New Roman"/>
          <w:sz w:val="24"/>
          <w:szCs w:val="24"/>
        </w:rPr>
        <w:t xml:space="preserve">со </w:t>
      </w:r>
      <w:r w:rsidR="002A7020" w:rsidRPr="002A7020">
        <w:rPr>
          <w:rFonts w:ascii="Times New Roman" w:hAnsi="Times New Roman" w:cs="Times New Roman"/>
          <w:sz w:val="24"/>
          <w:szCs w:val="24"/>
          <w:lang w:val="en-US"/>
        </w:rPr>
        <w:t>VKA</w:t>
      </w:r>
      <w:r w:rsidR="002A7020">
        <w:rPr>
          <w:rFonts w:ascii="Times New Roman" w:hAnsi="Times New Roman" w:cs="Times New Roman"/>
          <w:sz w:val="24"/>
          <w:szCs w:val="24"/>
        </w:rPr>
        <w:t xml:space="preserve"> антикоагулантна терапија,</w:t>
      </w:r>
      <w:r w:rsidR="002A7020" w:rsidRPr="002A7020">
        <w:rPr>
          <w:rFonts w:ascii="Times New Roman" w:hAnsi="Times New Roman" w:cs="Times New Roman"/>
          <w:sz w:val="24"/>
          <w:szCs w:val="24"/>
        </w:rPr>
        <w:t xml:space="preserve"> </w:t>
      </w:r>
      <w:r w:rsidRPr="00215667">
        <w:rPr>
          <w:rFonts w:ascii="Times New Roman" w:hAnsi="Times New Roman" w:cs="Times New Roman"/>
          <w:sz w:val="24"/>
          <w:szCs w:val="24"/>
        </w:rPr>
        <w:t xml:space="preserve">со INR &gt; 1.6 имаат значително повисок ризик за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и претставуваат ризична група која бара внимателен третман.</w:t>
      </w:r>
      <w:r w:rsidR="00215667" w:rsidRPr="00215667">
        <w:rPr>
          <w:rFonts w:ascii="Times New Roman" w:hAnsi="Times New Roman" w:cs="Times New Roman"/>
          <w:sz w:val="24"/>
          <w:szCs w:val="24"/>
        </w:rPr>
        <w:t xml:space="preserve"> </w:t>
      </w:r>
      <w:r w:rsidRPr="00215667">
        <w:rPr>
          <w:rFonts w:ascii="Times New Roman" w:hAnsi="Times New Roman" w:cs="Times New Roman"/>
          <w:sz w:val="24"/>
          <w:szCs w:val="24"/>
        </w:rPr>
        <w:t xml:space="preserve">Постојната позитивна корелација меѓу INR и PEB (r = 0.592, p &lt; 0.001) укажува на тоа дека INR може да се користи како клучен индикатор при проценка на предоперативниот ризик. Во клиничката </w:t>
      </w:r>
      <w:r w:rsidR="00562A37">
        <w:rPr>
          <w:rFonts w:ascii="Times New Roman" w:hAnsi="Times New Roman" w:cs="Times New Roman"/>
          <w:sz w:val="24"/>
          <w:szCs w:val="24"/>
        </w:rPr>
        <w:t>практика</w:t>
      </w:r>
      <w:r w:rsidRPr="00215667">
        <w:rPr>
          <w:rFonts w:ascii="Times New Roman" w:hAnsi="Times New Roman" w:cs="Times New Roman"/>
          <w:sz w:val="24"/>
          <w:szCs w:val="24"/>
        </w:rPr>
        <w:t>, овие наоди укажуваат на потребата од внимателна евалуација на INR вредностите кај пациенти подложени на екстракција, со цел намалување на постоперативни компликации</w:t>
      </w:r>
      <w:r w:rsidR="00B950C4">
        <w:rPr>
          <w:rFonts w:ascii="Times New Roman" w:hAnsi="Times New Roman" w:cs="Times New Roman"/>
          <w:sz w:val="24"/>
          <w:szCs w:val="24"/>
        </w:rPr>
        <w:t>;</w:t>
      </w:r>
    </w:p>
    <w:p w14:paraId="3F3FEBF2" w14:textId="77777777" w:rsidR="00412474" w:rsidRPr="00215667" w:rsidRDefault="00412474" w:rsidP="00B950C4">
      <w:pPr>
        <w:pStyle w:val="NoSpacing"/>
        <w:spacing w:line="360" w:lineRule="auto"/>
        <w:jc w:val="both"/>
        <w:rPr>
          <w:rFonts w:ascii="Times New Roman" w:hAnsi="Times New Roman" w:cs="Times New Roman"/>
          <w:sz w:val="24"/>
          <w:szCs w:val="24"/>
        </w:rPr>
      </w:pPr>
    </w:p>
    <w:p w14:paraId="4487D892" w14:textId="2917B57D" w:rsidR="00412474" w:rsidRPr="00215667" w:rsidRDefault="00412474" w:rsidP="00B950C4">
      <w:pPr>
        <w:pStyle w:val="NoSpacing"/>
        <w:numPr>
          <w:ilvl w:val="0"/>
          <w:numId w:val="21"/>
        </w:numPr>
        <w:spacing w:line="360" w:lineRule="auto"/>
        <w:ind w:left="0" w:firstLine="360"/>
        <w:jc w:val="both"/>
        <w:rPr>
          <w:rFonts w:ascii="Times New Roman" w:hAnsi="Times New Roman" w:cs="Times New Roman"/>
          <w:sz w:val="24"/>
          <w:szCs w:val="24"/>
        </w:rPr>
      </w:pPr>
      <w:r w:rsidRPr="00215667">
        <w:rPr>
          <w:rStyle w:val="s1"/>
          <w:rFonts w:ascii="Times New Roman" w:eastAsiaTheme="majorEastAsia" w:hAnsi="Times New Roman" w:cs="Times New Roman"/>
          <w:sz w:val="24"/>
          <w:szCs w:val="24"/>
        </w:rPr>
        <w:t>Локацијата на екстракцијата</w:t>
      </w:r>
      <w:r w:rsidRPr="00215667">
        <w:rPr>
          <w:rFonts w:ascii="Times New Roman" w:hAnsi="Times New Roman" w:cs="Times New Roman"/>
          <w:sz w:val="24"/>
          <w:szCs w:val="24"/>
        </w:rPr>
        <w:t xml:space="preserve"> (максила/мандибула) </w:t>
      </w:r>
      <w:r w:rsidRPr="00215667">
        <w:rPr>
          <w:rStyle w:val="s1"/>
          <w:rFonts w:ascii="Times New Roman" w:eastAsiaTheme="majorEastAsia" w:hAnsi="Times New Roman" w:cs="Times New Roman"/>
          <w:sz w:val="24"/>
          <w:szCs w:val="24"/>
        </w:rPr>
        <w:t>може да има влијание врз PEB</w:t>
      </w:r>
      <w:r w:rsidRPr="00215667">
        <w:rPr>
          <w:rFonts w:ascii="Times New Roman" w:hAnsi="Times New Roman" w:cs="Times New Roman"/>
          <w:sz w:val="24"/>
          <w:szCs w:val="24"/>
        </w:rPr>
        <w:t xml:space="preserve"> кај пациенти на VKA, особено ако терапијата не е прекината, иако разликите не се секогаш статистички потврдени. </w:t>
      </w:r>
      <w:r w:rsidRPr="00215667">
        <w:rPr>
          <w:rStyle w:val="s1"/>
          <w:rFonts w:ascii="Times New Roman" w:eastAsiaTheme="majorEastAsia" w:hAnsi="Times New Roman" w:cs="Times New Roman"/>
          <w:sz w:val="24"/>
          <w:szCs w:val="24"/>
        </w:rPr>
        <w:t xml:space="preserve">Кај </w:t>
      </w:r>
      <w:r w:rsidRPr="00215667">
        <w:rPr>
          <w:rFonts w:ascii="Times New Roman" w:hAnsi="Times New Roman" w:cs="Times New Roman"/>
          <w:sz w:val="24"/>
          <w:szCs w:val="24"/>
        </w:rPr>
        <w:t>пациентите на аспирин</w:t>
      </w:r>
      <w:r w:rsidRPr="00215667">
        <w:rPr>
          <w:rStyle w:val="s1"/>
          <w:rFonts w:ascii="Times New Roman" w:eastAsiaTheme="majorEastAsia" w:hAnsi="Times New Roman" w:cs="Times New Roman"/>
          <w:sz w:val="24"/>
          <w:szCs w:val="24"/>
        </w:rPr>
        <w:t xml:space="preserve">, без оглед дали терапијата е прекината или не, </w:t>
      </w:r>
      <w:r w:rsidRPr="00215667">
        <w:rPr>
          <w:rFonts w:ascii="Times New Roman" w:hAnsi="Times New Roman" w:cs="Times New Roman"/>
          <w:sz w:val="24"/>
          <w:szCs w:val="24"/>
        </w:rPr>
        <w:t xml:space="preserve">нема докази дека локацијата или типот </w:t>
      </w:r>
      <w:r w:rsidRPr="00215667">
        <w:rPr>
          <w:rFonts w:ascii="Times New Roman" w:hAnsi="Times New Roman" w:cs="Times New Roman"/>
          <w:sz w:val="24"/>
          <w:szCs w:val="24"/>
        </w:rPr>
        <w:lastRenderedPageBreak/>
        <w:t>на интервенција значително влијае</w:t>
      </w:r>
      <w:r w:rsidRPr="00215667">
        <w:rPr>
          <w:rStyle w:val="s1"/>
          <w:rFonts w:ascii="Times New Roman" w:eastAsiaTheme="majorEastAsia" w:hAnsi="Times New Roman" w:cs="Times New Roman"/>
          <w:sz w:val="24"/>
          <w:szCs w:val="24"/>
        </w:rPr>
        <w:t xml:space="preserve"> врз PEB.</w:t>
      </w:r>
      <w:r w:rsidR="00215667" w:rsidRPr="00215667">
        <w:rPr>
          <w:rStyle w:val="s1"/>
          <w:rFonts w:ascii="Times New Roman" w:eastAsiaTheme="majorEastAsia" w:hAnsi="Times New Roman" w:cs="Times New Roman"/>
          <w:sz w:val="24"/>
          <w:szCs w:val="24"/>
        </w:rPr>
        <w:t xml:space="preserve"> </w:t>
      </w:r>
      <w:r w:rsidRPr="00215667">
        <w:rPr>
          <w:rStyle w:val="s1"/>
          <w:rFonts w:ascii="Times New Roman" w:eastAsiaTheme="majorEastAsia" w:hAnsi="Times New Roman" w:cs="Times New Roman"/>
          <w:sz w:val="24"/>
          <w:szCs w:val="24"/>
        </w:rPr>
        <w:t>Можни трендови</w:t>
      </w:r>
      <w:r w:rsidRPr="00215667">
        <w:rPr>
          <w:rFonts w:ascii="Times New Roman" w:hAnsi="Times New Roman" w:cs="Times New Roman"/>
          <w:sz w:val="24"/>
          <w:szCs w:val="24"/>
        </w:rPr>
        <w:t xml:space="preserve"> кон поголемо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во мандибула отколку во максила се забележуваат кај некои групи (VKA), но се потребни </w:t>
      </w:r>
      <w:r w:rsidRPr="00215667">
        <w:rPr>
          <w:rStyle w:val="s1"/>
          <w:rFonts w:ascii="Times New Roman" w:eastAsiaTheme="majorEastAsia" w:hAnsi="Times New Roman" w:cs="Times New Roman"/>
          <w:sz w:val="24"/>
          <w:szCs w:val="24"/>
        </w:rPr>
        <w:t>поголеми примероци</w:t>
      </w:r>
      <w:r w:rsidRPr="00215667">
        <w:rPr>
          <w:rFonts w:ascii="Times New Roman" w:hAnsi="Times New Roman" w:cs="Times New Roman"/>
          <w:sz w:val="24"/>
          <w:szCs w:val="24"/>
        </w:rPr>
        <w:t xml:space="preserve"> за поцврсти заклучоци</w:t>
      </w:r>
      <w:r w:rsidR="00B950C4">
        <w:rPr>
          <w:rFonts w:ascii="Times New Roman" w:hAnsi="Times New Roman" w:cs="Times New Roman"/>
          <w:sz w:val="24"/>
          <w:szCs w:val="24"/>
        </w:rPr>
        <w:t>;</w:t>
      </w:r>
    </w:p>
    <w:p w14:paraId="44B0320A" w14:textId="77777777" w:rsidR="00412474" w:rsidRPr="00215667" w:rsidRDefault="00412474" w:rsidP="00B950C4">
      <w:pPr>
        <w:pStyle w:val="NoSpacing"/>
        <w:spacing w:line="360" w:lineRule="auto"/>
        <w:jc w:val="both"/>
        <w:rPr>
          <w:rFonts w:ascii="Times New Roman" w:hAnsi="Times New Roman" w:cs="Times New Roman"/>
          <w:sz w:val="24"/>
          <w:szCs w:val="24"/>
        </w:rPr>
      </w:pPr>
    </w:p>
    <w:p w14:paraId="20E38106" w14:textId="1B7ED5E0" w:rsidR="00412474" w:rsidRPr="00215667" w:rsidRDefault="00412474" w:rsidP="00B950C4">
      <w:pPr>
        <w:pStyle w:val="NoSpacing"/>
        <w:numPr>
          <w:ilvl w:val="0"/>
          <w:numId w:val="21"/>
        </w:numPr>
        <w:spacing w:line="360" w:lineRule="auto"/>
        <w:ind w:left="0" w:firstLine="360"/>
        <w:jc w:val="both"/>
        <w:rPr>
          <w:rFonts w:ascii="Times New Roman" w:hAnsi="Times New Roman" w:cs="Times New Roman"/>
          <w:sz w:val="24"/>
          <w:szCs w:val="24"/>
        </w:rPr>
      </w:pPr>
      <w:r w:rsidRPr="00215667">
        <w:rPr>
          <w:rFonts w:ascii="Times New Roman" w:hAnsi="Times New Roman" w:cs="Times New Roman"/>
          <w:sz w:val="24"/>
          <w:szCs w:val="24"/>
        </w:rPr>
        <w:t xml:space="preserve">Сумирано, резултатите од ова истражување упатуваат дека HAS-BLED </w:t>
      </w:r>
      <w:r w:rsidR="00FA7E6F">
        <w:rPr>
          <w:rFonts w:ascii="Times New Roman" w:hAnsi="Times New Roman" w:cs="Times New Roman"/>
          <w:sz w:val="24"/>
          <w:szCs w:val="24"/>
        </w:rPr>
        <w:t>индексот</w:t>
      </w:r>
      <w:r w:rsidRPr="00215667">
        <w:rPr>
          <w:rFonts w:ascii="Times New Roman" w:hAnsi="Times New Roman" w:cs="Times New Roman"/>
          <w:sz w:val="24"/>
          <w:szCs w:val="24"/>
        </w:rPr>
        <w:t xml:space="preserve"> претставува доследен и клинички релевантен индикатор за проценка на ризикот од </w:t>
      </w:r>
      <w:r w:rsidR="001B261B" w:rsidRPr="00215667">
        <w:rPr>
          <w:rFonts w:ascii="Times New Roman" w:hAnsi="Times New Roman" w:cs="Times New Roman"/>
          <w:sz w:val="24"/>
          <w:szCs w:val="24"/>
        </w:rPr>
        <w:t>постекстракционо</w:t>
      </w:r>
      <w:r w:rsidRPr="00215667">
        <w:rPr>
          <w:rFonts w:ascii="Times New Roman" w:hAnsi="Times New Roman" w:cs="Times New Roman"/>
          <w:sz w:val="24"/>
          <w:szCs w:val="24"/>
        </w:rPr>
        <w:t xml:space="preserve">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 xml:space="preserve">, како кај пациенти кои примаат орална антикоагулантна (VKA/DOAC), така и кај оние со антиагрегациона терапија (аспирин). Прогресивното зголемување на сериозноста на </w:t>
      </w:r>
      <w:r w:rsidR="00EC49EB" w:rsidRPr="00215667">
        <w:rPr>
          <w:rFonts w:ascii="Times New Roman" w:hAnsi="Times New Roman" w:cs="Times New Roman"/>
          <w:sz w:val="24"/>
          <w:szCs w:val="24"/>
        </w:rPr>
        <w:t>крвавење</w:t>
      </w:r>
      <w:r w:rsidRPr="00215667">
        <w:rPr>
          <w:rFonts w:ascii="Times New Roman" w:hAnsi="Times New Roman" w:cs="Times New Roman"/>
          <w:sz w:val="24"/>
          <w:szCs w:val="24"/>
        </w:rPr>
        <w:t>то со повисоки HAS-BLED вредности (oсобено вредност поголема од три) го истакнува значењето на предоперативната проценка на ризик со цел индивидуализација на пристапот и минимизирање на компликациите по инвазивни орално-хируршки интервенции.</w:t>
      </w:r>
    </w:p>
    <w:p w14:paraId="2D826DC2" w14:textId="77777777" w:rsidR="00412474" w:rsidRPr="00215667" w:rsidRDefault="00412474" w:rsidP="00B950C4">
      <w:pPr>
        <w:pStyle w:val="NoSpacing"/>
        <w:spacing w:line="360" w:lineRule="auto"/>
        <w:ind w:left="360"/>
        <w:jc w:val="both"/>
        <w:rPr>
          <w:rFonts w:ascii="Times New Roman" w:hAnsi="Times New Roman" w:cs="Times New Roman"/>
          <w:sz w:val="24"/>
          <w:szCs w:val="24"/>
        </w:rPr>
      </w:pPr>
    </w:p>
    <w:p w14:paraId="6CBC4E1A" w14:textId="77777777" w:rsidR="00412474" w:rsidRPr="00215667" w:rsidRDefault="00412474">
      <w:pPr>
        <w:rPr>
          <w:rFonts w:ascii="Times New Roman" w:hAnsi="Times New Roman" w:cs="Times New Roman"/>
          <w:b/>
          <w:bCs/>
          <w:sz w:val="24"/>
          <w:szCs w:val="24"/>
        </w:rPr>
      </w:pPr>
    </w:p>
    <w:p w14:paraId="4F3F5A91" w14:textId="77777777" w:rsidR="00412474" w:rsidRPr="00215667" w:rsidRDefault="00412474">
      <w:pPr>
        <w:rPr>
          <w:rFonts w:ascii="Times New Roman" w:hAnsi="Times New Roman" w:cs="Times New Roman"/>
          <w:b/>
          <w:bCs/>
          <w:sz w:val="24"/>
          <w:szCs w:val="24"/>
        </w:rPr>
      </w:pPr>
    </w:p>
    <w:p w14:paraId="3BF7D1B7" w14:textId="77777777" w:rsidR="00412474" w:rsidRPr="00215667" w:rsidRDefault="00412474">
      <w:pPr>
        <w:rPr>
          <w:rFonts w:ascii="Times New Roman" w:hAnsi="Times New Roman" w:cs="Times New Roman"/>
          <w:b/>
          <w:bCs/>
          <w:sz w:val="24"/>
          <w:szCs w:val="24"/>
        </w:rPr>
      </w:pPr>
    </w:p>
    <w:p w14:paraId="695B4C5C" w14:textId="77777777" w:rsidR="00412474" w:rsidRPr="00215667" w:rsidRDefault="00412474">
      <w:pPr>
        <w:rPr>
          <w:rFonts w:ascii="Times New Roman" w:hAnsi="Times New Roman" w:cs="Times New Roman"/>
          <w:b/>
          <w:bCs/>
          <w:sz w:val="24"/>
          <w:szCs w:val="24"/>
        </w:rPr>
      </w:pPr>
    </w:p>
    <w:p w14:paraId="404FCA81" w14:textId="77777777" w:rsidR="00412474" w:rsidRPr="00215667" w:rsidRDefault="00412474">
      <w:pPr>
        <w:rPr>
          <w:rFonts w:ascii="Times New Roman" w:hAnsi="Times New Roman" w:cs="Times New Roman"/>
          <w:b/>
          <w:bCs/>
          <w:sz w:val="24"/>
          <w:szCs w:val="24"/>
        </w:rPr>
      </w:pPr>
    </w:p>
    <w:p w14:paraId="5B9C023B" w14:textId="77777777" w:rsidR="00412474" w:rsidRPr="00215667" w:rsidRDefault="00412474">
      <w:pPr>
        <w:rPr>
          <w:rFonts w:ascii="Times New Roman" w:hAnsi="Times New Roman" w:cs="Times New Roman"/>
          <w:b/>
          <w:bCs/>
          <w:sz w:val="24"/>
          <w:szCs w:val="24"/>
        </w:rPr>
      </w:pPr>
    </w:p>
    <w:p w14:paraId="454CD60C" w14:textId="77777777" w:rsidR="00412474" w:rsidRPr="00215667" w:rsidRDefault="00412474">
      <w:pPr>
        <w:rPr>
          <w:rFonts w:ascii="Times New Roman" w:hAnsi="Times New Roman" w:cs="Times New Roman"/>
          <w:b/>
          <w:bCs/>
          <w:sz w:val="24"/>
          <w:szCs w:val="24"/>
        </w:rPr>
      </w:pPr>
    </w:p>
    <w:p w14:paraId="696849AE" w14:textId="77777777" w:rsidR="00412474" w:rsidRPr="00215667" w:rsidRDefault="00412474">
      <w:pPr>
        <w:rPr>
          <w:rFonts w:ascii="Times New Roman" w:hAnsi="Times New Roman" w:cs="Times New Roman"/>
          <w:b/>
          <w:bCs/>
          <w:sz w:val="24"/>
          <w:szCs w:val="24"/>
        </w:rPr>
      </w:pPr>
    </w:p>
    <w:p w14:paraId="7A5D4967" w14:textId="77777777" w:rsidR="00412474" w:rsidRPr="00215667" w:rsidRDefault="00412474">
      <w:pPr>
        <w:rPr>
          <w:rFonts w:ascii="Times New Roman" w:hAnsi="Times New Roman" w:cs="Times New Roman"/>
          <w:b/>
          <w:bCs/>
          <w:sz w:val="24"/>
          <w:szCs w:val="24"/>
        </w:rPr>
      </w:pPr>
    </w:p>
    <w:p w14:paraId="179D37EC" w14:textId="77777777" w:rsidR="00412474" w:rsidRPr="00215667" w:rsidRDefault="00412474">
      <w:pPr>
        <w:rPr>
          <w:rFonts w:ascii="Times New Roman" w:hAnsi="Times New Roman" w:cs="Times New Roman"/>
          <w:b/>
          <w:bCs/>
          <w:sz w:val="24"/>
          <w:szCs w:val="24"/>
        </w:rPr>
      </w:pPr>
    </w:p>
    <w:p w14:paraId="4655402C" w14:textId="77777777" w:rsidR="00412474" w:rsidRPr="00215667" w:rsidRDefault="00412474">
      <w:pPr>
        <w:rPr>
          <w:rFonts w:ascii="Times New Roman" w:hAnsi="Times New Roman" w:cs="Times New Roman"/>
          <w:b/>
          <w:bCs/>
          <w:sz w:val="24"/>
          <w:szCs w:val="24"/>
        </w:rPr>
      </w:pPr>
    </w:p>
    <w:p w14:paraId="3E1A92D9" w14:textId="77777777" w:rsidR="00412474" w:rsidRPr="00215667" w:rsidRDefault="00412474">
      <w:pPr>
        <w:rPr>
          <w:rFonts w:ascii="Times New Roman" w:hAnsi="Times New Roman" w:cs="Times New Roman"/>
          <w:b/>
          <w:bCs/>
          <w:sz w:val="24"/>
          <w:szCs w:val="24"/>
        </w:rPr>
      </w:pPr>
    </w:p>
    <w:p w14:paraId="06E2ED26" w14:textId="77777777" w:rsidR="00412474" w:rsidRPr="00215667" w:rsidRDefault="00412474">
      <w:pPr>
        <w:rPr>
          <w:rFonts w:ascii="Times New Roman" w:hAnsi="Times New Roman" w:cs="Times New Roman"/>
          <w:b/>
          <w:bCs/>
          <w:sz w:val="24"/>
          <w:szCs w:val="24"/>
        </w:rPr>
      </w:pPr>
    </w:p>
    <w:p w14:paraId="710BB4C3" w14:textId="77777777" w:rsidR="00412474" w:rsidRPr="00215667" w:rsidRDefault="00412474">
      <w:pPr>
        <w:rPr>
          <w:rFonts w:ascii="Times New Roman" w:hAnsi="Times New Roman" w:cs="Times New Roman"/>
          <w:b/>
          <w:bCs/>
          <w:sz w:val="24"/>
          <w:szCs w:val="24"/>
        </w:rPr>
      </w:pPr>
    </w:p>
    <w:p w14:paraId="70BB977C" w14:textId="77777777" w:rsidR="00412474" w:rsidRPr="00215667" w:rsidRDefault="00412474">
      <w:pPr>
        <w:rPr>
          <w:rFonts w:ascii="Times New Roman" w:hAnsi="Times New Roman" w:cs="Times New Roman"/>
          <w:b/>
          <w:bCs/>
          <w:sz w:val="24"/>
          <w:szCs w:val="24"/>
        </w:rPr>
      </w:pPr>
    </w:p>
    <w:p w14:paraId="4CC62336" w14:textId="77777777" w:rsidR="00412474" w:rsidRPr="00215667" w:rsidRDefault="00412474">
      <w:pPr>
        <w:rPr>
          <w:rFonts w:ascii="Times New Roman" w:hAnsi="Times New Roman" w:cs="Times New Roman"/>
          <w:b/>
          <w:bCs/>
          <w:sz w:val="24"/>
          <w:szCs w:val="24"/>
        </w:rPr>
      </w:pPr>
    </w:p>
    <w:p w14:paraId="3A91FA8C" w14:textId="77777777" w:rsidR="00412474" w:rsidRPr="00215667" w:rsidRDefault="00412474">
      <w:pPr>
        <w:rPr>
          <w:rFonts w:ascii="Times New Roman" w:hAnsi="Times New Roman" w:cs="Times New Roman"/>
          <w:b/>
          <w:bCs/>
          <w:sz w:val="24"/>
          <w:szCs w:val="24"/>
        </w:rPr>
      </w:pPr>
    </w:p>
    <w:p w14:paraId="7C4933B6" w14:textId="77777777" w:rsidR="00412474" w:rsidRPr="00215667" w:rsidRDefault="00412474" w:rsidP="00215667">
      <w:pPr>
        <w:pStyle w:val="Heading1"/>
        <w:rPr>
          <w:rFonts w:ascii="Times New Roman" w:hAnsi="Times New Roman" w:cs="Times New Roman"/>
          <w:b/>
          <w:bCs/>
          <w:color w:val="000000" w:themeColor="text1"/>
          <w:sz w:val="28"/>
          <w:szCs w:val="28"/>
        </w:rPr>
      </w:pPr>
      <w:bookmarkStart w:id="49" w:name="_Toc209005164"/>
      <w:r w:rsidRPr="00215667">
        <w:rPr>
          <w:rFonts w:ascii="Times New Roman" w:hAnsi="Times New Roman" w:cs="Times New Roman"/>
          <w:b/>
          <w:bCs/>
          <w:color w:val="000000" w:themeColor="text1"/>
          <w:sz w:val="28"/>
          <w:szCs w:val="28"/>
        </w:rPr>
        <w:lastRenderedPageBreak/>
        <w:t>ЛИТЕРАТУРА</w:t>
      </w:r>
      <w:bookmarkEnd w:id="49"/>
    </w:p>
    <w:p w14:paraId="1F51C621" w14:textId="77777777" w:rsidR="00412474" w:rsidRPr="00215667" w:rsidRDefault="00412474" w:rsidP="00412474">
      <w:pPr>
        <w:pStyle w:val="ListParagraph"/>
        <w:numPr>
          <w:ilvl w:val="0"/>
          <w:numId w:val="3"/>
        </w:numPr>
        <w:rPr>
          <w:rFonts w:ascii="Times New Roman" w:hAnsi="Times New Roman" w:cs="Times New Roman"/>
          <w:sz w:val="24"/>
          <w:szCs w:val="24"/>
        </w:rPr>
      </w:pPr>
      <w:bookmarkStart w:id="50" w:name="_Hlk153439151"/>
      <w:r w:rsidRPr="00215667">
        <w:rPr>
          <w:rFonts w:ascii="Times New Roman" w:hAnsi="Times New Roman" w:cs="Times New Roman"/>
          <w:sz w:val="24"/>
          <w:szCs w:val="24"/>
        </w:rPr>
        <w:t xml:space="preserve">Sharma S, </w:t>
      </w:r>
      <w:bookmarkEnd w:id="50"/>
      <w:r w:rsidRPr="00215667">
        <w:rPr>
          <w:rFonts w:ascii="Times New Roman" w:hAnsi="Times New Roman" w:cs="Times New Roman"/>
          <w:sz w:val="24"/>
          <w:szCs w:val="24"/>
        </w:rPr>
        <w:t>Chak RK, Khanna R. Management of haemostasis during dental extraction in a Bernard-Soulier syndrome child. BMJ Case Rep. 2019 Jul 8;12(7):e229082.</w:t>
      </w:r>
    </w:p>
    <w:p w14:paraId="1F2AA0F4"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Julie A. Panepinto, Thrombocytopenia., Berman's Pediatric Decision Making (Fifth Edition), 2014, science direct</w:t>
      </w:r>
    </w:p>
    <w:p w14:paraId="416D76A0"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hAnsi="Times New Roman" w:cs="Times New Roman"/>
          <w:sz w:val="24"/>
          <w:szCs w:val="24"/>
        </w:rPr>
        <w:t> </w:t>
      </w:r>
      <w:r w:rsidRPr="00215667">
        <w:rPr>
          <w:rFonts w:ascii="Times New Roman" w:eastAsia="Times New Roman" w:hAnsi="Times New Roman" w:cs="Times New Roman"/>
          <w:sz w:val="24"/>
          <w:szCs w:val="24"/>
        </w:rPr>
        <w:t>Berton F, Costantinides F, Rizzo R, Franco A, Contarin J, Stacchi C, Maglione M, Visintini E, Di Lenarda A, Di Lenarda R. Should we fear direct oral anticoagulants more than vitamin K antagonists in simple single tooth extraction? A prospective comparative study. Clin Oral Investig. 2019 Aug;23(8):3183-3192</w:t>
      </w:r>
    </w:p>
    <w:p w14:paraId="1F6CA4A1"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Rocha AL, Oliveira SR, Souza AF, Travassos DV, Abreu LG, Ribeiro DD, Silva TA. Bleeding assessment in oral surgery: A cohort study comparing individuals on anticoagulant therapy and a non-anticoagulated group. J Craniomaxillofac Surg. 2019 May;47(5):798-804.</w:t>
      </w:r>
    </w:p>
    <w:p w14:paraId="25F4796D"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Bajkin BV, Selaković SD, Mirković SM, Šarčev IN, Tadič AJ, Milekič BR. Comparison of efficacy of local hemostatic modalities in anticoagulated patients undergoing tooth extractions. Vojnosanit Pregl. 2014 Dec;71(12):1097-101. </w:t>
      </w:r>
    </w:p>
    <w:p w14:paraId="2EE30245"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Sachin Rai, Vidya Rattan. Efficacy of Feracrylum as Topical Hemostatic Agent in Therapeutically Anticoagulated Patients Undergoing Dental Extraction: A Comparative Study, J Maxillofac Oral Surg, 2019 Dec;18(4):579-583.</w:t>
      </w:r>
    </w:p>
    <w:p w14:paraId="55DAE955"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Jung N, Shim YJ.  Current Knowledge on Inherited Platelet Function Disorders.  Clin Pediatr Hematol Oncol 2020;27:1-13</w:t>
      </w:r>
    </w:p>
    <w:p w14:paraId="4A363AAB" w14:textId="77777777" w:rsidR="00412474" w:rsidRPr="00215667" w:rsidRDefault="00412474" w:rsidP="00412474">
      <w:pPr>
        <w:pStyle w:val="ListParagraph"/>
        <w:numPr>
          <w:ilvl w:val="0"/>
          <w:numId w:val="3"/>
        </w:numPr>
        <w:rPr>
          <w:rFonts w:ascii="Times New Roman" w:hAnsi="Times New Roman" w:cs="Times New Roman"/>
          <w:sz w:val="24"/>
          <w:szCs w:val="24"/>
        </w:rPr>
      </w:pPr>
      <w:r w:rsidRPr="00215667">
        <w:rPr>
          <w:rFonts w:ascii="Times New Roman" w:eastAsia="Times New Roman" w:hAnsi="Times New Roman" w:cs="Times New Roman"/>
          <w:sz w:val="24"/>
          <w:szCs w:val="24"/>
        </w:rPr>
        <w:t>Angiola R., Antonio C., Massimo F., Giancarlo C. Cristina S., Ezio Z., Elena S., and Massimo M. Principles of treatment and update of recommendations for the management of Haemophilia and congenital bleeding disorders in Italy.BloodTransfus. 2014 Oct; 12(4): 575–598</w:t>
      </w:r>
    </w:p>
    <w:p w14:paraId="1D759554"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Kirchmaier CM, Pillitteri D. Diagnosis and Management of Inherited Platelet Disorders. Transfus Med Hemother. 2019;37(5):237-246. doi:10.1159/000320257. Epub 2010 Sep 15. PMID: 21113246;</w:t>
      </w:r>
    </w:p>
    <w:p w14:paraId="42EE7DE0"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Alamelu J, Liesner R. Modern management of severe platelet function disorders. Br J Haematol 2019;149:813–23. 10.1111/j.1365-2141.</w:t>
      </w:r>
    </w:p>
    <w:p w14:paraId="525FC35B"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Mathews N, Rivard GE, Bonnefoy A. Glanzmann Thrombasthenia: Perspectives from Clinical Practice on Accurate Diagnosis and Optimal Treatment Strategies. </w:t>
      </w:r>
      <w:r w:rsidRPr="00215667">
        <w:rPr>
          <w:rFonts w:ascii="Times New Roman" w:eastAsia="Times New Roman" w:hAnsi="Times New Roman" w:cs="Times New Roman"/>
          <w:i/>
          <w:iCs/>
          <w:sz w:val="24"/>
          <w:szCs w:val="24"/>
        </w:rPr>
        <w:t>J Blood Med</w:t>
      </w:r>
      <w:r w:rsidRPr="00215667">
        <w:rPr>
          <w:rFonts w:ascii="Times New Roman" w:eastAsia="Times New Roman" w:hAnsi="Times New Roman" w:cs="Times New Roman"/>
          <w:sz w:val="24"/>
          <w:szCs w:val="24"/>
        </w:rPr>
        <w:t>. 2021;12:449-463</w:t>
      </w:r>
    </w:p>
    <w:p w14:paraId="3ED650C0"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Calibri" w:hAnsi="Times New Roman" w:cs="Times New Roman"/>
          <w:color w:val="212121"/>
          <w:kern w:val="2"/>
          <w:sz w:val="24"/>
          <w:szCs w:val="24"/>
          <w:shd w:val="clear" w:color="auto" w:fill="FFFFFF"/>
          <w14:ligatures w14:val="standardContextual"/>
        </w:rPr>
        <w:t>Gudmundsdottir BR, Marder VJ, Onundarson PT. Risk of excessive bleeding associated with marginally low von Willebrand factor and mild platelet dysfunction. J Thromb Haemost. 2007 Feb;5(2):274-81.</w:t>
      </w:r>
      <w:r w:rsidRPr="00215667">
        <w:rPr>
          <w:rFonts w:ascii="Times New Roman" w:eastAsia="Times New Roman" w:hAnsi="Times New Roman" w:cs="Times New Roman"/>
          <w:sz w:val="24"/>
          <w:szCs w:val="24"/>
        </w:rPr>
        <w:t xml:space="preserve"> </w:t>
      </w:r>
    </w:p>
    <w:p w14:paraId="3EE4B5A9" w14:textId="0C202D22"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Kornblith LZ, Robles AJ, Conroy AS, Hendrickson CM, Calfee CS, Fields AT, Callcut RA, Cohen MJ. Perhaps it's not the platelet: </w:t>
      </w:r>
      <w:r w:rsidR="0021755D">
        <w:rPr>
          <w:rFonts w:ascii="Times New Roman" w:eastAsia="Times New Roman" w:hAnsi="Times New Roman" w:cs="Times New Roman"/>
          <w:sz w:val="24"/>
          <w:szCs w:val="24"/>
        </w:rPr>
        <w:t>Ристоцетин</w:t>
      </w:r>
      <w:r w:rsidRPr="00215667">
        <w:rPr>
          <w:rFonts w:ascii="Times New Roman" w:eastAsia="Times New Roman" w:hAnsi="Times New Roman" w:cs="Times New Roman"/>
          <w:sz w:val="24"/>
          <w:szCs w:val="24"/>
        </w:rPr>
        <w:t xml:space="preserve"> uncovers the potential role of von Willebrand factor in impaired platelet aggregation following traumatic brain injury. J Trauma Acute Care Surg. 2018 Nov;85(5):873-880.</w:t>
      </w:r>
    </w:p>
    <w:p w14:paraId="6719DB0D"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Alessi, M.-C.; Sié, P.; Payrastre, B., on behalf of the French Reference Center on Constitutional Platelet Disorders (CRPP). Strengths and </w:t>
      </w:r>
      <w:r w:rsidRPr="00215667">
        <w:rPr>
          <w:rFonts w:ascii="Times New Roman" w:eastAsia="Times New Roman" w:hAnsi="Times New Roman" w:cs="Times New Roman"/>
          <w:sz w:val="24"/>
          <w:szCs w:val="24"/>
        </w:rPr>
        <w:lastRenderedPageBreak/>
        <w:t xml:space="preserve">Weaknesses of Light Transmission Aggregometry in Diagnosing Hereditary Platelet Function Disorders. J. Clin. Med. 2020, </w:t>
      </w:r>
    </w:p>
    <w:p w14:paraId="65F56693"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Mohan G, Malayala SV, Mehta P, Balla M. A Comprehensive Review of Congenital Platelet Disorders, Thrombocytopenias and Thrombocytopathies. Cureus. 2020 Oct 31;12(10):e11275. </w:t>
      </w:r>
    </w:p>
    <w:p w14:paraId="126D01FA"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Naderi M, Cohan N, Haghpanah S, Miri-Aliabad G, Shahramian I, Ahmadinejad M, Sadeghi S, Dorgalaleh A, Khazaei HA, Karimi M. Correlation of bleeding score with frequency and severity of bleeding symptoms in FXIII deficiency assessing by the ISTH Bleeding Assessment Tool. Transfus Apher Sci. 2019 Aug;58(4):495-497.</w:t>
      </w:r>
    </w:p>
    <w:p w14:paraId="7AF18EDC"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 Doherty TM, Kelley A. Bleeding Disorders. [Updated 2023 Apr 3]. In: StatPearls [Internet]. Treasure Island (FL): StatPearls Publishing; 2023 </w:t>
      </w:r>
    </w:p>
    <w:p w14:paraId="20029339"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Moenen FCJI, Vries MJA, Nelemans PJ, van Rooy KJM, Vranken JRRA, Verhezen PWM, Wetzels RJH, Ten Cate H, Schouten HC, Beckers EAM, Henskens YMC. Screening for platelet function disorders with Multiplate and platelet function analyzer. Platelets. 2019;30(1):81-87. </w:t>
      </w:r>
    </w:p>
    <w:p w14:paraId="1DD6AA94"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Mezzano D, Quiroga T, Pereira J. The level of laboratory testing required for diagnosis or exclusion of a platelet function disorder using platelet aggregation and secretion assays. Semin Thromb Hemost. 2009 Mar;35(2):242-54</w:t>
      </w:r>
    </w:p>
    <w:p w14:paraId="4F5AC46F"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Koltai K, Kesmarky G, Feher G, Tibold A, Toth K. Platelet Aggregometry Testing: Molecular Mechanisms, Techniques and Clinical Implications. Int J Mol Sci. 2017 Aug 18;18(8):1803 </w:t>
      </w:r>
    </w:p>
    <w:p w14:paraId="682EB9E7"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Gupta A, Epstein JB, Cabay RJ. Bleeding disorders of importance in dental care and related patient management. J. Can. Dent. Assoc. 2017;73:77–83 </w:t>
      </w:r>
    </w:p>
    <w:p w14:paraId="639EBC1E"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David J. Kuter , MD, DPhil, Harvard Medical School. Hereditary Intrinsic Platelet Disorders, Last review/revision Jun 2022 | Modified Sep 2022</w:t>
      </w:r>
    </w:p>
    <w:p w14:paraId="5BA3A5A3"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Badin MS, Graf L, Iyer JK, Moffat KA, Seecharan JL, Hayward CP. Variability in platelet dense granule adenosine triphosphate release findings amongst patients tested multiple times as part of an assessment for a bleeding disorder. Int J Lab Hematol. 2016 Dec;38(6):648-657. </w:t>
      </w:r>
    </w:p>
    <w:p w14:paraId="301636C8" w14:textId="77777777" w:rsidR="00412474" w:rsidRPr="00215667" w:rsidRDefault="00412474" w:rsidP="00412474">
      <w:pPr>
        <w:numPr>
          <w:ilvl w:val="0"/>
          <w:numId w:val="3"/>
        </w:numPr>
        <w:spacing w:after="0" w:line="240" w:lineRule="auto"/>
        <w:rPr>
          <w:rFonts w:ascii="Times New Roman" w:eastAsia="Times New Roman" w:hAnsi="Times New Roman" w:cs="Times New Roman"/>
          <w:bCs/>
          <w:sz w:val="24"/>
          <w:szCs w:val="24"/>
        </w:rPr>
      </w:pPr>
      <w:r w:rsidRPr="00215667">
        <w:rPr>
          <w:rFonts w:ascii="Times New Roman" w:eastAsia="Times New Roman" w:hAnsi="Times New Roman" w:cs="Times New Roman"/>
          <w:bCs/>
          <w:sz w:val="24"/>
          <w:szCs w:val="24"/>
        </w:rPr>
        <w:t>Abd-Elsayed, Alaa, Victoria Shapiro, and Michael Chang, 'Thrombocytopenia and Thrombocytopathy', in Alaa Abd-Elsayed (ed.), </w:t>
      </w:r>
      <w:r w:rsidRPr="00215667">
        <w:rPr>
          <w:rFonts w:ascii="Times New Roman" w:eastAsia="Times New Roman" w:hAnsi="Times New Roman" w:cs="Times New Roman"/>
          <w:bCs/>
          <w:i/>
          <w:iCs/>
          <w:sz w:val="24"/>
          <w:szCs w:val="24"/>
        </w:rPr>
        <w:t>Advanced Anesthesia Review</w:t>
      </w:r>
      <w:r w:rsidRPr="00215667">
        <w:rPr>
          <w:rFonts w:ascii="Times New Roman" w:eastAsia="Times New Roman" w:hAnsi="Times New Roman" w:cs="Times New Roman"/>
          <w:bCs/>
          <w:sz w:val="24"/>
          <w:szCs w:val="24"/>
        </w:rPr>
        <w:t> (New York, 2023; online edn, Oxford Academic, 1 Mar. 2023),</w:t>
      </w:r>
    </w:p>
    <w:p w14:paraId="5F4064F4" w14:textId="77777777" w:rsidR="00412474" w:rsidRPr="00215667" w:rsidRDefault="00412474" w:rsidP="00412474">
      <w:pPr>
        <w:pStyle w:val="ListParagraph"/>
        <w:numPr>
          <w:ilvl w:val="0"/>
          <w:numId w:val="3"/>
        </w:numPr>
        <w:rPr>
          <w:rFonts w:ascii="Times New Roman" w:eastAsia="Times New Roman" w:hAnsi="Times New Roman" w:cs="Times New Roman"/>
          <w:bCs/>
          <w:sz w:val="24"/>
          <w:szCs w:val="24"/>
        </w:rPr>
      </w:pPr>
      <w:bookmarkStart w:id="51" w:name="_Hlk187678884"/>
      <w:r w:rsidRPr="00215667">
        <w:rPr>
          <w:rFonts w:ascii="Times New Roman" w:eastAsia="Times New Roman" w:hAnsi="Times New Roman" w:cs="Times New Roman"/>
          <w:bCs/>
          <w:sz w:val="24"/>
          <w:szCs w:val="24"/>
        </w:rPr>
        <w:t xml:space="preserve">Hong P, Liu R, Rai S, Liu J, Ding Y, Li J. Does Tranexamic Acid Reduce the Blood Loss in Various Surgeries? An Umbrella Review of State-of-the-Art Meta-Analysis. Front Pharmacol. 2022 May 19;13:887386. </w:t>
      </w:r>
    </w:p>
    <w:p w14:paraId="446DDDBA" w14:textId="77777777" w:rsidR="00412474" w:rsidRPr="00215667" w:rsidRDefault="00412474" w:rsidP="00412474">
      <w:pPr>
        <w:pStyle w:val="ListParagraph"/>
        <w:numPr>
          <w:ilvl w:val="0"/>
          <w:numId w:val="3"/>
        </w:numPr>
        <w:rPr>
          <w:rFonts w:ascii="Times New Roman" w:eastAsia="Times New Roman" w:hAnsi="Times New Roman" w:cs="Times New Roman"/>
          <w:bCs/>
          <w:sz w:val="24"/>
          <w:szCs w:val="24"/>
        </w:rPr>
      </w:pPr>
      <w:r w:rsidRPr="00215667">
        <w:rPr>
          <w:rFonts w:ascii="Times New Roman" w:eastAsia="Times New Roman" w:hAnsi="Times New Roman" w:cs="Times New Roman"/>
          <w:bCs/>
          <w:sz w:val="24"/>
          <w:szCs w:val="24"/>
        </w:rPr>
        <w:t>Nishida T, Kinoshita T, Yamakawa K. Tranexamic acid and trauma-induced coagulopathy. J Intensive Care. 2017;5:5.</w:t>
      </w:r>
    </w:p>
    <w:p w14:paraId="45DFF06D"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Ripolles-De Ramon J, Muñoz-Corcuera M, Bravo-Llatas C, Bascones-Martinez A. Aplicacion de un gel de Acido tranexamico en pacientes tratados con anticoagulantes orales [Tranexamic acid gel in patients treated with oral anticoagulants]. Med Clin (Barc) 2014; 143 (11):484–488. </w:t>
      </w:r>
    </w:p>
    <w:p w14:paraId="3B1766DB"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Mahardawi B, Jiaranuchart S, Arunjaroensuk S, Tompkins KA, Somboonsavatdee A, Pimkhaokham A. The effect of different hemostatic </w:t>
      </w:r>
      <w:r w:rsidRPr="00215667">
        <w:rPr>
          <w:rFonts w:ascii="Times New Roman" w:eastAsia="Times New Roman" w:hAnsi="Times New Roman" w:cs="Times New Roman"/>
          <w:sz w:val="24"/>
          <w:szCs w:val="24"/>
        </w:rPr>
        <w:lastRenderedPageBreak/>
        <w:t>agents following dental extraction in patients under oral antithrombotic therapy: a network meta-analysis. Sci Rep. 2023 Aug 2;13(1):12519.</w:t>
      </w:r>
    </w:p>
    <w:p w14:paraId="0BD1B08F"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Segna E, Artoni A, Sacco R, Giannì AB. Oral Surgery in Patients With Glanzmann Thrombasthenia: A Case Series. J Oral Maxillofac Surg. 2017 Feb;75(2):256-259.</w:t>
      </w:r>
    </w:p>
    <w:p w14:paraId="066F1EFE"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Franchini M., Mengoli C., Marietta M., et al. Safety of intravenous tranexamic acid in patients undergoing majororthopaedic surgery: a meta-analysis of randomised controlled trials, Blood Transfus, 16 (2018), pp. 36-43</w:t>
      </w:r>
    </w:p>
    <w:p w14:paraId="70049CDC"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Franco R, Miranda M, Di Renzo L, De Lorenzo A, Barlattani A, Bollero P. Glanzmann's Thrombastenia: The Role of Tranexamic Acid in Oral Surgery. Case Rep Dent. 2018 Sep 5;2018:9370212. doi: 10.1155/2018/9370212. </w:t>
      </w:r>
    </w:p>
    <w:p w14:paraId="7C0292AA"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Pabinger, I., Fries, D., Schöchl, H. et al. Tranexamic acid for treatment and prophylaxis of bleeding and hyperfibrinolysis. Wien Klin Wochenschr 129, 303–316 (2017).</w:t>
      </w:r>
    </w:p>
    <w:p w14:paraId="09C16F6F"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Relke N, Chornenki NLJ, Sholzberg M. Tranexamic acid evidence and controversies: An illustrated review. Res Pract Thromb Haemost. 2021 Jul 14;5(5):e12546</w:t>
      </w:r>
    </w:p>
    <w:p w14:paraId="5CDCA98C"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Tengborn L, Blombäck M, Berntorp E. Tranexamic acid--an old drug still going strong and making a revival. Thromb Res. 2015 Feb;135(2):231-42. </w:t>
      </w:r>
    </w:p>
    <w:p w14:paraId="186150DB"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Trampuš-Bakija A, Jazbec J, Faganel-Kotnik B. Platelet lumiaggregation testing: Reference intervals and the effect of acetylsalicylic acid in healthy adults. J Med Biochem. 2020;39(4):422-427. doi:10.5937/jomb0-24690</w:t>
      </w:r>
    </w:p>
    <w:p w14:paraId="686791BC" w14:textId="77777777" w:rsidR="00412474" w:rsidRPr="00215667" w:rsidRDefault="00412474" w:rsidP="00412474">
      <w:pPr>
        <w:pStyle w:val="ListParagraph"/>
        <w:numPr>
          <w:ilvl w:val="0"/>
          <w:numId w:val="3"/>
        </w:numP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Ker K, Roberts I, Shakur H, Coats TJ. Antifibrinolytic drugs for acute traumatic injury. Cochrane Database of Systematic Reviews 2015, Issue 5. Art. No.: CD004896. DOI: 10.1002/14651858.CD004896.pub4. Accessed 27 April 2023.</w:t>
      </w:r>
    </w:p>
    <w:p w14:paraId="684ED1A1"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Varkey I, Rai K, Hegde AM, Vijaya MS, Oommen VI. Clinical Management of Glanzmann's Thrombasthenia: A Case Report. J Dent (Tehran). 2014 Mar;11(2):242-7. </w:t>
      </w:r>
    </w:p>
    <w:p w14:paraId="32CD02C1"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Römer P, Heimes D, Pabst A, Becker P, Thiem DGE, Kämmerer PW. Bleeding disorders in implant dentistry: a narrative review and a treatment guide. Int J Implant Dent. 2022 Apr 16;8(1):20</w:t>
      </w:r>
    </w:p>
    <w:p w14:paraId="7DEF63DA"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Shakur, H., Beaumont, D., Pavord, S., Gayet-Ageron, A., Ker, K., Mousa, H.A. Antifibrinolytic drugs for treating primary postpartum haemorrhage(Review). Cochrane Database of Systematic ReviewsVolume 2018, Issue 2, 20 February 2018, Article number CD012964</w:t>
      </w:r>
    </w:p>
    <w:p w14:paraId="63D695CF"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Zhang P, He J, Fang Y, Chen P, Liang Y, Wang J. Efficacy and safety of intravenous tranexamic acid administration in patients undergoing hip fracture surgery for hemostasis: A meta-analysis. Medicine (Baltimore). 2017 May;96(21):e6940.</w:t>
      </w:r>
    </w:p>
    <w:p w14:paraId="3A3E0A87" w14:textId="77777777" w:rsidR="00412474" w:rsidRPr="00215667" w:rsidRDefault="00412474" w:rsidP="00412474">
      <w:pPr>
        <w:pStyle w:val="ListParagraph"/>
        <w:numPr>
          <w:ilvl w:val="0"/>
          <w:numId w:val="3"/>
        </w:numP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Lam T, Medcalf RL, Cloud GC, Myles PS, Keragala CB.Thromb J. Tranexamic acid for haemostasis and beyond: does dose matter?,  2023 Sep 12;21(1):94. </w:t>
      </w:r>
    </w:p>
    <w:p w14:paraId="7926BF32" w14:textId="77777777" w:rsidR="00412474" w:rsidRPr="00215667" w:rsidRDefault="00412474" w:rsidP="00412474">
      <w:pPr>
        <w:numPr>
          <w:ilvl w:val="0"/>
          <w:numId w:val="3"/>
        </w:numPr>
        <w:spacing w:after="0" w:line="240" w:lineRule="auto"/>
        <w:contextualSpacing/>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van Galen KP, Engelen ET, Mauser-Bunschoten EP, van Es RJ,Schutgens RE.Antifibrinolytic therapy for preventing oral bleeding in patients with haemophilia or Von Willebrand disease undergoing minor oral surgery or </w:t>
      </w:r>
      <w:r w:rsidRPr="00215667">
        <w:rPr>
          <w:rFonts w:ascii="Times New Roman" w:eastAsia="Times New Roman" w:hAnsi="Times New Roman" w:cs="Times New Roman"/>
          <w:sz w:val="24"/>
          <w:szCs w:val="24"/>
        </w:rPr>
        <w:lastRenderedPageBreak/>
        <w:t>dental extractions..Cochrane Database Syst Rev. 2019 Apr 19;4(4):CD011385</w:t>
      </w:r>
    </w:p>
    <w:p w14:paraId="5E81DF6B" w14:textId="77777777" w:rsidR="00412474" w:rsidRPr="00215667" w:rsidRDefault="00412474" w:rsidP="00412474">
      <w:pPr>
        <w:numPr>
          <w:ilvl w:val="0"/>
          <w:numId w:val="3"/>
        </w:numPr>
        <w:spacing w:after="0" w:line="240" w:lineRule="auto"/>
        <w:contextualSpacing/>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Watterson C, Beacher N. Preventing perioperative bleeding in patients with inherited bleeding disorders.Evid Based Dent. 2017 Mar;18(1):28-29.</w:t>
      </w:r>
    </w:p>
    <w:p w14:paraId="3764E842" w14:textId="77777777" w:rsidR="00412474" w:rsidRPr="00215667" w:rsidRDefault="00412474" w:rsidP="00412474">
      <w:pPr>
        <w:numPr>
          <w:ilvl w:val="0"/>
          <w:numId w:val="3"/>
        </w:numPr>
        <w:spacing w:after="0" w:line="240" w:lineRule="auto"/>
        <w:contextualSpacing/>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Jordan F., Gideon R. B., Catherine M., Ian J. Tranexamic acid in otorhinolaryngology- A contemporary review. World journal of  otorhinolaryngology and haed and neck surgery, Oct., 2021;7, Issue 4; 328-337</w:t>
      </w:r>
    </w:p>
    <w:bookmarkEnd w:id="51"/>
    <w:p w14:paraId="352F0465" w14:textId="77777777" w:rsidR="00412474" w:rsidRPr="00215667" w:rsidRDefault="00412474" w:rsidP="00412474">
      <w:pPr>
        <w:pStyle w:val="ListParagraph"/>
        <w:numPr>
          <w:ilvl w:val="0"/>
          <w:numId w:val="3"/>
        </w:numP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Kumbargere Nagraj S, Prashanti E, Aggarwal H, Lingappa A, Muthu MS, Kiran Kumar Krishanappa S, Hassan H. Interventions for treating post-extraction bleeding. Cochrane Database Syst Rev. 2018 Mar4;3(3):CD011930.</w:t>
      </w:r>
    </w:p>
    <w:p w14:paraId="67C8570D" w14:textId="77777777" w:rsidR="00412474" w:rsidRPr="00215667" w:rsidRDefault="00412474" w:rsidP="00412474">
      <w:pPr>
        <w:pStyle w:val="ListParagraph"/>
        <w:numPr>
          <w:ilvl w:val="0"/>
          <w:numId w:val="3"/>
        </w:numP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  Abdullah WA, Khalil H. Dental extraction in patients on warfarin treatment. Journal of Clinical, Cosmetic and Investigational Dentistry 2014;6:65‐9</w:t>
      </w:r>
    </w:p>
    <w:p w14:paraId="0BC08F0D" w14:textId="77777777" w:rsidR="00412474" w:rsidRPr="00215667" w:rsidRDefault="00412474" w:rsidP="00412474">
      <w:pPr>
        <w:pStyle w:val="ListParagraph"/>
        <w:numPr>
          <w:ilvl w:val="0"/>
          <w:numId w:val="3"/>
        </w:numP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Amer MZ, Mourad SI, Salem AS, Abdelfadil E. Correlation between International Normalized Ratio values and sufficiency of two different local hemostatic measures in anticoagulated patients. Eur J Dent. 2014 Oct;8(4):475-480</w:t>
      </w:r>
    </w:p>
    <w:p w14:paraId="753CACD4" w14:textId="77777777" w:rsidR="00412474" w:rsidRPr="00215667" w:rsidRDefault="00412474" w:rsidP="00412474">
      <w:pPr>
        <w:pStyle w:val="ListParagraph"/>
        <w:numPr>
          <w:ilvl w:val="0"/>
          <w:numId w:val="3"/>
        </w:numP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Atiq F, Wuijster E, de Maat MPM, Kruip MJHA, Cnossen MH, Leebeek FWG. Criteria for low von Willebrand factor diagnosis and risk score to predict future bleeding. J Thromb Haemost. 2021 Mar;19(3):719-731 </w:t>
      </w:r>
    </w:p>
    <w:p w14:paraId="33BF2951" w14:textId="77777777" w:rsidR="00412474" w:rsidRPr="00215667" w:rsidRDefault="00412474" w:rsidP="00412474">
      <w:pPr>
        <w:numPr>
          <w:ilvl w:val="0"/>
          <w:numId w:val="3"/>
        </w:numPr>
        <w:spacing w:after="0" w:line="240" w:lineRule="auto"/>
        <w:contextualSpacing/>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Solh T, Botsford A. Glanzmann’s thrombasthenia: pathogenesis, diagnosis and current and emerging treatment options. J Blood Med. 2015;6:219–227.</w:t>
      </w:r>
    </w:p>
    <w:p w14:paraId="47A0DC45" w14:textId="77777777" w:rsidR="00412474" w:rsidRPr="00215667" w:rsidRDefault="00412474" w:rsidP="00412474">
      <w:pPr>
        <w:numPr>
          <w:ilvl w:val="0"/>
          <w:numId w:val="3"/>
        </w:numPr>
        <w:contextualSpacing/>
        <w:rPr>
          <w:rFonts w:ascii="Times New Roman" w:hAnsi="Times New Roman" w:cs="Times New Roman"/>
          <w:sz w:val="24"/>
          <w:szCs w:val="24"/>
        </w:rPr>
      </w:pPr>
      <w:r w:rsidRPr="00215667">
        <w:rPr>
          <w:rFonts w:ascii="Times New Roman" w:eastAsia="Calibri" w:hAnsi="Times New Roman" w:cs="Times New Roman"/>
          <w:kern w:val="2"/>
          <w:sz w:val="24"/>
          <w:szCs w:val="24"/>
          <w14:ligatures w14:val="standardContextual"/>
        </w:rPr>
        <w:t xml:space="preserve">McCormack PL. Tranexamic acid: a review of its use in the treatment of hyperfibrinolysis. Drugs. 2012 Mar 26;72(5):585-617. </w:t>
      </w:r>
    </w:p>
    <w:p w14:paraId="012F26BA" w14:textId="77777777" w:rsidR="00412474" w:rsidRPr="00215667" w:rsidRDefault="00412474" w:rsidP="00412474">
      <w:pPr>
        <w:numPr>
          <w:ilvl w:val="0"/>
          <w:numId w:val="3"/>
        </w:numPr>
        <w:spacing w:after="0" w:line="240" w:lineRule="auto"/>
        <w:contextualSpacing/>
        <w:rPr>
          <w:rFonts w:ascii="Times New Roman" w:eastAsia="Times New Roman" w:hAnsi="Times New Roman" w:cs="Times New Roman"/>
          <w:sz w:val="24"/>
          <w:szCs w:val="24"/>
        </w:rPr>
      </w:pPr>
      <w:r w:rsidRPr="00215667">
        <w:rPr>
          <w:rFonts w:ascii="Times New Roman" w:hAnsi="Times New Roman" w:cs="Times New Roman"/>
          <w:sz w:val="24"/>
          <w:szCs w:val="24"/>
        </w:rPr>
        <w:t>Jaiswal P, Agrawal R, Gandhi A, Jain A, Kumar A, Rela R. Managing Anticoagulant Patients Undergoing Dental Extraction by using Hemostatic Agent: Tranexamic Acid rinse. J Pharm Bioallied Sci. 2021 Jun;13(Suppl 1):469-</w:t>
      </w:r>
    </w:p>
    <w:p w14:paraId="08ED5104" w14:textId="77777777" w:rsidR="00412474" w:rsidRPr="00215667" w:rsidRDefault="00412474" w:rsidP="00412474">
      <w:pPr>
        <w:pStyle w:val="ListParagraph"/>
        <w:numPr>
          <w:ilvl w:val="0"/>
          <w:numId w:val="3"/>
        </w:numP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Cocero N, Pucci F, Messina M, Pollio B, Mozzati M, Bergamasco L. Autologous plasma rich in growth factors in the prevention of severe bleeding after teeth extractions in patients with bleeding disorders: a controlled comparison with fibrin glue. Blood Transfusion 2015;13(2):287‐94.),</w:t>
      </w:r>
    </w:p>
    <w:p w14:paraId="1349B6B6" w14:textId="77777777" w:rsidR="00412474" w:rsidRPr="00215667" w:rsidRDefault="00412474" w:rsidP="00412474">
      <w:pPr>
        <w:pStyle w:val="ListParagraph"/>
        <w:numPr>
          <w:ilvl w:val="0"/>
          <w:numId w:val="3"/>
        </w:numP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Iwabuchi H, Imai Y, Asanami S, Shirakawa M, Yamane GY, Ogiuchi H, Kurashina K, Miyata M, Nakao H, Imai H. Evaluation of postextraction bleeding incidence to compare patients receiving and not receiving warfarin therapy: a cross-sectional, multicentre, observational study. BMJ Open. 2014 Dec 15;4(12):e005777</w:t>
      </w:r>
    </w:p>
    <w:p w14:paraId="0DF32233" w14:textId="77777777" w:rsidR="00412474" w:rsidRPr="00215667" w:rsidRDefault="00412474" w:rsidP="00412474">
      <w:pPr>
        <w:pStyle w:val="ListParagraph"/>
        <w:numPr>
          <w:ilvl w:val="0"/>
          <w:numId w:val="3"/>
        </w:numPr>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Yagyuu T, Kawakami M, Ueyama Y, Imada M, Kurihara M, Matsusue Y, Imai Y, Yamamoto K, Kirita T. Risks of postextraction bleeding after receiving direct oral anticoagulants or warfarin: a retrospective cohort study. BMJ Open. 2017 Aug 21;7(8):e015952. </w:t>
      </w:r>
    </w:p>
    <w:p w14:paraId="4373B197"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lastRenderedPageBreak/>
        <w:t>Asma Z, Muhammad S, Azza S., Zouina S., Ivan C., Local Tranexamic Acid for Preventing Hemorrhage in Anticoagulated Patients Undergoing Dental and Minor Oral Procedures: A Systematic Review and Meta-Analysis. Healthcare 2022, 10(12), 2523;</w:t>
      </w:r>
    </w:p>
    <w:p w14:paraId="4870D2BF"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Bajkin BV, Selaković SD, Mirković SM, Šarčev IN, Tadič AJ, Milekič BR. Comparison of efficacy of local hemostatic modalities in anticoagulated patients undergoing tooth extractions. Vojnosanit Pregl. 2014 Dec;71(12):1097-101. </w:t>
      </w:r>
    </w:p>
    <w:p w14:paraId="2B51C64D"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Baker RI, O'Donnell JS. How I treat bleeding disorder of unknown cause. Blood. 2021 Nov 11;138(19):1795-1804.</w:t>
      </w:r>
    </w:p>
    <w:p w14:paraId="7B313470" w14:textId="77777777" w:rsidR="00412474" w:rsidRPr="00215667" w:rsidRDefault="00412474" w:rsidP="00412474">
      <w:pPr>
        <w:pStyle w:val="ListParagraph"/>
        <w:numPr>
          <w:ilvl w:val="0"/>
          <w:numId w:val="3"/>
        </w:numPr>
        <w:rPr>
          <w:rFonts w:ascii="Times New Roman" w:hAnsi="Times New Roman" w:cs="Times New Roman"/>
          <w:sz w:val="24"/>
          <w:szCs w:val="24"/>
        </w:rPr>
      </w:pPr>
      <w:r w:rsidRPr="00215667">
        <w:rPr>
          <w:rFonts w:ascii="Times New Roman" w:eastAsia="Times New Roman" w:hAnsi="Times New Roman" w:cs="Times New Roman"/>
          <w:sz w:val="24"/>
          <w:szCs w:val="24"/>
        </w:rPr>
        <w:t>Dennis Flanagan; Tranexamic Acid Tamponade to Control Postoperative Surgical Hemorrhage. </w:t>
      </w:r>
      <w:r w:rsidRPr="00215667">
        <w:rPr>
          <w:rFonts w:ascii="Times New Roman" w:eastAsia="Times New Roman" w:hAnsi="Times New Roman" w:cs="Times New Roman"/>
          <w:i/>
          <w:iCs/>
          <w:sz w:val="24"/>
          <w:szCs w:val="24"/>
        </w:rPr>
        <w:t>J Oral Implantol</w:t>
      </w:r>
      <w:r w:rsidRPr="00215667">
        <w:rPr>
          <w:rFonts w:ascii="Times New Roman" w:eastAsia="Times New Roman" w:hAnsi="Times New Roman" w:cs="Times New Roman"/>
          <w:sz w:val="24"/>
          <w:szCs w:val="24"/>
        </w:rPr>
        <w:t> 1 June 2015; 41 (3): e82–e89</w:t>
      </w:r>
    </w:p>
    <w:p w14:paraId="29B59CEF"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Fan, G., Shen, Y., Cai, Y. </w:t>
      </w:r>
      <w:r w:rsidRPr="00215667">
        <w:rPr>
          <w:rFonts w:ascii="Times New Roman" w:eastAsia="Times New Roman" w:hAnsi="Times New Roman" w:cs="Times New Roman"/>
          <w:i/>
          <w:iCs/>
          <w:sz w:val="24"/>
          <w:szCs w:val="24"/>
        </w:rPr>
        <w:t>et al.</w:t>
      </w:r>
      <w:r w:rsidRPr="00215667">
        <w:rPr>
          <w:rFonts w:ascii="Times New Roman" w:eastAsia="Times New Roman" w:hAnsi="Times New Roman" w:cs="Times New Roman"/>
          <w:sz w:val="24"/>
          <w:szCs w:val="24"/>
        </w:rPr>
        <w:t> Uncontrollable bleeding after tooth extraction from asymptomatic mild hemophilia patients: two case reports. </w:t>
      </w:r>
      <w:r w:rsidRPr="00215667">
        <w:rPr>
          <w:rFonts w:ascii="Times New Roman" w:eastAsia="Times New Roman" w:hAnsi="Times New Roman" w:cs="Times New Roman"/>
          <w:i/>
          <w:iCs/>
          <w:sz w:val="24"/>
          <w:szCs w:val="24"/>
        </w:rPr>
        <w:t>BMC Oral Health</w:t>
      </w:r>
      <w:r w:rsidRPr="00215667">
        <w:rPr>
          <w:rFonts w:ascii="Times New Roman" w:eastAsia="Times New Roman" w:hAnsi="Times New Roman" w:cs="Times New Roman"/>
          <w:sz w:val="24"/>
          <w:szCs w:val="24"/>
        </w:rPr>
        <w:t> </w:t>
      </w:r>
      <w:r w:rsidRPr="00215667">
        <w:rPr>
          <w:rFonts w:ascii="Times New Roman" w:eastAsia="Times New Roman" w:hAnsi="Times New Roman" w:cs="Times New Roman"/>
          <w:b/>
          <w:bCs/>
          <w:sz w:val="24"/>
          <w:szCs w:val="24"/>
        </w:rPr>
        <w:t>22</w:t>
      </w:r>
      <w:r w:rsidRPr="00215667">
        <w:rPr>
          <w:rFonts w:ascii="Times New Roman" w:eastAsia="Times New Roman" w:hAnsi="Times New Roman" w:cs="Times New Roman"/>
          <w:sz w:val="24"/>
          <w:szCs w:val="24"/>
        </w:rPr>
        <w:t>, 69 (2022).</w:t>
      </w:r>
    </w:p>
    <w:p w14:paraId="3752340C"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Gresele P, Orsini S, Noris P, et al. Validation of the ISTH/SSC bleeding assessment tool for inherited platelet disorders: a communication from the platelet physiology SSC. </w:t>
      </w:r>
      <w:r w:rsidRPr="00215667">
        <w:rPr>
          <w:rFonts w:ascii="Times New Roman" w:eastAsia="Times New Roman" w:hAnsi="Times New Roman" w:cs="Times New Roman"/>
          <w:i/>
          <w:iCs/>
          <w:sz w:val="24"/>
          <w:szCs w:val="24"/>
        </w:rPr>
        <w:t>J Thromb Haemost</w:t>
      </w:r>
      <w:r w:rsidRPr="00215667">
        <w:rPr>
          <w:rFonts w:ascii="Times New Roman" w:eastAsia="Times New Roman" w:hAnsi="Times New Roman" w:cs="Times New Roman"/>
          <w:sz w:val="24"/>
          <w:szCs w:val="24"/>
        </w:rPr>
        <w:t>. 2020;18(3):732–739. doi:10.1111/jth.14683</w:t>
      </w:r>
    </w:p>
    <w:p w14:paraId="67A3852D"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van Dijk WEM, van Es RJJ, Correa MEP, Schutgens REG, van Galen KPM.</w:t>
      </w:r>
    </w:p>
    <w:p w14:paraId="073900DE" w14:textId="77777777" w:rsidR="00412474" w:rsidRPr="00215667" w:rsidRDefault="00412474" w:rsidP="00412474">
      <w:pPr>
        <w:spacing w:after="0" w:line="240" w:lineRule="auto"/>
        <w:ind w:left="107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 Dentoalveolar Procedures in Immune Thrombocytopenia; Systematic Review and an Institutional Guideline. TH Open. 2021 Sep 9;5(4):e489-e502.</w:t>
      </w:r>
    </w:p>
    <w:p w14:paraId="30E2FF3E"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Kang SH, Kang MJ. The incidence of postoperative hemorrhage after tooth extraction in patients with thrombocytopenia. J Korean Assoc Oral Maxillofac Surg. 2021 Jun 30;47(3):190-196</w:t>
      </w:r>
    </w:p>
    <w:p w14:paraId="0F66C904"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Kietaibl S, Ahmed A, Afshari A, Albaladejo P, Aldecoa C, Barauskas G, De Robertis E, Faraoni D, Filipescu DC, Fries D, Godier A, Haas T, Jacob M, Lancé MD, Llau JV, Meier J, Molnar Z, Mora L, Rahe-Meyer N, Samama CM, Scarlatescu E, Schlimp C, Wikkelsø AJ, Zacharowski K. Management of severe peri-operative bleeding: Guidelines from the European Society of Anaesthesiology and Intensive Care: Second update 2022. Eur J Anaesthesiol. 2023 Apr 1;40(4):226-304.</w:t>
      </w:r>
    </w:p>
    <w:p w14:paraId="753A499C" w14:textId="77777777" w:rsidR="00412474" w:rsidRPr="00215667" w:rsidRDefault="00412474" w:rsidP="00412474">
      <w:pPr>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Rodeghiero F, Tosetto A, Abshire T, Arnold DM, Coller B, James P, Neunert C, Lillicrap D; ISTH/SSC joint VWF and Perinatal/Pediatric Hemostasis Subcommittees Working Group. ISTH/SSC bleeding assessment tool: a standardized questionnaire and a proposal for a new bleeding score for inherited bleeding disorders. J Thromb Haemost. 2010 Sep;8(9):2063-5. </w:t>
      </w:r>
    </w:p>
    <w:p w14:paraId="5826D77D"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Shantsila E, Lip GY. Antiplatelet versus anticoagulation treatment for patients with heart failure in sinus rhythm. Cochrane Database Syst Rev. 2016 Sep 15;9(9):CD003333</w:t>
      </w:r>
    </w:p>
    <w:p w14:paraId="6525ACF3"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 Manfredini M, Poli PP, Creminelli L, Porro A, Maiorana C, Beretta M. Comparative Risk of Bleeding of Anticoagulant Therapy with Vitamin K Antagonists (VKAs) and with Non-Vitamin K Antagonists in Patients Undergoing Dental Surgery. J Clin Med. 2021 Nov 25;10(23):5526</w:t>
      </w:r>
    </w:p>
    <w:p w14:paraId="7168DE9C"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Mauprivez C., Khonsari R.H., Razouk O., Goudot P., Lesclous P., Descroix V. Management of dental extraction in patients undergoing anticoagulant </w:t>
      </w:r>
      <w:r w:rsidRPr="00215667">
        <w:rPr>
          <w:rFonts w:ascii="Times New Roman" w:eastAsia="Times New Roman" w:hAnsi="Times New Roman" w:cs="Times New Roman"/>
          <w:sz w:val="24"/>
          <w:szCs w:val="24"/>
        </w:rPr>
        <w:lastRenderedPageBreak/>
        <w:t xml:space="preserve">oral direct treatment: a pilot study. Oral Surg Oral Med Oral Pathol Oral Radio. 2016; 122: e146-e155  </w:t>
      </w:r>
    </w:p>
    <w:p w14:paraId="5F30FBEF"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Trampuš-Bakija A, Jazbec J, Faganel-Kotnik B. Platelet lumiaggregation testing: Reference intervals and the effect of acetylsalicylic acid in healthy adults. J Med Biochem. 2020;39(4):422-427. doi:10.5937/jomb0-24690</w:t>
      </w:r>
    </w:p>
    <w:p w14:paraId="753DE400"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Akhlaghi F, Khaheshi I, Amirhassani S, Tabrizi R. Do antiplatelet drugs increase the risk of bleeding after tooth extraction? A case-crossover study. Int J Oral MaxillofacSurg. 2017; 46:1475–8.</w:t>
      </w:r>
    </w:p>
    <w:p w14:paraId="6260CE95"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Sadeghi-Ghahrody M, Yousefi-Malekshah SH, Karimi-Sari H, Yazdanpanah H, Rezaee-Zavareh MS, Yavarahmadi M. Bleeding after tooth extraction in patients taking aspirin and clopidogrel (Plavix®) compared with healthy controls. Br J Oral Maxillofac Surg.2016; 54:568–72.</w:t>
      </w:r>
    </w:p>
    <w:p w14:paraId="36E20A43"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Müller, M., Schlittler, F., Schaller, B. et al. Characteristics, treatment and outcome of bleeding after tooth extraction in patients on DOAC and phenprocoumon compared to non-anticoagulated patients—a retrospective study of emergency department consultations. Clin Oral Invest 23, 2273–2278 (2019))</w:t>
      </w:r>
    </w:p>
    <w:p w14:paraId="18B087E8"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Ferrieri GB, Castiglioni S, Carmagnola D, Cargnel M, Strohmenger L, Abati S. Oral Surgery in Patients on Anticoagulant Treatment Without Therapy Interruption. J Oral Maxillofac Surg. 2017; 65:1149–54-  </w:t>
      </w:r>
    </w:p>
    <w:p w14:paraId="475A8168"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 Sacco R, Sacco M, Carpenedo M, Mannucci PM. Oral surgery in patients on oral anticoagulant therapy: a randomized comparison of different intensity targets. Oral Surg Oral Med Oral Pathol Oral Radiol Endod. 2017;104: e18–e21 10) 9-10)</w:t>
      </w:r>
    </w:p>
    <w:p w14:paraId="76236079"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 Moster M, Bolliger D. Perioperative Guidelines on Antiplatelet and Anticoagulant Agents: 2022 Update, Current Anesthesiology Reports (2022) 12:286–296</w:t>
      </w:r>
    </w:p>
    <w:p w14:paraId="4638FF2A"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Mingarro-de-León A, Chaveli-López B, Gavaldá-Esteve C. Dental management of patients receiving anticoagulant and/or antiplatelet treatment. J Clin Exp Dent. 2014 Apr 1;6(2):e155-61</w:t>
      </w:r>
    </w:p>
    <w:p w14:paraId="13A1B5D1"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Yoshikawa H. Yoshida M. Yasaka M. Fukunaga D. Shintani A. Safety of tooth extraction in patients receiving direct oral anticoagulant treatment versus warfarin: a prospective observation study CLINICAL PAPER | ORAL SURGERY| VOLUME 48, ISSUE 8, P1102-1108, AUGUST 2019</w:t>
      </w:r>
    </w:p>
    <w:p w14:paraId="3DC8D84F"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Nisi, M.; Carli, E.; Gennai, S.; Gulia, F.; Izzetti, R. Hemostatic Agents for the Management of Bleeding Risk Associated with Oral Anticoagulant Therapy Following Tooth Extraction: A Systematic Review. Appl. Sci. 2022, 12, 11017.</w:t>
      </w:r>
    </w:p>
    <w:p w14:paraId="5D1F302E"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Lee JS, Kim MK, Kang SH. Effect of warfarin discontinuation on the incidence of postoperative bleeding in tooth extraction. J. Korean Assoc. Oral Maxillofac. Surg. 2020; 46:228–234</w:t>
      </w:r>
    </w:p>
    <w:p w14:paraId="10883A9E"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Berton F, Costantinides F, Rizzo R, Franco A, Contarin J, Stacchi C, Maglione M, Visintini E, Di Lenarda A, Di Lenarda R. Should we fear direct oral anticoagulants more than vitamin K antagonists in simple single tooth extraction? A prospective comparative study. Clin Oral Investig. 2019 Aug;23(8):3183-3192.</w:t>
      </w:r>
      <w:r w:rsidRPr="00215667">
        <w:rPr>
          <w:rFonts w:ascii="Times New Roman" w:eastAsia="Times New Roman" w:hAnsi="Times New Roman" w:cs="Times New Roman"/>
          <w:sz w:val="24"/>
          <w:szCs w:val="24"/>
        </w:rPr>
        <w:tab/>
      </w:r>
    </w:p>
    <w:p w14:paraId="553D7412"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Yagyuu T, Kawakami M, Ueyama Y, Imada M, Kurihara M, Matsusue Y, Imai Y, Yamamoto K, Kirita T. Risks of postextraction bleeding after </w:t>
      </w:r>
      <w:r w:rsidRPr="00215667">
        <w:rPr>
          <w:rFonts w:ascii="Times New Roman" w:eastAsia="Times New Roman" w:hAnsi="Times New Roman" w:cs="Times New Roman"/>
          <w:sz w:val="24"/>
          <w:szCs w:val="24"/>
        </w:rPr>
        <w:lastRenderedPageBreak/>
        <w:t>receiving direct oral anticoagulants or warfarin: a retrospective cohort study. BMJ Open. 2017 Aug 21;7(8):e015952.</w:t>
      </w:r>
    </w:p>
    <w:p w14:paraId="319ACAFB"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Febbo A, Cheng A, Stein B, Goss A, Sambrook P. Postoperative Bleeding Following Dental Extractions in Patients Anticoagulated with Warfarin. J Oral Maxillofac Surg. 2016 Aug;74(8):1518-23</w:t>
      </w:r>
    </w:p>
    <w:p w14:paraId="1A69BD01"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Precht C, Demirel Y, Assaf AT, Pinnschmidt HO, Knipfer C, Hanken H, Friedrich RE, Wikner J. Perioperative Management in Patients with Undergoing Direct Oral Anticoagulant Therapy in Oral Surgery - A Multicentric Questionnaire Survey. In Vivo. 2019 May-Jun;33(3):855-862</w:t>
      </w:r>
    </w:p>
    <w:p w14:paraId="65847D38"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Amer MZ, Mourad SI, Salem AS, Abdelfadil E. Correlation between International Normalized Ratio values and sufficiency of two different local hemostatic measures in anticoagulated patients. Eur J Dent. 2014 Oct;8(4):475-480</w:t>
      </w:r>
    </w:p>
    <w:p w14:paraId="26C4AD7B"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 Elad S, Chackartchi T, Shapira L, Findler M. A critically severe gingival bleeding following non-surgical periodontal treatment in patients medicated with anti-platelet. Journal of Clinical Periodontology. 2018;35(4):342–345 </w:t>
      </w:r>
    </w:p>
    <w:p w14:paraId="623FFCE2"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Puia SA, Hilber EM, Garcia-Blanco M. Bleeding Complications in Relation to the International Normalized Ratio for Dental Extractions in Patients under Chronic Anticoagulant Therapy - An Evaluative Study. Ann Maxillofac Surg. 2022 Jul-Dec;12(2):139-143</w:t>
      </w:r>
    </w:p>
    <w:p w14:paraId="4BD54297"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Huang, J., Liu, J. Shi, H. Wu, J., Liu, J., Pan, J. Risk factors for bleeding after dental extractions in patients receiving antithrombotic drugs - A case control study, Journal of Dental SciencesVolume 17, Issue 2, April 2022, Pages 780-786</w:t>
      </w:r>
    </w:p>
    <w:p w14:paraId="4F68888D"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Douketis JD, Spyropoulos AC, Murad MH, Arcelus JI, Dager WE, Dunn AS, Fargo RA, Levy JH, Samama CM, Shah SH, Sherwood MW, Tafur AJ, Tang LV, MooresLK. Executive Summary: Perioperative Management of Antithrombotic Therapy: An American College of Chest Physicians Clinical Practice Guideline. Chest. 2022 Nov;162(5):1127-1139.</w:t>
      </w:r>
    </w:p>
    <w:p w14:paraId="784B6010"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Wenbing H., Zhengmei H., Zhuoli Huang3Bleeding Outcomes After Dental Extraction in Patients Under Direct-Acting Oral Anticoagulants vs. Vitamin K Antagonists: A Systematic Review and Meta-Analysis. Pharmacol., Sec. Drugs Outcomes Research and Policies, Volume 12 - 2021 2 </w:t>
      </w:r>
    </w:p>
    <w:p w14:paraId="7EB133A7"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Lecumberri R, Jiménez L, Ruiz-Artacho P, Nieto JA, Ruiz-Giménez N, Visonà A, Skride A, Moustafa F, Trujillo J, Monreal M; RIETE investigators. Prediction of Major Bleeding in Anticoagulated Patients for Venous Thromboembolism: Comparison of the RIETE and the VTE-BLEED Scores. TH Open. 2021 Aug 9;5(3): e319-e32831.</w:t>
      </w:r>
      <w:r w:rsidRPr="00215667">
        <w:rPr>
          <w:rFonts w:ascii="Times New Roman" w:eastAsia="Times New Roman" w:hAnsi="Times New Roman" w:cs="Times New Roman"/>
          <w:sz w:val="24"/>
          <w:szCs w:val="24"/>
        </w:rPr>
        <w:tab/>
      </w:r>
    </w:p>
    <w:p w14:paraId="6F1798CF"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Kataoka T, Hoshi K, Ando TIs the HAS-BLED score useful in predicting post-extraction bleeding in patients taking warfarin? A retrospective cohort studyBMJ Open 2016;6: e010471</w:t>
      </w:r>
    </w:p>
    <w:p w14:paraId="774E22E0"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Iwata E, Tachibana A, Kusumoto J, Hasegawa T, Kadoya R, Enomoto Y, Takata N, Akashi M. Risk factors associated with post-extraction bleeding in patients on warfarin or direct-acting oral anticoagulants: a retrospective cohort study. Oral Maxillofac Surg. 2022 Dec;26(4):641-648</w:t>
      </w:r>
    </w:p>
    <w:p w14:paraId="0B9CD7F3"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Hua W, Huang Z, Huang Z. Bleeding Outcomes After Dental Extraction in Patients Under Direct-Acting Oral Anticoagulants vs. Vitamin K </w:t>
      </w:r>
      <w:r w:rsidRPr="00215667">
        <w:rPr>
          <w:rFonts w:ascii="Times New Roman" w:eastAsia="Times New Roman" w:hAnsi="Times New Roman" w:cs="Times New Roman"/>
          <w:sz w:val="24"/>
          <w:szCs w:val="24"/>
        </w:rPr>
        <w:lastRenderedPageBreak/>
        <w:t>Antagonists: A Systematic Review and Meta-Analysis. Front Pharmacol. 2021 Oct 28; 12:702057.</w:t>
      </w:r>
    </w:p>
    <w:p w14:paraId="1B154066" w14:textId="77777777" w:rsidR="00412474" w:rsidRPr="00215667" w:rsidRDefault="00412474" w:rsidP="00412474">
      <w:pPr>
        <w:pStyle w:val="ListParagraph"/>
        <w:numPr>
          <w:ilvl w:val="0"/>
          <w:numId w:val="3"/>
        </w:numPr>
        <w:spacing w:after="0" w:line="240" w:lineRule="auto"/>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Iwabuchi H, Imai Y, Asanami S, Shirakawa M, Yamane GY, Ogiuchi H, Kurashina K, Miyata M, Nakao H, Imai H. Evaluation of postextraction bleeding incidence to compare patients receiving and not receiving warfarin therapy: a cross-sectional, multicentre, observational study. BMJ Open. 2014 Dec 15;4(12): e005777. </w:t>
      </w:r>
    </w:p>
    <w:p w14:paraId="19544899" w14:textId="77777777" w:rsidR="00412474" w:rsidRPr="00215667" w:rsidRDefault="00412474" w:rsidP="00412474">
      <w:pPr>
        <w:pStyle w:val="ListParagraph"/>
        <w:numPr>
          <w:ilvl w:val="0"/>
          <w:numId w:val="3"/>
        </w:numPr>
        <w:spacing w:after="0" w:line="240" w:lineRule="auto"/>
        <w:ind w:left="851" w:hanging="142"/>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Jaiswal P, Agrawal R, Gandhi A, Jain A, Kumar A, Rela R. Managing Anticoagulant Patients Undergoing Dental Extraction by using Hemostatic Agent: Tranexamic Acid Mouthrinse. J Pharm Bioallied Sci. 2021 Jun;13(Suppl 1):469-S472.</w:t>
      </w:r>
    </w:p>
    <w:p w14:paraId="5171CA42" w14:textId="77777777" w:rsidR="00412474" w:rsidRPr="00215667" w:rsidRDefault="00412474" w:rsidP="00412474">
      <w:pPr>
        <w:pStyle w:val="ListParagraph"/>
        <w:numPr>
          <w:ilvl w:val="0"/>
          <w:numId w:val="3"/>
        </w:numPr>
        <w:spacing w:after="0" w:line="240" w:lineRule="auto"/>
        <w:ind w:left="1080" w:hanging="9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Moreno-Drada JA, Abreu LG, Lino PA, Parreiras Martins MA, Pordeus IA, Nogueira Guimarães de Abreu MH. Effectiveness of local hemostatic to prevent bleeding in dental patients on anticoagulation: A systematic review and network meta-analysis. J Craniomaxillofac Surg. 2021 Jul;49(7):570-583</w:t>
      </w:r>
    </w:p>
    <w:p w14:paraId="1569140E" w14:textId="77777777" w:rsidR="00412474" w:rsidRPr="00215667" w:rsidRDefault="00412474" w:rsidP="00412474">
      <w:pPr>
        <w:ind w:left="1080" w:hanging="361"/>
        <w:rPr>
          <w:rFonts w:ascii="Times New Roman" w:hAnsi="Times New Roman" w:cs="Times New Roman"/>
          <w:sz w:val="24"/>
          <w:szCs w:val="24"/>
        </w:rPr>
      </w:pPr>
      <w:r w:rsidRPr="00215667">
        <w:rPr>
          <w:rFonts w:ascii="Times New Roman" w:eastAsia="Times New Roman" w:hAnsi="Times New Roman" w:cs="Times New Roman"/>
          <w:sz w:val="24"/>
          <w:szCs w:val="24"/>
        </w:rPr>
        <w:t xml:space="preserve">96. </w:t>
      </w:r>
      <w:r w:rsidRPr="00215667">
        <w:rPr>
          <w:rFonts w:ascii="Times New Roman" w:hAnsi="Times New Roman" w:cs="Times New Roman"/>
          <w:sz w:val="24"/>
          <w:szCs w:val="24"/>
        </w:rPr>
        <w:t xml:space="preserve"> Kietaibl S, 2022. 1.</w:t>
      </w:r>
      <w:r w:rsidRPr="00215667">
        <w:rPr>
          <w:rFonts w:ascii="Times New Roman" w:hAnsi="Times New Roman" w:cs="Times New Roman"/>
          <w:sz w:val="24"/>
          <w:szCs w:val="24"/>
        </w:rPr>
        <w:tab/>
        <w:t>Hua W, Huang Z, Huang Z. Bleeding Outcomes After Dental Extraction in Patients Under Direct-Acting Oral Anticoagulants vs. Vitamin K Antagonists: A Systematic Review and Meta-Analysis. Front Pharmacol. 2021 Oct 28;12:702057</w:t>
      </w:r>
    </w:p>
    <w:p w14:paraId="7B331AE6" w14:textId="77777777" w:rsidR="00412474" w:rsidRPr="00215667" w:rsidRDefault="00412474" w:rsidP="00412474">
      <w:pPr>
        <w:ind w:left="709"/>
        <w:rPr>
          <w:rFonts w:ascii="Times New Roman" w:hAnsi="Times New Roman" w:cs="Times New Roman"/>
          <w:sz w:val="24"/>
          <w:szCs w:val="24"/>
        </w:rPr>
      </w:pPr>
      <w:r w:rsidRPr="00215667">
        <w:rPr>
          <w:rFonts w:ascii="Times New Roman" w:hAnsi="Times New Roman" w:cs="Times New Roman"/>
          <w:sz w:val="24"/>
          <w:szCs w:val="24"/>
        </w:rPr>
        <w:t>97.  Mohsen Sadeghi-G., Seyed HY.Malekshah, Hamidreza K S., Hamid Y., MohammadS RZ, Mohammadhosein Y. Bleeding after tooth extraction in patients taking aspirin and clopidogrel (Plavix®) compared with healthy controls, British Journal of Oral and Maxillofacial Surgery,Volume 54, Issue 5,2016,Pages 568-572.</w:t>
      </w:r>
    </w:p>
    <w:p w14:paraId="729BE422" w14:textId="77777777" w:rsidR="00412474" w:rsidRPr="00215667" w:rsidRDefault="00412474" w:rsidP="00412474">
      <w:pPr>
        <w:ind w:left="709"/>
        <w:rPr>
          <w:rFonts w:ascii="Times New Roman" w:hAnsi="Times New Roman" w:cs="Times New Roman"/>
          <w:sz w:val="24"/>
          <w:szCs w:val="24"/>
        </w:rPr>
      </w:pPr>
      <w:r w:rsidRPr="00215667">
        <w:rPr>
          <w:rFonts w:ascii="Times New Roman" w:hAnsi="Times New Roman" w:cs="Times New Roman"/>
          <w:sz w:val="24"/>
          <w:szCs w:val="24"/>
        </w:rPr>
        <w:t>98. Verma G. Dental extraction can be performed safely in patients on aspirin therapy: a timely reminder. ISRN Dent. 2014 Apr 1;2014</w:t>
      </w:r>
    </w:p>
    <w:p w14:paraId="618BF2D9" w14:textId="77777777" w:rsidR="00412474" w:rsidRPr="00215667" w:rsidRDefault="00412474" w:rsidP="00412474">
      <w:pPr>
        <w:ind w:left="709"/>
        <w:rPr>
          <w:rFonts w:ascii="Times New Roman" w:hAnsi="Times New Roman" w:cs="Times New Roman"/>
          <w:sz w:val="24"/>
          <w:szCs w:val="24"/>
        </w:rPr>
      </w:pPr>
      <w:r w:rsidRPr="00215667">
        <w:rPr>
          <w:rFonts w:ascii="Times New Roman" w:hAnsi="Times New Roman" w:cs="Times New Roman"/>
          <w:sz w:val="24"/>
          <w:szCs w:val="24"/>
        </w:rPr>
        <w:t>98. Krishnan B, Prasad GA, Madhan B, Saravanan R, Mote NP, Akilesh R. Post-extraction bleeding complications in patients on uninterrupted dual antiplatelet therapy-a prospective study. Clin Oral Investig. 2021 Feb;25(2):507-514.</w:t>
      </w:r>
    </w:p>
    <w:p w14:paraId="50F04A78" w14:textId="77777777" w:rsidR="00412474" w:rsidRPr="00215667" w:rsidRDefault="00412474" w:rsidP="00412474">
      <w:pPr>
        <w:ind w:left="709"/>
        <w:rPr>
          <w:rFonts w:ascii="Times New Roman" w:hAnsi="Times New Roman" w:cs="Times New Roman"/>
          <w:sz w:val="24"/>
          <w:szCs w:val="24"/>
        </w:rPr>
      </w:pPr>
      <w:r w:rsidRPr="00215667">
        <w:rPr>
          <w:rFonts w:ascii="Times New Roman" w:hAnsi="Times New Roman" w:cs="Times New Roman"/>
          <w:sz w:val="24"/>
          <w:szCs w:val="24"/>
        </w:rPr>
        <w:t>99. Colomina MJ, Contreras L, Guilabert P, Koo M, M Ndez E, Sabate A. Clinical use of tranexamic acid: evidences and controversies. Braz J Anesthesiol. 2022 Nov-Dec;72(6):795-812. 100. Rocha AL, Oliveira SR, Souza AF, Travassos DV, Abreu LG, Ribeiro DD, Silva TA. Bleeding assessment in oral surgery: A cohort study comparing individuals on anticoagulant therapy and a non-anticoagulated group. J Craniomaxillofac Surg. 2019 May;47(5):798-804.</w:t>
      </w:r>
    </w:p>
    <w:p w14:paraId="2D65BD0E" w14:textId="77777777" w:rsidR="00412474" w:rsidRPr="00215667" w:rsidRDefault="00412474" w:rsidP="00412474">
      <w:pPr>
        <w:ind w:left="709"/>
        <w:rPr>
          <w:rFonts w:ascii="Times New Roman" w:hAnsi="Times New Roman" w:cs="Times New Roman"/>
          <w:sz w:val="24"/>
          <w:szCs w:val="24"/>
        </w:rPr>
      </w:pPr>
      <w:r w:rsidRPr="00215667">
        <w:rPr>
          <w:rFonts w:ascii="Times New Roman" w:hAnsi="Times New Roman" w:cs="Times New Roman"/>
          <w:sz w:val="24"/>
          <w:szCs w:val="24"/>
        </w:rPr>
        <w:t>101. Shruti R, Julie R, Anirban SG. Platelet in hemostasis thrombosis and thromboinflammation. Journal of Thrombosis and Haemostasis, 20(7):1535-1549,2022</w:t>
      </w:r>
    </w:p>
    <w:p w14:paraId="3312854C" w14:textId="77777777" w:rsidR="00412474" w:rsidRPr="00215667" w:rsidRDefault="00412474" w:rsidP="00412474">
      <w:pPr>
        <w:ind w:left="720"/>
        <w:rPr>
          <w:rFonts w:ascii="Times New Roman" w:hAnsi="Times New Roman" w:cs="Times New Roman"/>
          <w:sz w:val="24"/>
          <w:szCs w:val="24"/>
        </w:rPr>
      </w:pPr>
      <w:r w:rsidRPr="00215667">
        <w:rPr>
          <w:rFonts w:ascii="Times New Roman" w:hAnsi="Times New Roman" w:cs="Times New Roman"/>
          <w:sz w:val="24"/>
          <w:szCs w:val="24"/>
        </w:rPr>
        <w:t>102. van der Meijden P.E.J., Heemskerk J.W.M. Platelet biology and functions: New concepts and clinical perspectives. Nat. Rev. Cardiol. 2019;16:166–179</w:t>
      </w:r>
      <w:r w:rsidRPr="00215667">
        <w:rPr>
          <w:rFonts w:ascii="Times New Roman" w:hAnsi="Times New Roman" w:cs="Times New Roman"/>
          <w:sz w:val="24"/>
          <w:szCs w:val="24"/>
        </w:rPr>
        <w:tab/>
      </w:r>
      <w:r w:rsidRPr="00215667">
        <w:rPr>
          <w:rFonts w:ascii="Times New Roman" w:hAnsi="Times New Roman" w:cs="Times New Roman"/>
          <w:sz w:val="24"/>
          <w:szCs w:val="24"/>
        </w:rPr>
        <w:tab/>
      </w:r>
    </w:p>
    <w:p w14:paraId="68908BD3"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lastRenderedPageBreak/>
        <w:t>103. Aliotta A, Bertaggia Calderara D, Zermatten MG, Marchetti M, Alberio L. Thrombocytopathies: Not Just Aggregation Defects-The Clinical Relevance of Procoagulant Platelets. J Clin Med. 2021 Feb 24;10(5):894.</w:t>
      </w:r>
    </w:p>
    <w:p w14:paraId="0C5107FB"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1BABD1FF"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104. Zolaly MA, Tarwah A, Albalawi M, Alwasaidi T, Owaidah T. The prevalence of self-reported bleeding tendency symptoms among adolescents in Almadinah Almunawwarah, Kingdom of Saudi Arabia. J Family Med Prim Care. 2021 Feb;10(2):826-830</w:t>
      </w:r>
    </w:p>
    <w:p w14:paraId="29A3E4C0"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0F8B6DAC"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105. Fernández de la Fuente, D. I. (2023). High throughput assessment of platelet signaling function and inhibition. [Doctoral Thesis, Maastricht University, Universidade of Santiago de Compostela]. Maastricht University. https://doi.org/10.26481/dis.20230623df. </w:t>
      </w:r>
    </w:p>
    <w:p w14:paraId="72FB23BE"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27971C12" w14:textId="70CE2D54"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106. Frontroth JP, Favaloro EJ. </w:t>
      </w:r>
      <w:r w:rsidR="0021755D">
        <w:rPr>
          <w:rFonts w:ascii="Times New Roman" w:eastAsia="Times New Roman" w:hAnsi="Times New Roman" w:cs="Times New Roman"/>
          <w:sz w:val="24"/>
          <w:szCs w:val="24"/>
        </w:rPr>
        <w:t>Ристоцетин</w:t>
      </w:r>
      <w:r w:rsidRPr="00215667">
        <w:rPr>
          <w:rFonts w:ascii="Times New Roman" w:eastAsia="Times New Roman" w:hAnsi="Times New Roman" w:cs="Times New Roman"/>
          <w:sz w:val="24"/>
          <w:szCs w:val="24"/>
        </w:rPr>
        <w:t>-Induced Platelet Aggregation (RIPA) and RIPA Mixing Studies. Methods Mol Biol. 2017; 1646:473-494</w:t>
      </w:r>
    </w:p>
    <w:p w14:paraId="6B1CB587"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476CF7D3" w14:textId="28A92BB1"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107. Donner L, Toska LM, Krüger I, Gröniger S, Barroso R, Burleigh A, Mezzano D, Pfeiler S, Kelm M, Gerdes N, Watson SP, Sun Y, Elvers M. The </w:t>
      </w:r>
      <w:r w:rsidR="0021755D">
        <w:rPr>
          <w:rFonts w:ascii="Times New Roman" w:eastAsia="Times New Roman" w:hAnsi="Times New Roman" w:cs="Times New Roman"/>
          <w:sz w:val="24"/>
          <w:szCs w:val="24"/>
        </w:rPr>
        <w:t>колаген</w:t>
      </w:r>
      <w:r w:rsidRPr="00215667">
        <w:rPr>
          <w:rFonts w:ascii="Times New Roman" w:eastAsia="Times New Roman" w:hAnsi="Times New Roman" w:cs="Times New Roman"/>
          <w:sz w:val="24"/>
          <w:szCs w:val="24"/>
        </w:rPr>
        <w:t xml:space="preserve"> receptor glycoprotein VI promotes platelet-mediated aggregation of β-amyloid. Sci Signal. 2020 Aug 4;13(643):eaba9872.</w:t>
      </w:r>
    </w:p>
    <w:p w14:paraId="3A6C3630"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6467B5CA"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108. Zaidi SRH, Rout P. Interpretation of Blood Clotting Studies and Values (PT, PTT, aPTT, INR, Anti-Factor Xa, D-Dimer). 2024 Jun 8. In: StatPearls</w:t>
      </w:r>
    </w:p>
    <w:p w14:paraId="79B5E4DD"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5219F45C"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109. Pabinger I, Fries D, Schöchl H, Streif W, Toller W. Tranexamic acid for treatment and prophylaxis of bleeding and hyperfibrinolysis. Wien Klin Wochenschr. 2017; 129:303-316. Robb PJ. Tranexamic acid - a useful drug in ENT surgery. J Laryngol Otol. 2014; 128:574-579).</w:t>
      </w:r>
    </w:p>
    <w:p w14:paraId="48C053D9"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155D914A"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110. Chauncey JM, Wieters JS. Tranexamic Acid. [Updated 2023 Jul 24]. In: StatPearls [Internet]. Treasure Island (FL): StatPearls Publishing; 2025 Jan-. </w:t>
      </w:r>
    </w:p>
    <w:p w14:paraId="419B751C"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03E899FA"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111. Choi WS, Irwin MG, Samman N. The effect of tranexamic acid on blood loss during orthognathic surgery: a randomized controlled trial. J Oral Maxillofac Surg. 2009 Jan;67(1):125-33.</w:t>
      </w:r>
    </w:p>
    <w:p w14:paraId="0D67C764"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61590A50"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112. van Galen KPM, Engelen ET, Mauser‐Bunschoten EP, van Es RJJ, Schutgens REG. Antifibrinolytic therapy for preventing oral bleeding in patients with haemophilia or Von Willebrand disease undergoing minor oral surgery or dental extractions. Cochrane Database of Systematic Reviews 2015, Issue 12. Art. No.: CD011385.</w:t>
      </w:r>
    </w:p>
    <w:p w14:paraId="2FED87BD"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113. Watterson, C., Beacher, N. Preventing perioperative bleeding in patients with inherited bleeding disorders. Evid Based Dent 18, 28–29 (2017).</w:t>
      </w:r>
    </w:p>
    <w:p w14:paraId="467D2DFC"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4B59EB99"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114. Anderson, J. A. M., et al. "Guidance on the dental management of patients with haemophilia and congenital bleeding disorders." British dental journal 215.10 (2013): 497-504.</w:t>
      </w:r>
    </w:p>
    <w:p w14:paraId="53B01842"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259F875A"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115. Heyns M, Knight P, Steve AK, Yeung JK. A Single Preoperative Dose of Tranexamic Acid Reduces Perioperative Blood Loss: A Meta-analysis. Ann Surg. 2021 Jan 1;273(1):75-81</w:t>
      </w:r>
    </w:p>
    <w:p w14:paraId="74184655"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624F2563"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116. Dunois C. Laboratory Monitoring of Direct Oral Anticoagulants (DOACs). Biomedicines. 2021 Apr 21;9(5):445.</w:t>
      </w:r>
    </w:p>
    <w:p w14:paraId="115A2035"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4992518B"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117. Engelen ET, Schutgens RE, Mauser-Bunschoten EP, van Es RJ, van Galen KP. Antifibrinolytic therapy for preventing oral bleeding in people on anticoagulants undergoing minor oral surgery or dental extractions. Cochrane Database Syst Rev. 2018 Jul 2;7(7):CD012293</w:t>
      </w:r>
    </w:p>
    <w:p w14:paraId="0D4F157E"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2DF84E01"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118. Piot, Benoit et al. Management of dental extractions in patients with bleeding disorders. Oral Surgery, Oral Medicine, Oral Pathology, Oral Radiology and Endodontics, Volume 93, Issue 3, 247 – 250</w:t>
      </w:r>
    </w:p>
    <w:p w14:paraId="29D53DED"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74B58476"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119. Mathews N, Rivard GE, Bonnefoy A. Glanzmann Thrombasthenia: Perspectives from Clinical Practice on Accurate Diagnosis and Optimal Treatment Strategies. J Blood Med. 2021; 12:449-463</w:t>
      </w:r>
    </w:p>
    <w:p w14:paraId="72A79B20"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22F708FF"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120. Zia A, Jain S, Kouides P, Zhang S, Gao A, Salas N, Lau M, Wilson E, DeSimone N, Sarode R. Bleeding disorders in adolescents with heavy menstrual bleeding in a multicenter prospective US cohort. Haematologica. 2020 Jul;105(7):1969-1976.</w:t>
      </w:r>
    </w:p>
    <w:p w14:paraId="7A20E78A"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5B5F8F38"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121. Palma-Barqueros V, Revilla N, Sánchez A, Zamora Cánovas A, Rodriguez-Alén A, Marín-Quílez A, González-Porras JR, Vicente V, Lozano ML, Bastida JM, Rivera J. Inherited Platelet Disorders: An Updated Overview. Int J Mol Sci. 2021 Apr 26;22(9):4521.</w:t>
      </w:r>
    </w:p>
    <w:p w14:paraId="7C063B5F"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16209829"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122. Philipp CS, Dilley A, Miller CH, Evatt B, Baranwal A, Schwartz R, Bachmann G, Saidi P. Platelet functional defects in women with unexplained menorrhagia. J Thromb Haemost. 2023 Mar;1(3):477-84.</w:t>
      </w:r>
    </w:p>
    <w:p w14:paraId="7B7A1EE7"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17008519"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123. Lecchi A, Razzari C, Paoletta S, Dupuis A, Nakamura L, Ohlmann P, Gachet C, Jacobson KA, Zieger B, Cattaneo M. Identification of a new dysfunctional platelet P2Y12 receptor variant associated with bleeding diathesis. Blood. 2015 Feb 5;125(6):1006-13;  </w:t>
      </w:r>
    </w:p>
    <w:p w14:paraId="09FEC942"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0E7B8CCC"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124.   Capoor MN, Stonemetz JL, Baird JC, Ahmed FS, Awan A, Birkenmaier C, Inchiosa MA Jr, Magid SK, McGoldrick K, Molmenti E, Naqvi S, Parker SD, Pothula SM, Shander A, Steen RG, Urban MK, Wall J, Fischetti VA. Prothrombin Time and Activated Partial Thromboplastin Time Testing: A Comparative Effectiveness Study in a Million-Patient Sample. PLoS One. 2015 Aug 11;10(8): e0133317.</w:t>
      </w:r>
    </w:p>
    <w:p w14:paraId="34D51AD8"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6E7394CD"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lastRenderedPageBreak/>
        <w:t>125. Koltai K, Kesmarky G, Feher G, Tibold A, Toth K. Platelet Aggregometry Testing: Molecular Mechanisms, Techniques and Clinical Implications. Int J Mol Sci. 2017 Aug 18;18(8):1803.</w:t>
      </w:r>
    </w:p>
    <w:p w14:paraId="63206F7C"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6E61E15A"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126. Di Candia, F., Marchetti, V., Cirillo, F. et al. RASopathies and hemostatic abnormalities: key role of platelet dysfunction. Orphanet J Rare Dis 16, 499 (2021).</w:t>
      </w:r>
    </w:p>
    <w:p w14:paraId="3C0F3CD2"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2F9D192F"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127.  Fuzi J, Budiono GR, Meller C, Jacobson I. Tranexamic acid in otorhinolaryngology - A contemporary review. World J Otorhinolaryngol Head Neck Surg. 2020 Jul 16;7(4):328-337.</w:t>
      </w:r>
    </w:p>
    <w:p w14:paraId="38DBF232"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68E744FF"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128. Mahardawi B, Jiaranuchart S, Arunjaroensuk S, Tompkins KA, Somboonsavatdee A, Pimkhaokham A. The effect of different hemostatic agents following dental extraction in patients under oral antithrombotic therapy: a network meta-analysis. Sci Rep. 2023 Aug 2;13(1):12519</w:t>
      </w:r>
    </w:p>
    <w:p w14:paraId="0B4EECDE"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6DE1A848"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129. Paquita Nurden, Simon Stritt,Remi Favier,Alan T. Nurden. Inherited platelet diseases with normal platelet count: phenotypes, genotypes and diagnostic strategy . Journal of the Ferrata-Storti Foundation Haematologica , Vol.106 No. 2 (2021): February, 2021. </w:t>
      </w:r>
    </w:p>
    <w:p w14:paraId="0501D5BC"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32713F46"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130. Fillingham Y.A., Ramkumar D.B., Jevsevar D.S., et al. The Safety of Tranexamic Acid in Total Joint Arthroplasty: A Direct Meta-Analysis. J Arthroplasty. 2018;33, Hong P, Liu R, Rai S, Liu J, Ding Y, Li J. Does Tranexamic Acid Reduce the Blood Loss in Various Surgeries? An Umbrella Review of State-of-the-Art Meta-Analysis. Front Pharmacol. 2022 May 19; 13:887386.</w:t>
      </w:r>
    </w:p>
    <w:p w14:paraId="3D954030"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21CC5086"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131. Emara WM, Moez KK, Elkhouly AH. Topical versus intravenous tranexamic acid as a blood conservation intervention for reduction of post-operative bleeding in hemiarthroplasty. Anesth Essays Res. 2014 Jan-Apr;8(1):48-53.</w:t>
      </w:r>
    </w:p>
    <w:p w14:paraId="3639EB6A"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670906F7"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132. Robb PJ. Tranexamic acid - a useful drug in ENT surgery. J Laryngol Otol. 2014;128:574-579.</w:t>
      </w:r>
    </w:p>
    <w:p w14:paraId="605D1A2E"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6EC2387D"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133. Lin ZX, Woolf SK. Safety, Efficacy, and Cost-effectiveness of Tranexamic Acid in Orthopedic Surgery. Orthopedics. 2016 Mar-Apr;39(2):119-30</w:t>
      </w:r>
    </w:p>
    <w:p w14:paraId="2BFE1530"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4D7F9CFE"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 xml:space="preserve">134. </w:t>
      </w:r>
      <w:r w:rsidRPr="00215667">
        <w:rPr>
          <w:rFonts w:ascii="Times New Roman" w:eastAsia="Times New Roman" w:hAnsi="Times New Roman" w:cs="Times New Roman"/>
          <w:sz w:val="24"/>
          <w:szCs w:val="24"/>
        </w:rPr>
        <w:tab/>
        <w:t>Neuenfeldt FS, Weigand MA, Fischer D. Coagulopathies in Intensive Care Medicine: Balancing Act between Thrombosis and Bleeding. J Clin Med. 2021 Nov 18;10(22):5369</w:t>
      </w:r>
    </w:p>
    <w:p w14:paraId="33B68BD9"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7D1FD9EC"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135.</w:t>
      </w:r>
      <w:r w:rsidRPr="00215667">
        <w:rPr>
          <w:rFonts w:ascii="Times New Roman" w:eastAsia="Times New Roman" w:hAnsi="Times New Roman" w:cs="Times New Roman"/>
          <w:sz w:val="24"/>
          <w:szCs w:val="24"/>
        </w:rPr>
        <w:tab/>
        <w:t>Poon MC, d’Oiron R, Zotz RB, et al. The international, prospective Glanzmann thrombasthenia registry: treatment and outcomes in surgical intervention. Haematologica. 2015;100(8):1038–1044. doi: 10.3324/haematol.2014.121384.</w:t>
      </w:r>
    </w:p>
    <w:p w14:paraId="49F8279F"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5014E663"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136. Zhang P, He J, Fang Y, Chen P, Liang Y, Wang J. Efficacy and safety of intravenous tranexamic acid administration in patients undergoing hip fracture surgery for hemostasis: A meta-analysis. Medicine (Baltimore). 2017 May;96(21): e6940.</w:t>
      </w:r>
    </w:p>
    <w:p w14:paraId="4CD745D2"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799E6BAB"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137. Engelen ET, Schutgens RE, Mauser-Bunschoten EP, van Es RJ, van Galen KP. Antifibrinolytic therapy for preventing oral bleeding in people on anticoagulants undergoing minor oral surgery or dental extractions. Cochrane Database Syst Rev. 2018 Jul 2;7(7):CD012293</w:t>
      </w:r>
    </w:p>
    <w:p w14:paraId="4D956BEB"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7859E651"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r w:rsidRPr="00215667">
        <w:rPr>
          <w:rFonts w:ascii="Times New Roman" w:eastAsia="Times New Roman" w:hAnsi="Times New Roman" w:cs="Times New Roman"/>
          <w:sz w:val="24"/>
          <w:szCs w:val="24"/>
        </w:rPr>
        <w:t>138. Jozefowicz E, Sabourdin N, Lambelin V, Lejeune V, Delassus R, Tavernier B. The effect of tranexamic acid on blood loss in orthognathic surgery: a randomized, placebo-controlled, equivalence study. Int J Oral Maxillofac Surg. 2022 May;51(5):637-642.</w:t>
      </w:r>
    </w:p>
    <w:p w14:paraId="2BE5AA5D" w14:textId="77777777" w:rsidR="00412474" w:rsidRPr="00215667" w:rsidRDefault="00412474" w:rsidP="00412474">
      <w:pPr>
        <w:spacing w:after="0" w:line="240" w:lineRule="auto"/>
        <w:ind w:left="710"/>
        <w:rPr>
          <w:rFonts w:ascii="Times New Roman" w:eastAsia="Times New Roman" w:hAnsi="Times New Roman" w:cs="Times New Roman"/>
          <w:sz w:val="24"/>
          <w:szCs w:val="24"/>
        </w:rPr>
      </w:pPr>
    </w:p>
    <w:p w14:paraId="24C56BB5" w14:textId="77777777" w:rsidR="00412474" w:rsidRPr="00215667" w:rsidRDefault="00412474" w:rsidP="00412474">
      <w:pPr>
        <w:spacing w:after="0" w:line="240" w:lineRule="auto"/>
        <w:ind w:left="710"/>
        <w:rPr>
          <w:rFonts w:ascii="Times New Roman" w:hAnsi="Times New Roman" w:cs="Times New Roman"/>
          <w:sz w:val="24"/>
          <w:szCs w:val="24"/>
          <w:lang w:val="en-US"/>
        </w:rPr>
      </w:pPr>
      <w:r w:rsidRPr="00215667">
        <w:rPr>
          <w:rFonts w:ascii="Times New Roman" w:hAnsi="Times New Roman" w:cs="Times New Roman"/>
          <w:bCs/>
          <w:sz w:val="24"/>
          <w:szCs w:val="24"/>
        </w:rPr>
        <w:t>139. Lewandowski, B., Myszka, A., Migut, M. et al. Analysing the effectiveness of topical bleeding care following tooth extraction in patients receiving dual antiplatelet therapy-retrospective observational study. BMC Oral Health 21, 31 (2021).</w:t>
      </w:r>
      <w:r w:rsidRPr="00215667">
        <w:rPr>
          <w:rFonts w:ascii="Times New Roman" w:hAnsi="Times New Roman" w:cs="Times New Roman"/>
          <w:sz w:val="24"/>
          <w:szCs w:val="24"/>
        </w:rPr>
        <w:t xml:space="preserve">   </w:t>
      </w:r>
    </w:p>
    <w:p w14:paraId="1A50DA66" w14:textId="1BFE6AA2" w:rsidR="001B261B" w:rsidRPr="00215667" w:rsidRDefault="001B261B" w:rsidP="001B261B">
      <w:pPr>
        <w:spacing w:after="0" w:line="240" w:lineRule="auto"/>
        <w:ind w:left="710"/>
        <w:rPr>
          <w:rFonts w:ascii="Times New Roman" w:hAnsi="Times New Roman" w:cs="Times New Roman"/>
          <w:sz w:val="24"/>
          <w:szCs w:val="24"/>
          <w:lang w:val="en-US"/>
        </w:rPr>
      </w:pPr>
    </w:p>
    <w:p w14:paraId="5B3FA1D2" w14:textId="0D18C250" w:rsidR="001B261B" w:rsidRPr="00215667" w:rsidRDefault="001B261B"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140. </w:t>
      </w:r>
      <w:r w:rsidRPr="00215667">
        <w:rPr>
          <w:rFonts w:ascii="Times New Roman" w:hAnsi="Times New Roman" w:cs="Times New Roman"/>
          <w:color w:val="212121"/>
          <w:sz w:val="24"/>
          <w:szCs w:val="24"/>
          <w:shd w:val="clear" w:color="auto" w:fill="FFFFFF"/>
        </w:rPr>
        <w:t>Mega JL, Simon T. Pharmacology of antithrombotic drugs: an assessment of oral antiplatelet and anticoagulant treatments. Lancet. 2015 Jul 18;386(9990):281-91. doi: 10.1016/S0140-6736(15)60243-4. Epub 2015 Mar 14. PMID: 25777662.</w:t>
      </w:r>
    </w:p>
    <w:p w14:paraId="4F440D23" w14:textId="24BDAE96" w:rsidR="001B261B" w:rsidRPr="00215667" w:rsidRDefault="001B261B" w:rsidP="001B261B">
      <w:pPr>
        <w:spacing w:after="0" w:line="240" w:lineRule="auto"/>
        <w:ind w:left="710"/>
        <w:rPr>
          <w:rFonts w:ascii="Times New Roman" w:hAnsi="Times New Roman" w:cs="Times New Roman"/>
          <w:sz w:val="24"/>
          <w:szCs w:val="24"/>
          <w:lang w:val="en-US"/>
        </w:rPr>
      </w:pPr>
    </w:p>
    <w:p w14:paraId="67410DC7" w14:textId="6C6BC704" w:rsidR="001B261B" w:rsidRPr="00215667" w:rsidRDefault="001B261B"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141. </w:t>
      </w:r>
      <w:r w:rsidRPr="00215667">
        <w:rPr>
          <w:rFonts w:ascii="Times New Roman" w:hAnsi="Times New Roman" w:cs="Times New Roman"/>
          <w:color w:val="212121"/>
          <w:sz w:val="24"/>
          <w:szCs w:val="24"/>
          <w:shd w:val="clear" w:color="auto" w:fill="FFFFFF"/>
        </w:rPr>
        <w:t>Kapil N, Datta YH, Alakbarova N, Bershad E, Selim M, Liebeskind DS, Bachour O, Rao GHR, Divani AA. Antiplatelet and Anticoagulant Therapies for Prevention of Ischemic Stroke. Clin Appl Thromb Hemost. 2017 May;23(4):301-318. doi: 10.1177/1076029616660762. Epub 2016 Jul 26. PMID: 27461564.</w:t>
      </w:r>
    </w:p>
    <w:p w14:paraId="093B72A4" w14:textId="025516DD" w:rsidR="001B261B" w:rsidRPr="00215667" w:rsidRDefault="001B261B" w:rsidP="001B261B">
      <w:pPr>
        <w:spacing w:after="0" w:line="240" w:lineRule="auto"/>
        <w:ind w:left="710"/>
        <w:rPr>
          <w:rFonts w:ascii="Times New Roman" w:hAnsi="Times New Roman" w:cs="Times New Roman"/>
          <w:sz w:val="24"/>
          <w:szCs w:val="24"/>
          <w:lang w:val="en-US"/>
        </w:rPr>
      </w:pPr>
    </w:p>
    <w:p w14:paraId="56183213" w14:textId="1F92B9EC" w:rsidR="001B261B" w:rsidRPr="00215667" w:rsidRDefault="001B261B"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142. </w:t>
      </w:r>
      <w:r w:rsidRPr="00215667">
        <w:rPr>
          <w:rFonts w:ascii="Times New Roman" w:hAnsi="Times New Roman" w:cs="Times New Roman"/>
          <w:color w:val="212121"/>
          <w:sz w:val="24"/>
          <w:szCs w:val="24"/>
          <w:shd w:val="clear" w:color="auto" w:fill="FFFFFF"/>
        </w:rPr>
        <w:t>Zolfaghari S, Harenberg J, Froelich L, Wehling M, Weiss C. Development of a tool to identify patients' preference for vitamin K antagonist or direct oral anticoagulant therapy. Semin Thromb Hemost. 2014 Feb;40(1):121-8. doi: 10.1055/s-0033-1361940. Epub 2013 Dec 31. PMID: 24381153.</w:t>
      </w:r>
    </w:p>
    <w:p w14:paraId="26A8DEB3" w14:textId="77777777" w:rsidR="001B261B" w:rsidRPr="00215667" w:rsidRDefault="001B261B" w:rsidP="001B261B">
      <w:pPr>
        <w:spacing w:after="0" w:line="240" w:lineRule="auto"/>
        <w:ind w:left="710"/>
        <w:rPr>
          <w:rFonts w:ascii="Times New Roman" w:hAnsi="Times New Roman" w:cs="Times New Roman"/>
          <w:sz w:val="24"/>
          <w:szCs w:val="24"/>
          <w:lang w:val="en-US"/>
        </w:rPr>
      </w:pPr>
    </w:p>
    <w:p w14:paraId="02FDF2F2" w14:textId="333E1997" w:rsidR="001B261B" w:rsidRPr="00215667" w:rsidRDefault="001B261B"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143. </w:t>
      </w:r>
      <w:r w:rsidRPr="00215667">
        <w:rPr>
          <w:rFonts w:ascii="Times New Roman" w:hAnsi="Times New Roman" w:cs="Times New Roman"/>
          <w:color w:val="212121"/>
          <w:sz w:val="24"/>
          <w:szCs w:val="24"/>
          <w:shd w:val="clear" w:color="auto" w:fill="FFFFFF"/>
        </w:rPr>
        <w:t>Ntaios G, Papavasileiou V, Makaritsis K, Vemmos K, Michel P, Lip GYH. Real-World Setting Comparison of Nonvitamin-K Antagonist Oral Anticoagulants Versus Vitamin-K Antagonists for Stroke Prevention in Atrial Fibrillation: A Systematic Review and Meta-Analysis. Stroke. 2017 Sep;48(9):2494-2503. doi: 10.1161/STROKEAHA.117.017549. Epub 2017 Jul 17. PMID: 28716982.</w:t>
      </w:r>
    </w:p>
    <w:p w14:paraId="0B64CDBF" w14:textId="77777777" w:rsidR="001B261B" w:rsidRPr="00215667" w:rsidRDefault="001B261B" w:rsidP="001B261B">
      <w:pPr>
        <w:spacing w:after="0" w:line="240" w:lineRule="auto"/>
        <w:ind w:left="710"/>
        <w:rPr>
          <w:rFonts w:ascii="Times New Roman" w:hAnsi="Times New Roman" w:cs="Times New Roman"/>
          <w:sz w:val="24"/>
          <w:szCs w:val="24"/>
          <w:lang w:val="en-US"/>
        </w:rPr>
      </w:pPr>
    </w:p>
    <w:p w14:paraId="6A3701D6" w14:textId="50D96073" w:rsidR="001B261B" w:rsidRPr="00215667" w:rsidRDefault="001B261B"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144. </w:t>
      </w:r>
      <w:r w:rsidRPr="00215667">
        <w:rPr>
          <w:rFonts w:ascii="Times New Roman" w:hAnsi="Times New Roman" w:cs="Times New Roman"/>
          <w:color w:val="212121"/>
          <w:sz w:val="24"/>
          <w:szCs w:val="24"/>
          <w:shd w:val="clear" w:color="auto" w:fill="FFFFFF"/>
        </w:rPr>
        <w:t>Almutairi AR, Zhou L, Gellad WF, Lee JK, Slack MK, Martin JR, Lo-Ciganic WH. Effectiveness and Safety of Non-vitamin K Antagonist Oral Anticoagulants for Atrial Fibrillation and Venous Thromboembolism: A Systematic Review and Meta-analyses. Clin Ther. 2017 Jul;39(7):1456-</w:t>
      </w:r>
      <w:r w:rsidRPr="00215667">
        <w:rPr>
          <w:rFonts w:ascii="Times New Roman" w:hAnsi="Times New Roman" w:cs="Times New Roman"/>
          <w:color w:val="212121"/>
          <w:sz w:val="24"/>
          <w:szCs w:val="24"/>
          <w:shd w:val="clear" w:color="auto" w:fill="FFFFFF"/>
        </w:rPr>
        <w:lastRenderedPageBreak/>
        <w:t>1478.e36. doi: 10.1016/j.clinthera.2017.05.358. Epub 2017 Jun 28. PMID: 28668628.</w:t>
      </w:r>
    </w:p>
    <w:p w14:paraId="551BED79" w14:textId="77777777" w:rsidR="001B261B" w:rsidRPr="00215667" w:rsidRDefault="001B261B" w:rsidP="001B261B">
      <w:pPr>
        <w:spacing w:after="0" w:line="240" w:lineRule="auto"/>
        <w:ind w:left="710"/>
        <w:rPr>
          <w:rFonts w:ascii="Times New Roman" w:hAnsi="Times New Roman" w:cs="Times New Roman"/>
          <w:sz w:val="24"/>
          <w:szCs w:val="24"/>
          <w:lang w:val="en-US"/>
        </w:rPr>
      </w:pPr>
    </w:p>
    <w:p w14:paraId="5204EE3F" w14:textId="74A837CA" w:rsidR="001B261B" w:rsidRPr="00215667" w:rsidRDefault="001B261B"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145. </w:t>
      </w:r>
      <w:r w:rsidRPr="00215667">
        <w:rPr>
          <w:rFonts w:ascii="Times New Roman" w:hAnsi="Times New Roman" w:cs="Times New Roman"/>
          <w:color w:val="212121"/>
          <w:sz w:val="24"/>
          <w:szCs w:val="24"/>
          <w:shd w:val="clear" w:color="auto" w:fill="FFFFFF"/>
        </w:rPr>
        <w:t>Frontera JA, Bhatt P, Lalchan R, Yaghi S, Ahuja T, Papadopoulos J, Joset D. Cost comparison of andexanet versus prothrombin complex concentrates for direct factor Xa inhibitor reversal after hemorrhage. J Thromb Thrombolysis. 2020 Jan;49(1):121-131. doi: 10.1007/s11239-019-01973-z. PMID: 31664662.</w:t>
      </w:r>
    </w:p>
    <w:p w14:paraId="55C68D27" w14:textId="77777777" w:rsidR="001B261B" w:rsidRPr="00215667" w:rsidRDefault="001B261B" w:rsidP="001B261B">
      <w:pPr>
        <w:spacing w:after="0" w:line="240" w:lineRule="auto"/>
        <w:ind w:left="710"/>
        <w:rPr>
          <w:rFonts w:ascii="Times New Roman" w:hAnsi="Times New Roman" w:cs="Times New Roman"/>
          <w:sz w:val="24"/>
          <w:szCs w:val="24"/>
          <w:lang w:val="en-US"/>
        </w:rPr>
      </w:pPr>
    </w:p>
    <w:p w14:paraId="5BB9E0F2" w14:textId="6862D460" w:rsidR="001B261B" w:rsidRPr="00215667" w:rsidRDefault="001B261B"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146. </w:t>
      </w:r>
      <w:r w:rsidRPr="00215667">
        <w:rPr>
          <w:rFonts w:ascii="Times New Roman" w:hAnsi="Times New Roman" w:cs="Times New Roman"/>
          <w:color w:val="212121"/>
          <w:sz w:val="24"/>
          <w:szCs w:val="24"/>
          <w:shd w:val="clear" w:color="auto" w:fill="FFFFFF"/>
        </w:rPr>
        <w:t>Favaloro EJ. Anticoagulant therapy: present and future. Semin Thromb Hemost. 2015 Mar;41(2):109-12. doi: 10.1055/s-0035-1546828. Epub 2015 Feb 28. PMID: 25725214.</w:t>
      </w:r>
    </w:p>
    <w:p w14:paraId="7002918D" w14:textId="77777777" w:rsidR="001B261B" w:rsidRPr="00215667" w:rsidRDefault="001B261B" w:rsidP="001B261B">
      <w:pPr>
        <w:spacing w:after="0" w:line="240" w:lineRule="auto"/>
        <w:ind w:left="710"/>
        <w:rPr>
          <w:rFonts w:ascii="Times New Roman" w:hAnsi="Times New Roman" w:cs="Times New Roman"/>
          <w:sz w:val="24"/>
          <w:szCs w:val="24"/>
          <w:lang w:val="en-US"/>
        </w:rPr>
      </w:pPr>
    </w:p>
    <w:p w14:paraId="0AE4DB18" w14:textId="315DD9ED" w:rsidR="001B261B" w:rsidRPr="00215667" w:rsidRDefault="001B261B"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147. </w:t>
      </w:r>
      <w:r w:rsidRPr="00215667">
        <w:rPr>
          <w:rFonts w:ascii="Times New Roman" w:hAnsi="Times New Roman" w:cs="Times New Roman"/>
          <w:color w:val="212121"/>
          <w:sz w:val="24"/>
          <w:szCs w:val="24"/>
          <w:shd w:val="clear" w:color="auto" w:fill="FFFFFF"/>
        </w:rPr>
        <w:t>Brennan Y, Gu Y, Schifter M, Crowther H, Favaloro EJ, Curnow J. Dental extractions on direct oral anticoagulants vs. warfarin: The DENTST study. Res Pract Thromb Haemost. 2020 Feb 11;4(2):278-284. doi: 10.1002/rth2.12307. PMID: 32110759; PMCID: PMC7040537.</w:t>
      </w:r>
    </w:p>
    <w:p w14:paraId="40EBC288" w14:textId="77777777" w:rsidR="001B261B" w:rsidRPr="00215667" w:rsidRDefault="001B261B" w:rsidP="001B261B">
      <w:pPr>
        <w:spacing w:after="0" w:line="240" w:lineRule="auto"/>
        <w:ind w:left="710"/>
        <w:rPr>
          <w:rFonts w:ascii="Times New Roman" w:hAnsi="Times New Roman" w:cs="Times New Roman"/>
          <w:sz w:val="24"/>
          <w:szCs w:val="24"/>
          <w:lang w:val="en-US"/>
        </w:rPr>
      </w:pPr>
    </w:p>
    <w:p w14:paraId="282F1B5B" w14:textId="77930987" w:rsidR="001B261B" w:rsidRPr="00215667" w:rsidRDefault="001B261B"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148. </w:t>
      </w:r>
      <w:r w:rsidRPr="00215667">
        <w:rPr>
          <w:rFonts w:ascii="Times New Roman" w:hAnsi="Times New Roman" w:cs="Times New Roman"/>
          <w:color w:val="212121"/>
          <w:sz w:val="24"/>
          <w:szCs w:val="24"/>
          <w:shd w:val="clear" w:color="auto" w:fill="FFFFFF"/>
        </w:rPr>
        <w:t>Precht C, Demirel Y, Assaf AT, Pinnschmidt HO, Knipfer C, Hanken H, Friedrich RE, Wikner J. Perioperative Management in Patients With Undergoing Direct Oral Anticoagulant Therapy in Oral Surgery - A Multicentric Questionnaire Survey. In Vivo. 2019 May-Jun;33(3):855-862. doi: 10.21873/invivo.11550. PMID: 31028208; PMCID: PMC6559883.</w:t>
      </w:r>
    </w:p>
    <w:p w14:paraId="0D855E41" w14:textId="77777777" w:rsidR="001B261B" w:rsidRPr="00215667" w:rsidRDefault="001B261B" w:rsidP="001B261B">
      <w:pPr>
        <w:spacing w:after="0" w:line="240" w:lineRule="auto"/>
        <w:ind w:left="710"/>
        <w:rPr>
          <w:rFonts w:ascii="Times New Roman" w:hAnsi="Times New Roman" w:cs="Times New Roman"/>
          <w:sz w:val="24"/>
          <w:szCs w:val="24"/>
          <w:lang w:val="en-US"/>
        </w:rPr>
      </w:pPr>
    </w:p>
    <w:p w14:paraId="7BD82D82" w14:textId="3B9C3AAB" w:rsidR="001B261B" w:rsidRPr="00215667" w:rsidRDefault="001B261B"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149. </w:t>
      </w:r>
      <w:r w:rsidRPr="00215667">
        <w:rPr>
          <w:rFonts w:ascii="Times New Roman" w:hAnsi="Times New Roman" w:cs="Times New Roman"/>
          <w:color w:val="212121"/>
          <w:sz w:val="24"/>
          <w:szCs w:val="24"/>
          <w:shd w:val="clear" w:color="auto" w:fill="FFFFFF"/>
        </w:rPr>
        <w:t>Nakamura J, Nakatsuka K, Uchida K, Akisue T, Maeda M, Murata F, Fukuda H, Ono R. Analysis of post-extraction bleeding in patients taking antithrombotic therapy using data from the longevity improvement and fair evidence study. Gerodontology. 2024 Jun;41(2):269-275. doi: 10.1111/ger.12703. Epub 2023 Jul 19. PMID: 37469221.</w:t>
      </w:r>
    </w:p>
    <w:p w14:paraId="79EC9413" w14:textId="77777777" w:rsidR="001B261B" w:rsidRPr="00215667" w:rsidRDefault="001B261B" w:rsidP="001B261B">
      <w:pPr>
        <w:spacing w:after="0" w:line="240" w:lineRule="auto"/>
        <w:ind w:left="710"/>
        <w:rPr>
          <w:rFonts w:ascii="Times New Roman" w:hAnsi="Times New Roman" w:cs="Times New Roman"/>
          <w:sz w:val="24"/>
          <w:szCs w:val="24"/>
          <w:lang w:val="en-US"/>
        </w:rPr>
      </w:pPr>
    </w:p>
    <w:p w14:paraId="17C840AF" w14:textId="7D973374" w:rsidR="001B261B" w:rsidRPr="00215667" w:rsidRDefault="001B261B" w:rsidP="001B261B">
      <w:pPr>
        <w:spacing w:after="0" w:line="240" w:lineRule="auto"/>
        <w:ind w:left="710"/>
        <w:rPr>
          <w:rFonts w:ascii="Times New Roman" w:hAnsi="Times New Roman" w:cs="Times New Roman"/>
          <w:color w:val="212121"/>
          <w:sz w:val="24"/>
          <w:szCs w:val="24"/>
          <w:shd w:val="clear" w:color="auto" w:fill="FFFFFF"/>
        </w:rPr>
      </w:pPr>
      <w:r w:rsidRPr="00215667">
        <w:rPr>
          <w:rFonts w:ascii="Times New Roman" w:hAnsi="Times New Roman" w:cs="Times New Roman"/>
          <w:sz w:val="24"/>
          <w:szCs w:val="24"/>
          <w:lang w:val="en-US"/>
        </w:rPr>
        <w:t xml:space="preserve">150. </w:t>
      </w:r>
      <w:r w:rsidRPr="00215667">
        <w:rPr>
          <w:rFonts w:ascii="Times New Roman" w:hAnsi="Times New Roman" w:cs="Times New Roman"/>
          <w:color w:val="212121"/>
          <w:sz w:val="24"/>
          <w:szCs w:val="24"/>
          <w:shd w:val="clear" w:color="auto" w:fill="FFFFFF"/>
        </w:rPr>
        <w:t>López-Galindo M, Grau-Benítez M. Systematic review on the effects of the discontinuation of the anticoagulant therapy and the postoperative bleeding, in patients under new oral anticoagulants after dental extraction. J Clin Exp Dent. 2023 Apr 1;15(4):e338-e345. doi: 10.4317/jced.60122. PMID: 37152496; PMCID: PMC10155941.</w:t>
      </w:r>
    </w:p>
    <w:p w14:paraId="7E094AFC" w14:textId="77777777" w:rsidR="001B261B" w:rsidRPr="00215667" w:rsidRDefault="001B261B" w:rsidP="001B261B">
      <w:pPr>
        <w:spacing w:after="0" w:line="240" w:lineRule="auto"/>
        <w:ind w:left="710"/>
        <w:rPr>
          <w:rFonts w:ascii="Times New Roman" w:hAnsi="Times New Roman" w:cs="Times New Roman"/>
          <w:sz w:val="24"/>
          <w:szCs w:val="24"/>
        </w:rPr>
      </w:pPr>
    </w:p>
    <w:p w14:paraId="095A6C74" w14:textId="3EC89050" w:rsidR="001B261B" w:rsidRPr="00215667" w:rsidRDefault="001B261B" w:rsidP="001B261B">
      <w:pPr>
        <w:spacing w:after="0" w:line="240" w:lineRule="auto"/>
        <w:ind w:left="710"/>
        <w:rPr>
          <w:rFonts w:ascii="Times New Roman" w:hAnsi="Times New Roman" w:cs="Times New Roman"/>
          <w:color w:val="212121"/>
          <w:sz w:val="24"/>
          <w:szCs w:val="24"/>
          <w:shd w:val="clear" w:color="auto" w:fill="FFFFFF"/>
        </w:rPr>
      </w:pPr>
      <w:r w:rsidRPr="00215667">
        <w:rPr>
          <w:rFonts w:ascii="Times New Roman" w:hAnsi="Times New Roman" w:cs="Times New Roman"/>
          <w:sz w:val="24"/>
          <w:szCs w:val="24"/>
        </w:rPr>
        <w:t xml:space="preserve">151. </w:t>
      </w:r>
      <w:r w:rsidRPr="00215667">
        <w:rPr>
          <w:rFonts w:ascii="Times New Roman" w:hAnsi="Times New Roman" w:cs="Times New Roman"/>
          <w:color w:val="212121"/>
          <w:sz w:val="24"/>
          <w:szCs w:val="24"/>
          <w:shd w:val="clear" w:color="auto" w:fill="FFFFFF"/>
        </w:rPr>
        <w:t>Morimoto Y, Niwa H, Minematsu K. Hemostatic management of tooth extractions in patients on oral antithrombotic therapy. J Oral Maxillofac Surg. 2008 Jan;66(1):51-7. doi: 10.1016/j.joms.2007.06.655. PMID: 18083415.</w:t>
      </w:r>
    </w:p>
    <w:p w14:paraId="22DC0D62" w14:textId="77777777" w:rsidR="001B261B" w:rsidRPr="00215667" w:rsidRDefault="001B261B" w:rsidP="001B261B">
      <w:pPr>
        <w:spacing w:after="0" w:line="240" w:lineRule="auto"/>
        <w:ind w:left="710"/>
        <w:rPr>
          <w:rFonts w:ascii="Times New Roman" w:hAnsi="Times New Roman" w:cs="Times New Roman"/>
          <w:sz w:val="24"/>
          <w:szCs w:val="24"/>
        </w:rPr>
      </w:pPr>
    </w:p>
    <w:p w14:paraId="0D72AD2A" w14:textId="5FA8B4F6" w:rsidR="001B261B" w:rsidRPr="00215667" w:rsidRDefault="001B261B"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rPr>
        <w:t xml:space="preserve">152. </w:t>
      </w:r>
      <w:r w:rsidRPr="00215667">
        <w:rPr>
          <w:rFonts w:ascii="Times New Roman" w:hAnsi="Times New Roman" w:cs="Times New Roman"/>
          <w:color w:val="212121"/>
          <w:sz w:val="24"/>
          <w:szCs w:val="24"/>
          <w:shd w:val="clear" w:color="auto" w:fill="FFFFFF"/>
        </w:rPr>
        <w:t>Miclotte I, Agbaje JO, Spaey Y, Legrand P, Politis C. Incidence and treatment of complications in patients who had third molars or other teeth extracted. Br J Oral Maxillofac Surg. 2018 Jun;56(5):388-393. doi: 10.1016/j.bjoms.2018.02.001. Epub 2018 Apr 16. PMID: 29673558.</w:t>
      </w:r>
    </w:p>
    <w:p w14:paraId="5A07207B" w14:textId="77777777" w:rsidR="001B261B" w:rsidRPr="00215667" w:rsidRDefault="001B261B" w:rsidP="001B261B">
      <w:pPr>
        <w:spacing w:after="0" w:line="240" w:lineRule="auto"/>
        <w:ind w:left="710"/>
        <w:rPr>
          <w:rFonts w:ascii="Times New Roman" w:hAnsi="Times New Roman" w:cs="Times New Roman"/>
          <w:sz w:val="24"/>
          <w:szCs w:val="24"/>
          <w:lang w:val="en-US"/>
        </w:rPr>
      </w:pPr>
    </w:p>
    <w:p w14:paraId="6C2FAE93" w14:textId="7CD53DC1" w:rsidR="00412474" w:rsidRPr="00215667" w:rsidRDefault="001B261B" w:rsidP="001B261B">
      <w:pPr>
        <w:spacing w:after="0" w:line="240" w:lineRule="auto"/>
        <w:ind w:left="710"/>
        <w:rPr>
          <w:rFonts w:ascii="Times New Roman" w:hAnsi="Times New Roman" w:cs="Times New Roman"/>
          <w:sz w:val="24"/>
          <w:szCs w:val="24"/>
          <w:lang w:val="en-US"/>
        </w:rPr>
      </w:pPr>
      <w:r w:rsidRPr="00215667">
        <w:rPr>
          <w:rFonts w:ascii="Times New Roman" w:hAnsi="Times New Roman" w:cs="Times New Roman"/>
          <w:sz w:val="24"/>
          <w:szCs w:val="24"/>
          <w:lang w:val="en-US"/>
        </w:rPr>
        <w:t xml:space="preserve">153. </w:t>
      </w:r>
      <w:r w:rsidRPr="00215667">
        <w:rPr>
          <w:rFonts w:ascii="Times New Roman" w:hAnsi="Times New Roman" w:cs="Times New Roman"/>
          <w:color w:val="212121"/>
          <w:sz w:val="24"/>
          <w:szCs w:val="24"/>
          <w:shd w:val="clear" w:color="auto" w:fill="FFFFFF"/>
        </w:rPr>
        <w:t xml:space="preserve">Rocha AL, Oliveira SR, Souza AF, Travassos DV, Abreu LG, Ribeiro DD, Silva TA. Bleeding assessment in oral surgery: A cohort study comparing individuals on anticoagulant therapy and a non-anticoagulated group. J </w:t>
      </w:r>
      <w:r w:rsidRPr="00215667">
        <w:rPr>
          <w:rFonts w:ascii="Times New Roman" w:hAnsi="Times New Roman" w:cs="Times New Roman"/>
          <w:color w:val="212121"/>
          <w:sz w:val="24"/>
          <w:szCs w:val="24"/>
          <w:shd w:val="clear" w:color="auto" w:fill="FFFFFF"/>
        </w:rPr>
        <w:lastRenderedPageBreak/>
        <w:t>Craniomaxillofac Surg. 2019 May;47(5):798-804. doi: 10.1016/j.jcms.2019.01.049. Epub 2019 Feb 7. PMID: 30792032.</w:t>
      </w:r>
    </w:p>
    <w:p w14:paraId="234DDE94" w14:textId="77777777" w:rsidR="001B261B" w:rsidRPr="00215667" w:rsidRDefault="001B261B" w:rsidP="001B261B">
      <w:pPr>
        <w:spacing w:after="0" w:line="240" w:lineRule="auto"/>
        <w:ind w:left="710"/>
        <w:rPr>
          <w:rFonts w:ascii="Times New Roman" w:hAnsi="Times New Roman" w:cs="Times New Roman"/>
          <w:sz w:val="24"/>
          <w:szCs w:val="24"/>
          <w:lang w:val="en-US"/>
        </w:rPr>
      </w:pPr>
    </w:p>
    <w:p w14:paraId="7EB4DEB6" w14:textId="0A8E9181" w:rsidR="001B261B" w:rsidRPr="00215667" w:rsidRDefault="001B261B"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154. </w:t>
      </w:r>
      <w:r w:rsidRPr="00215667">
        <w:rPr>
          <w:rFonts w:ascii="Times New Roman" w:hAnsi="Times New Roman" w:cs="Times New Roman"/>
          <w:color w:val="212121"/>
          <w:sz w:val="24"/>
          <w:szCs w:val="24"/>
          <w:shd w:val="clear" w:color="auto" w:fill="FFFFFF"/>
        </w:rPr>
        <w:t>Lababidi E, Breik O, Savage J, Engelbrecht H, Kumar R, Crossley CW. Assessing an oral surgery specific protocol for patients on direct oral anticoagulants: a retrospective controlled cohort study. Int J Oral Maxillofac Surg. 2018 Jul;47(7):940-946. doi: 10.1016/j.ijom.2018.03.009. Epub 2018 Apr 10. PMID: 29653869.</w:t>
      </w:r>
    </w:p>
    <w:p w14:paraId="56D260D2" w14:textId="77777777" w:rsidR="001B261B" w:rsidRPr="00215667" w:rsidRDefault="001B261B" w:rsidP="001B261B">
      <w:pPr>
        <w:spacing w:after="0" w:line="240" w:lineRule="auto"/>
        <w:ind w:left="710"/>
        <w:rPr>
          <w:rFonts w:ascii="Times New Roman" w:hAnsi="Times New Roman" w:cs="Times New Roman"/>
          <w:sz w:val="24"/>
          <w:szCs w:val="24"/>
          <w:lang w:val="en-US"/>
        </w:rPr>
      </w:pPr>
    </w:p>
    <w:p w14:paraId="2C28395C" w14:textId="68D8F81A" w:rsidR="001B261B" w:rsidRPr="00215667" w:rsidRDefault="001B261B"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155. </w:t>
      </w:r>
      <w:r w:rsidRPr="00215667">
        <w:rPr>
          <w:rFonts w:ascii="Times New Roman" w:hAnsi="Times New Roman" w:cs="Times New Roman"/>
          <w:color w:val="212121"/>
          <w:sz w:val="24"/>
          <w:szCs w:val="24"/>
          <w:shd w:val="clear" w:color="auto" w:fill="FFFFFF"/>
        </w:rPr>
        <w:t>Hua W, Huang Z, Huang Z. Bleeding Outcomes After Dental Extraction in Patients Under Direct-Acting Oral Anticoagulants vs. Vitamin K Antagonists: A Systematic Review and Meta-Analysis. Front Pharmacol. 2021 Oct 28;12:702057. doi: 10.3389/fphar.2021.702057. PMID: 34776943; PMCID: PMC8585494.</w:t>
      </w:r>
    </w:p>
    <w:p w14:paraId="2523AC79" w14:textId="77777777" w:rsidR="00191927" w:rsidRPr="00215667" w:rsidRDefault="00191927" w:rsidP="001B261B">
      <w:pPr>
        <w:spacing w:after="0" w:line="240" w:lineRule="auto"/>
        <w:ind w:left="710"/>
        <w:rPr>
          <w:rFonts w:ascii="Times New Roman" w:hAnsi="Times New Roman" w:cs="Times New Roman"/>
          <w:sz w:val="24"/>
          <w:szCs w:val="24"/>
          <w:lang w:val="en-US"/>
        </w:rPr>
      </w:pPr>
    </w:p>
    <w:p w14:paraId="602B701C" w14:textId="6935947A" w:rsidR="00191927" w:rsidRPr="00215667" w:rsidRDefault="00191927" w:rsidP="001B261B">
      <w:pPr>
        <w:spacing w:after="0" w:line="240" w:lineRule="auto"/>
        <w:ind w:left="710"/>
        <w:rPr>
          <w:rFonts w:ascii="Times New Roman" w:hAnsi="Times New Roman" w:cs="Times New Roman"/>
          <w:color w:val="1B1B1B"/>
          <w:sz w:val="24"/>
          <w:szCs w:val="24"/>
          <w:shd w:val="clear" w:color="auto" w:fill="FFFFFF"/>
          <w:lang w:val="en-US"/>
        </w:rPr>
      </w:pPr>
      <w:r w:rsidRPr="00215667">
        <w:rPr>
          <w:rFonts w:ascii="Times New Roman" w:hAnsi="Times New Roman" w:cs="Times New Roman"/>
          <w:sz w:val="24"/>
          <w:szCs w:val="24"/>
          <w:lang w:val="en-US"/>
        </w:rPr>
        <w:t xml:space="preserve">156. </w:t>
      </w:r>
      <w:r w:rsidRPr="00215667">
        <w:rPr>
          <w:rFonts w:ascii="Times New Roman" w:hAnsi="Times New Roman" w:cs="Times New Roman"/>
          <w:color w:val="1B1B1B"/>
          <w:sz w:val="24"/>
          <w:szCs w:val="24"/>
          <w:shd w:val="clear" w:color="auto" w:fill="FFFFFF"/>
        </w:rPr>
        <w:t>Caliskan M, Tükel HC, Benlidayi ME, Deniz A. Is it necessary to alter anticoagulation therapy for tooth extraction in patients taking direct oral anticoagulants? Med Oral Patol Oral Cir Bucal. 2017 Nov 1;22(6):e767-e773. doi: 10.4317/medoral.21942. PMID: 29053656; PMCID: PMC5813996.</w:t>
      </w:r>
    </w:p>
    <w:p w14:paraId="741BDD2C" w14:textId="77777777" w:rsidR="00191927" w:rsidRPr="00215667" w:rsidRDefault="00191927" w:rsidP="001B261B">
      <w:pPr>
        <w:spacing w:after="0" w:line="240" w:lineRule="auto"/>
        <w:ind w:left="710"/>
        <w:rPr>
          <w:rFonts w:ascii="Times New Roman" w:hAnsi="Times New Roman" w:cs="Times New Roman"/>
          <w:sz w:val="24"/>
          <w:szCs w:val="24"/>
          <w:lang w:val="en-US"/>
        </w:rPr>
      </w:pPr>
    </w:p>
    <w:p w14:paraId="752B49E1" w14:textId="3969335E" w:rsidR="00191927" w:rsidRPr="00215667" w:rsidRDefault="00191927"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157. </w:t>
      </w:r>
      <w:r w:rsidRPr="00215667">
        <w:rPr>
          <w:rFonts w:ascii="Times New Roman" w:hAnsi="Times New Roman" w:cs="Times New Roman"/>
          <w:color w:val="212121"/>
          <w:sz w:val="24"/>
          <w:szCs w:val="24"/>
          <w:shd w:val="clear" w:color="auto" w:fill="FFFFFF"/>
        </w:rPr>
        <w:t>Berton F, Costantinides F, Rizzo R, Franco A, Contarin J, Stacchi C, Maglione M, Visintini E, Di Lenarda A, Di Lenarda R. Should we fear direct oral anticoagulants more than vitamin K antagonists in simple single tooth extraction? A prospective comparative study. Clin Oral Investig. 2019 Aug;23(8):3183-3192. doi: 10.1007/s00784-018-2739-9. Epub 2018 Nov 3. PMID: 30392079.</w:t>
      </w:r>
    </w:p>
    <w:p w14:paraId="5F47362D" w14:textId="77777777" w:rsidR="00191927" w:rsidRPr="00215667" w:rsidRDefault="00191927" w:rsidP="001B261B">
      <w:pPr>
        <w:spacing w:after="0" w:line="240" w:lineRule="auto"/>
        <w:ind w:left="710"/>
        <w:rPr>
          <w:rFonts w:ascii="Times New Roman" w:hAnsi="Times New Roman" w:cs="Times New Roman"/>
          <w:sz w:val="24"/>
          <w:szCs w:val="24"/>
          <w:lang w:val="en-US"/>
        </w:rPr>
      </w:pPr>
    </w:p>
    <w:p w14:paraId="063BD918" w14:textId="1227D845" w:rsidR="00191927" w:rsidRPr="00215667" w:rsidRDefault="00191927"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158. </w:t>
      </w:r>
      <w:r w:rsidRPr="00215667">
        <w:rPr>
          <w:rFonts w:ascii="Times New Roman" w:hAnsi="Times New Roman" w:cs="Times New Roman"/>
          <w:color w:val="212121"/>
          <w:sz w:val="24"/>
          <w:szCs w:val="24"/>
          <w:shd w:val="clear" w:color="auto" w:fill="FFFFFF"/>
        </w:rPr>
        <w:t>Mauprivez C, Khonsari RH, Razouk O, Goudot P, Lesclous P, Descroix V. Management of dental extraction in patients undergoing anticoagulant oral direct treatment: a pilot study. Oral Surg Oral Med Oral Pathol Oral Radiol. 2016 Nov;122(5):e146-e155. doi: 10.1016/j.oooo.2016.06.003. Epub 2016 Jun 22. PMID: 27554378.</w:t>
      </w:r>
    </w:p>
    <w:p w14:paraId="37E543A3" w14:textId="77777777" w:rsidR="00191927" w:rsidRPr="00215667" w:rsidRDefault="00191927" w:rsidP="001B261B">
      <w:pPr>
        <w:spacing w:after="0" w:line="240" w:lineRule="auto"/>
        <w:ind w:left="710"/>
        <w:rPr>
          <w:rFonts w:ascii="Times New Roman" w:hAnsi="Times New Roman" w:cs="Times New Roman"/>
          <w:sz w:val="24"/>
          <w:szCs w:val="24"/>
          <w:lang w:val="en-US"/>
        </w:rPr>
      </w:pPr>
    </w:p>
    <w:p w14:paraId="2082C8F2" w14:textId="636DDC3E" w:rsidR="00191927" w:rsidRPr="00215667" w:rsidRDefault="00191927"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159. </w:t>
      </w:r>
      <w:r w:rsidRPr="00215667">
        <w:rPr>
          <w:rFonts w:ascii="Times New Roman" w:hAnsi="Times New Roman" w:cs="Times New Roman"/>
          <w:color w:val="212121"/>
          <w:sz w:val="24"/>
          <w:szCs w:val="24"/>
          <w:shd w:val="clear" w:color="auto" w:fill="FFFFFF"/>
        </w:rPr>
        <w:t>Yoshikawa H, Yoshida M, Yasaka M, Yoshida H, Murasato Y, Fukunaga D, Shintani A, Okada Y. Safety of tooth extraction in patients receiving direct oral anticoagulant treatment versus warfarin: a prospective observation study. Int J Oral Maxillofac Surg. 2019 Aug;48(8):1102-1108. doi: 10.1016/j.ijom.2019.01.013. Epub 2019 Feb 8. PMID: 30745243.</w:t>
      </w:r>
    </w:p>
    <w:p w14:paraId="4797D545" w14:textId="77777777" w:rsidR="00191927" w:rsidRPr="00215667" w:rsidRDefault="00191927" w:rsidP="001B261B">
      <w:pPr>
        <w:spacing w:after="0" w:line="240" w:lineRule="auto"/>
        <w:ind w:left="710"/>
        <w:rPr>
          <w:rFonts w:ascii="Times New Roman" w:hAnsi="Times New Roman" w:cs="Times New Roman"/>
          <w:sz w:val="24"/>
          <w:szCs w:val="24"/>
          <w:lang w:val="en-US"/>
        </w:rPr>
      </w:pPr>
    </w:p>
    <w:p w14:paraId="1AA6C050" w14:textId="7240483C" w:rsidR="00191927" w:rsidRPr="00215667" w:rsidRDefault="00191927"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160. </w:t>
      </w:r>
      <w:r w:rsidRPr="00215667">
        <w:rPr>
          <w:rFonts w:ascii="Times New Roman" w:hAnsi="Times New Roman" w:cs="Times New Roman"/>
          <w:color w:val="212121"/>
          <w:sz w:val="24"/>
          <w:szCs w:val="24"/>
          <w:shd w:val="clear" w:color="auto" w:fill="FFFFFF"/>
        </w:rPr>
        <w:t>Yagyuu T, Kawakami M, Ueyama Y, Imada M, Kurihara M, Matsusue Y, Imai Y, Yamamoto K, Kirita T. Risks of postextraction bleeding after receiving direct oral anticoagulants or warfarin: a retrospective cohort study. BMJ Open. 2017 Aug 21;7(8):e015952. doi: 10.1136/bmjopen-2017-015952. PMID: 28827248; PMCID: PMC5629650.</w:t>
      </w:r>
    </w:p>
    <w:p w14:paraId="73B98051" w14:textId="77777777" w:rsidR="00191927" w:rsidRPr="00215667" w:rsidRDefault="00191927" w:rsidP="001B261B">
      <w:pPr>
        <w:spacing w:after="0" w:line="240" w:lineRule="auto"/>
        <w:ind w:left="710"/>
        <w:rPr>
          <w:rFonts w:ascii="Times New Roman" w:hAnsi="Times New Roman" w:cs="Times New Roman"/>
          <w:sz w:val="24"/>
          <w:szCs w:val="24"/>
          <w:lang w:val="en-US"/>
        </w:rPr>
      </w:pPr>
    </w:p>
    <w:p w14:paraId="7B794D71" w14:textId="0BAF67E7" w:rsidR="00191927" w:rsidRPr="00215667" w:rsidRDefault="00191927" w:rsidP="001B261B">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161. </w:t>
      </w:r>
      <w:r w:rsidRPr="00215667">
        <w:rPr>
          <w:rFonts w:ascii="Times New Roman" w:hAnsi="Times New Roman" w:cs="Times New Roman"/>
          <w:color w:val="212121"/>
          <w:sz w:val="24"/>
          <w:szCs w:val="24"/>
          <w:shd w:val="clear" w:color="auto" w:fill="FFFFFF"/>
        </w:rPr>
        <w:t xml:space="preserve">Inokoshi M, Kubota K, Yamaga E, Ueda K, Minakuchi S. Postoperative bleeding after dental extraction among elderly patients under anticoagulant </w:t>
      </w:r>
      <w:r w:rsidRPr="00215667">
        <w:rPr>
          <w:rFonts w:ascii="Times New Roman" w:hAnsi="Times New Roman" w:cs="Times New Roman"/>
          <w:color w:val="212121"/>
          <w:sz w:val="24"/>
          <w:szCs w:val="24"/>
          <w:shd w:val="clear" w:color="auto" w:fill="FFFFFF"/>
        </w:rPr>
        <w:lastRenderedPageBreak/>
        <w:t>therapy. Clin Oral Investig. 2021 Apr;25(4):2363-2371. doi: 10.1007/s00784-020-03559-z. Epub 2020 Sep 1. PMID: 32875384.</w:t>
      </w:r>
    </w:p>
    <w:p w14:paraId="6ACA2FC8" w14:textId="77777777" w:rsidR="00191927" w:rsidRPr="00215667" w:rsidRDefault="00191927" w:rsidP="001B261B">
      <w:pPr>
        <w:spacing w:after="0" w:line="240" w:lineRule="auto"/>
        <w:ind w:left="710"/>
        <w:rPr>
          <w:rFonts w:ascii="Times New Roman" w:hAnsi="Times New Roman" w:cs="Times New Roman"/>
          <w:sz w:val="24"/>
          <w:szCs w:val="24"/>
          <w:lang w:val="en-US"/>
        </w:rPr>
      </w:pPr>
    </w:p>
    <w:p w14:paraId="06514806" w14:textId="480B9E54" w:rsidR="00191927" w:rsidRPr="00215667" w:rsidRDefault="00191927" w:rsidP="001B261B">
      <w:pPr>
        <w:spacing w:after="0" w:line="240" w:lineRule="auto"/>
        <w:ind w:left="710"/>
        <w:rPr>
          <w:rFonts w:ascii="Times New Roman" w:hAnsi="Times New Roman" w:cs="Times New Roman"/>
          <w:color w:val="1B1B1B"/>
          <w:sz w:val="24"/>
          <w:szCs w:val="24"/>
          <w:shd w:val="clear" w:color="auto" w:fill="FFFFFF"/>
          <w:lang w:val="en-US"/>
        </w:rPr>
      </w:pPr>
      <w:r w:rsidRPr="00215667">
        <w:rPr>
          <w:rFonts w:ascii="Times New Roman" w:hAnsi="Times New Roman" w:cs="Times New Roman"/>
          <w:sz w:val="24"/>
          <w:szCs w:val="24"/>
          <w:lang w:val="en-US"/>
        </w:rPr>
        <w:t xml:space="preserve">162. </w:t>
      </w:r>
      <w:r w:rsidRPr="00215667">
        <w:rPr>
          <w:rFonts w:ascii="Times New Roman" w:hAnsi="Times New Roman" w:cs="Times New Roman"/>
          <w:color w:val="1B1B1B"/>
          <w:sz w:val="24"/>
          <w:szCs w:val="24"/>
          <w:shd w:val="clear" w:color="auto" w:fill="FFFFFF"/>
        </w:rPr>
        <w:t>Ieko M, Naitoh S, Yoshida M, Takahashi N. Profiles of direct oral anticoagulants and clinical usage-dosage and dose regimen differences. J Intensive Care. 2016 Mar 10;4:19. doi: 10.1186/s40560-016-0144-5. PMID: 26966542; PMCID: PMC4785699.</w:t>
      </w:r>
    </w:p>
    <w:p w14:paraId="75E14277" w14:textId="77777777" w:rsidR="002A1D7C" w:rsidRPr="00215667" w:rsidRDefault="002A1D7C" w:rsidP="001B261B">
      <w:pPr>
        <w:spacing w:after="0" w:line="240" w:lineRule="auto"/>
        <w:ind w:left="710"/>
        <w:rPr>
          <w:rFonts w:ascii="Times New Roman" w:hAnsi="Times New Roman" w:cs="Times New Roman"/>
          <w:sz w:val="24"/>
          <w:szCs w:val="24"/>
          <w:lang w:val="en-US"/>
        </w:rPr>
      </w:pPr>
    </w:p>
    <w:p w14:paraId="44BB7054" w14:textId="65D11B2F" w:rsidR="002A1D7C" w:rsidRPr="00215667" w:rsidRDefault="002A1D7C" w:rsidP="002A1D7C">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sz w:val="24"/>
          <w:szCs w:val="24"/>
          <w:lang w:val="en-US"/>
        </w:rPr>
        <w:t xml:space="preserve">163. </w:t>
      </w:r>
      <w:r w:rsidRPr="00215667">
        <w:rPr>
          <w:rFonts w:ascii="Times New Roman" w:hAnsi="Times New Roman" w:cs="Times New Roman"/>
          <w:color w:val="212121"/>
          <w:sz w:val="24"/>
          <w:szCs w:val="24"/>
          <w:shd w:val="clear" w:color="auto" w:fill="FFFFFF"/>
        </w:rPr>
        <w:t>Zhao B, Wang P, Dong Y, Zhu Y, Zhao H. Should aspirin be stopped before tooth extraction? A meta-analysis. Oral Surg Oral Med Oral Pathol Oral Radiol. 2015 May;119(5):522-30. doi: 10.1016/j.oooo.2015.01.004. Epub 2015 Feb 3. PMID: 25767068.</w:t>
      </w:r>
    </w:p>
    <w:p w14:paraId="5DD498DE" w14:textId="77777777" w:rsidR="002A1D7C" w:rsidRPr="00215667" w:rsidRDefault="002A1D7C" w:rsidP="002A1D7C">
      <w:pPr>
        <w:spacing w:after="0" w:line="240" w:lineRule="auto"/>
        <w:ind w:left="710"/>
        <w:rPr>
          <w:rFonts w:ascii="Times New Roman" w:hAnsi="Times New Roman" w:cs="Times New Roman"/>
          <w:sz w:val="24"/>
          <w:szCs w:val="24"/>
          <w:lang w:val="en-US"/>
        </w:rPr>
      </w:pPr>
    </w:p>
    <w:p w14:paraId="324CDCDE" w14:textId="31ED0740" w:rsidR="002A1D7C" w:rsidRPr="00215667" w:rsidRDefault="002A1D7C" w:rsidP="002A1D7C">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color w:val="212121"/>
          <w:sz w:val="24"/>
          <w:szCs w:val="24"/>
          <w:shd w:val="clear" w:color="auto" w:fill="FFFFFF"/>
          <w:lang w:val="en-US"/>
        </w:rPr>
        <w:t xml:space="preserve">164. </w:t>
      </w:r>
      <w:r w:rsidRPr="00215667">
        <w:rPr>
          <w:rFonts w:ascii="Times New Roman" w:hAnsi="Times New Roman" w:cs="Times New Roman"/>
          <w:color w:val="212121"/>
          <w:sz w:val="24"/>
          <w:szCs w:val="24"/>
          <w:shd w:val="clear" w:color="auto" w:fill="FFFFFF"/>
        </w:rPr>
        <w:t>Ardekian L, Gaspar R, Peled M, Brener B, Laufer D. Does low-dose aspirin therapy complicate oral surgical procedures? J Am Dent Assoc. 2000 Mar;131(3):331-5. doi: 10.14219/jada.archive.2000.0176. PMID: 10715924.</w:t>
      </w:r>
    </w:p>
    <w:p w14:paraId="019B9916" w14:textId="77777777" w:rsidR="002A1D7C" w:rsidRPr="00215667" w:rsidRDefault="002A1D7C" w:rsidP="002A1D7C">
      <w:pPr>
        <w:spacing w:after="0" w:line="240" w:lineRule="auto"/>
        <w:ind w:left="710"/>
        <w:rPr>
          <w:rFonts w:ascii="Times New Roman" w:hAnsi="Times New Roman" w:cs="Times New Roman"/>
          <w:color w:val="212121"/>
          <w:sz w:val="24"/>
          <w:szCs w:val="24"/>
          <w:shd w:val="clear" w:color="auto" w:fill="FFFFFF"/>
          <w:lang w:val="en-US"/>
        </w:rPr>
      </w:pPr>
    </w:p>
    <w:p w14:paraId="1AC30771" w14:textId="5220B21A" w:rsidR="002A1D7C" w:rsidRPr="00215667" w:rsidRDefault="002A1D7C" w:rsidP="002A1D7C">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color w:val="212121"/>
          <w:sz w:val="24"/>
          <w:szCs w:val="24"/>
          <w:shd w:val="clear" w:color="auto" w:fill="FFFFFF"/>
          <w:lang w:val="en-US"/>
        </w:rPr>
        <w:t xml:space="preserve">165. </w:t>
      </w:r>
      <w:r w:rsidRPr="00215667">
        <w:rPr>
          <w:rFonts w:ascii="Times New Roman" w:hAnsi="Times New Roman" w:cs="Times New Roman"/>
          <w:color w:val="212121"/>
          <w:sz w:val="24"/>
          <w:szCs w:val="24"/>
          <w:shd w:val="clear" w:color="auto" w:fill="FFFFFF"/>
        </w:rPr>
        <w:t>Douketis JD, Spyropoulos AC, Spencer FA, Mayr M, Jaffer AK, Eckman MH, Dunn AS, Kunz R. Perioperative management of antithrombotic therapy: Antithrombotic Therapy and Prevention of Thrombosis, 9th ed: American College of Chest Physicians Evidence-Based Clinical Practice Guidelines. Chest. 2012 Feb;141(2 Suppl):e326S-e350S. doi: 10.1378/chest.11-2298. Erratum in: Chest. 2012 Apr;141(4):1129. PMID: 22315266; PMCID: PMC3278059.</w:t>
      </w:r>
    </w:p>
    <w:p w14:paraId="1279817F" w14:textId="77777777" w:rsidR="002A1D7C" w:rsidRPr="00215667" w:rsidRDefault="002A1D7C" w:rsidP="002A1D7C">
      <w:pPr>
        <w:spacing w:after="0" w:line="240" w:lineRule="auto"/>
        <w:ind w:left="710"/>
        <w:rPr>
          <w:rFonts w:ascii="Times New Roman" w:hAnsi="Times New Roman" w:cs="Times New Roman"/>
          <w:color w:val="212121"/>
          <w:sz w:val="24"/>
          <w:szCs w:val="24"/>
          <w:shd w:val="clear" w:color="auto" w:fill="FFFFFF"/>
          <w:lang w:val="en-US"/>
        </w:rPr>
      </w:pPr>
    </w:p>
    <w:p w14:paraId="239CE7D8" w14:textId="7C600566" w:rsidR="002A1D7C" w:rsidRPr="00215667" w:rsidRDefault="002A1D7C" w:rsidP="002A1D7C">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color w:val="212121"/>
          <w:sz w:val="24"/>
          <w:szCs w:val="24"/>
          <w:shd w:val="clear" w:color="auto" w:fill="FFFFFF"/>
          <w:lang w:val="en-US"/>
        </w:rPr>
        <w:t xml:space="preserve">166. </w:t>
      </w:r>
      <w:r w:rsidRPr="00215667">
        <w:rPr>
          <w:rFonts w:ascii="Times New Roman" w:hAnsi="Times New Roman" w:cs="Times New Roman"/>
          <w:color w:val="212121"/>
          <w:sz w:val="24"/>
          <w:szCs w:val="24"/>
          <w:shd w:val="clear" w:color="auto" w:fill="FFFFFF"/>
        </w:rPr>
        <w:t>Wahl MJ, Pinto A, Kilham J, Lalla RV. Dental surgery in anticoagulated patients--stop the interruption. Oral Surg Oral Med Oral Pathol Oral Radiol. 2015 Feb;119(2):136-57. doi: 10.1016/j.oooo.2014.10.011. Epub 2014 Nov 13. PMID: 25577414.</w:t>
      </w:r>
    </w:p>
    <w:p w14:paraId="33B6DE0D" w14:textId="77777777" w:rsidR="002A1D7C" w:rsidRPr="00215667" w:rsidRDefault="002A1D7C" w:rsidP="002A1D7C">
      <w:pPr>
        <w:spacing w:after="0" w:line="240" w:lineRule="auto"/>
        <w:ind w:left="710"/>
        <w:rPr>
          <w:rFonts w:ascii="Times New Roman" w:hAnsi="Times New Roman" w:cs="Times New Roman"/>
          <w:color w:val="212121"/>
          <w:sz w:val="24"/>
          <w:szCs w:val="24"/>
          <w:shd w:val="clear" w:color="auto" w:fill="FFFFFF"/>
          <w:lang w:val="en-US"/>
        </w:rPr>
      </w:pPr>
    </w:p>
    <w:p w14:paraId="5F563AB8" w14:textId="77DE44F7" w:rsidR="002A1D7C" w:rsidRPr="00215667" w:rsidRDefault="002A1D7C" w:rsidP="002A1D7C">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color w:val="212121"/>
          <w:sz w:val="24"/>
          <w:szCs w:val="24"/>
          <w:shd w:val="clear" w:color="auto" w:fill="FFFFFF"/>
          <w:lang w:val="en-US"/>
        </w:rPr>
        <w:t xml:space="preserve">167. </w:t>
      </w:r>
      <w:r w:rsidRPr="00215667">
        <w:rPr>
          <w:rFonts w:ascii="Times New Roman" w:hAnsi="Times New Roman" w:cs="Times New Roman"/>
          <w:color w:val="212121"/>
          <w:sz w:val="24"/>
          <w:szCs w:val="24"/>
          <w:shd w:val="clear" w:color="auto" w:fill="FFFFFF"/>
        </w:rPr>
        <w:t>Nematullah A, Alabousi A, Blanas N, Douketis JD, Sutherland SE. Dental surgery for patients on anticoagulant therapy with warfarin: a systematic review and meta-analysis. J Can Dent Assoc. 2009 Feb;75(1):41. PMID: 19239742.</w:t>
      </w:r>
    </w:p>
    <w:p w14:paraId="0FD8821F" w14:textId="77777777" w:rsidR="002A1D7C" w:rsidRPr="00215667" w:rsidRDefault="002A1D7C" w:rsidP="002A1D7C">
      <w:pPr>
        <w:spacing w:after="0" w:line="240" w:lineRule="auto"/>
        <w:ind w:left="710"/>
        <w:rPr>
          <w:rFonts w:ascii="Times New Roman" w:hAnsi="Times New Roman" w:cs="Times New Roman"/>
          <w:color w:val="212121"/>
          <w:sz w:val="24"/>
          <w:szCs w:val="24"/>
          <w:shd w:val="clear" w:color="auto" w:fill="FFFFFF"/>
          <w:lang w:val="en-US"/>
        </w:rPr>
      </w:pPr>
    </w:p>
    <w:p w14:paraId="4A980D2B" w14:textId="5A894B67" w:rsidR="002A1D7C" w:rsidRPr="00215667" w:rsidRDefault="002A1D7C" w:rsidP="002A1D7C">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color w:val="212121"/>
          <w:sz w:val="24"/>
          <w:szCs w:val="24"/>
          <w:shd w:val="clear" w:color="auto" w:fill="FFFFFF"/>
          <w:lang w:val="en-US"/>
        </w:rPr>
        <w:t xml:space="preserve">168. </w:t>
      </w:r>
      <w:r w:rsidRPr="00215667">
        <w:rPr>
          <w:rFonts w:ascii="Times New Roman" w:hAnsi="Times New Roman" w:cs="Times New Roman"/>
          <w:color w:val="212121"/>
          <w:sz w:val="24"/>
          <w:szCs w:val="24"/>
          <w:shd w:val="clear" w:color="auto" w:fill="FFFFFF"/>
        </w:rPr>
        <w:t>Hindricks G, Potpara T, Dagres N, Arbelo E, Bax JJ, Blomström-Lundqvist C, Boriani G, Castella M, Dan GA, Dilaveris PE, Fauchier L, Filippatos G, Kalman JM, La Meir M, Lane DA, Lebeau JP, Lettino M, Lip GYH, Pinto FJ, Thomas GN, Valgimigli M, Van Gelder IC, Van Putte BP, Watkins CL; ESC Scientific Document Group. 2020 ESC Guidelines for the diagnosis and management of atrial fibrillation developed in collaboration with the European Association for Cardio-Thoracic Surgery (EACTS): The Task Force for the diagnosis and management of atrial fibrillation of the European Society of Cardiology (ESC) Developed with the special contribution of the European Heart Rhythm Association (EHRA) of the ESC. Eur Heart J. 2021 Feb 1;42(5):373-498. doi: 10.1093/eurheartj/ehaa612. Erratum in: Eur Heart J. 2021 Feb 1;42(5):507. doi: 10.1093/eurheartj/ehaa798. Erratum in: Eur Heart J. 2021 Feb 1;42(5):546-547. doi: 10.1093/eurheartj/ehaa945. Erratum in: Eur Heart J. 2021 Oct 21;42(40):4194. doi: 10.1093/eurheartj/ehab648. PMID: 32860505.</w:t>
      </w:r>
    </w:p>
    <w:p w14:paraId="6261C13C" w14:textId="77777777" w:rsidR="002A1D7C" w:rsidRPr="00215667" w:rsidRDefault="002A1D7C" w:rsidP="002A1D7C">
      <w:pPr>
        <w:spacing w:after="0" w:line="240" w:lineRule="auto"/>
        <w:ind w:left="710"/>
        <w:rPr>
          <w:rFonts w:ascii="Times New Roman" w:hAnsi="Times New Roman" w:cs="Times New Roman"/>
          <w:color w:val="212121"/>
          <w:sz w:val="24"/>
          <w:szCs w:val="24"/>
          <w:shd w:val="clear" w:color="auto" w:fill="FFFFFF"/>
          <w:lang w:val="en-US"/>
        </w:rPr>
      </w:pPr>
    </w:p>
    <w:p w14:paraId="19F6BA7C" w14:textId="2377190E" w:rsidR="002A1D7C" w:rsidRPr="00215667" w:rsidRDefault="002A1D7C" w:rsidP="002A1D7C">
      <w:pPr>
        <w:spacing w:after="0" w:line="240" w:lineRule="auto"/>
        <w:ind w:left="710"/>
        <w:rPr>
          <w:rFonts w:ascii="Times New Roman" w:hAnsi="Times New Roman" w:cs="Times New Roman"/>
          <w:color w:val="212121"/>
          <w:sz w:val="24"/>
          <w:szCs w:val="24"/>
          <w:shd w:val="clear" w:color="auto" w:fill="FFFFFF"/>
        </w:rPr>
      </w:pPr>
      <w:r w:rsidRPr="00215667">
        <w:rPr>
          <w:rFonts w:ascii="Times New Roman" w:hAnsi="Times New Roman" w:cs="Times New Roman"/>
          <w:color w:val="212121"/>
          <w:sz w:val="24"/>
          <w:szCs w:val="24"/>
          <w:shd w:val="clear" w:color="auto" w:fill="FFFFFF"/>
          <w:lang w:val="en-US"/>
        </w:rPr>
        <w:t xml:space="preserve">169. </w:t>
      </w:r>
      <w:r w:rsidRPr="00215667">
        <w:rPr>
          <w:rFonts w:ascii="Times New Roman" w:hAnsi="Times New Roman" w:cs="Times New Roman"/>
          <w:color w:val="212121"/>
          <w:sz w:val="24"/>
          <w:szCs w:val="24"/>
          <w:shd w:val="clear" w:color="auto" w:fill="FFFFFF"/>
        </w:rPr>
        <w:t>Douketis JD, Spyropoulos AC, Kaatz S, Becker RC, Caprini JA, Dunn AS, Garcia DA, Jacobson A, Jaffer AK, Kong DF, Schulman S, Turpie AG, Hasselblad V, Ortel TL; BRIDGE Investigators. Perioperative Bridging Anticoagulation in Patients with Atrial Fibrillation. N Engl J Med. 2015 Aug 27;373(9):823-33. doi: 10.1056/NEJMoa1501035. Epub 2015 Jun 22. PMID: 26095867; PMCID: PMC4931686.</w:t>
      </w:r>
    </w:p>
    <w:p w14:paraId="4CC60F0A" w14:textId="77777777" w:rsidR="00215667" w:rsidRPr="00215667" w:rsidRDefault="00215667" w:rsidP="002A1D7C">
      <w:pPr>
        <w:spacing w:after="0" w:line="240" w:lineRule="auto"/>
        <w:ind w:left="710"/>
        <w:rPr>
          <w:rFonts w:ascii="Times New Roman" w:hAnsi="Times New Roman" w:cs="Times New Roman"/>
          <w:color w:val="212121"/>
          <w:sz w:val="24"/>
          <w:szCs w:val="24"/>
          <w:shd w:val="clear" w:color="auto" w:fill="FFFFFF"/>
        </w:rPr>
      </w:pPr>
    </w:p>
    <w:p w14:paraId="4014E72B" w14:textId="7683BD16" w:rsidR="00215667" w:rsidRPr="00215667" w:rsidRDefault="00215667" w:rsidP="002A1D7C">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color w:val="212121"/>
          <w:sz w:val="24"/>
          <w:szCs w:val="24"/>
          <w:shd w:val="clear" w:color="auto" w:fill="FFFFFF"/>
        </w:rPr>
        <w:t>170. Kataoka T, Hoshi K, Ando T. Is the HAS-BLED score useful in predicting post-extraction bleeding in patients taking warfarin? A retrospective cohort study. BMJ Open. 2016 Mar 2;6(3):e010471. doi: 10.1136/bmjopen-2015-010471. PMID: 26936909; PMCID: PMC4785325.</w:t>
      </w:r>
    </w:p>
    <w:p w14:paraId="49E48E5B" w14:textId="77777777" w:rsidR="00215667" w:rsidRPr="00215667" w:rsidRDefault="00215667" w:rsidP="002A1D7C">
      <w:pPr>
        <w:spacing w:after="0" w:line="240" w:lineRule="auto"/>
        <w:ind w:left="710"/>
        <w:rPr>
          <w:rFonts w:ascii="Times New Roman" w:hAnsi="Times New Roman" w:cs="Times New Roman"/>
          <w:color w:val="212121"/>
          <w:sz w:val="24"/>
          <w:szCs w:val="24"/>
          <w:shd w:val="clear" w:color="auto" w:fill="FFFFFF"/>
          <w:lang w:val="en-US"/>
        </w:rPr>
      </w:pPr>
    </w:p>
    <w:p w14:paraId="1529971C" w14:textId="2311067B" w:rsidR="00215667" w:rsidRPr="00215667" w:rsidRDefault="00215667" w:rsidP="002A1D7C">
      <w:pPr>
        <w:spacing w:after="0" w:line="240" w:lineRule="auto"/>
        <w:ind w:left="710"/>
        <w:rPr>
          <w:rFonts w:ascii="Times New Roman" w:hAnsi="Times New Roman" w:cs="Times New Roman"/>
          <w:color w:val="212121"/>
          <w:sz w:val="24"/>
          <w:szCs w:val="24"/>
          <w:shd w:val="clear" w:color="auto" w:fill="FFFFFF"/>
          <w:lang w:val="en-US"/>
        </w:rPr>
      </w:pPr>
      <w:r w:rsidRPr="00215667">
        <w:rPr>
          <w:rFonts w:ascii="Times New Roman" w:hAnsi="Times New Roman" w:cs="Times New Roman"/>
          <w:color w:val="212121"/>
          <w:sz w:val="24"/>
          <w:szCs w:val="24"/>
          <w:shd w:val="clear" w:color="auto" w:fill="FFFFFF"/>
          <w:lang w:val="en-US"/>
        </w:rPr>
        <w:t xml:space="preserve">171. </w:t>
      </w:r>
      <w:r w:rsidRPr="00215667">
        <w:rPr>
          <w:rFonts w:ascii="Times New Roman" w:hAnsi="Times New Roman" w:cs="Times New Roman"/>
          <w:color w:val="212121"/>
          <w:sz w:val="24"/>
          <w:szCs w:val="24"/>
          <w:shd w:val="clear" w:color="auto" w:fill="FFFFFF"/>
        </w:rPr>
        <w:t>Apostolakis S, Lane DA, Guo Y, Buller H, Lip GY. Performance of the HEMORR(2)HAGES, ATRIA, and HAS-BLED bleeding risk-prediction scores in patients with atrial fibrillation undergoing anticoagulation: the AMADEUS (evaluating the use of SR34006 compared to warfarin or acenocoumarol in patients with atrial fibrillation) study. J Am Coll Cardiol. 2012 Aug 28;60(9):861-7. doi: 10.1016/j.jacc.2012.06.019. Epub 2012 Aug 1. PMID: 22858389.</w:t>
      </w:r>
    </w:p>
    <w:sectPr w:rsidR="00215667" w:rsidRPr="00215667" w:rsidSect="00215667">
      <w:headerReference w:type="default" r:id="rId195"/>
      <w:pgSz w:w="11906" w:h="16838"/>
      <w:pgMar w:top="1701" w:right="1701" w:bottom="1701"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A873C" w14:textId="77777777" w:rsidR="00060D05" w:rsidRDefault="00060D05">
      <w:pPr>
        <w:spacing w:after="0" w:line="240" w:lineRule="auto"/>
      </w:pPr>
      <w:r>
        <w:separator/>
      </w:r>
    </w:p>
  </w:endnote>
  <w:endnote w:type="continuationSeparator" w:id="0">
    <w:p w14:paraId="2E354A9C" w14:textId="77777777" w:rsidR="00060D05" w:rsidRDefault="00060D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78066717"/>
      <w:docPartObj>
        <w:docPartGallery w:val="Page Numbers (Bottom of Page)"/>
        <w:docPartUnique/>
      </w:docPartObj>
    </w:sdtPr>
    <w:sdtContent>
      <w:p w14:paraId="13CE9CAD" w14:textId="2ECCF7BF" w:rsidR="00562A37" w:rsidRDefault="00562A37" w:rsidP="002156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065287A" w14:textId="77777777" w:rsidR="00562A37" w:rsidRDefault="00562A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95383857"/>
      <w:docPartObj>
        <w:docPartGallery w:val="Page Numbers (Bottom of Page)"/>
        <w:docPartUnique/>
      </w:docPartObj>
    </w:sdtPr>
    <w:sdtContent>
      <w:p w14:paraId="0FE2F7B2" w14:textId="03D2E1E0" w:rsidR="00562A37" w:rsidRDefault="00562A37" w:rsidP="0021566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D809D4">
          <w:rPr>
            <w:rStyle w:val="PageNumber"/>
            <w:noProof/>
          </w:rPr>
          <w:t>31</w:t>
        </w:r>
        <w:r>
          <w:rPr>
            <w:rStyle w:val="PageNumber"/>
          </w:rPr>
          <w:fldChar w:fldCharType="end"/>
        </w:r>
      </w:p>
    </w:sdtContent>
  </w:sdt>
  <w:p w14:paraId="682698BD" w14:textId="77777777" w:rsidR="00562A37" w:rsidRPr="00A870C7" w:rsidRDefault="00562A37" w:rsidP="00435E3A">
    <w:pPr>
      <w:pStyle w:val="Footer"/>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B2B17D" w14:textId="77777777" w:rsidR="00060D05" w:rsidRDefault="00060D05">
      <w:pPr>
        <w:spacing w:after="0" w:line="240" w:lineRule="auto"/>
      </w:pPr>
      <w:r>
        <w:separator/>
      </w:r>
    </w:p>
  </w:footnote>
  <w:footnote w:type="continuationSeparator" w:id="0">
    <w:p w14:paraId="6ECA2CE1" w14:textId="77777777" w:rsidR="00060D05" w:rsidRDefault="00060D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8C5C0E" w14:textId="77777777" w:rsidR="00562A37" w:rsidRPr="00E14E31" w:rsidRDefault="00562A37" w:rsidP="00435E3A">
    <w:pPr>
      <w:pStyle w:val="Header"/>
      <w:tabs>
        <w:tab w:val="clear" w:pos="4513"/>
        <w:tab w:val="left" w:pos="541"/>
        <w:tab w:val="center" w:pos="4535"/>
      </w:tabs>
      <w:rPr>
        <w:rFonts w:ascii="Times New Roman" w:hAnsi="Times New Roman" w:cs="Times New Roman"/>
        <w:color w:val="3A7C22" w:themeColor="accent6" w:themeShade="BF"/>
      </w:rPr>
    </w:pPr>
    <w:r>
      <w:rPr>
        <w:rFonts w:ascii="Times New Roman" w:hAnsi="Times New Roman" w:cs="Times New Roman"/>
        <w:sz w:val="18"/>
        <w:szCs w:val="18"/>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D10CF" w14:textId="77777777" w:rsidR="00562A37" w:rsidRPr="008658B9" w:rsidRDefault="00562A37" w:rsidP="00435E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60E05"/>
    <w:multiLevelType w:val="hybridMultilevel"/>
    <w:tmpl w:val="FDF0A80A"/>
    <w:lvl w:ilvl="0" w:tplc="042F0001">
      <w:start w:val="1"/>
      <w:numFmt w:val="bullet"/>
      <w:lvlText w:val=""/>
      <w:lvlJc w:val="left"/>
      <w:pPr>
        <w:ind w:left="630" w:hanging="360"/>
      </w:pPr>
      <w:rPr>
        <w:rFonts w:ascii="Symbol" w:hAnsi="Symbol" w:hint="default"/>
      </w:rPr>
    </w:lvl>
    <w:lvl w:ilvl="1" w:tplc="042F0003" w:tentative="1">
      <w:start w:val="1"/>
      <w:numFmt w:val="bullet"/>
      <w:lvlText w:val="o"/>
      <w:lvlJc w:val="left"/>
      <w:pPr>
        <w:ind w:left="1350" w:hanging="360"/>
      </w:pPr>
      <w:rPr>
        <w:rFonts w:ascii="Courier New" w:hAnsi="Courier New" w:cs="Courier New" w:hint="default"/>
      </w:rPr>
    </w:lvl>
    <w:lvl w:ilvl="2" w:tplc="042F0005" w:tentative="1">
      <w:start w:val="1"/>
      <w:numFmt w:val="bullet"/>
      <w:lvlText w:val=""/>
      <w:lvlJc w:val="left"/>
      <w:pPr>
        <w:ind w:left="2070" w:hanging="360"/>
      </w:pPr>
      <w:rPr>
        <w:rFonts w:ascii="Wingdings" w:hAnsi="Wingdings" w:hint="default"/>
      </w:rPr>
    </w:lvl>
    <w:lvl w:ilvl="3" w:tplc="042F0001" w:tentative="1">
      <w:start w:val="1"/>
      <w:numFmt w:val="bullet"/>
      <w:lvlText w:val=""/>
      <w:lvlJc w:val="left"/>
      <w:pPr>
        <w:ind w:left="2790" w:hanging="360"/>
      </w:pPr>
      <w:rPr>
        <w:rFonts w:ascii="Symbol" w:hAnsi="Symbol" w:hint="default"/>
      </w:rPr>
    </w:lvl>
    <w:lvl w:ilvl="4" w:tplc="042F0003" w:tentative="1">
      <w:start w:val="1"/>
      <w:numFmt w:val="bullet"/>
      <w:lvlText w:val="o"/>
      <w:lvlJc w:val="left"/>
      <w:pPr>
        <w:ind w:left="3510" w:hanging="360"/>
      </w:pPr>
      <w:rPr>
        <w:rFonts w:ascii="Courier New" w:hAnsi="Courier New" w:cs="Courier New" w:hint="default"/>
      </w:rPr>
    </w:lvl>
    <w:lvl w:ilvl="5" w:tplc="042F0005" w:tentative="1">
      <w:start w:val="1"/>
      <w:numFmt w:val="bullet"/>
      <w:lvlText w:val=""/>
      <w:lvlJc w:val="left"/>
      <w:pPr>
        <w:ind w:left="4230" w:hanging="360"/>
      </w:pPr>
      <w:rPr>
        <w:rFonts w:ascii="Wingdings" w:hAnsi="Wingdings" w:hint="default"/>
      </w:rPr>
    </w:lvl>
    <w:lvl w:ilvl="6" w:tplc="042F0001" w:tentative="1">
      <w:start w:val="1"/>
      <w:numFmt w:val="bullet"/>
      <w:lvlText w:val=""/>
      <w:lvlJc w:val="left"/>
      <w:pPr>
        <w:ind w:left="4950" w:hanging="360"/>
      </w:pPr>
      <w:rPr>
        <w:rFonts w:ascii="Symbol" w:hAnsi="Symbol" w:hint="default"/>
      </w:rPr>
    </w:lvl>
    <w:lvl w:ilvl="7" w:tplc="042F0003" w:tentative="1">
      <w:start w:val="1"/>
      <w:numFmt w:val="bullet"/>
      <w:lvlText w:val="o"/>
      <w:lvlJc w:val="left"/>
      <w:pPr>
        <w:ind w:left="5670" w:hanging="360"/>
      </w:pPr>
      <w:rPr>
        <w:rFonts w:ascii="Courier New" w:hAnsi="Courier New" w:cs="Courier New" w:hint="default"/>
      </w:rPr>
    </w:lvl>
    <w:lvl w:ilvl="8" w:tplc="042F0005" w:tentative="1">
      <w:start w:val="1"/>
      <w:numFmt w:val="bullet"/>
      <w:lvlText w:val=""/>
      <w:lvlJc w:val="left"/>
      <w:pPr>
        <w:ind w:left="6390" w:hanging="360"/>
      </w:pPr>
      <w:rPr>
        <w:rFonts w:ascii="Wingdings" w:hAnsi="Wingdings" w:hint="default"/>
      </w:rPr>
    </w:lvl>
  </w:abstractNum>
  <w:abstractNum w:abstractNumId="1" w15:restartNumberingAfterBreak="0">
    <w:nsid w:val="04265007"/>
    <w:multiLevelType w:val="multilevel"/>
    <w:tmpl w:val="C5DC2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9507DB"/>
    <w:multiLevelType w:val="multilevel"/>
    <w:tmpl w:val="31D8910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097B57DD"/>
    <w:multiLevelType w:val="hybridMultilevel"/>
    <w:tmpl w:val="389ACEFE"/>
    <w:lvl w:ilvl="0" w:tplc="042F000F">
      <w:start w:val="1"/>
      <w:numFmt w:val="decimal"/>
      <w:lvlText w:val="%1."/>
      <w:lvlJc w:val="left"/>
      <w:pPr>
        <w:ind w:left="107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 w15:restartNumberingAfterBreak="0">
    <w:nsid w:val="09FE7A19"/>
    <w:multiLevelType w:val="multilevel"/>
    <w:tmpl w:val="E604CF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56487F"/>
    <w:multiLevelType w:val="multilevel"/>
    <w:tmpl w:val="D7543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1956E3"/>
    <w:multiLevelType w:val="hybridMultilevel"/>
    <w:tmpl w:val="CD9EC08C"/>
    <w:lvl w:ilvl="0" w:tplc="70AAC9F2">
      <w:start w:val="4"/>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15:restartNumberingAfterBreak="0">
    <w:nsid w:val="0F420DB6"/>
    <w:multiLevelType w:val="hybridMultilevel"/>
    <w:tmpl w:val="CA500F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C22639"/>
    <w:multiLevelType w:val="hybridMultilevel"/>
    <w:tmpl w:val="E8B4F8BA"/>
    <w:lvl w:ilvl="0" w:tplc="C106989A">
      <w:start w:val="1"/>
      <w:numFmt w:val="bullet"/>
      <w:lvlText w:val=""/>
      <w:lvlJc w:val="left"/>
      <w:pPr>
        <w:ind w:left="720" w:hanging="360"/>
      </w:pPr>
      <w:rPr>
        <w:rFonts w:ascii="Symbol" w:eastAsia="Calibri" w:hAnsi="Symbol" w:cs="Times New Roman" w:hint="default"/>
        <w:b w:val="0"/>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9" w15:restartNumberingAfterBreak="0">
    <w:nsid w:val="17D32B3B"/>
    <w:multiLevelType w:val="multilevel"/>
    <w:tmpl w:val="5CB6492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8756327"/>
    <w:multiLevelType w:val="hybridMultilevel"/>
    <w:tmpl w:val="9906FFBC"/>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1" w15:restartNumberingAfterBreak="0">
    <w:nsid w:val="199238A2"/>
    <w:multiLevelType w:val="hybridMultilevel"/>
    <w:tmpl w:val="389ACEFE"/>
    <w:lvl w:ilvl="0" w:tplc="042F000F">
      <w:start w:val="1"/>
      <w:numFmt w:val="decimal"/>
      <w:lvlText w:val="%1."/>
      <w:lvlJc w:val="left"/>
      <w:pPr>
        <w:ind w:left="107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2" w15:restartNumberingAfterBreak="0">
    <w:nsid w:val="1BC92680"/>
    <w:multiLevelType w:val="hybridMultilevel"/>
    <w:tmpl w:val="389ACEFE"/>
    <w:lvl w:ilvl="0" w:tplc="042F000F">
      <w:start w:val="1"/>
      <w:numFmt w:val="decimal"/>
      <w:lvlText w:val="%1."/>
      <w:lvlJc w:val="left"/>
      <w:pPr>
        <w:ind w:left="107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13" w15:restartNumberingAfterBreak="0">
    <w:nsid w:val="1C231FE1"/>
    <w:multiLevelType w:val="hybridMultilevel"/>
    <w:tmpl w:val="F50444F6"/>
    <w:lvl w:ilvl="0" w:tplc="4DD2C3C6">
      <w:start w:val="24"/>
      <w:numFmt w:val="bullet"/>
      <w:lvlText w:val=""/>
      <w:lvlJc w:val="left"/>
      <w:pPr>
        <w:ind w:left="720" w:hanging="360"/>
      </w:pPr>
      <w:rPr>
        <w:rFonts w:ascii="Symbol" w:eastAsiaTheme="minorHAnsi" w:hAnsi="Symbol"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4" w15:restartNumberingAfterBreak="0">
    <w:nsid w:val="1EFC70BB"/>
    <w:multiLevelType w:val="hybridMultilevel"/>
    <w:tmpl w:val="1F80BA4E"/>
    <w:lvl w:ilvl="0" w:tplc="5DF4EDFC">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5" w15:restartNumberingAfterBreak="0">
    <w:nsid w:val="22A13B01"/>
    <w:multiLevelType w:val="hybridMultilevel"/>
    <w:tmpl w:val="235CE478"/>
    <w:lvl w:ilvl="0" w:tplc="0409000F">
      <w:start w:val="1"/>
      <w:numFmt w:val="decimal"/>
      <w:lvlText w:val="%1."/>
      <w:lvlJc w:val="left"/>
      <w:pPr>
        <w:ind w:left="720" w:hanging="360"/>
      </w:pPr>
    </w:lvl>
    <w:lvl w:ilvl="1" w:tplc="7C2C1CC4">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3996205"/>
    <w:multiLevelType w:val="hybridMultilevel"/>
    <w:tmpl w:val="EAF66264"/>
    <w:lvl w:ilvl="0" w:tplc="042F000B">
      <w:start w:val="1"/>
      <w:numFmt w:val="bullet"/>
      <w:lvlText w:val=""/>
      <w:lvlJc w:val="left"/>
      <w:pPr>
        <w:ind w:left="360" w:hanging="360"/>
      </w:pPr>
      <w:rPr>
        <w:rFonts w:ascii="Wingdings" w:hAnsi="Wingdings" w:hint="default"/>
      </w:rPr>
    </w:lvl>
    <w:lvl w:ilvl="1" w:tplc="042F0003" w:tentative="1">
      <w:start w:val="1"/>
      <w:numFmt w:val="bullet"/>
      <w:lvlText w:val="o"/>
      <w:lvlJc w:val="left"/>
      <w:pPr>
        <w:ind w:left="1080" w:hanging="360"/>
      </w:pPr>
      <w:rPr>
        <w:rFonts w:ascii="Courier New" w:hAnsi="Courier New" w:cs="Courier New" w:hint="default"/>
      </w:rPr>
    </w:lvl>
    <w:lvl w:ilvl="2" w:tplc="042F0005" w:tentative="1">
      <w:start w:val="1"/>
      <w:numFmt w:val="bullet"/>
      <w:lvlText w:val=""/>
      <w:lvlJc w:val="left"/>
      <w:pPr>
        <w:ind w:left="1800" w:hanging="360"/>
      </w:pPr>
      <w:rPr>
        <w:rFonts w:ascii="Wingdings" w:hAnsi="Wingdings" w:hint="default"/>
      </w:rPr>
    </w:lvl>
    <w:lvl w:ilvl="3" w:tplc="042F0001" w:tentative="1">
      <w:start w:val="1"/>
      <w:numFmt w:val="bullet"/>
      <w:lvlText w:val=""/>
      <w:lvlJc w:val="left"/>
      <w:pPr>
        <w:ind w:left="2520" w:hanging="360"/>
      </w:pPr>
      <w:rPr>
        <w:rFonts w:ascii="Symbol" w:hAnsi="Symbol" w:hint="default"/>
      </w:rPr>
    </w:lvl>
    <w:lvl w:ilvl="4" w:tplc="042F0003" w:tentative="1">
      <w:start w:val="1"/>
      <w:numFmt w:val="bullet"/>
      <w:lvlText w:val="o"/>
      <w:lvlJc w:val="left"/>
      <w:pPr>
        <w:ind w:left="3240" w:hanging="360"/>
      </w:pPr>
      <w:rPr>
        <w:rFonts w:ascii="Courier New" w:hAnsi="Courier New" w:cs="Courier New" w:hint="default"/>
      </w:rPr>
    </w:lvl>
    <w:lvl w:ilvl="5" w:tplc="042F0005" w:tentative="1">
      <w:start w:val="1"/>
      <w:numFmt w:val="bullet"/>
      <w:lvlText w:val=""/>
      <w:lvlJc w:val="left"/>
      <w:pPr>
        <w:ind w:left="3960" w:hanging="360"/>
      </w:pPr>
      <w:rPr>
        <w:rFonts w:ascii="Wingdings" w:hAnsi="Wingdings" w:hint="default"/>
      </w:rPr>
    </w:lvl>
    <w:lvl w:ilvl="6" w:tplc="042F0001" w:tentative="1">
      <w:start w:val="1"/>
      <w:numFmt w:val="bullet"/>
      <w:lvlText w:val=""/>
      <w:lvlJc w:val="left"/>
      <w:pPr>
        <w:ind w:left="4680" w:hanging="360"/>
      </w:pPr>
      <w:rPr>
        <w:rFonts w:ascii="Symbol" w:hAnsi="Symbol" w:hint="default"/>
      </w:rPr>
    </w:lvl>
    <w:lvl w:ilvl="7" w:tplc="042F0003" w:tentative="1">
      <w:start w:val="1"/>
      <w:numFmt w:val="bullet"/>
      <w:lvlText w:val="o"/>
      <w:lvlJc w:val="left"/>
      <w:pPr>
        <w:ind w:left="5400" w:hanging="360"/>
      </w:pPr>
      <w:rPr>
        <w:rFonts w:ascii="Courier New" w:hAnsi="Courier New" w:cs="Courier New" w:hint="default"/>
      </w:rPr>
    </w:lvl>
    <w:lvl w:ilvl="8" w:tplc="042F0005" w:tentative="1">
      <w:start w:val="1"/>
      <w:numFmt w:val="bullet"/>
      <w:lvlText w:val=""/>
      <w:lvlJc w:val="left"/>
      <w:pPr>
        <w:ind w:left="6120" w:hanging="360"/>
      </w:pPr>
      <w:rPr>
        <w:rFonts w:ascii="Wingdings" w:hAnsi="Wingdings" w:hint="default"/>
      </w:rPr>
    </w:lvl>
  </w:abstractNum>
  <w:abstractNum w:abstractNumId="17" w15:restartNumberingAfterBreak="0">
    <w:nsid w:val="239A75DC"/>
    <w:multiLevelType w:val="multilevel"/>
    <w:tmpl w:val="AAC86F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76763D3"/>
    <w:multiLevelType w:val="hybridMultilevel"/>
    <w:tmpl w:val="D82EED4C"/>
    <w:lvl w:ilvl="0" w:tplc="5DF4EDFC">
      <w:start w:val="1"/>
      <w:numFmt w:val="bullet"/>
      <w:lvlText w:val=""/>
      <w:lvlJc w:val="left"/>
      <w:pPr>
        <w:ind w:left="720" w:hanging="360"/>
      </w:pPr>
      <w:rPr>
        <w:rFonts w:ascii="Symbol" w:hAnsi="Symbol"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15:restartNumberingAfterBreak="0">
    <w:nsid w:val="2A8A2661"/>
    <w:multiLevelType w:val="hybridMultilevel"/>
    <w:tmpl w:val="9284592C"/>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2F6444D3"/>
    <w:multiLevelType w:val="hybridMultilevel"/>
    <w:tmpl w:val="0F1A95EE"/>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1" w15:restartNumberingAfterBreak="0">
    <w:nsid w:val="318502E5"/>
    <w:multiLevelType w:val="hybridMultilevel"/>
    <w:tmpl w:val="ED2A2C0C"/>
    <w:lvl w:ilvl="0" w:tplc="7436A420">
      <w:start w:val="1"/>
      <w:numFmt w:val="bullet"/>
      <w:lvlText w:val=""/>
      <w:lvlJc w:val="left"/>
      <w:pPr>
        <w:ind w:left="720" w:hanging="360"/>
      </w:pPr>
      <w:rPr>
        <w:rFonts w:ascii="Symbol" w:eastAsia="Calibri" w:hAnsi="Symbol" w:cs="Times New Roman" w:hint="default"/>
        <w:b w:val="0"/>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2" w15:restartNumberingAfterBreak="0">
    <w:nsid w:val="35C17BB0"/>
    <w:multiLevelType w:val="multilevel"/>
    <w:tmpl w:val="AE3480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C776490"/>
    <w:multiLevelType w:val="multilevel"/>
    <w:tmpl w:val="56BCC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C9E3F56"/>
    <w:multiLevelType w:val="hybridMultilevel"/>
    <w:tmpl w:val="3FC280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F642727"/>
    <w:multiLevelType w:val="hybridMultilevel"/>
    <w:tmpl w:val="72825D28"/>
    <w:lvl w:ilvl="0" w:tplc="1D0CAD36">
      <w:start w:val="4"/>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443854FC"/>
    <w:multiLevelType w:val="hybridMultilevel"/>
    <w:tmpl w:val="389ACEFE"/>
    <w:lvl w:ilvl="0" w:tplc="042F000F">
      <w:start w:val="1"/>
      <w:numFmt w:val="decimal"/>
      <w:lvlText w:val="%1."/>
      <w:lvlJc w:val="left"/>
      <w:pPr>
        <w:ind w:left="107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27" w15:restartNumberingAfterBreak="0">
    <w:nsid w:val="45CE4407"/>
    <w:multiLevelType w:val="multilevel"/>
    <w:tmpl w:val="2A78C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670063E"/>
    <w:multiLevelType w:val="hybridMultilevel"/>
    <w:tmpl w:val="BB321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246E72"/>
    <w:multiLevelType w:val="multilevel"/>
    <w:tmpl w:val="AB962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B571FB"/>
    <w:multiLevelType w:val="hybridMultilevel"/>
    <w:tmpl w:val="28B650B4"/>
    <w:lvl w:ilvl="0" w:tplc="B2F2750E">
      <w:start w:val="1"/>
      <w:numFmt w:val="decimal"/>
      <w:lvlText w:val="%1."/>
      <w:lvlJc w:val="left"/>
      <w:pPr>
        <w:ind w:left="1080" w:hanging="360"/>
      </w:pPr>
      <w:rPr>
        <w:rFonts w:hint="default"/>
      </w:rPr>
    </w:lvl>
    <w:lvl w:ilvl="1" w:tplc="042F0019" w:tentative="1">
      <w:start w:val="1"/>
      <w:numFmt w:val="lowerLetter"/>
      <w:lvlText w:val="%2."/>
      <w:lvlJc w:val="left"/>
      <w:pPr>
        <w:ind w:left="1800" w:hanging="360"/>
      </w:pPr>
    </w:lvl>
    <w:lvl w:ilvl="2" w:tplc="042F001B" w:tentative="1">
      <w:start w:val="1"/>
      <w:numFmt w:val="lowerRoman"/>
      <w:lvlText w:val="%3."/>
      <w:lvlJc w:val="right"/>
      <w:pPr>
        <w:ind w:left="2520" w:hanging="180"/>
      </w:pPr>
    </w:lvl>
    <w:lvl w:ilvl="3" w:tplc="042F000F" w:tentative="1">
      <w:start w:val="1"/>
      <w:numFmt w:val="decimal"/>
      <w:lvlText w:val="%4."/>
      <w:lvlJc w:val="left"/>
      <w:pPr>
        <w:ind w:left="3240" w:hanging="360"/>
      </w:pPr>
    </w:lvl>
    <w:lvl w:ilvl="4" w:tplc="042F0019" w:tentative="1">
      <w:start w:val="1"/>
      <w:numFmt w:val="lowerLetter"/>
      <w:lvlText w:val="%5."/>
      <w:lvlJc w:val="left"/>
      <w:pPr>
        <w:ind w:left="3960" w:hanging="360"/>
      </w:pPr>
    </w:lvl>
    <w:lvl w:ilvl="5" w:tplc="042F001B" w:tentative="1">
      <w:start w:val="1"/>
      <w:numFmt w:val="lowerRoman"/>
      <w:lvlText w:val="%6."/>
      <w:lvlJc w:val="right"/>
      <w:pPr>
        <w:ind w:left="4680" w:hanging="180"/>
      </w:pPr>
    </w:lvl>
    <w:lvl w:ilvl="6" w:tplc="042F000F" w:tentative="1">
      <w:start w:val="1"/>
      <w:numFmt w:val="decimal"/>
      <w:lvlText w:val="%7."/>
      <w:lvlJc w:val="left"/>
      <w:pPr>
        <w:ind w:left="5400" w:hanging="360"/>
      </w:pPr>
    </w:lvl>
    <w:lvl w:ilvl="7" w:tplc="042F0019" w:tentative="1">
      <w:start w:val="1"/>
      <w:numFmt w:val="lowerLetter"/>
      <w:lvlText w:val="%8."/>
      <w:lvlJc w:val="left"/>
      <w:pPr>
        <w:ind w:left="6120" w:hanging="360"/>
      </w:pPr>
    </w:lvl>
    <w:lvl w:ilvl="8" w:tplc="042F001B" w:tentative="1">
      <w:start w:val="1"/>
      <w:numFmt w:val="lowerRoman"/>
      <w:lvlText w:val="%9."/>
      <w:lvlJc w:val="right"/>
      <w:pPr>
        <w:ind w:left="6840" w:hanging="180"/>
      </w:pPr>
    </w:lvl>
  </w:abstractNum>
  <w:abstractNum w:abstractNumId="31" w15:restartNumberingAfterBreak="0">
    <w:nsid w:val="515D2D40"/>
    <w:multiLevelType w:val="multilevel"/>
    <w:tmpl w:val="424E3F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5070D6B"/>
    <w:multiLevelType w:val="hybridMultilevel"/>
    <w:tmpl w:val="031C8E4A"/>
    <w:lvl w:ilvl="0" w:tplc="0409000F">
      <w:start w:val="1"/>
      <w:numFmt w:val="decimal"/>
      <w:lvlText w:val="%1."/>
      <w:lvlJc w:val="left"/>
      <w:pPr>
        <w:ind w:left="644" w:hanging="360"/>
      </w:pPr>
    </w:lvl>
    <w:lvl w:ilvl="1" w:tplc="04090019" w:tentative="1">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33" w15:restartNumberingAfterBreak="0">
    <w:nsid w:val="657620F2"/>
    <w:multiLevelType w:val="hybridMultilevel"/>
    <w:tmpl w:val="B504D1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7E620E7"/>
    <w:multiLevelType w:val="multilevel"/>
    <w:tmpl w:val="CDA48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80D0D30"/>
    <w:multiLevelType w:val="hybridMultilevel"/>
    <w:tmpl w:val="031C8E4A"/>
    <w:lvl w:ilvl="0" w:tplc="0409000F">
      <w:start w:val="1"/>
      <w:numFmt w:val="decimal"/>
      <w:lvlText w:val="%1."/>
      <w:lvlJc w:val="left"/>
      <w:pPr>
        <w:ind w:left="63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194D01"/>
    <w:multiLevelType w:val="hybridMultilevel"/>
    <w:tmpl w:val="E64EE7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C7F2382"/>
    <w:multiLevelType w:val="hybridMultilevel"/>
    <w:tmpl w:val="E2CE7832"/>
    <w:lvl w:ilvl="0" w:tplc="042F000F">
      <w:start w:val="1"/>
      <w:numFmt w:val="decimal"/>
      <w:lvlText w:val="%1."/>
      <w:lvlJc w:val="left"/>
      <w:pPr>
        <w:ind w:left="72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8" w15:restartNumberingAfterBreak="0">
    <w:nsid w:val="6CB36B4A"/>
    <w:multiLevelType w:val="hybridMultilevel"/>
    <w:tmpl w:val="2E2CCF14"/>
    <w:lvl w:ilvl="0" w:tplc="042F000F">
      <w:start w:val="1"/>
      <w:numFmt w:val="decimal"/>
      <w:lvlText w:val="%1."/>
      <w:lvlJc w:val="left"/>
      <w:pPr>
        <w:ind w:left="786"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39" w15:restartNumberingAfterBreak="0">
    <w:nsid w:val="6CD87B26"/>
    <w:multiLevelType w:val="multilevel"/>
    <w:tmpl w:val="7B5CE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4234A5"/>
    <w:multiLevelType w:val="multilevel"/>
    <w:tmpl w:val="B47A5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267314C"/>
    <w:multiLevelType w:val="hybridMultilevel"/>
    <w:tmpl w:val="126883B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BB689E"/>
    <w:multiLevelType w:val="hybridMultilevel"/>
    <w:tmpl w:val="55309F20"/>
    <w:lvl w:ilvl="0" w:tplc="042F000F">
      <w:start w:val="1"/>
      <w:numFmt w:val="decimal"/>
      <w:lvlText w:val="%1."/>
      <w:lvlJc w:val="left"/>
      <w:pPr>
        <w:ind w:left="360" w:hanging="360"/>
      </w:pPr>
      <w:rPr>
        <w:rFonts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3" w15:restartNumberingAfterBreak="0">
    <w:nsid w:val="77AC45A6"/>
    <w:multiLevelType w:val="hybridMultilevel"/>
    <w:tmpl w:val="4070999A"/>
    <w:lvl w:ilvl="0" w:tplc="EFC61844">
      <w:start w:val="1"/>
      <w:numFmt w:val="bullet"/>
      <w:lvlText w:val="-"/>
      <w:lvlJc w:val="left"/>
      <w:pPr>
        <w:ind w:left="720" w:hanging="360"/>
      </w:pPr>
      <w:rPr>
        <w:rFonts w:ascii="Times New Roman" w:eastAsiaTheme="minorHAnsi" w:hAnsi="Times New Roman" w:cs="Times New Roman"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4" w15:restartNumberingAfterBreak="0">
    <w:nsid w:val="7A3A46FC"/>
    <w:multiLevelType w:val="multilevel"/>
    <w:tmpl w:val="EE328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8163101">
    <w:abstractNumId w:val="42"/>
  </w:num>
  <w:num w:numId="2" w16cid:durableId="712264774">
    <w:abstractNumId w:val="43"/>
  </w:num>
  <w:num w:numId="3" w16cid:durableId="1897279538">
    <w:abstractNumId w:val="26"/>
  </w:num>
  <w:num w:numId="4" w16cid:durableId="1658997407">
    <w:abstractNumId w:val="32"/>
  </w:num>
  <w:num w:numId="5" w16cid:durableId="1170177822">
    <w:abstractNumId w:val="10"/>
  </w:num>
  <w:num w:numId="6" w16cid:durableId="668097241">
    <w:abstractNumId w:val="11"/>
  </w:num>
  <w:num w:numId="7" w16cid:durableId="409618908">
    <w:abstractNumId w:val="3"/>
  </w:num>
  <w:num w:numId="8" w16cid:durableId="1868981000">
    <w:abstractNumId w:val="12"/>
  </w:num>
  <w:num w:numId="9" w16cid:durableId="1696923933">
    <w:abstractNumId w:val="19"/>
  </w:num>
  <w:num w:numId="10" w16cid:durableId="1644114741">
    <w:abstractNumId w:val="0"/>
  </w:num>
  <w:num w:numId="11" w16cid:durableId="1776435994">
    <w:abstractNumId w:val="35"/>
  </w:num>
  <w:num w:numId="12" w16cid:durableId="234047148">
    <w:abstractNumId w:val="24"/>
  </w:num>
  <w:num w:numId="13" w16cid:durableId="1766731809">
    <w:abstractNumId w:val="25"/>
  </w:num>
  <w:num w:numId="14" w16cid:durableId="1405840296">
    <w:abstractNumId w:val="41"/>
  </w:num>
  <w:num w:numId="15" w16cid:durableId="900402667">
    <w:abstractNumId w:val="33"/>
  </w:num>
  <w:num w:numId="16" w16cid:durableId="1975329744">
    <w:abstractNumId w:val="28"/>
  </w:num>
  <w:num w:numId="17" w16cid:durableId="1107120441">
    <w:abstractNumId w:val="9"/>
  </w:num>
  <w:num w:numId="18" w16cid:durableId="430469558">
    <w:abstractNumId w:val="2"/>
  </w:num>
  <w:num w:numId="19" w16cid:durableId="348988082">
    <w:abstractNumId w:val="38"/>
  </w:num>
  <w:num w:numId="20" w16cid:durableId="376205118">
    <w:abstractNumId w:val="16"/>
  </w:num>
  <w:num w:numId="21" w16cid:durableId="1269511549">
    <w:abstractNumId w:val="20"/>
  </w:num>
  <w:num w:numId="22" w16cid:durableId="1168136942">
    <w:abstractNumId w:val="30"/>
  </w:num>
  <w:num w:numId="23" w16cid:durableId="1926717700">
    <w:abstractNumId w:val="37"/>
  </w:num>
  <w:num w:numId="24" w16cid:durableId="497161239">
    <w:abstractNumId w:val="6"/>
  </w:num>
  <w:num w:numId="25" w16cid:durableId="1786389822">
    <w:abstractNumId w:val="22"/>
  </w:num>
  <w:num w:numId="26" w16cid:durableId="991759249">
    <w:abstractNumId w:val="39"/>
  </w:num>
  <w:num w:numId="27" w16cid:durableId="2109613932">
    <w:abstractNumId w:val="40"/>
  </w:num>
  <w:num w:numId="28" w16cid:durableId="1006052872">
    <w:abstractNumId w:val="44"/>
  </w:num>
  <w:num w:numId="29" w16cid:durableId="124277430">
    <w:abstractNumId w:val="1"/>
  </w:num>
  <w:num w:numId="30" w16cid:durableId="1648701221">
    <w:abstractNumId w:val="29"/>
  </w:num>
  <w:num w:numId="31" w16cid:durableId="351995610">
    <w:abstractNumId w:val="34"/>
  </w:num>
  <w:num w:numId="32" w16cid:durableId="439229937">
    <w:abstractNumId w:val="5"/>
  </w:num>
  <w:num w:numId="33" w16cid:durableId="14111876">
    <w:abstractNumId w:val="27"/>
  </w:num>
  <w:num w:numId="34" w16cid:durableId="513689349">
    <w:abstractNumId w:val="4"/>
  </w:num>
  <w:num w:numId="35" w16cid:durableId="1544245130">
    <w:abstractNumId w:val="23"/>
  </w:num>
  <w:num w:numId="36" w16cid:durableId="91247913">
    <w:abstractNumId w:val="31"/>
  </w:num>
  <w:num w:numId="37" w16cid:durableId="992834163">
    <w:abstractNumId w:val="17"/>
  </w:num>
  <w:num w:numId="38" w16cid:durableId="201528044">
    <w:abstractNumId w:val="15"/>
  </w:num>
  <w:num w:numId="39" w16cid:durableId="1176765661">
    <w:abstractNumId w:val="7"/>
  </w:num>
  <w:num w:numId="40" w16cid:durableId="618728132">
    <w:abstractNumId w:val="36"/>
  </w:num>
  <w:num w:numId="41" w16cid:durableId="103350615">
    <w:abstractNumId w:val="13"/>
  </w:num>
  <w:num w:numId="42" w16cid:durableId="591090090">
    <w:abstractNumId w:val="18"/>
  </w:num>
  <w:num w:numId="43" w16cid:durableId="1180700790">
    <w:abstractNumId w:val="14"/>
  </w:num>
  <w:num w:numId="44" w16cid:durableId="1470053782">
    <w:abstractNumId w:val="8"/>
  </w:num>
  <w:num w:numId="45" w16cid:durableId="73035065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2474"/>
    <w:rsid w:val="00000A9F"/>
    <w:rsid w:val="00057824"/>
    <w:rsid w:val="00060D05"/>
    <w:rsid w:val="000611C7"/>
    <w:rsid w:val="000642BA"/>
    <w:rsid w:val="00064AC6"/>
    <w:rsid w:val="00065541"/>
    <w:rsid w:val="000C0052"/>
    <w:rsid w:val="000D3167"/>
    <w:rsid w:val="00146C3D"/>
    <w:rsid w:val="00161B73"/>
    <w:rsid w:val="00167D0F"/>
    <w:rsid w:val="00191927"/>
    <w:rsid w:val="00191E87"/>
    <w:rsid w:val="001A1F41"/>
    <w:rsid w:val="001B261B"/>
    <w:rsid w:val="001E068C"/>
    <w:rsid w:val="001F2E2D"/>
    <w:rsid w:val="001F3ABB"/>
    <w:rsid w:val="00210463"/>
    <w:rsid w:val="00215667"/>
    <w:rsid w:val="0021755D"/>
    <w:rsid w:val="002203FA"/>
    <w:rsid w:val="002505FE"/>
    <w:rsid w:val="002725E9"/>
    <w:rsid w:val="00295270"/>
    <w:rsid w:val="002A1D7C"/>
    <w:rsid w:val="002A7020"/>
    <w:rsid w:val="002F606B"/>
    <w:rsid w:val="00312256"/>
    <w:rsid w:val="00321921"/>
    <w:rsid w:val="00333B3B"/>
    <w:rsid w:val="00337AE2"/>
    <w:rsid w:val="00341876"/>
    <w:rsid w:val="00345E94"/>
    <w:rsid w:val="0035302F"/>
    <w:rsid w:val="00380613"/>
    <w:rsid w:val="003B53E6"/>
    <w:rsid w:val="003D1FAF"/>
    <w:rsid w:val="003D44AD"/>
    <w:rsid w:val="003E1A8A"/>
    <w:rsid w:val="003E2345"/>
    <w:rsid w:val="004002C9"/>
    <w:rsid w:val="004120A4"/>
    <w:rsid w:val="00412474"/>
    <w:rsid w:val="00430A45"/>
    <w:rsid w:val="00435E3A"/>
    <w:rsid w:val="0044355D"/>
    <w:rsid w:val="00452BC7"/>
    <w:rsid w:val="004741D9"/>
    <w:rsid w:val="004776C0"/>
    <w:rsid w:val="004832D1"/>
    <w:rsid w:val="004B780A"/>
    <w:rsid w:val="004C0E1D"/>
    <w:rsid w:val="004F1418"/>
    <w:rsid w:val="00537992"/>
    <w:rsid w:val="005563A4"/>
    <w:rsid w:val="00562A37"/>
    <w:rsid w:val="00590C31"/>
    <w:rsid w:val="00592F2A"/>
    <w:rsid w:val="00594A4D"/>
    <w:rsid w:val="005B448C"/>
    <w:rsid w:val="00636BBA"/>
    <w:rsid w:val="006532D8"/>
    <w:rsid w:val="00673CF7"/>
    <w:rsid w:val="006934F2"/>
    <w:rsid w:val="00694CFA"/>
    <w:rsid w:val="006A3B4F"/>
    <w:rsid w:val="006B4B8A"/>
    <w:rsid w:val="0070656E"/>
    <w:rsid w:val="00711686"/>
    <w:rsid w:val="007217E8"/>
    <w:rsid w:val="00723B93"/>
    <w:rsid w:val="007270B2"/>
    <w:rsid w:val="007376EA"/>
    <w:rsid w:val="007828B2"/>
    <w:rsid w:val="00796FC8"/>
    <w:rsid w:val="00824116"/>
    <w:rsid w:val="00831A4F"/>
    <w:rsid w:val="00841E54"/>
    <w:rsid w:val="00873748"/>
    <w:rsid w:val="00874E6B"/>
    <w:rsid w:val="00892EF5"/>
    <w:rsid w:val="008A2C96"/>
    <w:rsid w:val="009047A8"/>
    <w:rsid w:val="009048C8"/>
    <w:rsid w:val="00905F80"/>
    <w:rsid w:val="009200AF"/>
    <w:rsid w:val="009228E2"/>
    <w:rsid w:val="00943CBC"/>
    <w:rsid w:val="009456A9"/>
    <w:rsid w:val="00950C84"/>
    <w:rsid w:val="00963F9D"/>
    <w:rsid w:val="00981B39"/>
    <w:rsid w:val="00993326"/>
    <w:rsid w:val="009A2882"/>
    <w:rsid w:val="009B71D1"/>
    <w:rsid w:val="009D29AC"/>
    <w:rsid w:val="009D33CA"/>
    <w:rsid w:val="009E10D8"/>
    <w:rsid w:val="00A0721C"/>
    <w:rsid w:val="00A43EF7"/>
    <w:rsid w:val="00A45B7E"/>
    <w:rsid w:val="00A736FF"/>
    <w:rsid w:val="00A911B0"/>
    <w:rsid w:val="00AA21FE"/>
    <w:rsid w:val="00AA3088"/>
    <w:rsid w:val="00AF6275"/>
    <w:rsid w:val="00AF69F8"/>
    <w:rsid w:val="00B26153"/>
    <w:rsid w:val="00B33524"/>
    <w:rsid w:val="00B61C18"/>
    <w:rsid w:val="00B7303D"/>
    <w:rsid w:val="00B8532E"/>
    <w:rsid w:val="00B85F1E"/>
    <w:rsid w:val="00B950C4"/>
    <w:rsid w:val="00BB18B9"/>
    <w:rsid w:val="00BC0614"/>
    <w:rsid w:val="00BC09B5"/>
    <w:rsid w:val="00BF1FD6"/>
    <w:rsid w:val="00BF6FA2"/>
    <w:rsid w:val="00C45107"/>
    <w:rsid w:val="00C70FF0"/>
    <w:rsid w:val="00CA2056"/>
    <w:rsid w:val="00CB36A6"/>
    <w:rsid w:val="00CF1763"/>
    <w:rsid w:val="00D01A57"/>
    <w:rsid w:val="00D30728"/>
    <w:rsid w:val="00D33984"/>
    <w:rsid w:val="00D35942"/>
    <w:rsid w:val="00D76325"/>
    <w:rsid w:val="00D80713"/>
    <w:rsid w:val="00D809D4"/>
    <w:rsid w:val="00DC2435"/>
    <w:rsid w:val="00DC7E68"/>
    <w:rsid w:val="00DD6471"/>
    <w:rsid w:val="00E04E99"/>
    <w:rsid w:val="00E152A1"/>
    <w:rsid w:val="00E21550"/>
    <w:rsid w:val="00E224E9"/>
    <w:rsid w:val="00E252A5"/>
    <w:rsid w:val="00E26DC1"/>
    <w:rsid w:val="00E305DF"/>
    <w:rsid w:val="00E365EC"/>
    <w:rsid w:val="00E738A6"/>
    <w:rsid w:val="00E914E8"/>
    <w:rsid w:val="00EA76DC"/>
    <w:rsid w:val="00EC49EB"/>
    <w:rsid w:val="00ED2F65"/>
    <w:rsid w:val="00F00F01"/>
    <w:rsid w:val="00F02CD4"/>
    <w:rsid w:val="00F266B2"/>
    <w:rsid w:val="00F3732A"/>
    <w:rsid w:val="00F54189"/>
    <w:rsid w:val="00F65430"/>
    <w:rsid w:val="00F73C6F"/>
    <w:rsid w:val="00F9360F"/>
    <w:rsid w:val="00FA1ADB"/>
    <w:rsid w:val="00FA7E6F"/>
    <w:rsid w:val="00FB13E5"/>
    <w:rsid w:val="00FB3593"/>
    <w:rsid w:val="00FB7031"/>
    <w:rsid w:val="00FC77CF"/>
    <w:rsid w:val="00FD7C2A"/>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F1FC38"/>
  <w15:docId w15:val="{EB5064C0-A10D-4757-9AC5-BDE7394B57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mk-MK"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2474"/>
    <w:pPr>
      <w:spacing w:line="259" w:lineRule="auto"/>
    </w:pPr>
    <w:rPr>
      <w:kern w:val="0"/>
      <w:sz w:val="22"/>
      <w:szCs w:val="22"/>
      <w14:ligatures w14:val="none"/>
    </w:rPr>
  </w:style>
  <w:style w:type="paragraph" w:styleId="Heading1">
    <w:name w:val="heading 1"/>
    <w:basedOn w:val="Normal"/>
    <w:next w:val="Normal"/>
    <w:link w:val="Heading1Char"/>
    <w:uiPriority w:val="9"/>
    <w:qFormat/>
    <w:rsid w:val="0041247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1247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41247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1247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1247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1247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1247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1247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1247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1247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1247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41247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1247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1247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1247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1247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1247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12474"/>
    <w:rPr>
      <w:rFonts w:eastAsiaTheme="majorEastAsia" w:cstheme="majorBidi"/>
      <w:color w:val="272727" w:themeColor="text1" w:themeTint="D8"/>
    </w:rPr>
  </w:style>
  <w:style w:type="paragraph" w:styleId="Title">
    <w:name w:val="Title"/>
    <w:basedOn w:val="Normal"/>
    <w:next w:val="Normal"/>
    <w:link w:val="TitleChar"/>
    <w:uiPriority w:val="10"/>
    <w:qFormat/>
    <w:rsid w:val="0041247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1247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1247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1247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12474"/>
    <w:pPr>
      <w:spacing w:before="160"/>
      <w:jc w:val="center"/>
    </w:pPr>
    <w:rPr>
      <w:i/>
      <w:iCs/>
      <w:color w:val="404040" w:themeColor="text1" w:themeTint="BF"/>
    </w:rPr>
  </w:style>
  <w:style w:type="character" w:customStyle="1" w:styleId="QuoteChar">
    <w:name w:val="Quote Char"/>
    <w:basedOn w:val="DefaultParagraphFont"/>
    <w:link w:val="Quote"/>
    <w:uiPriority w:val="29"/>
    <w:rsid w:val="00412474"/>
    <w:rPr>
      <w:i/>
      <w:iCs/>
      <w:color w:val="404040" w:themeColor="text1" w:themeTint="BF"/>
    </w:rPr>
  </w:style>
  <w:style w:type="paragraph" w:styleId="ListParagraph">
    <w:name w:val="List Paragraph"/>
    <w:basedOn w:val="Normal"/>
    <w:uiPriority w:val="1"/>
    <w:qFormat/>
    <w:rsid w:val="00412474"/>
    <w:pPr>
      <w:ind w:left="720"/>
      <w:contextualSpacing/>
    </w:pPr>
  </w:style>
  <w:style w:type="character" w:styleId="IntenseEmphasis">
    <w:name w:val="Intense Emphasis"/>
    <w:basedOn w:val="DefaultParagraphFont"/>
    <w:uiPriority w:val="21"/>
    <w:qFormat/>
    <w:rsid w:val="00412474"/>
    <w:rPr>
      <w:i/>
      <w:iCs/>
      <w:color w:val="0F4761" w:themeColor="accent1" w:themeShade="BF"/>
    </w:rPr>
  </w:style>
  <w:style w:type="paragraph" w:styleId="IntenseQuote">
    <w:name w:val="Intense Quote"/>
    <w:basedOn w:val="Normal"/>
    <w:next w:val="Normal"/>
    <w:link w:val="IntenseQuoteChar"/>
    <w:uiPriority w:val="30"/>
    <w:qFormat/>
    <w:rsid w:val="0041247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12474"/>
    <w:rPr>
      <w:i/>
      <w:iCs/>
      <w:color w:val="0F4761" w:themeColor="accent1" w:themeShade="BF"/>
    </w:rPr>
  </w:style>
  <w:style w:type="character" w:styleId="IntenseReference">
    <w:name w:val="Intense Reference"/>
    <w:basedOn w:val="DefaultParagraphFont"/>
    <w:uiPriority w:val="32"/>
    <w:qFormat/>
    <w:rsid w:val="00412474"/>
    <w:rPr>
      <w:b/>
      <w:bCs/>
      <w:smallCaps/>
      <w:color w:val="0F4761" w:themeColor="accent1" w:themeShade="BF"/>
      <w:spacing w:val="5"/>
    </w:rPr>
  </w:style>
  <w:style w:type="paragraph" w:styleId="NoSpacing">
    <w:name w:val="No Spacing"/>
    <w:uiPriority w:val="1"/>
    <w:qFormat/>
    <w:rsid w:val="00412474"/>
    <w:pPr>
      <w:spacing w:after="0" w:line="240" w:lineRule="auto"/>
    </w:pPr>
    <w:rPr>
      <w:kern w:val="0"/>
      <w:sz w:val="22"/>
      <w:szCs w:val="22"/>
      <w14:ligatures w14:val="none"/>
    </w:rPr>
  </w:style>
  <w:style w:type="character" w:styleId="Hyperlink">
    <w:name w:val="Hyperlink"/>
    <w:basedOn w:val="DefaultParagraphFont"/>
    <w:uiPriority w:val="99"/>
    <w:unhideWhenUsed/>
    <w:rsid w:val="00412474"/>
    <w:rPr>
      <w:color w:val="467886" w:themeColor="hyperlink"/>
      <w:u w:val="single"/>
    </w:rPr>
  </w:style>
  <w:style w:type="paragraph" w:styleId="HTMLPreformatted">
    <w:name w:val="HTML Preformatted"/>
    <w:basedOn w:val="Normal"/>
    <w:link w:val="HTMLPreformattedChar"/>
    <w:uiPriority w:val="99"/>
    <w:semiHidden/>
    <w:unhideWhenUsed/>
    <w:rsid w:val="00412474"/>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412474"/>
    <w:rPr>
      <w:rFonts w:ascii="Consolas" w:hAnsi="Consolas"/>
      <w:kern w:val="0"/>
      <w:sz w:val="20"/>
      <w:szCs w:val="20"/>
      <w:lang w:val="mk-MK"/>
      <w14:ligatures w14:val="none"/>
    </w:rPr>
  </w:style>
  <w:style w:type="character" w:styleId="FollowedHyperlink">
    <w:name w:val="FollowedHyperlink"/>
    <w:basedOn w:val="DefaultParagraphFont"/>
    <w:uiPriority w:val="99"/>
    <w:semiHidden/>
    <w:unhideWhenUsed/>
    <w:rsid w:val="00412474"/>
    <w:rPr>
      <w:color w:val="96607D" w:themeColor="followedHyperlink"/>
      <w:u w:val="single"/>
    </w:rPr>
  </w:style>
  <w:style w:type="table" w:styleId="TableGrid">
    <w:name w:val="Table Grid"/>
    <w:basedOn w:val="TableNormal"/>
    <w:uiPriority w:val="39"/>
    <w:rsid w:val="00412474"/>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List-Accent13">
    <w:name w:val="Light List - Accent 13"/>
    <w:basedOn w:val="TableNormal"/>
    <w:uiPriority w:val="61"/>
    <w:rsid w:val="00412474"/>
    <w:pPr>
      <w:spacing w:after="0" w:line="240" w:lineRule="auto"/>
    </w:pPr>
    <w:rPr>
      <w:rFonts w:ascii="Calibri" w:eastAsia="Times New Roman" w:hAnsi="Calibri" w:cs="Times New Roman"/>
      <w:kern w:val="0"/>
      <w:sz w:val="20"/>
      <w:szCs w:val="20"/>
      <w:lang w:eastAsia="mk-MK"/>
      <w14:ligatures w14:val="none"/>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Header">
    <w:name w:val="header"/>
    <w:basedOn w:val="Normal"/>
    <w:link w:val="HeaderChar"/>
    <w:unhideWhenUsed/>
    <w:rsid w:val="00412474"/>
    <w:pPr>
      <w:tabs>
        <w:tab w:val="center" w:pos="4513"/>
        <w:tab w:val="right" w:pos="9026"/>
      </w:tabs>
      <w:spacing w:after="0" w:line="240" w:lineRule="auto"/>
    </w:pPr>
  </w:style>
  <w:style w:type="character" w:customStyle="1" w:styleId="HeaderChar">
    <w:name w:val="Header Char"/>
    <w:basedOn w:val="DefaultParagraphFont"/>
    <w:link w:val="Header"/>
    <w:rsid w:val="00412474"/>
    <w:rPr>
      <w:kern w:val="0"/>
      <w:sz w:val="22"/>
      <w:szCs w:val="22"/>
      <w:lang w:val="mk-MK"/>
      <w14:ligatures w14:val="none"/>
    </w:rPr>
  </w:style>
  <w:style w:type="paragraph" w:styleId="Footer">
    <w:name w:val="footer"/>
    <w:basedOn w:val="Normal"/>
    <w:link w:val="FooterChar"/>
    <w:uiPriority w:val="99"/>
    <w:unhideWhenUsed/>
    <w:rsid w:val="004124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12474"/>
    <w:rPr>
      <w:kern w:val="0"/>
      <w:sz w:val="22"/>
      <w:szCs w:val="22"/>
      <w:lang w:val="mk-MK"/>
      <w14:ligatures w14:val="none"/>
    </w:rPr>
  </w:style>
  <w:style w:type="paragraph" w:styleId="NormalWeb">
    <w:name w:val="Normal (Web)"/>
    <w:basedOn w:val="Normal"/>
    <w:uiPriority w:val="99"/>
    <w:semiHidden/>
    <w:unhideWhenUsed/>
    <w:rsid w:val="00412474"/>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1">
    <w:name w:val="No List1"/>
    <w:next w:val="NoList"/>
    <w:uiPriority w:val="99"/>
    <w:semiHidden/>
    <w:unhideWhenUsed/>
    <w:rsid w:val="00412474"/>
  </w:style>
  <w:style w:type="paragraph" w:customStyle="1" w:styleId="msonormal0">
    <w:name w:val="msonormal"/>
    <w:basedOn w:val="Normal"/>
    <w:rsid w:val="00412474"/>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39"/>
    <w:rsid w:val="00412474"/>
    <w:pPr>
      <w:spacing w:after="0" w:line="240" w:lineRule="auto"/>
    </w:pPr>
    <w:rPr>
      <w:rFonts w:ascii="Calibri" w:eastAsia="Calibri" w:hAnsi="Calibri" w:cs="Arial"/>
      <w:kern w:val="0"/>
      <w:sz w:val="22"/>
      <w:szCs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412474"/>
    <w:rPr>
      <w:color w:val="605E5C"/>
      <w:shd w:val="clear" w:color="auto" w:fill="E1DFDD"/>
    </w:rPr>
  </w:style>
  <w:style w:type="character" w:styleId="CommentReference">
    <w:name w:val="annotation reference"/>
    <w:basedOn w:val="DefaultParagraphFont"/>
    <w:uiPriority w:val="99"/>
    <w:semiHidden/>
    <w:unhideWhenUsed/>
    <w:rsid w:val="00412474"/>
    <w:rPr>
      <w:sz w:val="16"/>
      <w:szCs w:val="16"/>
    </w:rPr>
  </w:style>
  <w:style w:type="paragraph" w:styleId="CommentText">
    <w:name w:val="annotation text"/>
    <w:basedOn w:val="Normal"/>
    <w:link w:val="CommentTextChar"/>
    <w:uiPriority w:val="99"/>
    <w:semiHidden/>
    <w:unhideWhenUsed/>
    <w:rsid w:val="00412474"/>
    <w:pPr>
      <w:spacing w:line="240" w:lineRule="auto"/>
    </w:pPr>
    <w:rPr>
      <w:sz w:val="20"/>
      <w:szCs w:val="20"/>
    </w:rPr>
  </w:style>
  <w:style w:type="character" w:customStyle="1" w:styleId="CommentTextChar">
    <w:name w:val="Comment Text Char"/>
    <w:basedOn w:val="DefaultParagraphFont"/>
    <w:link w:val="CommentText"/>
    <w:uiPriority w:val="99"/>
    <w:semiHidden/>
    <w:rsid w:val="00412474"/>
    <w:rPr>
      <w:kern w:val="0"/>
      <w:sz w:val="20"/>
      <w:szCs w:val="20"/>
      <w:lang w:val="mk-MK"/>
      <w14:ligatures w14:val="none"/>
    </w:rPr>
  </w:style>
  <w:style w:type="paragraph" w:styleId="CommentSubject">
    <w:name w:val="annotation subject"/>
    <w:basedOn w:val="CommentText"/>
    <w:next w:val="CommentText"/>
    <w:link w:val="CommentSubjectChar"/>
    <w:uiPriority w:val="99"/>
    <w:semiHidden/>
    <w:unhideWhenUsed/>
    <w:rsid w:val="00412474"/>
    <w:rPr>
      <w:b/>
      <w:bCs/>
    </w:rPr>
  </w:style>
  <w:style w:type="character" w:customStyle="1" w:styleId="CommentSubjectChar">
    <w:name w:val="Comment Subject Char"/>
    <w:basedOn w:val="CommentTextChar"/>
    <w:link w:val="CommentSubject"/>
    <w:uiPriority w:val="99"/>
    <w:semiHidden/>
    <w:rsid w:val="00412474"/>
    <w:rPr>
      <w:b/>
      <w:bCs/>
      <w:kern w:val="0"/>
      <w:sz w:val="20"/>
      <w:szCs w:val="20"/>
      <w:lang w:val="mk-MK"/>
      <w14:ligatures w14:val="none"/>
    </w:rPr>
  </w:style>
  <w:style w:type="paragraph" w:styleId="BalloonText">
    <w:name w:val="Balloon Text"/>
    <w:basedOn w:val="Normal"/>
    <w:link w:val="BalloonTextChar"/>
    <w:uiPriority w:val="99"/>
    <w:semiHidden/>
    <w:unhideWhenUsed/>
    <w:rsid w:val="004124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12474"/>
    <w:rPr>
      <w:rFonts w:ascii="Segoe UI" w:hAnsi="Segoe UI" w:cs="Segoe UI"/>
      <w:kern w:val="0"/>
      <w:sz w:val="18"/>
      <w:szCs w:val="18"/>
      <w:lang w:val="mk-MK"/>
      <w14:ligatures w14:val="none"/>
    </w:rPr>
  </w:style>
  <w:style w:type="paragraph" w:customStyle="1" w:styleId="p1">
    <w:name w:val="p1"/>
    <w:basedOn w:val="Normal"/>
    <w:rsid w:val="004124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412474"/>
  </w:style>
  <w:style w:type="character" w:customStyle="1" w:styleId="s1">
    <w:name w:val="s1"/>
    <w:basedOn w:val="DefaultParagraphFont"/>
    <w:rsid w:val="00412474"/>
  </w:style>
  <w:style w:type="character" w:customStyle="1" w:styleId="numcol2">
    <w:name w:val="num_col2"/>
    <w:basedOn w:val="DefaultParagraphFont"/>
    <w:rsid w:val="00412474"/>
  </w:style>
  <w:style w:type="character" w:customStyle="1" w:styleId="numcol">
    <w:name w:val="num_col"/>
    <w:basedOn w:val="DefaultParagraphFont"/>
    <w:rsid w:val="00412474"/>
  </w:style>
  <w:style w:type="paragraph" w:customStyle="1" w:styleId="p2">
    <w:name w:val="p2"/>
    <w:basedOn w:val="Normal"/>
    <w:rsid w:val="0041247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3">
    <w:name w:val="p3"/>
    <w:basedOn w:val="Normal"/>
    <w:rsid w:val="004124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2">
    <w:name w:val="s2"/>
    <w:basedOn w:val="DefaultParagraphFont"/>
    <w:rsid w:val="00412474"/>
  </w:style>
  <w:style w:type="paragraph" w:customStyle="1" w:styleId="p4">
    <w:name w:val="p4"/>
    <w:basedOn w:val="Normal"/>
    <w:rsid w:val="0041247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s3">
    <w:name w:val="s3"/>
    <w:basedOn w:val="DefaultParagraphFont"/>
    <w:rsid w:val="00412474"/>
  </w:style>
  <w:style w:type="paragraph" w:styleId="TOCHeading">
    <w:name w:val="TOC Heading"/>
    <w:basedOn w:val="Heading1"/>
    <w:next w:val="Normal"/>
    <w:uiPriority w:val="39"/>
    <w:unhideWhenUsed/>
    <w:qFormat/>
    <w:rsid w:val="00412474"/>
    <w:pPr>
      <w:spacing w:before="480" w:after="0" w:line="276" w:lineRule="auto"/>
      <w:outlineLvl w:val="9"/>
    </w:pPr>
    <w:rPr>
      <w:b/>
      <w:bCs/>
      <w:sz w:val="28"/>
      <w:szCs w:val="28"/>
      <w:lang w:val="en-US"/>
    </w:rPr>
  </w:style>
  <w:style w:type="paragraph" w:styleId="TOC1">
    <w:name w:val="toc 1"/>
    <w:basedOn w:val="Normal"/>
    <w:next w:val="Normal"/>
    <w:autoRedefine/>
    <w:uiPriority w:val="39"/>
    <w:unhideWhenUsed/>
    <w:rsid w:val="00412474"/>
    <w:pPr>
      <w:spacing w:before="120" w:after="0"/>
    </w:pPr>
    <w:rPr>
      <w:b/>
      <w:bCs/>
      <w:i/>
      <w:iCs/>
      <w:sz w:val="24"/>
      <w:szCs w:val="24"/>
    </w:rPr>
  </w:style>
  <w:style w:type="paragraph" w:styleId="TOC2">
    <w:name w:val="toc 2"/>
    <w:basedOn w:val="Normal"/>
    <w:next w:val="Normal"/>
    <w:autoRedefine/>
    <w:uiPriority w:val="39"/>
    <w:unhideWhenUsed/>
    <w:rsid w:val="00412474"/>
    <w:pPr>
      <w:spacing w:before="120" w:after="0"/>
      <w:ind w:left="220"/>
    </w:pPr>
    <w:rPr>
      <w:b/>
      <w:bCs/>
    </w:rPr>
  </w:style>
  <w:style w:type="paragraph" w:styleId="TOC3">
    <w:name w:val="toc 3"/>
    <w:basedOn w:val="Normal"/>
    <w:next w:val="Normal"/>
    <w:autoRedefine/>
    <w:uiPriority w:val="39"/>
    <w:semiHidden/>
    <w:unhideWhenUsed/>
    <w:rsid w:val="00412474"/>
    <w:pPr>
      <w:spacing w:after="0"/>
      <w:ind w:left="440"/>
    </w:pPr>
    <w:rPr>
      <w:sz w:val="20"/>
      <w:szCs w:val="20"/>
    </w:rPr>
  </w:style>
  <w:style w:type="paragraph" w:styleId="TOC4">
    <w:name w:val="toc 4"/>
    <w:basedOn w:val="Normal"/>
    <w:next w:val="Normal"/>
    <w:autoRedefine/>
    <w:uiPriority w:val="39"/>
    <w:semiHidden/>
    <w:unhideWhenUsed/>
    <w:rsid w:val="00412474"/>
    <w:pPr>
      <w:spacing w:after="0"/>
      <w:ind w:left="660"/>
    </w:pPr>
    <w:rPr>
      <w:sz w:val="20"/>
      <w:szCs w:val="20"/>
    </w:rPr>
  </w:style>
  <w:style w:type="paragraph" w:styleId="TOC5">
    <w:name w:val="toc 5"/>
    <w:basedOn w:val="Normal"/>
    <w:next w:val="Normal"/>
    <w:autoRedefine/>
    <w:uiPriority w:val="39"/>
    <w:semiHidden/>
    <w:unhideWhenUsed/>
    <w:rsid w:val="00412474"/>
    <w:pPr>
      <w:spacing w:after="0"/>
      <w:ind w:left="880"/>
    </w:pPr>
    <w:rPr>
      <w:sz w:val="20"/>
      <w:szCs w:val="20"/>
    </w:rPr>
  </w:style>
  <w:style w:type="paragraph" w:styleId="TOC6">
    <w:name w:val="toc 6"/>
    <w:basedOn w:val="Normal"/>
    <w:next w:val="Normal"/>
    <w:autoRedefine/>
    <w:uiPriority w:val="39"/>
    <w:semiHidden/>
    <w:unhideWhenUsed/>
    <w:rsid w:val="00412474"/>
    <w:pPr>
      <w:spacing w:after="0"/>
      <w:ind w:left="1100"/>
    </w:pPr>
    <w:rPr>
      <w:sz w:val="20"/>
      <w:szCs w:val="20"/>
    </w:rPr>
  </w:style>
  <w:style w:type="paragraph" w:styleId="TOC7">
    <w:name w:val="toc 7"/>
    <w:basedOn w:val="Normal"/>
    <w:next w:val="Normal"/>
    <w:autoRedefine/>
    <w:uiPriority w:val="39"/>
    <w:semiHidden/>
    <w:unhideWhenUsed/>
    <w:rsid w:val="00412474"/>
    <w:pPr>
      <w:spacing w:after="0"/>
      <w:ind w:left="1320"/>
    </w:pPr>
    <w:rPr>
      <w:sz w:val="20"/>
      <w:szCs w:val="20"/>
    </w:rPr>
  </w:style>
  <w:style w:type="paragraph" w:styleId="TOC8">
    <w:name w:val="toc 8"/>
    <w:basedOn w:val="Normal"/>
    <w:next w:val="Normal"/>
    <w:autoRedefine/>
    <w:uiPriority w:val="39"/>
    <w:semiHidden/>
    <w:unhideWhenUsed/>
    <w:rsid w:val="00412474"/>
    <w:pPr>
      <w:spacing w:after="0"/>
      <w:ind w:left="1540"/>
    </w:pPr>
    <w:rPr>
      <w:sz w:val="20"/>
      <w:szCs w:val="20"/>
    </w:rPr>
  </w:style>
  <w:style w:type="paragraph" w:styleId="TOC9">
    <w:name w:val="toc 9"/>
    <w:basedOn w:val="Normal"/>
    <w:next w:val="Normal"/>
    <w:autoRedefine/>
    <w:uiPriority w:val="39"/>
    <w:semiHidden/>
    <w:unhideWhenUsed/>
    <w:rsid w:val="00412474"/>
    <w:pPr>
      <w:spacing w:after="0"/>
      <w:ind w:left="1760"/>
    </w:pPr>
    <w:rPr>
      <w:sz w:val="20"/>
      <w:szCs w:val="20"/>
    </w:rPr>
  </w:style>
  <w:style w:type="character" w:styleId="PageNumber">
    <w:name w:val="page number"/>
    <w:basedOn w:val="DefaultParagraphFont"/>
    <w:uiPriority w:val="99"/>
    <w:semiHidden/>
    <w:unhideWhenUsed/>
    <w:rsid w:val="002156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439376">
      <w:bodyDiv w:val="1"/>
      <w:marLeft w:val="0"/>
      <w:marRight w:val="0"/>
      <w:marTop w:val="0"/>
      <w:marBottom w:val="0"/>
      <w:divBdr>
        <w:top w:val="none" w:sz="0" w:space="0" w:color="auto"/>
        <w:left w:val="none" w:sz="0" w:space="0" w:color="auto"/>
        <w:bottom w:val="none" w:sz="0" w:space="0" w:color="auto"/>
        <w:right w:val="none" w:sz="0" w:space="0" w:color="auto"/>
      </w:divBdr>
    </w:div>
    <w:div w:id="1010638621">
      <w:bodyDiv w:val="1"/>
      <w:marLeft w:val="0"/>
      <w:marRight w:val="0"/>
      <w:marTop w:val="0"/>
      <w:marBottom w:val="0"/>
      <w:divBdr>
        <w:top w:val="none" w:sz="0" w:space="0" w:color="auto"/>
        <w:left w:val="none" w:sz="0" w:space="0" w:color="auto"/>
        <w:bottom w:val="none" w:sz="0" w:space="0" w:color="auto"/>
        <w:right w:val="none" w:sz="0" w:space="0" w:color="auto"/>
      </w:divBdr>
    </w:div>
    <w:div w:id="1081606298">
      <w:bodyDiv w:val="1"/>
      <w:marLeft w:val="0"/>
      <w:marRight w:val="0"/>
      <w:marTop w:val="0"/>
      <w:marBottom w:val="0"/>
      <w:divBdr>
        <w:top w:val="none" w:sz="0" w:space="0" w:color="auto"/>
        <w:left w:val="none" w:sz="0" w:space="0" w:color="auto"/>
        <w:bottom w:val="none" w:sz="0" w:space="0" w:color="auto"/>
        <w:right w:val="none" w:sz="0" w:space="0" w:color="auto"/>
      </w:divBdr>
    </w:div>
    <w:div w:id="1274704360">
      <w:bodyDiv w:val="1"/>
      <w:marLeft w:val="0"/>
      <w:marRight w:val="0"/>
      <w:marTop w:val="0"/>
      <w:marBottom w:val="0"/>
      <w:divBdr>
        <w:top w:val="none" w:sz="0" w:space="0" w:color="auto"/>
        <w:left w:val="none" w:sz="0" w:space="0" w:color="auto"/>
        <w:bottom w:val="none" w:sz="0" w:space="0" w:color="auto"/>
        <w:right w:val="none" w:sz="0" w:space="0" w:color="auto"/>
      </w:divBdr>
    </w:div>
    <w:div w:id="1627849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5.png"/><Relationship Id="rId21" Type="http://schemas.openxmlformats.org/officeDocument/2006/relationships/image" Target="media/image7.emf"/><Relationship Id="rId42" Type="http://schemas.openxmlformats.org/officeDocument/2006/relationships/chart" Target="charts/chart8.xml"/><Relationship Id="rId63" Type="http://schemas.openxmlformats.org/officeDocument/2006/relationships/image" Target="media/image41.png"/><Relationship Id="rId84" Type="http://schemas.openxmlformats.org/officeDocument/2006/relationships/image" Target="media/image62.png"/><Relationship Id="rId138" Type="http://schemas.openxmlformats.org/officeDocument/2006/relationships/image" Target="media/image116.png"/><Relationship Id="rId159" Type="http://schemas.openxmlformats.org/officeDocument/2006/relationships/image" Target="media/image137.png"/><Relationship Id="rId170" Type="http://schemas.openxmlformats.org/officeDocument/2006/relationships/image" Target="media/image148.png"/><Relationship Id="rId191" Type="http://schemas.openxmlformats.org/officeDocument/2006/relationships/image" Target="media/image169.png"/><Relationship Id="rId107" Type="http://schemas.openxmlformats.org/officeDocument/2006/relationships/image" Target="media/image85.png"/><Relationship Id="rId11" Type="http://schemas.openxmlformats.org/officeDocument/2006/relationships/footer" Target="footer1.xml"/><Relationship Id="rId32" Type="http://schemas.openxmlformats.org/officeDocument/2006/relationships/image" Target="media/image15.png"/><Relationship Id="rId53" Type="http://schemas.openxmlformats.org/officeDocument/2006/relationships/image" Target="media/image31.png"/><Relationship Id="rId74" Type="http://schemas.openxmlformats.org/officeDocument/2006/relationships/image" Target="media/image52.png"/><Relationship Id="rId128" Type="http://schemas.openxmlformats.org/officeDocument/2006/relationships/image" Target="media/image106.png"/><Relationship Id="rId149" Type="http://schemas.openxmlformats.org/officeDocument/2006/relationships/image" Target="media/image127.png"/><Relationship Id="rId5" Type="http://schemas.openxmlformats.org/officeDocument/2006/relationships/webSettings" Target="webSettings.xml"/><Relationship Id="rId95" Type="http://schemas.openxmlformats.org/officeDocument/2006/relationships/image" Target="media/image73.png"/><Relationship Id="rId160" Type="http://schemas.openxmlformats.org/officeDocument/2006/relationships/image" Target="media/image138.png"/><Relationship Id="rId181" Type="http://schemas.openxmlformats.org/officeDocument/2006/relationships/image" Target="media/image159.png"/><Relationship Id="rId22" Type="http://schemas.openxmlformats.org/officeDocument/2006/relationships/oleObject" Target="embeddings/oleObject1.bin"/><Relationship Id="rId43" Type="http://schemas.openxmlformats.org/officeDocument/2006/relationships/image" Target="media/image21.png"/><Relationship Id="rId64" Type="http://schemas.openxmlformats.org/officeDocument/2006/relationships/image" Target="media/image42.png"/><Relationship Id="rId118" Type="http://schemas.openxmlformats.org/officeDocument/2006/relationships/image" Target="media/image96.png"/><Relationship Id="rId139" Type="http://schemas.openxmlformats.org/officeDocument/2006/relationships/image" Target="media/image117.png"/><Relationship Id="rId85" Type="http://schemas.openxmlformats.org/officeDocument/2006/relationships/image" Target="media/image63.png"/><Relationship Id="rId150" Type="http://schemas.openxmlformats.org/officeDocument/2006/relationships/image" Target="media/image128.png"/><Relationship Id="rId171" Type="http://schemas.openxmlformats.org/officeDocument/2006/relationships/image" Target="media/image149.png"/><Relationship Id="rId192" Type="http://schemas.openxmlformats.org/officeDocument/2006/relationships/image" Target="media/image170.png"/><Relationship Id="rId12" Type="http://schemas.openxmlformats.org/officeDocument/2006/relationships/footer" Target="footer2.xml"/><Relationship Id="rId33" Type="http://schemas.openxmlformats.org/officeDocument/2006/relationships/image" Target="media/image16.png"/><Relationship Id="rId108" Type="http://schemas.openxmlformats.org/officeDocument/2006/relationships/image" Target="media/image86.png"/><Relationship Id="rId129" Type="http://schemas.openxmlformats.org/officeDocument/2006/relationships/image" Target="media/image107.png"/><Relationship Id="rId54" Type="http://schemas.openxmlformats.org/officeDocument/2006/relationships/image" Target="media/image32.png"/><Relationship Id="rId75" Type="http://schemas.openxmlformats.org/officeDocument/2006/relationships/image" Target="media/image53.png"/><Relationship Id="rId96" Type="http://schemas.openxmlformats.org/officeDocument/2006/relationships/image" Target="media/image74.png"/><Relationship Id="rId140" Type="http://schemas.openxmlformats.org/officeDocument/2006/relationships/image" Target="media/image118.png"/><Relationship Id="rId161" Type="http://schemas.openxmlformats.org/officeDocument/2006/relationships/image" Target="media/image139.png"/><Relationship Id="rId182" Type="http://schemas.openxmlformats.org/officeDocument/2006/relationships/image" Target="media/image160.png"/><Relationship Id="rId6" Type="http://schemas.openxmlformats.org/officeDocument/2006/relationships/footnotes" Target="footnotes.xml"/><Relationship Id="rId23" Type="http://schemas.openxmlformats.org/officeDocument/2006/relationships/image" Target="media/image8.emf"/><Relationship Id="rId119" Type="http://schemas.openxmlformats.org/officeDocument/2006/relationships/image" Target="media/image97.png"/><Relationship Id="rId44" Type="http://schemas.openxmlformats.org/officeDocument/2006/relationships/image" Target="media/image22.png"/><Relationship Id="rId65" Type="http://schemas.openxmlformats.org/officeDocument/2006/relationships/image" Target="media/image43.png"/><Relationship Id="rId86" Type="http://schemas.openxmlformats.org/officeDocument/2006/relationships/image" Target="media/image64.png"/><Relationship Id="rId130" Type="http://schemas.openxmlformats.org/officeDocument/2006/relationships/image" Target="media/image108.png"/><Relationship Id="rId151" Type="http://schemas.openxmlformats.org/officeDocument/2006/relationships/image" Target="media/image129.png"/><Relationship Id="rId172" Type="http://schemas.openxmlformats.org/officeDocument/2006/relationships/image" Target="media/image150.png"/><Relationship Id="rId193" Type="http://schemas.openxmlformats.org/officeDocument/2006/relationships/image" Target="media/image171.png"/><Relationship Id="rId13" Type="http://schemas.openxmlformats.org/officeDocument/2006/relationships/image" Target="media/image3.png"/><Relationship Id="rId109" Type="http://schemas.openxmlformats.org/officeDocument/2006/relationships/image" Target="media/image87.png"/><Relationship Id="rId34" Type="http://schemas.openxmlformats.org/officeDocument/2006/relationships/image" Target="media/image17.emf"/><Relationship Id="rId55" Type="http://schemas.openxmlformats.org/officeDocument/2006/relationships/image" Target="media/image33.png"/><Relationship Id="rId76" Type="http://schemas.openxmlformats.org/officeDocument/2006/relationships/image" Target="media/image54.png"/><Relationship Id="rId97" Type="http://schemas.openxmlformats.org/officeDocument/2006/relationships/image" Target="media/image75.png"/><Relationship Id="rId120" Type="http://schemas.openxmlformats.org/officeDocument/2006/relationships/image" Target="media/image98.png"/><Relationship Id="rId141" Type="http://schemas.openxmlformats.org/officeDocument/2006/relationships/image" Target="media/image119.png"/><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image" Target="media/image70.png"/><Relationship Id="rId162" Type="http://schemas.openxmlformats.org/officeDocument/2006/relationships/image" Target="media/image140.png"/><Relationship Id="rId183" Type="http://schemas.openxmlformats.org/officeDocument/2006/relationships/image" Target="media/image161.png"/><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oleObject" Target="embeddings/oleObject2.bin"/><Relationship Id="rId40" Type="http://schemas.openxmlformats.org/officeDocument/2006/relationships/image" Target="media/image20.png"/><Relationship Id="rId45" Type="http://schemas.openxmlformats.org/officeDocument/2006/relationships/image" Target="media/image23.png"/><Relationship Id="rId66" Type="http://schemas.openxmlformats.org/officeDocument/2006/relationships/image" Target="media/image44.png"/><Relationship Id="rId87" Type="http://schemas.openxmlformats.org/officeDocument/2006/relationships/image" Target="media/image65.png"/><Relationship Id="rId110" Type="http://schemas.openxmlformats.org/officeDocument/2006/relationships/image" Target="media/image88.png"/><Relationship Id="rId115" Type="http://schemas.openxmlformats.org/officeDocument/2006/relationships/image" Target="media/image93.png"/><Relationship Id="rId131" Type="http://schemas.openxmlformats.org/officeDocument/2006/relationships/image" Target="media/image109.png"/><Relationship Id="rId136" Type="http://schemas.openxmlformats.org/officeDocument/2006/relationships/image" Target="media/image114.png"/><Relationship Id="rId157" Type="http://schemas.openxmlformats.org/officeDocument/2006/relationships/image" Target="media/image135.png"/><Relationship Id="rId178" Type="http://schemas.openxmlformats.org/officeDocument/2006/relationships/image" Target="media/image156.png"/><Relationship Id="rId61" Type="http://schemas.openxmlformats.org/officeDocument/2006/relationships/image" Target="media/image39.png"/><Relationship Id="rId82" Type="http://schemas.openxmlformats.org/officeDocument/2006/relationships/image" Target="media/image60.png"/><Relationship Id="rId152" Type="http://schemas.openxmlformats.org/officeDocument/2006/relationships/image" Target="media/image130.png"/><Relationship Id="rId173" Type="http://schemas.openxmlformats.org/officeDocument/2006/relationships/image" Target="media/image151.png"/><Relationship Id="rId194" Type="http://schemas.openxmlformats.org/officeDocument/2006/relationships/image" Target="media/image172.png"/><Relationship Id="rId19" Type="http://schemas.openxmlformats.org/officeDocument/2006/relationships/chart" Target="charts/chart3.xml"/><Relationship Id="rId14" Type="http://schemas.openxmlformats.org/officeDocument/2006/relationships/image" Target="media/image4.png"/><Relationship Id="rId30" Type="http://schemas.openxmlformats.org/officeDocument/2006/relationships/image" Target="media/image14.emf"/><Relationship Id="rId35" Type="http://schemas.openxmlformats.org/officeDocument/2006/relationships/oleObject" Target="embeddings/oleObject4.bin"/><Relationship Id="rId56" Type="http://schemas.openxmlformats.org/officeDocument/2006/relationships/image" Target="media/image34.png"/><Relationship Id="rId77" Type="http://schemas.openxmlformats.org/officeDocument/2006/relationships/image" Target="media/image55.png"/><Relationship Id="rId100" Type="http://schemas.openxmlformats.org/officeDocument/2006/relationships/image" Target="media/image78.png"/><Relationship Id="rId105" Type="http://schemas.openxmlformats.org/officeDocument/2006/relationships/image" Target="media/image83.png"/><Relationship Id="rId126" Type="http://schemas.openxmlformats.org/officeDocument/2006/relationships/image" Target="media/image104.png"/><Relationship Id="rId147" Type="http://schemas.openxmlformats.org/officeDocument/2006/relationships/image" Target="media/image125.png"/><Relationship Id="rId168" Type="http://schemas.openxmlformats.org/officeDocument/2006/relationships/image" Target="media/image146.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50.png"/><Relationship Id="rId93" Type="http://schemas.openxmlformats.org/officeDocument/2006/relationships/image" Target="media/image71.png"/><Relationship Id="rId98" Type="http://schemas.openxmlformats.org/officeDocument/2006/relationships/image" Target="media/image76.png"/><Relationship Id="rId121" Type="http://schemas.openxmlformats.org/officeDocument/2006/relationships/image" Target="media/image99.png"/><Relationship Id="rId142" Type="http://schemas.openxmlformats.org/officeDocument/2006/relationships/image" Target="media/image120.png"/><Relationship Id="rId163" Type="http://schemas.openxmlformats.org/officeDocument/2006/relationships/image" Target="media/image141.png"/><Relationship Id="rId184" Type="http://schemas.openxmlformats.org/officeDocument/2006/relationships/image" Target="media/image162.png"/><Relationship Id="rId189" Type="http://schemas.openxmlformats.org/officeDocument/2006/relationships/image" Target="media/image167.png"/><Relationship Id="rId3" Type="http://schemas.openxmlformats.org/officeDocument/2006/relationships/styles" Target="styles.xml"/><Relationship Id="rId25" Type="http://schemas.openxmlformats.org/officeDocument/2006/relationships/image" Target="media/image9.png"/><Relationship Id="rId46" Type="http://schemas.openxmlformats.org/officeDocument/2006/relationships/image" Target="media/image24.png"/><Relationship Id="rId67" Type="http://schemas.openxmlformats.org/officeDocument/2006/relationships/image" Target="media/image45.png"/><Relationship Id="rId116" Type="http://schemas.openxmlformats.org/officeDocument/2006/relationships/image" Target="media/image94.png"/><Relationship Id="rId137" Type="http://schemas.openxmlformats.org/officeDocument/2006/relationships/image" Target="media/image115.png"/><Relationship Id="rId158" Type="http://schemas.openxmlformats.org/officeDocument/2006/relationships/image" Target="media/image136.png"/><Relationship Id="rId20" Type="http://schemas.openxmlformats.org/officeDocument/2006/relationships/chart" Target="charts/chart4.xml"/><Relationship Id="rId41" Type="http://schemas.openxmlformats.org/officeDocument/2006/relationships/chart" Target="charts/chart7.xml"/><Relationship Id="rId62" Type="http://schemas.openxmlformats.org/officeDocument/2006/relationships/image" Target="media/image40.png"/><Relationship Id="rId83" Type="http://schemas.openxmlformats.org/officeDocument/2006/relationships/image" Target="media/image61.png"/><Relationship Id="rId88" Type="http://schemas.openxmlformats.org/officeDocument/2006/relationships/image" Target="media/image66.png"/><Relationship Id="rId111" Type="http://schemas.openxmlformats.org/officeDocument/2006/relationships/image" Target="media/image89.png"/><Relationship Id="rId132" Type="http://schemas.openxmlformats.org/officeDocument/2006/relationships/image" Target="media/image110.png"/><Relationship Id="rId153" Type="http://schemas.openxmlformats.org/officeDocument/2006/relationships/image" Target="media/image131.png"/><Relationship Id="rId174" Type="http://schemas.openxmlformats.org/officeDocument/2006/relationships/image" Target="media/image152.png"/><Relationship Id="rId179" Type="http://schemas.openxmlformats.org/officeDocument/2006/relationships/image" Target="media/image157.png"/><Relationship Id="rId195" Type="http://schemas.openxmlformats.org/officeDocument/2006/relationships/header" Target="header2.xml"/><Relationship Id="rId190" Type="http://schemas.openxmlformats.org/officeDocument/2006/relationships/image" Target="media/image168.png"/><Relationship Id="rId15" Type="http://schemas.openxmlformats.org/officeDocument/2006/relationships/image" Target="media/image5.png"/><Relationship Id="rId36" Type="http://schemas.openxmlformats.org/officeDocument/2006/relationships/chart" Target="charts/chart5.xml"/><Relationship Id="rId57" Type="http://schemas.openxmlformats.org/officeDocument/2006/relationships/image" Target="media/image35.png"/><Relationship Id="rId106" Type="http://schemas.openxmlformats.org/officeDocument/2006/relationships/image" Target="media/image84.png"/><Relationship Id="rId127" Type="http://schemas.openxmlformats.org/officeDocument/2006/relationships/image" Target="media/image105.png"/><Relationship Id="rId10" Type="http://schemas.openxmlformats.org/officeDocument/2006/relationships/header" Target="header1.xml"/><Relationship Id="rId31" Type="http://schemas.openxmlformats.org/officeDocument/2006/relationships/oleObject" Target="embeddings/oleObject3.bin"/><Relationship Id="rId52" Type="http://schemas.openxmlformats.org/officeDocument/2006/relationships/image" Target="media/image30.png"/><Relationship Id="rId73" Type="http://schemas.openxmlformats.org/officeDocument/2006/relationships/image" Target="media/image51.png"/><Relationship Id="rId78" Type="http://schemas.openxmlformats.org/officeDocument/2006/relationships/image" Target="media/image56.png"/><Relationship Id="rId94" Type="http://schemas.openxmlformats.org/officeDocument/2006/relationships/image" Target="media/image72.png"/><Relationship Id="rId99" Type="http://schemas.openxmlformats.org/officeDocument/2006/relationships/image" Target="media/image77.png"/><Relationship Id="rId101" Type="http://schemas.openxmlformats.org/officeDocument/2006/relationships/image" Target="media/image79.png"/><Relationship Id="rId122" Type="http://schemas.openxmlformats.org/officeDocument/2006/relationships/image" Target="media/image100.png"/><Relationship Id="rId143" Type="http://schemas.openxmlformats.org/officeDocument/2006/relationships/image" Target="media/image121.png"/><Relationship Id="rId148" Type="http://schemas.openxmlformats.org/officeDocument/2006/relationships/image" Target="media/image126.png"/><Relationship Id="rId164" Type="http://schemas.openxmlformats.org/officeDocument/2006/relationships/image" Target="media/image142.png"/><Relationship Id="rId169" Type="http://schemas.openxmlformats.org/officeDocument/2006/relationships/image" Target="media/image147.png"/><Relationship Id="rId185" Type="http://schemas.openxmlformats.org/officeDocument/2006/relationships/image" Target="media/image163.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58.png"/><Relationship Id="rId26" Type="http://schemas.openxmlformats.org/officeDocument/2006/relationships/image" Target="media/image10.png"/><Relationship Id="rId47" Type="http://schemas.openxmlformats.org/officeDocument/2006/relationships/image" Target="media/image25.png"/><Relationship Id="rId68" Type="http://schemas.openxmlformats.org/officeDocument/2006/relationships/image" Target="media/image46.png"/><Relationship Id="rId89" Type="http://schemas.openxmlformats.org/officeDocument/2006/relationships/image" Target="media/image67.png"/><Relationship Id="rId112" Type="http://schemas.openxmlformats.org/officeDocument/2006/relationships/image" Target="media/image90.png"/><Relationship Id="rId133" Type="http://schemas.openxmlformats.org/officeDocument/2006/relationships/image" Target="media/image111.png"/><Relationship Id="rId154" Type="http://schemas.openxmlformats.org/officeDocument/2006/relationships/image" Target="media/image132.png"/><Relationship Id="rId175" Type="http://schemas.openxmlformats.org/officeDocument/2006/relationships/image" Target="media/image153.png"/><Relationship Id="rId196" Type="http://schemas.openxmlformats.org/officeDocument/2006/relationships/fontTable" Target="fontTable.xml"/><Relationship Id="rId16" Type="http://schemas.openxmlformats.org/officeDocument/2006/relationships/chart" Target="charts/chart1.xml"/><Relationship Id="rId37" Type="http://schemas.openxmlformats.org/officeDocument/2006/relationships/image" Target="media/image18.png"/><Relationship Id="rId58" Type="http://schemas.openxmlformats.org/officeDocument/2006/relationships/image" Target="media/image36.png"/><Relationship Id="rId79" Type="http://schemas.openxmlformats.org/officeDocument/2006/relationships/image" Target="media/image57.png"/><Relationship Id="rId102" Type="http://schemas.openxmlformats.org/officeDocument/2006/relationships/image" Target="media/image80.png"/><Relationship Id="rId123" Type="http://schemas.openxmlformats.org/officeDocument/2006/relationships/image" Target="media/image101.png"/><Relationship Id="rId144" Type="http://schemas.openxmlformats.org/officeDocument/2006/relationships/image" Target="media/image122.png"/><Relationship Id="rId90" Type="http://schemas.openxmlformats.org/officeDocument/2006/relationships/image" Target="media/image68.png"/><Relationship Id="rId165" Type="http://schemas.openxmlformats.org/officeDocument/2006/relationships/image" Target="media/image143.png"/><Relationship Id="rId186" Type="http://schemas.openxmlformats.org/officeDocument/2006/relationships/image" Target="media/image164.png"/><Relationship Id="rId27" Type="http://schemas.openxmlformats.org/officeDocument/2006/relationships/image" Target="media/image11.png"/><Relationship Id="rId48" Type="http://schemas.openxmlformats.org/officeDocument/2006/relationships/image" Target="media/image26.png"/><Relationship Id="rId69" Type="http://schemas.openxmlformats.org/officeDocument/2006/relationships/image" Target="media/image47.png"/><Relationship Id="rId113" Type="http://schemas.openxmlformats.org/officeDocument/2006/relationships/image" Target="media/image91.png"/><Relationship Id="rId134" Type="http://schemas.openxmlformats.org/officeDocument/2006/relationships/image" Target="media/image112.png"/><Relationship Id="rId80" Type="http://schemas.openxmlformats.org/officeDocument/2006/relationships/image" Target="media/image58.png"/><Relationship Id="rId155" Type="http://schemas.openxmlformats.org/officeDocument/2006/relationships/image" Target="media/image133.png"/><Relationship Id="rId176" Type="http://schemas.openxmlformats.org/officeDocument/2006/relationships/image" Target="media/image154.png"/><Relationship Id="rId197" Type="http://schemas.openxmlformats.org/officeDocument/2006/relationships/theme" Target="theme/theme1.xml"/><Relationship Id="rId17" Type="http://schemas.openxmlformats.org/officeDocument/2006/relationships/image" Target="media/image6.png"/><Relationship Id="rId38" Type="http://schemas.openxmlformats.org/officeDocument/2006/relationships/image" Target="media/image19.png"/><Relationship Id="rId59" Type="http://schemas.openxmlformats.org/officeDocument/2006/relationships/image" Target="media/image37.png"/><Relationship Id="rId103" Type="http://schemas.openxmlformats.org/officeDocument/2006/relationships/image" Target="media/image81.png"/><Relationship Id="rId124" Type="http://schemas.openxmlformats.org/officeDocument/2006/relationships/image" Target="media/image102.png"/><Relationship Id="rId70" Type="http://schemas.openxmlformats.org/officeDocument/2006/relationships/image" Target="media/image48.png"/><Relationship Id="rId91" Type="http://schemas.openxmlformats.org/officeDocument/2006/relationships/image" Target="media/image69.png"/><Relationship Id="rId145" Type="http://schemas.openxmlformats.org/officeDocument/2006/relationships/image" Target="media/image123.png"/><Relationship Id="rId166" Type="http://schemas.openxmlformats.org/officeDocument/2006/relationships/image" Target="media/image144.png"/><Relationship Id="rId187" Type="http://schemas.openxmlformats.org/officeDocument/2006/relationships/image" Target="media/image165.png"/><Relationship Id="rId1" Type="http://schemas.openxmlformats.org/officeDocument/2006/relationships/customXml" Target="../customXml/item1.xml"/><Relationship Id="rId28" Type="http://schemas.openxmlformats.org/officeDocument/2006/relationships/image" Target="media/image12.png"/><Relationship Id="rId49" Type="http://schemas.openxmlformats.org/officeDocument/2006/relationships/image" Target="media/image27.png"/><Relationship Id="rId114" Type="http://schemas.openxmlformats.org/officeDocument/2006/relationships/image" Target="media/image92.png"/><Relationship Id="rId60" Type="http://schemas.openxmlformats.org/officeDocument/2006/relationships/image" Target="media/image38.png"/><Relationship Id="rId81" Type="http://schemas.openxmlformats.org/officeDocument/2006/relationships/image" Target="media/image59.png"/><Relationship Id="rId135" Type="http://schemas.openxmlformats.org/officeDocument/2006/relationships/image" Target="media/image113.png"/><Relationship Id="rId156" Type="http://schemas.openxmlformats.org/officeDocument/2006/relationships/image" Target="media/image134.png"/><Relationship Id="rId177" Type="http://schemas.openxmlformats.org/officeDocument/2006/relationships/image" Target="media/image155.png"/><Relationship Id="rId18" Type="http://schemas.openxmlformats.org/officeDocument/2006/relationships/chart" Target="charts/chart2.xml"/><Relationship Id="rId39" Type="http://schemas.openxmlformats.org/officeDocument/2006/relationships/chart" Target="charts/chart6.xml"/><Relationship Id="rId50" Type="http://schemas.openxmlformats.org/officeDocument/2006/relationships/image" Target="media/image28.png"/><Relationship Id="rId104" Type="http://schemas.openxmlformats.org/officeDocument/2006/relationships/image" Target="media/image82.png"/><Relationship Id="rId125" Type="http://schemas.openxmlformats.org/officeDocument/2006/relationships/image" Target="media/image103.png"/><Relationship Id="rId146" Type="http://schemas.openxmlformats.org/officeDocument/2006/relationships/image" Target="media/image124.png"/><Relationship Id="rId167" Type="http://schemas.openxmlformats.org/officeDocument/2006/relationships/image" Target="media/image145.png"/><Relationship Id="rId188" Type="http://schemas.openxmlformats.org/officeDocument/2006/relationships/image" Target="media/image16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4451-F444-9253-A56CC57D3DC1}"/>
              </c:ext>
            </c:extLst>
          </c:dPt>
          <c:dPt>
            <c:idx val="1"/>
            <c:bubble3D val="0"/>
            <c:explosion val="13"/>
            <c:spPr>
              <a:solidFill>
                <a:srgbClr val="FF0000"/>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4451-F444-9253-A56CC57D3DC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Sheet1!$A$2:$A$3</c:f>
              <c:strCache>
                <c:ptCount val="2"/>
                <c:pt idx="0">
                  <c:v>машки</c:v>
                </c:pt>
                <c:pt idx="1">
                  <c:v>женски</c:v>
                </c:pt>
              </c:strCache>
            </c:strRef>
          </c:cat>
          <c:val>
            <c:numRef>
              <c:f>Sheet1!$B$2:$B$3</c:f>
              <c:numCache>
                <c:formatCode>General</c:formatCode>
                <c:ptCount val="2"/>
                <c:pt idx="0">
                  <c:v>31.25</c:v>
                </c:pt>
                <c:pt idx="1">
                  <c:v>68.75</c:v>
                </c:pt>
              </c:numCache>
            </c:numRef>
          </c:val>
          <c:extLst>
            <c:ext xmlns:c16="http://schemas.microsoft.com/office/drawing/2014/chart" uri="{C3380CC4-5D6E-409C-BE32-E72D297353CC}">
              <c16:uniqueId val="{00000004-4451-F444-9253-A56CC57D3DC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Series 1</c:v>
                </c:pt>
              </c:strCache>
            </c:strRef>
          </c:tx>
          <c:spPr>
            <a:solidFill>
              <a:srgbClr val="FFFF00"/>
            </a:solidFill>
            <a:ln>
              <a:noFill/>
            </a:ln>
            <a:effectLst/>
            <a:scene3d>
              <a:camera prst="orthographicFront"/>
              <a:lightRig rig="threePt" dir="t"/>
            </a:scene3d>
            <a:sp3d>
              <a:bevelT/>
            </a:sp3d>
          </c:spPr>
          <c:invertIfNegative val="0"/>
          <c:dLbls>
            <c:dLbl>
              <c:idx val="0"/>
              <c:layout>
                <c:manualLayout>
                  <c:x val="2.3148148148148147E-3"/>
                  <c:y val="0.3440860215053763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C2-0947-87AE-773A56C34A55}"/>
                </c:ext>
              </c:extLst>
            </c:dLbl>
            <c:dLbl>
              <c:idx val="1"/>
              <c:layout>
                <c:manualLayout>
                  <c:x val="6.9444444444443599E-3"/>
                  <c:y val="0.3118279569892472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C2-0947-87AE-773A56C34A55}"/>
                </c:ext>
              </c:extLst>
            </c:dLbl>
            <c:dLbl>
              <c:idx val="2"/>
              <c:layout>
                <c:manualLayout>
                  <c:x val="2.3148148148147301E-3"/>
                  <c:y val="0.215053763440860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C2-0947-87AE-773A56C34A55}"/>
                </c:ext>
              </c:extLst>
            </c:dLbl>
            <c:dLbl>
              <c:idx val="3"/>
              <c:layout>
                <c:manualLayout>
                  <c:x val="2.3148148148148147E-3"/>
                  <c:y val="0.215053763440860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C2-0947-87AE-773A56C34A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екстракција</c:v>
                </c:pt>
                <c:pt idx="1">
                  <c:v>од гингива</c:v>
                </c:pt>
                <c:pt idx="2">
                  <c:v>менструално</c:v>
                </c:pt>
                <c:pt idx="3">
                  <c:v>VLC</c:v>
                </c:pt>
              </c:strCache>
            </c:strRef>
          </c:cat>
          <c:val>
            <c:numRef>
              <c:f>Sheet1!$B$2:$B$5</c:f>
              <c:numCache>
                <c:formatCode>General</c:formatCode>
                <c:ptCount val="4"/>
                <c:pt idx="0">
                  <c:v>42</c:v>
                </c:pt>
                <c:pt idx="1">
                  <c:v>41</c:v>
                </c:pt>
                <c:pt idx="2">
                  <c:v>21</c:v>
                </c:pt>
                <c:pt idx="3">
                  <c:v>29</c:v>
                </c:pt>
              </c:numCache>
            </c:numRef>
          </c:val>
          <c:extLst>
            <c:ext xmlns:c16="http://schemas.microsoft.com/office/drawing/2014/chart" uri="{C3380CC4-5D6E-409C-BE32-E72D297353CC}">
              <c16:uniqueId val="{00000004-C0C2-0947-87AE-773A56C34A55}"/>
            </c:ext>
          </c:extLst>
        </c:ser>
        <c:dLbls>
          <c:showLegendKey val="0"/>
          <c:showVal val="1"/>
          <c:showCatName val="0"/>
          <c:showSerName val="0"/>
          <c:showPercent val="0"/>
          <c:showBubbleSize val="0"/>
        </c:dLbls>
        <c:gapWidth val="150"/>
        <c:shape val="box"/>
        <c:axId val="243447296"/>
        <c:axId val="273610240"/>
        <c:axId val="0"/>
      </c:bar3DChart>
      <c:catAx>
        <c:axId val="2434472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73610240"/>
        <c:crosses val="autoZero"/>
        <c:auto val="1"/>
        <c:lblAlgn val="ctr"/>
        <c:lblOffset val="100"/>
        <c:noMultiLvlLbl val="0"/>
      </c:catAx>
      <c:valAx>
        <c:axId val="27361024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4472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1</c:v>
                </c:pt>
              </c:strCache>
            </c:strRef>
          </c:tx>
          <c:spPr>
            <a:solidFill>
              <a:schemeClr val="accent2">
                <a:lumMod val="75000"/>
              </a:schemeClr>
            </a:solidFill>
            <a:ln>
              <a:noFill/>
            </a:ln>
            <a:effectLst/>
            <a:scene3d>
              <a:camera prst="orthographicFront"/>
              <a:lightRig rig="threePt" dir="t"/>
            </a:scene3d>
            <a:sp3d>
              <a:bevelT/>
            </a:sp3d>
          </c:spPr>
          <c:invertIfNegative val="0"/>
          <c:dLbls>
            <c:dLbl>
              <c:idx val="0"/>
              <c:layout>
                <c:manualLayout>
                  <c:x val="6.9444444444444441E-3"/>
                  <c:y val="-9.7515672161597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F8-FB4C-9379-743E56B75E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18.75</c:v>
                </c:pt>
              </c:numCache>
            </c:numRef>
          </c:val>
          <c:extLst>
            <c:ext xmlns:c16="http://schemas.microsoft.com/office/drawing/2014/chart" uri="{C3380CC4-5D6E-409C-BE32-E72D297353CC}">
              <c16:uniqueId val="{00000001-B8F8-FB4C-9379-743E56B75E8F}"/>
            </c:ext>
          </c:extLst>
        </c:ser>
        <c:ser>
          <c:idx val="1"/>
          <c:order val="1"/>
          <c:tx>
            <c:strRef>
              <c:f>Sheet1!$C$1</c:f>
              <c:strCache>
                <c:ptCount val="1"/>
                <c:pt idx="0">
                  <c:v>2</c:v>
                </c:pt>
              </c:strCache>
            </c:strRef>
          </c:tx>
          <c:spPr>
            <a:solidFill>
              <a:schemeClr val="bg1">
                <a:lumMod val="75000"/>
              </a:schemeClr>
            </a:solidFill>
            <a:ln>
              <a:noFill/>
            </a:ln>
            <a:effectLst/>
            <a:scene3d>
              <a:camera prst="orthographicFront"/>
              <a:lightRig rig="threePt" dir="t"/>
            </a:scene3d>
            <a:sp3d>
              <a:bevelT/>
            </a:sp3d>
          </c:spPr>
          <c:invertIfNegative val="0"/>
          <c:dLbls>
            <c:dLbl>
              <c:idx val="0"/>
              <c:layout>
                <c:manualLayout>
                  <c:x val="-2.3148148148148997E-3"/>
                  <c:y val="0.3250522405386581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8F8-FB4C-9379-743E56B75E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56.25</c:v>
                </c:pt>
              </c:numCache>
            </c:numRef>
          </c:val>
          <c:extLst>
            <c:ext xmlns:c16="http://schemas.microsoft.com/office/drawing/2014/chart" uri="{C3380CC4-5D6E-409C-BE32-E72D297353CC}">
              <c16:uniqueId val="{00000003-B8F8-FB4C-9379-743E56B75E8F}"/>
            </c:ext>
          </c:extLst>
        </c:ser>
        <c:ser>
          <c:idx val="2"/>
          <c:order val="2"/>
          <c:tx>
            <c:strRef>
              <c:f>Sheet1!$D$1</c:f>
              <c:strCache>
                <c:ptCount val="1"/>
                <c:pt idx="0">
                  <c:v>3</c:v>
                </c:pt>
              </c:strCache>
            </c:strRef>
          </c:tx>
          <c:spPr>
            <a:solidFill>
              <a:schemeClr val="accent4">
                <a:lumMod val="75000"/>
              </a:schemeClr>
            </a:solidFill>
            <a:ln>
              <a:noFill/>
            </a:ln>
            <a:effectLst/>
            <a:scene3d>
              <a:camera prst="orthographicFront"/>
              <a:lightRig rig="threePt" dir="t"/>
            </a:scene3d>
            <a:sp3d>
              <a:bevelT/>
            </a:sp3d>
          </c:spPr>
          <c:invertIfNegative val="0"/>
          <c:dLbls>
            <c:dLbl>
              <c:idx val="0"/>
              <c:layout>
                <c:manualLayout>
                  <c:x val="6.4814814814814811E-2"/>
                  <c:y val="-6.965405154399814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8F8-FB4C-9379-743E56B75E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21.9</c:v>
                </c:pt>
              </c:numCache>
            </c:numRef>
          </c:val>
          <c:extLst>
            <c:ext xmlns:c16="http://schemas.microsoft.com/office/drawing/2014/chart" uri="{C3380CC4-5D6E-409C-BE32-E72D297353CC}">
              <c16:uniqueId val="{00000005-B8F8-FB4C-9379-743E56B75E8F}"/>
            </c:ext>
          </c:extLst>
        </c:ser>
        <c:ser>
          <c:idx val="3"/>
          <c:order val="3"/>
          <c:tx>
            <c:strRef>
              <c:f>Sheet1!$E$1</c:f>
              <c:strCache>
                <c:ptCount val="1"/>
                <c:pt idx="0">
                  <c:v>4</c:v>
                </c:pt>
              </c:strCache>
            </c:strRef>
          </c:tx>
          <c:spPr>
            <a:solidFill>
              <a:srgbClr val="FFFF00"/>
            </a:solidFill>
            <a:ln>
              <a:noFill/>
            </a:ln>
            <a:effectLst/>
            <a:scene3d>
              <a:camera prst="orthographicFront"/>
              <a:lightRig rig="threePt" dir="t"/>
            </a:scene3d>
            <a:sp3d>
              <a:bevelT/>
            </a:sp3d>
          </c:spPr>
          <c:invertIfNegative val="0"/>
          <c:dLbls>
            <c:dLbl>
              <c:idx val="0"/>
              <c:layout>
                <c:manualLayout>
                  <c:x val="5.7870370370370371E-2"/>
                  <c:y val="-8.3584861852797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F8-FB4C-9379-743E56B75E8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Sheet1!$E$2</c:f>
              <c:numCache>
                <c:formatCode>General</c:formatCode>
                <c:ptCount val="1"/>
                <c:pt idx="0">
                  <c:v>3.1</c:v>
                </c:pt>
              </c:numCache>
            </c:numRef>
          </c:val>
          <c:extLst>
            <c:ext xmlns:c16="http://schemas.microsoft.com/office/drawing/2014/chart" uri="{C3380CC4-5D6E-409C-BE32-E72D297353CC}">
              <c16:uniqueId val="{00000007-B8F8-FB4C-9379-743E56B75E8F}"/>
            </c:ext>
          </c:extLst>
        </c:ser>
        <c:dLbls>
          <c:showLegendKey val="0"/>
          <c:showVal val="1"/>
          <c:showCatName val="0"/>
          <c:showSerName val="0"/>
          <c:showPercent val="0"/>
          <c:showBubbleSize val="0"/>
        </c:dLbls>
        <c:gapWidth val="150"/>
        <c:shape val="box"/>
        <c:axId val="287218304"/>
        <c:axId val="201367936"/>
        <c:axId val="0"/>
      </c:bar3DChart>
      <c:catAx>
        <c:axId val="287218304"/>
        <c:scaling>
          <c:orientation val="minMax"/>
        </c:scaling>
        <c:delete val="1"/>
        <c:axPos val="b"/>
        <c:numFmt formatCode="General" sourceLinked="1"/>
        <c:majorTickMark val="none"/>
        <c:minorTickMark val="none"/>
        <c:tickLblPos val="nextTo"/>
        <c:crossAx val="201367936"/>
        <c:crosses val="autoZero"/>
        <c:auto val="1"/>
        <c:lblAlgn val="ctr"/>
        <c:lblOffset val="100"/>
        <c:noMultiLvlLbl val="0"/>
      </c:catAx>
      <c:valAx>
        <c:axId val="20136793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7218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Sheet1!$B$1</c:f>
              <c:strCache>
                <c:ptCount val="1"/>
                <c:pt idx="0">
                  <c:v>лесно</c:v>
                </c:pt>
              </c:strCache>
            </c:strRef>
          </c:tx>
          <c:spPr>
            <a:solidFill>
              <a:srgbClr val="FF0000"/>
            </a:solidFill>
            <a:ln>
              <a:noFill/>
            </a:ln>
            <a:effectLst/>
            <a:scene3d>
              <a:camera prst="orthographicFront"/>
              <a:lightRig rig="threePt" dir="t"/>
            </a:scene3d>
            <a:sp3d>
              <a:bevelT/>
            </a:sp3d>
          </c:spPr>
          <c:invertIfNegative val="0"/>
          <c:dLbls>
            <c:dLbl>
              <c:idx val="0"/>
              <c:layout>
                <c:manualLayout>
                  <c:x val="-3.7037037037037035E-2"/>
                  <c:y val="-5.807200929152148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A34-E042-8717-B9C66A4AE68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1.6</c:v>
                </c:pt>
              </c:numCache>
            </c:numRef>
          </c:val>
          <c:extLst>
            <c:ext xmlns:c16="http://schemas.microsoft.com/office/drawing/2014/chart" uri="{C3380CC4-5D6E-409C-BE32-E72D297353CC}">
              <c16:uniqueId val="{00000001-CA34-E042-8717-B9C66A4AE68E}"/>
            </c:ext>
          </c:extLst>
        </c:ser>
        <c:ser>
          <c:idx val="1"/>
          <c:order val="1"/>
          <c:tx>
            <c:strRef>
              <c:f>Sheet1!$C$1</c:f>
              <c:strCache>
                <c:ptCount val="1"/>
                <c:pt idx="0">
                  <c:v>умерено</c:v>
                </c:pt>
              </c:strCache>
            </c:strRef>
          </c:tx>
          <c:spPr>
            <a:solidFill>
              <a:schemeClr val="bg1">
                <a:lumMod val="75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53.1</c:v>
                </c:pt>
              </c:numCache>
            </c:numRef>
          </c:val>
          <c:extLst>
            <c:ext xmlns:c16="http://schemas.microsoft.com/office/drawing/2014/chart" uri="{C3380CC4-5D6E-409C-BE32-E72D297353CC}">
              <c16:uniqueId val="{00000002-CA34-E042-8717-B9C66A4AE68E}"/>
            </c:ext>
          </c:extLst>
        </c:ser>
        <c:ser>
          <c:idx val="2"/>
          <c:order val="2"/>
          <c:tx>
            <c:strRef>
              <c:f>Sheet1!$D$1</c:f>
              <c:strCache>
                <c:ptCount val="1"/>
                <c:pt idx="0">
                  <c:v>тешко</c:v>
                </c:pt>
              </c:strCache>
            </c:strRef>
          </c:tx>
          <c:spPr>
            <a:solidFill>
              <a:srgbClr val="FFFF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45.3</c:v>
                </c:pt>
              </c:numCache>
            </c:numRef>
          </c:val>
          <c:extLst>
            <c:ext xmlns:c16="http://schemas.microsoft.com/office/drawing/2014/chart" uri="{C3380CC4-5D6E-409C-BE32-E72D297353CC}">
              <c16:uniqueId val="{00000003-CA34-E042-8717-B9C66A4AE68E}"/>
            </c:ext>
          </c:extLst>
        </c:ser>
        <c:dLbls>
          <c:showLegendKey val="0"/>
          <c:showVal val="1"/>
          <c:showCatName val="0"/>
          <c:showSerName val="0"/>
          <c:showPercent val="0"/>
          <c:showBubbleSize val="0"/>
        </c:dLbls>
        <c:gapWidth val="150"/>
        <c:shape val="box"/>
        <c:axId val="193585920"/>
        <c:axId val="193587456"/>
        <c:axId val="0"/>
      </c:bar3DChart>
      <c:catAx>
        <c:axId val="193585920"/>
        <c:scaling>
          <c:orientation val="minMax"/>
        </c:scaling>
        <c:delete val="1"/>
        <c:axPos val="l"/>
        <c:numFmt formatCode="General" sourceLinked="1"/>
        <c:majorTickMark val="none"/>
        <c:minorTickMark val="none"/>
        <c:tickLblPos val="nextTo"/>
        <c:crossAx val="193587456"/>
        <c:crosses val="autoZero"/>
        <c:auto val="1"/>
        <c:lblAlgn val="ctr"/>
        <c:lblOffset val="100"/>
        <c:noMultiLvlLbl val="0"/>
      </c:catAx>
      <c:valAx>
        <c:axId val="193587456"/>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58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Sheet1!$B$1</c:f>
              <c:strCache>
                <c:ptCount val="1"/>
                <c:pt idx="0">
                  <c:v>нема</c:v>
                </c:pt>
              </c:strCache>
            </c:strRef>
          </c:tx>
          <c:spPr>
            <a:solidFill>
              <a:schemeClr val="accent4">
                <a:lumMod val="60000"/>
                <a:lumOff val="40000"/>
              </a:schemeClr>
            </a:solidFill>
            <a:ln>
              <a:noFill/>
            </a:ln>
            <a:effectLst/>
            <a:scene3d>
              <a:camera prst="orthographicFront"/>
              <a:lightRig rig="threePt" dir="t"/>
            </a:scene3d>
            <a:sp3d>
              <a:bevelT/>
            </a:sp3d>
          </c:spPr>
          <c:invertIfNegative val="0"/>
          <c:dPt>
            <c:idx val="0"/>
            <c:invertIfNegative val="0"/>
            <c:bubble3D val="0"/>
            <c:spPr>
              <a:solidFill>
                <a:schemeClr val="accent4">
                  <a:lumMod val="75000"/>
                </a:schemeClr>
              </a:solidFill>
              <a:ln>
                <a:noFill/>
              </a:ln>
              <a:effectLst/>
              <a:scene3d>
                <a:camera prst="orthographicFront"/>
                <a:lightRig rig="threePt" dir="t"/>
              </a:scene3d>
              <a:sp3d>
                <a:bevelT/>
              </a:sp3d>
            </c:spPr>
            <c:extLst>
              <c:ext xmlns:c16="http://schemas.microsoft.com/office/drawing/2014/chart" uri="{C3380CC4-5D6E-409C-BE32-E72D297353CC}">
                <c16:uniqueId val="{00000001-4FFE-5C46-9EF4-7F2430D3E159}"/>
              </c:ext>
            </c:extLst>
          </c:dPt>
          <c:dLbls>
            <c:dLbl>
              <c:idx val="0"/>
              <c:layout>
                <c:manualLayout>
                  <c:x val="1.6203703703703724E-2"/>
                  <c:y val="-0.2119180294770846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FFE-5C46-9EF4-7F2430D3E1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12.5</c:v>
                </c:pt>
              </c:numCache>
            </c:numRef>
          </c:val>
          <c:extLst>
            <c:ext xmlns:c16="http://schemas.microsoft.com/office/drawing/2014/chart" uri="{C3380CC4-5D6E-409C-BE32-E72D297353CC}">
              <c16:uniqueId val="{00000002-4FFE-5C46-9EF4-7F2430D3E159}"/>
            </c:ext>
          </c:extLst>
        </c:ser>
        <c:ser>
          <c:idx val="1"/>
          <c:order val="1"/>
          <c:tx>
            <c:strRef>
              <c:f>Sheet1!$C$1</c:f>
              <c:strCache>
                <c:ptCount val="1"/>
                <c:pt idx="0">
                  <c:v>ооzing bleeding</c:v>
                </c:pt>
              </c:strCache>
            </c:strRef>
          </c:tx>
          <c:spPr>
            <a:solidFill>
              <a:srgbClr val="FFFF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84.4</c:v>
                </c:pt>
              </c:numCache>
            </c:numRef>
          </c:val>
          <c:extLst>
            <c:ext xmlns:c16="http://schemas.microsoft.com/office/drawing/2014/chart" uri="{C3380CC4-5D6E-409C-BE32-E72D297353CC}">
              <c16:uniqueId val="{00000003-4FFE-5C46-9EF4-7F2430D3E159}"/>
            </c:ext>
          </c:extLst>
        </c:ser>
        <c:ser>
          <c:idx val="2"/>
          <c:order val="2"/>
          <c:tx>
            <c:strRef>
              <c:f>Sheet1!$D$1</c:f>
              <c:strCache>
                <c:ptCount val="1"/>
                <c:pt idx="0">
                  <c:v>лесно</c:v>
                </c:pt>
              </c:strCache>
            </c:strRef>
          </c:tx>
          <c:spPr>
            <a:solidFill>
              <a:srgbClr val="FFC000"/>
            </a:solidFill>
            <a:ln>
              <a:noFill/>
            </a:ln>
            <a:effectLst/>
            <a:scene3d>
              <a:camera prst="orthographicFront"/>
              <a:lightRig rig="threePt" dir="t"/>
            </a:scene3d>
            <a:sp3d>
              <a:bevelT/>
            </a:sp3d>
          </c:spPr>
          <c:invertIfNegative val="0"/>
          <c:dLbls>
            <c:dLbl>
              <c:idx val="0"/>
              <c:layout>
                <c:manualLayout>
                  <c:x val="6.4814814814814811E-2"/>
                  <c:y val="-3.84615384615384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FFE-5C46-9EF4-7F2430D3E1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3.1</c:v>
                </c:pt>
              </c:numCache>
            </c:numRef>
          </c:val>
          <c:extLst>
            <c:ext xmlns:c16="http://schemas.microsoft.com/office/drawing/2014/chart" uri="{C3380CC4-5D6E-409C-BE32-E72D297353CC}">
              <c16:uniqueId val="{00000005-4FFE-5C46-9EF4-7F2430D3E159}"/>
            </c:ext>
          </c:extLst>
        </c:ser>
        <c:dLbls>
          <c:showLegendKey val="0"/>
          <c:showVal val="1"/>
          <c:showCatName val="0"/>
          <c:showSerName val="0"/>
          <c:showPercent val="0"/>
          <c:showBubbleSize val="0"/>
        </c:dLbls>
        <c:gapWidth val="150"/>
        <c:shape val="box"/>
        <c:axId val="202498048"/>
        <c:axId val="202499584"/>
        <c:axId val="0"/>
      </c:bar3DChart>
      <c:catAx>
        <c:axId val="202498048"/>
        <c:scaling>
          <c:orientation val="minMax"/>
        </c:scaling>
        <c:delete val="1"/>
        <c:axPos val="l"/>
        <c:numFmt formatCode="General" sourceLinked="1"/>
        <c:majorTickMark val="none"/>
        <c:minorTickMark val="none"/>
        <c:tickLblPos val="nextTo"/>
        <c:crossAx val="202499584"/>
        <c:crosses val="autoZero"/>
        <c:auto val="1"/>
        <c:lblAlgn val="ctr"/>
        <c:lblOffset val="100"/>
        <c:noMultiLvlLbl val="0"/>
      </c:catAx>
      <c:valAx>
        <c:axId val="202499584"/>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498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percentStacked"/>
        <c:varyColors val="0"/>
        <c:ser>
          <c:idx val="0"/>
          <c:order val="0"/>
          <c:tx>
            <c:strRef>
              <c:f>Sheet1!$B$1</c:f>
              <c:strCache>
                <c:ptCount val="1"/>
                <c:pt idx="0">
                  <c:v>дентоалвеоларна</c:v>
                </c:pt>
              </c:strCache>
            </c:strRef>
          </c:tx>
          <c:spPr>
            <a:solidFill>
              <a:schemeClr val="accent4">
                <a:lumMod val="75000"/>
              </a:schemeClr>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Sheet1!$B$2</c:f>
              <c:numCache>
                <c:formatCode>General</c:formatCode>
                <c:ptCount val="1"/>
                <c:pt idx="0">
                  <c:v>46.9</c:v>
                </c:pt>
              </c:numCache>
            </c:numRef>
          </c:val>
          <c:extLst>
            <c:ext xmlns:c16="http://schemas.microsoft.com/office/drawing/2014/chart" uri="{C3380CC4-5D6E-409C-BE32-E72D297353CC}">
              <c16:uniqueId val="{00000000-FE00-204C-8BBB-AE4536019E2F}"/>
            </c:ext>
          </c:extLst>
        </c:ser>
        <c:ser>
          <c:idx val="1"/>
          <c:order val="1"/>
          <c:tx>
            <c:strRef>
              <c:f>Sheet1!$C$1</c:f>
              <c:strCache>
                <c:ptCount val="1"/>
                <c:pt idx="0">
                  <c:v>мандибула </c:v>
                </c:pt>
              </c:strCache>
            </c:strRef>
          </c:tx>
          <c:spPr>
            <a:solidFill>
              <a:srgbClr val="FFFF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Sheet1!$C$2</c:f>
              <c:numCache>
                <c:formatCode>General</c:formatCode>
                <c:ptCount val="1"/>
                <c:pt idx="0">
                  <c:v>23.4</c:v>
                </c:pt>
              </c:numCache>
            </c:numRef>
          </c:val>
          <c:extLst>
            <c:ext xmlns:c16="http://schemas.microsoft.com/office/drawing/2014/chart" uri="{C3380CC4-5D6E-409C-BE32-E72D297353CC}">
              <c16:uniqueId val="{00000001-FE00-204C-8BBB-AE4536019E2F}"/>
            </c:ext>
          </c:extLst>
        </c:ser>
        <c:ser>
          <c:idx val="2"/>
          <c:order val="2"/>
          <c:tx>
            <c:strRef>
              <c:f>Sheet1!$D$1</c:f>
              <c:strCache>
                <c:ptCount val="1"/>
                <c:pt idx="0">
                  <c:v>максила</c:v>
                </c:pt>
              </c:strCache>
            </c:strRef>
          </c:tx>
          <c:spPr>
            <a:solidFill>
              <a:srgbClr val="FFC000"/>
            </a:solidFill>
            <a:ln>
              <a:noFill/>
            </a:ln>
            <a:effectLst/>
            <a:scene3d>
              <a:camera prst="orthographicFront"/>
              <a:lightRig rig="threePt" dir="t"/>
            </a:scene3d>
            <a:sp3d>
              <a:bevel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Category 1</c:v>
                </c:pt>
              </c:strCache>
            </c:strRef>
          </c:cat>
          <c:val>
            <c:numRef>
              <c:f>Sheet1!$D$2</c:f>
              <c:numCache>
                <c:formatCode>General</c:formatCode>
                <c:ptCount val="1"/>
                <c:pt idx="0">
                  <c:v>29.7</c:v>
                </c:pt>
              </c:numCache>
            </c:numRef>
          </c:val>
          <c:extLst>
            <c:ext xmlns:c16="http://schemas.microsoft.com/office/drawing/2014/chart" uri="{C3380CC4-5D6E-409C-BE32-E72D297353CC}">
              <c16:uniqueId val="{00000002-FE00-204C-8BBB-AE4536019E2F}"/>
            </c:ext>
          </c:extLst>
        </c:ser>
        <c:dLbls>
          <c:showLegendKey val="0"/>
          <c:showVal val="1"/>
          <c:showCatName val="0"/>
          <c:showSerName val="0"/>
          <c:showPercent val="0"/>
          <c:showBubbleSize val="0"/>
        </c:dLbls>
        <c:gapWidth val="150"/>
        <c:shape val="box"/>
        <c:axId val="202589312"/>
        <c:axId val="202590848"/>
        <c:axId val="0"/>
      </c:bar3DChart>
      <c:catAx>
        <c:axId val="202589312"/>
        <c:scaling>
          <c:orientation val="minMax"/>
        </c:scaling>
        <c:delete val="1"/>
        <c:axPos val="l"/>
        <c:numFmt formatCode="General" sourceLinked="1"/>
        <c:majorTickMark val="none"/>
        <c:minorTickMark val="none"/>
        <c:tickLblPos val="nextTo"/>
        <c:crossAx val="202590848"/>
        <c:crosses val="autoZero"/>
        <c:auto val="1"/>
        <c:lblAlgn val="ctr"/>
        <c:lblOffset val="100"/>
        <c:noMultiLvlLbl val="0"/>
      </c:catAx>
      <c:valAx>
        <c:axId val="202590848"/>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589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Column1</c:v>
                </c:pt>
              </c:strCache>
            </c:strRef>
          </c:tx>
          <c:spPr>
            <a:solidFill>
              <a:schemeClr val="bg1">
                <a:lumMod val="50000"/>
              </a:schemeClr>
            </a:solidFill>
            <a:scene3d>
              <a:camera prst="orthographicFront"/>
              <a:lightRig rig="threePt" dir="t"/>
            </a:scene3d>
            <a:sp3d>
              <a:bevelT/>
            </a:sp3d>
          </c:spPr>
          <c:explosion val="22"/>
          <c:dPt>
            <c:idx val="0"/>
            <c:bubble3D val="0"/>
            <c:spPr>
              <a:solidFill>
                <a:schemeClr val="bg1">
                  <a:lumMod val="50000"/>
                </a:schemeClr>
              </a:solidFill>
              <a:ln>
                <a:noFill/>
              </a:ln>
              <a:effectLst/>
              <a:scene3d>
                <a:camera prst="orthographicFront"/>
                <a:lightRig rig="threePt" dir="t"/>
              </a:scene3d>
              <a:sp3d>
                <a:bevelT/>
              </a:sp3d>
            </c:spPr>
            <c:extLst>
              <c:ext xmlns:c16="http://schemas.microsoft.com/office/drawing/2014/chart" uri="{C3380CC4-5D6E-409C-BE32-E72D297353CC}">
                <c16:uniqueId val="{00000001-A2C8-1C48-A415-A4B5A90043C2}"/>
              </c:ext>
            </c:extLst>
          </c:dPt>
          <c:dPt>
            <c:idx val="1"/>
            <c:bubble3D val="0"/>
            <c:explosion val="37"/>
            <c:spPr>
              <a:solidFill>
                <a:srgbClr val="FFFF00"/>
              </a:solidFill>
              <a:ln>
                <a:noFill/>
              </a:ln>
              <a:effectLst/>
              <a:scene3d>
                <a:camera prst="orthographicFront"/>
                <a:lightRig rig="threePt" dir="t"/>
              </a:scene3d>
              <a:sp3d>
                <a:bevelT/>
              </a:sp3d>
            </c:spPr>
            <c:extLst>
              <c:ext xmlns:c16="http://schemas.microsoft.com/office/drawing/2014/chart" uri="{C3380CC4-5D6E-409C-BE32-E72D297353CC}">
                <c16:uniqueId val="{00000003-A2C8-1C48-A415-A4B5A90043C2}"/>
              </c:ext>
            </c:extLst>
          </c:dPt>
          <c:dPt>
            <c:idx val="2"/>
            <c:bubble3D val="0"/>
            <c:explosion val="33"/>
            <c:spPr>
              <a:solidFill>
                <a:srgbClr val="FFC000"/>
              </a:solidFill>
              <a:ln>
                <a:noFill/>
              </a:ln>
              <a:effectLst/>
              <a:scene3d>
                <a:camera prst="orthographicFront"/>
                <a:lightRig rig="threePt" dir="t"/>
              </a:scene3d>
              <a:sp3d>
                <a:bevelT/>
              </a:sp3d>
            </c:spPr>
            <c:extLst>
              <c:ext xmlns:c16="http://schemas.microsoft.com/office/drawing/2014/chart" uri="{C3380CC4-5D6E-409C-BE32-E72D297353CC}">
                <c16:uniqueId val="{00000005-A2C8-1C48-A415-A4B5A90043C2}"/>
              </c:ext>
            </c:extLst>
          </c:dPt>
          <c:dLbls>
            <c:dLbl>
              <c:idx val="1"/>
              <c:layout>
                <c:manualLayout>
                  <c:x val="-2.463054097404491E-2"/>
                  <c:y val="8.507286910430234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2C8-1C48-A415-A4B5A90043C2}"/>
                </c:ext>
              </c:extLst>
            </c:dLbl>
            <c:dLbl>
              <c:idx val="2"/>
              <c:layout>
                <c:manualLayout>
                  <c:x val="4.7195610965296002E-2"/>
                  <c:y val="4.8657683577277192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2C8-1C48-A415-A4B5A90043C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нема</c:v>
                </c:pt>
                <c:pt idx="1">
                  <c:v>гадење</c:v>
                </c:pt>
                <c:pt idx="2">
                  <c:v>вртоглавица</c:v>
                </c:pt>
              </c:strCache>
            </c:strRef>
          </c:cat>
          <c:val>
            <c:numRef>
              <c:f>Sheet1!$B$2:$B$4</c:f>
              <c:numCache>
                <c:formatCode>General</c:formatCode>
                <c:ptCount val="3"/>
                <c:pt idx="0">
                  <c:v>95.3</c:v>
                </c:pt>
                <c:pt idx="1">
                  <c:v>3.1</c:v>
                </c:pt>
                <c:pt idx="2">
                  <c:v>1.6</c:v>
                </c:pt>
              </c:numCache>
            </c:numRef>
          </c:val>
          <c:extLst>
            <c:ext xmlns:c16="http://schemas.microsoft.com/office/drawing/2014/chart" uri="{C3380CC4-5D6E-409C-BE32-E72D297353CC}">
              <c16:uniqueId val="{00000006-A2C8-1C48-A415-A4B5A90043C2}"/>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Sales</c:v>
                </c:pt>
              </c:strCache>
            </c:strRef>
          </c:tx>
          <c:explosion val="11"/>
          <c:dPt>
            <c:idx val="0"/>
            <c:bubble3D val="0"/>
            <c:spPr>
              <a:solidFill>
                <a:schemeClr val="bg1">
                  <a:lumMod val="50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1-F8FA-1242-AA55-5E5A6E3C9FD8}"/>
              </c:ext>
            </c:extLst>
          </c:dPt>
          <c:dPt>
            <c:idx val="1"/>
            <c:bubble3D val="0"/>
            <c:spPr>
              <a:solidFill>
                <a:srgbClr val="0070C0"/>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3-F8FA-1242-AA55-5E5A6E3C9FD8}"/>
              </c:ext>
            </c:extLst>
          </c:dPt>
          <c:dPt>
            <c:idx val="2"/>
            <c:bubble3D val="0"/>
            <c:spPr>
              <a:solidFill>
                <a:schemeClr val="bg1">
                  <a:lumMod val="8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5-F8FA-1242-AA55-5E5A6E3C9FD8}"/>
              </c:ext>
            </c:extLst>
          </c:dPt>
          <c:dPt>
            <c:idx val="3"/>
            <c:bubble3D val="0"/>
            <c:spPr>
              <a:solidFill>
                <a:srgbClr val="FFFF00"/>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7-F8FA-1242-AA55-5E5A6E3C9FD8}"/>
              </c:ext>
            </c:extLst>
          </c:dPt>
          <c:dPt>
            <c:idx val="4"/>
            <c:bubble3D val="0"/>
            <c:spPr>
              <a:solidFill>
                <a:schemeClr val="tx1">
                  <a:lumMod val="75000"/>
                  <a:lumOff val="25000"/>
                </a:schemeClr>
              </a:solidFill>
              <a:ln w="19050">
                <a:solidFill>
                  <a:schemeClr val="lt1"/>
                </a:solidFill>
              </a:ln>
              <a:effectLst/>
              <a:scene3d>
                <a:camera prst="orthographicFront"/>
                <a:lightRig rig="threePt" dir="t"/>
              </a:scene3d>
              <a:sp3d>
                <a:bevelT/>
              </a:sp3d>
            </c:spPr>
            <c:extLst>
              <c:ext xmlns:c16="http://schemas.microsoft.com/office/drawing/2014/chart" uri="{C3380CC4-5D6E-409C-BE32-E72D297353CC}">
                <c16:uniqueId val="{00000009-F8FA-1242-AA55-5E5A6E3C9FD8}"/>
              </c:ext>
            </c:extLst>
          </c:dPt>
          <c:dLbls>
            <c:dLbl>
              <c:idx val="4"/>
              <c:layout>
                <c:manualLayout>
                  <c:x val="3.685221638961788E-2"/>
                  <c:y val="1.479877515310586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8FA-1242-AA55-5E5A6E3C9FD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Sheet1!$A$2:$A$6</c:f>
              <c:strCache>
                <c:ptCount val="5"/>
                <c:pt idx="0">
                  <c:v>1</c:v>
                </c:pt>
                <c:pt idx="1">
                  <c:v>1.5</c:v>
                </c:pt>
                <c:pt idx="2">
                  <c:v>1.5 x 2</c:v>
                </c:pt>
                <c:pt idx="3">
                  <c:v>1x2</c:v>
                </c:pt>
                <c:pt idx="4">
                  <c:v>недостасува</c:v>
                </c:pt>
              </c:strCache>
            </c:strRef>
          </c:cat>
          <c:val>
            <c:numRef>
              <c:f>Sheet1!$B$2:$B$6</c:f>
              <c:numCache>
                <c:formatCode>General</c:formatCode>
                <c:ptCount val="5"/>
                <c:pt idx="0">
                  <c:v>35.9</c:v>
                </c:pt>
                <c:pt idx="1">
                  <c:v>26.5</c:v>
                </c:pt>
                <c:pt idx="2">
                  <c:v>21.9</c:v>
                </c:pt>
                <c:pt idx="3">
                  <c:v>14.1</c:v>
                </c:pt>
                <c:pt idx="4">
                  <c:v>1.6</c:v>
                </c:pt>
              </c:numCache>
            </c:numRef>
          </c:val>
          <c:extLst>
            <c:ext xmlns:c16="http://schemas.microsoft.com/office/drawing/2014/chart" uri="{C3380CC4-5D6E-409C-BE32-E72D297353CC}">
              <c16:uniqueId val="{0000000A-F8FA-1242-AA55-5E5A6E3C9FD8}"/>
            </c:ext>
          </c:extLst>
        </c:ser>
        <c:dLbls>
          <c:dLblPos val="ctr"/>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848BC-67F6-45EA-BC30-A9EEB1032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900</TotalTime>
  <Pages>186</Pages>
  <Words>42104</Words>
  <Characters>245473</Characters>
  <Application>Microsoft Office Word</Application>
  <DocSecurity>0</DocSecurity>
  <Lines>5708</Lines>
  <Paragraphs>1764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Filip Koneski</dc:creator>
  <cp:lastModifiedBy>Zane Gjorgjevikj</cp:lastModifiedBy>
  <cp:revision>33</cp:revision>
  <dcterms:created xsi:type="dcterms:W3CDTF">2025-09-14T17:31:00Z</dcterms:created>
  <dcterms:modified xsi:type="dcterms:W3CDTF">2025-09-17T10:41:00Z</dcterms:modified>
</cp:coreProperties>
</file>