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4C4" w:rsidRPr="008F5983" w:rsidRDefault="00B464C4" w:rsidP="00B464C4">
      <w:pPr>
        <w:spacing w:line="360" w:lineRule="auto"/>
        <w:jc w:val="center"/>
        <w:rPr>
          <w:rFonts w:ascii="Georgia" w:hAnsi="Georgia"/>
          <w:b/>
          <w:sz w:val="24"/>
          <w:szCs w:val="24"/>
        </w:rPr>
      </w:pPr>
      <w:bookmarkStart w:id="0" w:name="_GoBack"/>
      <w:bookmarkEnd w:id="0"/>
      <w:r w:rsidRPr="008F5983">
        <w:rPr>
          <w:rFonts w:ascii="Georgia" w:hAnsi="Georgia"/>
          <w:b/>
          <w:sz w:val="24"/>
          <w:szCs w:val="24"/>
        </w:rPr>
        <w:t xml:space="preserve">УНИВЕРЗИТЕТ “СВ. КИРИЛ И МЕТОДИЈ” </w:t>
      </w:r>
    </w:p>
    <w:p w:rsidR="00B464C4" w:rsidRPr="008F5983" w:rsidRDefault="00B464C4" w:rsidP="00B464C4">
      <w:pPr>
        <w:spacing w:line="360" w:lineRule="auto"/>
        <w:jc w:val="center"/>
        <w:rPr>
          <w:rFonts w:ascii="Georgia" w:hAnsi="Georgia"/>
          <w:b/>
          <w:sz w:val="24"/>
          <w:szCs w:val="24"/>
        </w:rPr>
      </w:pPr>
      <w:r w:rsidRPr="008F5983">
        <w:rPr>
          <w:rFonts w:ascii="Georgia" w:hAnsi="Georgia"/>
          <w:b/>
          <w:sz w:val="24"/>
          <w:szCs w:val="24"/>
        </w:rPr>
        <w:t>СТОМАТОЛОШКИ ФАКУЛТЕТ - СКОПЈЕ</w:t>
      </w:r>
    </w:p>
    <w:p w:rsidR="00B464C4" w:rsidRPr="008F5983" w:rsidRDefault="00446A60" w:rsidP="00B464C4">
      <w:pPr>
        <w:spacing w:line="360" w:lineRule="auto"/>
        <w:jc w:val="center"/>
        <w:rPr>
          <w:rFonts w:ascii="Georgia" w:hAnsi="Georgia"/>
          <w:b/>
          <w:sz w:val="24"/>
          <w:szCs w:val="24"/>
        </w:rPr>
      </w:pPr>
      <w:r>
        <w:rPr>
          <w:rFonts w:ascii="Georgia" w:hAnsi="Georgia"/>
          <w:noProof/>
          <w:sz w:val="24"/>
          <w:szCs w:val="24"/>
          <w:lang w:val="en-US"/>
        </w:rPr>
        <w:drawing>
          <wp:anchor distT="0" distB="0" distL="114300" distR="114300" simplePos="0" relativeHeight="251641344" behindDoc="1" locked="0" layoutInCell="1" allowOverlap="1">
            <wp:simplePos x="0" y="0"/>
            <wp:positionH relativeFrom="column">
              <wp:posOffset>1600200</wp:posOffset>
            </wp:positionH>
            <wp:positionV relativeFrom="paragraph">
              <wp:posOffset>188595</wp:posOffset>
            </wp:positionV>
            <wp:extent cx="1266825" cy="1485900"/>
            <wp:effectExtent l="19050" t="0" r="9525" b="0"/>
            <wp:wrapTight wrapText="bothSides">
              <wp:wrapPolygon edited="0">
                <wp:start x="9744" y="0"/>
                <wp:lineTo x="-325" y="4985"/>
                <wp:lineTo x="-325" y="16062"/>
                <wp:lineTo x="974" y="17723"/>
                <wp:lineTo x="2923" y="17723"/>
                <wp:lineTo x="8770" y="21323"/>
                <wp:lineTo x="9095" y="21323"/>
                <wp:lineTo x="12668" y="21323"/>
                <wp:lineTo x="12992" y="21323"/>
                <wp:lineTo x="18839" y="18000"/>
                <wp:lineTo x="20788" y="17723"/>
                <wp:lineTo x="21762" y="16062"/>
                <wp:lineTo x="21762" y="4985"/>
                <wp:lineTo x="21113" y="4431"/>
                <wp:lineTo x="12018" y="0"/>
                <wp:lineTo x="9744" y="0"/>
              </wp:wrapPolygon>
            </wp:wrapTight>
            <wp:docPr id="1241" name="Picture 35" descr="C:\Users\x\Desktop\200px-Kiril.metod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x\Desktop\200px-Kiril.metodij.png"/>
                    <pic:cNvPicPr>
                      <a:picLocks noChangeAspect="1" noChangeArrowheads="1"/>
                    </pic:cNvPicPr>
                  </pic:nvPicPr>
                  <pic:blipFill>
                    <a:blip r:embed="rId9"/>
                    <a:srcRect/>
                    <a:stretch>
                      <a:fillRect/>
                    </a:stretch>
                  </pic:blipFill>
                  <pic:spPr bwMode="auto">
                    <a:xfrm>
                      <a:off x="0" y="0"/>
                      <a:ext cx="1266825" cy="1485900"/>
                    </a:xfrm>
                    <a:prstGeom prst="rect">
                      <a:avLst/>
                    </a:prstGeom>
                    <a:noFill/>
                    <a:ln w="9525">
                      <a:noFill/>
                      <a:miter lim="800000"/>
                      <a:headEnd/>
                      <a:tailEnd/>
                    </a:ln>
                  </pic:spPr>
                </pic:pic>
              </a:graphicData>
            </a:graphic>
          </wp:anchor>
        </w:drawing>
      </w:r>
      <w:r>
        <w:rPr>
          <w:rFonts w:ascii="Georgia" w:hAnsi="Georgia"/>
          <w:noProof/>
          <w:sz w:val="24"/>
          <w:szCs w:val="24"/>
          <w:lang w:val="en-US"/>
        </w:rPr>
        <w:drawing>
          <wp:anchor distT="0" distB="0" distL="114300" distR="114300" simplePos="0" relativeHeight="251642368" behindDoc="1" locked="0" layoutInCell="1" allowOverlap="1">
            <wp:simplePos x="0" y="0"/>
            <wp:positionH relativeFrom="column">
              <wp:posOffset>3295650</wp:posOffset>
            </wp:positionH>
            <wp:positionV relativeFrom="paragraph">
              <wp:posOffset>226695</wp:posOffset>
            </wp:positionV>
            <wp:extent cx="1552575" cy="1447800"/>
            <wp:effectExtent l="19050" t="0" r="9525" b="0"/>
            <wp:wrapTight wrapText="bothSides">
              <wp:wrapPolygon edited="0">
                <wp:start x="-265" y="0"/>
                <wp:lineTo x="-265" y="21316"/>
                <wp:lineTo x="21733" y="21316"/>
                <wp:lineTo x="21733" y="0"/>
                <wp:lineTo x="-265" y="0"/>
              </wp:wrapPolygon>
            </wp:wrapTight>
            <wp:docPr id="1242" name="Picture 38" descr="C:\Users\x\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x\Desktop\images.png"/>
                    <pic:cNvPicPr>
                      <a:picLocks noChangeAspect="1" noChangeArrowheads="1"/>
                    </pic:cNvPicPr>
                  </pic:nvPicPr>
                  <pic:blipFill>
                    <a:blip r:embed="rId10"/>
                    <a:srcRect/>
                    <a:stretch>
                      <a:fillRect/>
                    </a:stretch>
                  </pic:blipFill>
                  <pic:spPr bwMode="auto">
                    <a:xfrm>
                      <a:off x="0" y="0"/>
                      <a:ext cx="1552575" cy="1447800"/>
                    </a:xfrm>
                    <a:prstGeom prst="rect">
                      <a:avLst/>
                    </a:prstGeom>
                    <a:noFill/>
                    <a:ln w="9525">
                      <a:noFill/>
                      <a:miter lim="800000"/>
                      <a:headEnd/>
                      <a:tailEnd/>
                    </a:ln>
                  </pic:spPr>
                </pic:pic>
              </a:graphicData>
            </a:graphic>
          </wp:anchor>
        </w:drawing>
      </w:r>
    </w:p>
    <w:p w:rsidR="00B464C4" w:rsidRPr="008F5983" w:rsidRDefault="00B464C4" w:rsidP="00B464C4">
      <w:pPr>
        <w:spacing w:line="360" w:lineRule="auto"/>
        <w:jc w:val="center"/>
        <w:rPr>
          <w:rFonts w:ascii="Georgia" w:hAnsi="Georgia"/>
          <w:sz w:val="24"/>
          <w:szCs w:val="24"/>
        </w:rPr>
      </w:pPr>
    </w:p>
    <w:p w:rsidR="00B464C4" w:rsidRPr="008F5983" w:rsidRDefault="00B464C4" w:rsidP="00B464C4">
      <w:pPr>
        <w:spacing w:line="360" w:lineRule="auto"/>
        <w:jc w:val="center"/>
        <w:rPr>
          <w:rFonts w:ascii="Georgia" w:hAnsi="Georgia"/>
          <w:sz w:val="24"/>
          <w:szCs w:val="24"/>
        </w:rPr>
      </w:pPr>
    </w:p>
    <w:p w:rsidR="00B464C4" w:rsidRPr="008F5983" w:rsidRDefault="00B464C4" w:rsidP="00B464C4">
      <w:pPr>
        <w:spacing w:line="360" w:lineRule="auto"/>
        <w:jc w:val="center"/>
        <w:rPr>
          <w:rFonts w:ascii="Georgia" w:hAnsi="Georgia"/>
          <w:sz w:val="24"/>
          <w:szCs w:val="24"/>
        </w:rPr>
      </w:pPr>
    </w:p>
    <w:p w:rsidR="00B464C4" w:rsidRPr="00A926CA" w:rsidRDefault="00B464C4" w:rsidP="004227C6">
      <w:pPr>
        <w:jc w:val="center"/>
        <w:rPr>
          <w:rFonts w:ascii="Times New Roman" w:hAnsi="Times New Roman" w:cs="Times New Roman"/>
          <w:b/>
          <w:color w:val="000000"/>
          <w:sz w:val="32"/>
          <w:szCs w:val="32"/>
          <w:lang w:val="ru-RU"/>
        </w:rPr>
      </w:pPr>
    </w:p>
    <w:p w:rsidR="00B464C4" w:rsidRPr="00A926CA" w:rsidRDefault="00B464C4" w:rsidP="004227C6">
      <w:pPr>
        <w:jc w:val="center"/>
        <w:rPr>
          <w:rFonts w:ascii="Times New Roman" w:hAnsi="Times New Roman" w:cs="Times New Roman"/>
          <w:b/>
          <w:color w:val="000000"/>
          <w:sz w:val="32"/>
          <w:szCs w:val="32"/>
          <w:lang w:val="ru-RU"/>
        </w:rPr>
      </w:pPr>
    </w:p>
    <w:p w:rsidR="00B464C4" w:rsidRPr="00A926CA" w:rsidRDefault="00B464C4" w:rsidP="004227C6">
      <w:pPr>
        <w:jc w:val="center"/>
        <w:rPr>
          <w:rFonts w:ascii="Times New Roman" w:hAnsi="Times New Roman" w:cs="Times New Roman"/>
          <w:b/>
          <w:color w:val="000000"/>
          <w:sz w:val="32"/>
          <w:szCs w:val="32"/>
          <w:lang w:val="ru-RU"/>
        </w:rPr>
      </w:pPr>
    </w:p>
    <w:p w:rsidR="00B464C4" w:rsidRPr="00A926CA" w:rsidRDefault="00B464C4" w:rsidP="004227C6">
      <w:pPr>
        <w:jc w:val="center"/>
        <w:rPr>
          <w:rFonts w:ascii="Times New Roman" w:hAnsi="Times New Roman" w:cs="Times New Roman"/>
          <w:b/>
          <w:color w:val="000000"/>
          <w:sz w:val="32"/>
          <w:szCs w:val="32"/>
          <w:lang w:val="ru-RU"/>
        </w:rPr>
      </w:pPr>
    </w:p>
    <w:p w:rsidR="00B464C4" w:rsidRPr="00A926CA" w:rsidRDefault="00B464C4" w:rsidP="004227C6">
      <w:pPr>
        <w:jc w:val="center"/>
        <w:rPr>
          <w:rFonts w:ascii="Times New Roman" w:hAnsi="Times New Roman" w:cs="Times New Roman"/>
          <w:b/>
          <w:color w:val="000000"/>
          <w:sz w:val="32"/>
          <w:szCs w:val="32"/>
          <w:lang w:val="ru-RU"/>
        </w:rPr>
      </w:pPr>
    </w:p>
    <w:p w:rsidR="00B464C4" w:rsidRPr="00A926CA" w:rsidRDefault="00B464C4" w:rsidP="004227C6">
      <w:pPr>
        <w:jc w:val="center"/>
        <w:rPr>
          <w:rFonts w:ascii="Times New Roman" w:hAnsi="Times New Roman" w:cs="Times New Roman"/>
          <w:b/>
          <w:color w:val="000000"/>
          <w:sz w:val="32"/>
          <w:szCs w:val="32"/>
          <w:lang w:val="ru-RU"/>
        </w:rPr>
      </w:pPr>
    </w:p>
    <w:p w:rsidR="008435C5" w:rsidRPr="008435C5" w:rsidRDefault="008435C5" w:rsidP="008435C5">
      <w:pPr>
        <w:tabs>
          <w:tab w:val="left" w:pos="6453"/>
        </w:tabs>
        <w:jc w:val="center"/>
        <w:rPr>
          <w:rFonts w:ascii="Times New Roman" w:hAnsi="Times New Roman" w:cs="Times New Roman"/>
          <w:b/>
          <w:sz w:val="32"/>
          <w:szCs w:val="32"/>
          <w:lang w:val="ru-RU"/>
        </w:rPr>
      </w:pPr>
      <w:r w:rsidRPr="008435C5">
        <w:rPr>
          <w:rFonts w:ascii="Times New Roman" w:hAnsi="Times New Roman" w:cs="Times New Roman"/>
          <w:b/>
          <w:sz w:val="32"/>
          <w:szCs w:val="32"/>
        </w:rPr>
        <w:t xml:space="preserve">ЕВАЛУАЦИЈА НА </w:t>
      </w:r>
      <w:r w:rsidRPr="008435C5">
        <w:rPr>
          <w:rFonts w:ascii="Times New Roman" w:hAnsi="Times New Roman" w:cs="Times New Roman"/>
          <w:b/>
          <w:sz w:val="32"/>
          <w:szCs w:val="32"/>
          <w:lang w:val="ru-RU"/>
        </w:rPr>
        <w:t>СЕРУМСКИ И</w:t>
      </w:r>
      <w:r w:rsidRPr="008435C5">
        <w:rPr>
          <w:rFonts w:ascii="Times New Roman" w:hAnsi="Times New Roman" w:cs="Times New Roman"/>
          <w:b/>
          <w:sz w:val="32"/>
          <w:szCs w:val="32"/>
        </w:rPr>
        <w:t xml:space="preserve"> САЛИВАРЕН INTERLEUKIN-33 </w:t>
      </w:r>
      <w:r w:rsidRPr="008435C5">
        <w:rPr>
          <w:rFonts w:ascii="Times New Roman" w:hAnsi="Times New Roman" w:cs="Times New Roman"/>
          <w:b/>
          <w:sz w:val="32"/>
          <w:szCs w:val="32"/>
          <w:lang w:val="ru-RU"/>
        </w:rPr>
        <w:t>ПОТЕНЦИЈАЛНИ МАРКЕРИ ЗА ТУМОРИ НА ПАРОТИДНИ ЖЛЕЗДИ</w:t>
      </w:r>
    </w:p>
    <w:p w:rsidR="008C475C" w:rsidRPr="004227C6" w:rsidRDefault="008C475C" w:rsidP="008C475C">
      <w:pPr>
        <w:spacing w:line="276" w:lineRule="auto"/>
        <w:rPr>
          <w:rFonts w:ascii="Georgia" w:hAnsi="Georgia"/>
          <w:color w:val="000000"/>
          <w:sz w:val="32"/>
          <w:szCs w:val="32"/>
        </w:rPr>
      </w:pPr>
    </w:p>
    <w:p w:rsidR="008C475C" w:rsidRPr="004227C6" w:rsidRDefault="004227C6" w:rsidP="008C475C">
      <w:pPr>
        <w:spacing w:line="276" w:lineRule="auto"/>
        <w:jc w:val="center"/>
        <w:rPr>
          <w:rFonts w:ascii="Georgia" w:hAnsi="Georgia"/>
          <w:color w:val="000000"/>
          <w:sz w:val="28"/>
          <w:szCs w:val="28"/>
        </w:rPr>
      </w:pPr>
      <w:r w:rsidRPr="004227C6">
        <w:rPr>
          <w:rFonts w:ascii="Georgia" w:hAnsi="Georgia"/>
          <w:color w:val="000000"/>
          <w:sz w:val="28"/>
          <w:szCs w:val="28"/>
        </w:rPr>
        <w:t>Докторска дисертација</w:t>
      </w:r>
    </w:p>
    <w:p w:rsidR="008C475C" w:rsidRPr="004227C6" w:rsidRDefault="008C475C" w:rsidP="008C475C">
      <w:pPr>
        <w:spacing w:line="276" w:lineRule="auto"/>
        <w:jc w:val="center"/>
        <w:rPr>
          <w:rFonts w:ascii="Georgia" w:hAnsi="Georgia"/>
          <w:color w:val="000000"/>
          <w:sz w:val="28"/>
          <w:szCs w:val="28"/>
        </w:rPr>
      </w:pPr>
    </w:p>
    <w:p w:rsidR="008C475C" w:rsidRPr="004227C6" w:rsidRDefault="008C475C" w:rsidP="008C475C">
      <w:pPr>
        <w:spacing w:line="276" w:lineRule="auto"/>
        <w:jc w:val="center"/>
        <w:rPr>
          <w:rFonts w:ascii="Georgia" w:hAnsi="Georgia"/>
          <w:color w:val="000000"/>
          <w:sz w:val="28"/>
          <w:szCs w:val="28"/>
        </w:rPr>
      </w:pPr>
    </w:p>
    <w:p w:rsidR="008C475C" w:rsidRPr="004227C6" w:rsidRDefault="008C475C" w:rsidP="008C475C">
      <w:pPr>
        <w:spacing w:line="276" w:lineRule="auto"/>
        <w:jc w:val="center"/>
        <w:rPr>
          <w:rFonts w:ascii="Georgia" w:hAnsi="Georgia"/>
          <w:color w:val="000000"/>
          <w:sz w:val="28"/>
          <w:szCs w:val="28"/>
        </w:rPr>
      </w:pPr>
      <w:r w:rsidRPr="004227C6">
        <w:rPr>
          <w:rFonts w:ascii="Georgia" w:hAnsi="Georgia"/>
          <w:color w:val="000000"/>
          <w:sz w:val="28"/>
          <w:szCs w:val="28"/>
        </w:rPr>
        <w:t>Кандидат:</w:t>
      </w:r>
    </w:p>
    <w:p w:rsidR="008C475C" w:rsidRPr="004227C6" w:rsidRDefault="008C475C" w:rsidP="008C475C">
      <w:pPr>
        <w:spacing w:line="276" w:lineRule="auto"/>
        <w:jc w:val="center"/>
        <w:rPr>
          <w:rFonts w:ascii="Georgia" w:hAnsi="Georgia"/>
          <w:b/>
          <w:color w:val="000000"/>
          <w:sz w:val="28"/>
          <w:szCs w:val="28"/>
        </w:rPr>
      </w:pPr>
    </w:p>
    <w:p w:rsidR="008C475C" w:rsidRPr="004227C6" w:rsidRDefault="00415A1E" w:rsidP="00415A1E">
      <w:pPr>
        <w:tabs>
          <w:tab w:val="center" w:pos="4513"/>
          <w:tab w:val="right" w:pos="9026"/>
        </w:tabs>
        <w:spacing w:line="276" w:lineRule="auto"/>
        <w:rPr>
          <w:rFonts w:ascii="Georgia" w:hAnsi="Georgia"/>
          <w:b/>
          <w:color w:val="000000"/>
          <w:sz w:val="32"/>
          <w:szCs w:val="32"/>
        </w:rPr>
      </w:pPr>
      <w:r>
        <w:rPr>
          <w:rFonts w:ascii="Times New Roman" w:hAnsi="Times New Roman" w:cs="Times New Roman"/>
          <w:b/>
          <w:color w:val="000000"/>
          <w:sz w:val="32"/>
          <w:szCs w:val="32"/>
        </w:rPr>
        <w:tab/>
      </w:r>
      <w:r w:rsidR="00597E5D" w:rsidRPr="004227C6">
        <w:rPr>
          <w:rFonts w:ascii="Times New Roman" w:hAnsi="Times New Roman" w:cs="Times New Roman"/>
          <w:b/>
          <w:color w:val="000000"/>
          <w:sz w:val="32"/>
          <w:szCs w:val="32"/>
        </w:rPr>
        <w:t xml:space="preserve">Д-р </w:t>
      </w:r>
      <w:r w:rsidR="008435C5">
        <w:rPr>
          <w:rFonts w:ascii="Times New Roman" w:hAnsi="Times New Roman" w:cs="Times New Roman"/>
          <w:b/>
          <w:color w:val="000000"/>
          <w:sz w:val="32"/>
          <w:szCs w:val="32"/>
        </w:rPr>
        <w:t>Александра Бранко</w:t>
      </w:r>
      <w:r>
        <w:rPr>
          <w:rFonts w:ascii="Times New Roman" w:hAnsi="Times New Roman" w:cs="Times New Roman"/>
          <w:b/>
          <w:color w:val="000000"/>
          <w:sz w:val="32"/>
          <w:szCs w:val="32"/>
        </w:rPr>
        <w:tab/>
      </w:r>
    </w:p>
    <w:p w:rsidR="008C475C" w:rsidRPr="004227C6" w:rsidRDefault="008C475C" w:rsidP="008C475C">
      <w:pPr>
        <w:spacing w:line="276" w:lineRule="auto"/>
        <w:jc w:val="center"/>
        <w:rPr>
          <w:rFonts w:ascii="Georgia" w:hAnsi="Georgia"/>
          <w:color w:val="000000"/>
          <w:sz w:val="28"/>
          <w:szCs w:val="28"/>
        </w:rPr>
      </w:pPr>
    </w:p>
    <w:p w:rsidR="00BE7774" w:rsidRPr="004227C6" w:rsidRDefault="00BE7774" w:rsidP="008C475C">
      <w:pPr>
        <w:spacing w:line="276" w:lineRule="auto"/>
        <w:jc w:val="center"/>
        <w:rPr>
          <w:rFonts w:ascii="Georgia" w:hAnsi="Georgia"/>
          <w:color w:val="000000"/>
          <w:sz w:val="28"/>
          <w:szCs w:val="28"/>
        </w:rPr>
      </w:pPr>
    </w:p>
    <w:p w:rsidR="00597E5D" w:rsidRPr="004227C6" w:rsidRDefault="00597E5D" w:rsidP="008C475C">
      <w:pPr>
        <w:spacing w:line="276" w:lineRule="auto"/>
        <w:jc w:val="center"/>
        <w:rPr>
          <w:rFonts w:ascii="Georgia" w:hAnsi="Georgia"/>
          <w:color w:val="000000"/>
          <w:sz w:val="28"/>
          <w:szCs w:val="28"/>
        </w:rPr>
      </w:pPr>
    </w:p>
    <w:p w:rsidR="008C475C" w:rsidRPr="004227C6" w:rsidRDefault="008C475C" w:rsidP="008C475C">
      <w:pPr>
        <w:spacing w:line="276" w:lineRule="auto"/>
        <w:jc w:val="center"/>
        <w:rPr>
          <w:rFonts w:ascii="Georgia" w:hAnsi="Georgia"/>
          <w:color w:val="000000"/>
          <w:sz w:val="28"/>
          <w:szCs w:val="28"/>
        </w:rPr>
      </w:pPr>
    </w:p>
    <w:p w:rsidR="008C475C" w:rsidRPr="007578D2" w:rsidRDefault="008C475C" w:rsidP="008C475C">
      <w:pPr>
        <w:spacing w:line="276" w:lineRule="auto"/>
        <w:jc w:val="center"/>
        <w:rPr>
          <w:rFonts w:ascii="Georgia" w:hAnsi="Georgia"/>
          <w:color w:val="000000"/>
          <w:sz w:val="32"/>
          <w:szCs w:val="32"/>
        </w:rPr>
      </w:pPr>
      <w:r w:rsidRPr="007578D2">
        <w:rPr>
          <w:rFonts w:ascii="Georgia" w:hAnsi="Georgia"/>
          <w:color w:val="000000"/>
          <w:sz w:val="32"/>
          <w:szCs w:val="32"/>
        </w:rPr>
        <w:t>Mентор:</w:t>
      </w:r>
    </w:p>
    <w:p w:rsidR="008C475C" w:rsidRPr="004227C6" w:rsidRDefault="008C475C" w:rsidP="008C475C">
      <w:pPr>
        <w:spacing w:line="276" w:lineRule="auto"/>
        <w:jc w:val="center"/>
        <w:rPr>
          <w:rFonts w:ascii="Georgia" w:hAnsi="Georgia"/>
          <w:color w:val="000000"/>
          <w:sz w:val="28"/>
          <w:szCs w:val="28"/>
        </w:rPr>
      </w:pPr>
    </w:p>
    <w:p w:rsidR="00BE7774" w:rsidRPr="007578D2" w:rsidRDefault="008C475C" w:rsidP="00BE7774">
      <w:pPr>
        <w:jc w:val="center"/>
        <w:rPr>
          <w:rFonts w:ascii="Times New Roman" w:hAnsi="Times New Roman" w:cs="Times New Roman"/>
          <w:b/>
          <w:color w:val="000000"/>
          <w:sz w:val="32"/>
          <w:szCs w:val="32"/>
          <w:lang w:val="az-Cyrl-AZ"/>
        </w:rPr>
      </w:pPr>
      <w:r w:rsidRPr="007578D2">
        <w:rPr>
          <w:rFonts w:ascii="Times New Roman" w:hAnsi="Times New Roman" w:cs="Times New Roman"/>
          <w:b/>
          <w:color w:val="000000"/>
          <w:sz w:val="32"/>
          <w:szCs w:val="32"/>
        </w:rPr>
        <w:t xml:space="preserve">Проф. Д-р </w:t>
      </w:r>
      <w:r w:rsidR="008435C5" w:rsidRPr="007578D2">
        <w:rPr>
          <w:rFonts w:ascii="Times New Roman" w:hAnsi="Times New Roman" w:cs="Times New Roman"/>
          <w:b/>
          <w:color w:val="000000"/>
          <w:sz w:val="32"/>
          <w:szCs w:val="32"/>
        </w:rPr>
        <w:t>Владимир Поповски</w:t>
      </w:r>
    </w:p>
    <w:p w:rsidR="008C475C" w:rsidRPr="0058477A" w:rsidRDefault="008C475C" w:rsidP="00BE7774">
      <w:pPr>
        <w:spacing w:line="360" w:lineRule="auto"/>
        <w:jc w:val="center"/>
        <w:rPr>
          <w:rFonts w:ascii="Georgia" w:hAnsi="Georgia"/>
          <w:color w:val="000000"/>
          <w:sz w:val="32"/>
          <w:szCs w:val="32"/>
          <w:lang w:val="en-US"/>
        </w:rPr>
      </w:pPr>
    </w:p>
    <w:p w:rsidR="008C475C" w:rsidRPr="004227C6" w:rsidRDefault="008C475C" w:rsidP="00150F4F">
      <w:pPr>
        <w:spacing w:line="276" w:lineRule="auto"/>
        <w:rPr>
          <w:rFonts w:ascii="Georgia" w:hAnsi="Georgia"/>
          <w:color w:val="000000"/>
          <w:sz w:val="32"/>
          <w:szCs w:val="32"/>
        </w:rPr>
      </w:pPr>
    </w:p>
    <w:p w:rsidR="00510D9A" w:rsidRPr="004227C6" w:rsidRDefault="00510D9A" w:rsidP="00A44D62">
      <w:pPr>
        <w:spacing w:line="360" w:lineRule="auto"/>
        <w:rPr>
          <w:rFonts w:ascii="Georgia" w:hAnsi="Georgia"/>
          <w:b/>
          <w:color w:val="000000"/>
          <w:sz w:val="28"/>
          <w:szCs w:val="28"/>
        </w:rPr>
      </w:pPr>
    </w:p>
    <w:p w:rsidR="008C475C" w:rsidRPr="00A926CA" w:rsidRDefault="008C475C" w:rsidP="00150F4F">
      <w:pPr>
        <w:spacing w:line="360" w:lineRule="auto"/>
        <w:jc w:val="center"/>
        <w:rPr>
          <w:rFonts w:ascii="Times New Roman" w:hAnsi="Times New Roman" w:cs="Times New Roman"/>
          <w:b/>
          <w:color w:val="000000"/>
          <w:sz w:val="28"/>
          <w:szCs w:val="28"/>
          <w:lang w:val="ru-RU"/>
        </w:rPr>
      </w:pPr>
      <w:r w:rsidRPr="004227C6">
        <w:rPr>
          <w:rFonts w:ascii="Times New Roman" w:hAnsi="Times New Roman" w:cs="Times New Roman"/>
          <w:b/>
          <w:color w:val="000000"/>
          <w:sz w:val="28"/>
          <w:szCs w:val="28"/>
        </w:rPr>
        <w:t>Скопје, 202</w:t>
      </w:r>
      <w:r w:rsidR="00942F5E" w:rsidRPr="00A926CA">
        <w:rPr>
          <w:rFonts w:ascii="Times New Roman" w:hAnsi="Times New Roman" w:cs="Times New Roman"/>
          <w:b/>
          <w:color w:val="000000"/>
          <w:sz w:val="28"/>
          <w:szCs w:val="28"/>
          <w:lang w:val="ru-RU"/>
        </w:rPr>
        <w:t>3</w:t>
      </w:r>
    </w:p>
    <w:p w:rsidR="00C345DD" w:rsidRDefault="00C345DD" w:rsidP="005951F9">
      <w:pPr>
        <w:spacing w:after="600" w:line="360" w:lineRule="auto"/>
        <w:rPr>
          <w:rFonts w:ascii="Georgia" w:hAnsi="Georgia" w:cs="Times New Roman"/>
          <w:b/>
          <w:color w:val="215868"/>
          <w:sz w:val="28"/>
          <w:szCs w:val="28"/>
        </w:rPr>
      </w:pPr>
    </w:p>
    <w:p w:rsidR="009A7015" w:rsidRPr="00A926CA" w:rsidRDefault="001354D1" w:rsidP="00F2432E">
      <w:pPr>
        <w:tabs>
          <w:tab w:val="left" w:pos="6453"/>
        </w:tabs>
        <w:jc w:val="center"/>
        <w:rPr>
          <w:rFonts w:ascii="Times New Roman" w:hAnsi="Times New Roman" w:cs="Times New Roman"/>
          <w:color w:val="000000"/>
          <w:sz w:val="32"/>
          <w:szCs w:val="32"/>
          <w:lang w:val="ru-RU"/>
        </w:rPr>
      </w:pPr>
      <w:r>
        <w:rPr>
          <w:rFonts w:ascii="Times New Roman" w:hAnsi="Times New Roman" w:cs="Times New Roman"/>
          <w:color w:val="000000"/>
          <w:sz w:val="32"/>
          <w:szCs w:val="32"/>
        </w:rPr>
        <w:lastRenderedPageBreak/>
        <w:t xml:space="preserve">УНИВЕРЗИТЕТ </w:t>
      </w:r>
      <w:r w:rsidRPr="00A926CA">
        <w:rPr>
          <w:rFonts w:ascii="Times New Roman" w:hAnsi="Times New Roman" w:cs="Times New Roman"/>
          <w:color w:val="000000"/>
          <w:sz w:val="32"/>
          <w:szCs w:val="32"/>
          <w:lang w:val="ru-RU"/>
        </w:rPr>
        <w:t>“</w:t>
      </w:r>
      <w:r>
        <w:rPr>
          <w:rFonts w:ascii="Times New Roman" w:hAnsi="Times New Roman" w:cs="Times New Roman"/>
          <w:color w:val="000000"/>
          <w:sz w:val="32"/>
          <w:szCs w:val="32"/>
        </w:rPr>
        <w:t>СВЕТИ КИРИЛ И МЕТОДИЈ</w:t>
      </w:r>
      <w:r w:rsidRPr="00A926CA">
        <w:rPr>
          <w:rFonts w:ascii="Times New Roman" w:hAnsi="Times New Roman" w:cs="Times New Roman"/>
          <w:color w:val="000000"/>
          <w:sz w:val="32"/>
          <w:szCs w:val="32"/>
          <w:lang w:val="ru-RU"/>
        </w:rPr>
        <w:t>”</w:t>
      </w:r>
    </w:p>
    <w:p w:rsidR="00F2432E" w:rsidRPr="00F2432E" w:rsidRDefault="00F2432E" w:rsidP="00F2432E">
      <w:pPr>
        <w:tabs>
          <w:tab w:val="left" w:pos="6453"/>
        </w:tabs>
        <w:jc w:val="center"/>
        <w:rPr>
          <w:rFonts w:ascii="Times New Roman" w:hAnsi="Times New Roman" w:cs="Times New Roman"/>
          <w:color w:val="000000"/>
          <w:sz w:val="28"/>
          <w:szCs w:val="28"/>
        </w:rPr>
      </w:pPr>
    </w:p>
    <w:p w:rsidR="00F2432E" w:rsidRDefault="00F2432E" w:rsidP="00F2432E">
      <w:pPr>
        <w:tabs>
          <w:tab w:val="left" w:pos="6453"/>
        </w:tabs>
        <w:jc w:val="center"/>
        <w:rPr>
          <w:rFonts w:ascii="Times New Roman" w:hAnsi="Times New Roman" w:cs="Times New Roman"/>
          <w:color w:val="000000"/>
          <w:sz w:val="28"/>
          <w:szCs w:val="28"/>
        </w:rPr>
      </w:pPr>
    </w:p>
    <w:p w:rsidR="00F2432E" w:rsidRDefault="00F2432E" w:rsidP="00F2432E">
      <w:pPr>
        <w:tabs>
          <w:tab w:val="left" w:pos="6453"/>
        </w:tabs>
        <w:jc w:val="center"/>
        <w:rPr>
          <w:rFonts w:ascii="Times New Roman" w:hAnsi="Times New Roman" w:cs="Times New Roman"/>
          <w:color w:val="000000"/>
          <w:sz w:val="28"/>
          <w:szCs w:val="28"/>
        </w:rPr>
      </w:pPr>
    </w:p>
    <w:p w:rsidR="00837DC8" w:rsidRPr="00F2432E" w:rsidRDefault="005C1D1D" w:rsidP="00F2432E">
      <w:pPr>
        <w:tabs>
          <w:tab w:val="left" w:pos="6453"/>
        </w:tabs>
        <w:jc w:val="center"/>
        <w:rPr>
          <w:rFonts w:ascii="Times New Roman" w:hAnsi="Times New Roman" w:cs="Times New Roman"/>
          <w:color w:val="000000"/>
          <w:sz w:val="28"/>
          <w:szCs w:val="28"/>
        </w:rPr>
      </w:pPr>
      <w:r>
        <w:rPr>
          <w:rFonts w:ascii="Times New Roman" w:hAnsi="Times New Roman" w:cs="Times New Roman"/>
          <w:color w:val="000000"/>
          <w:sz w:val="28"/>
          <w:szCs w:val="28"/>
        </w:rPr>
        <w:t>СТОМАТОЛОШКИ ФАКУЛТЕТ-СКОПЈЕ</w:t>
      </w:r>
    </w:p>
    <w:p w:rsidR="00F2432E" w:rsidRPr="00F2432E" w:rsidRDefault="00F2432E" w:rsidP="00F2432E">
      <w:pPr>
        <w:tabs>
          <w:tab w:val="left" w:pos="6453"/>
        </w:tabs>
        <w:jc w:val="center"/>
        <w:rPr>
          <w:rFonts w:ascii="Times New Roman" w:hAnsi="Times New Roman" w:cs="Times New Roman"/>
          <w:color w:val="000000"/>
          <w:sz w:val="28"/>
          <w:szCs w:val="28"/>
        </w:rPr>
      </w:pPr>
    </w:p>
    <w:p w:rsidR="005C1D1D" w:rsidRDefault="005C1D1D" w:rsidP="00F2432E">
      <w:pPr>
        <w:tabs>
          <w:tab w:val="left" w:pos="6453"/>
        </w:tabs>
        <w:jc w:val="center"/>
        <w:rPr>
          <w:rFonts w:ascii="Times New Roman" w:hAnsi="Times New Roman" w:cs="Times New Roman"/>
          <w:color w:val="000000"/>
          <w:sz w:val="28"/>
          <w:szCs w:val="28"/>
        </w:rPr>
      </w:pPr>
    </w:p>
    <w:p w:rsidR="00837DC8" w:rsidRPr="00F2432E" w:rsidRDefault="00837DC8" w:rsidP="00F2432E">
      <w:pPr>
        <w:tabs>
          <w:tab w:val="left" w:pos="6453"/>
        </w:tabs>
        <w:jc w:val="center"/>
        <w:rPr>
          <w:rFonts w:ascii="Times New Roman" w:hAnsi="Times New Roman" w:cs="Times New Roman"/>
          <w:color w:val="000000"/>
          <w:sz w:val="28"/>
          <w:szCs w:val="28"/>
        </w:rPr>
      </w:pPr>
      <w:r w:rsidRPr="00F2432E">
        <w:rPr>
          <w:rFonts w:ascii="Times New Roman" w:hAnsi="Times New Roman" w:cs="Times New Roman"/>
          <w:color w:val="000000"/>
          <w:sz w:val="28"/>
          <w:szCs w:val="28"/>
        </w:rPr>
        <w:t>Република Северна Македонија</w:t>
      </w:r>
    </w:p>
    <w:p w:rsidR="00F2432E" w:rsidRPr="00F2432E" w:rsidRDefault="00F2432E" w:rsidP="00F2432E">
      <w:pPr>
        <w:tabs>
          <w:tab w:val="left" w:pos="6453"/>
        </w:tabs>
        <w:jc w:val="center"/>
        <w:rPr>
          <w:rFonts w:ascii="Times New Roman" w:hAnsi="Times New Roman" w:cs="Times New Roman"/>
          <w:color w:val="000000"/>
          <w:sz w:val="24"/>
          <w:szCs w:val="24"/>
        </w:rPr>
      </w:pPr>
    </w:p>
    <w:p w:rsidR="00F2432E" w:rsidRPr="00F2432E" w:rsidRDefault="00F2432E" w:rsidP="00F2432E">
      <w:pPr>
        <w:tabs>
          <w:tab w:val="left" w:pos="6453"/>
        </w:tabs>
        <w:jc w:val="center"/>
        <w:rPr>
          <w:rFonts w:ascii="Times New Roman" w:hAnsi="Times New Roman" w:cs="Times New Roman"/>
          <w:color w:val="000000"/>
          <w:sz w:val="24"/>
          <w:szCs w:val="24"/>
        </w:rPr>
      </w:pPr>
    </w:p>
    <w:p w:rsidR="00F2432E" w:rsidRDefault="00F2432E" w:rsidP="00F2432E">
      <w:pPr>
        <w:tabs>
          <w:tab w:val="left" w:pos="6453"/>
        </w:tabs>
        <w:jc w:val="center"/>
        <w:rPr>
          <w:rFonts w:ascii="Times New Roman" w:hAnsi="Times New Roman" w:cs="Times New Roman"/>
          <w:color w:val="000000"/>
          <w:sz w:val="28"/>
          <w:szCs w:val="28"/>
        </w:rPr>
      </w:pPr>
    </w:p>
    <w:p w:rsidR="00837DC8" w:rsidRPr="00F2432E" w:rsidRDefault="00837DC8" w:rsidP="00F2432E">
      <w:pPr>
        <w:tabs>
          <w:tab w:val="left" w:pos="6453"/>
        </w:tabs>
        <w:jc w:val="center"/>
        <w:rPr>
          <w:rFonts w:ascii="Times New Roman" w:hAnsi="Times New Roman" w:cs="Times New Roman"/>
          <w:color w:val="000000"/>
          <w:sz w:val="28"/>
          <w:szCs w:val="28"/>
        </w:rPr>
      </w:pPr>
      <w:r w:rsidRPr="00F2432E">
        <w:rPr>
          <w:rFonts w:ascii="Times New Roman" w:hAnsi="Times New Roman" w:cs="Times New Roman"/>
          <w:color w:val="000000"/>
          <w:sz w:val="28"/>
          <w:szCs w:val="28"/>
        </w:rPr>
        <w:t>Катедра за Максилофациајлна хирургија</w:t>
      </w: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8"/>
          <w:szCs w:val="28"/>
          <w:lang w:val="ru-RU"/>
        </w:rPr>
      </w:pPr>
      <w:r w:rsidRPr="00F2432E">
        <w:rPr>
          <w:rFonts w:ascii="Times New Roman" w:hAnsi="Times New Roman" w:cs="Times New Roman"/>
          <w:b/>
          <w:color w:val="000000"/>
          <w:sz w:val="28"/>
          <w:szCs w:val="28"/>
        </w:rPr>
        <w:t xml:space="preserve">ЕВАЛУАЦИЈА НА </w:t>
      </w:r>
      <w:r w:rsidRPr="00F2432E">
        <w:rPr>
          <w:rFonts w:ascii="Times New Roman" w:hAnsi="Times New Roman" w:cs="Times New Roman"/>
          <w:b/>
          <w:color w:val="000000"/>
          <w:sz w:val="28"/>
          <w:szCs w:val="28"/>
          <w:lang w:val="ru-RU"/>
        </w:rPr>
        <w:t>СЕРУМСКИ И</w:t>
      </w:r>
      <w:r w:rsidRPr="00F2432E">
        <w:rPr>
          <w:rFonts w:ascii="Times New Roman" w:hAnsi="Times New Roman" w:cs="Times New Roman"/>
          <w:b/>
          <w:color w:val="000000"/>
          <w:sz w:val="28"/>
          <w:szCs w:val="28"/>
        </w:rPr>
        <w:t xml:space="preserve"> САЛИВАРЕН INTERLEUKIN-33 </w:t>
      </w:r>
      <w:r w:rsidRPr="00F2432E">
        <w:rPr>
          <w:rFonts w:ascii="Times New Roman" w:hAnsi="Times New Roman" w:cs="Times New Roman"/>
          <w:b/>
          <w:color w:val="000000"/>
          <w:sz w:val="28"/>
          <w:szCs w:val="28"/>
          <w:lang w:val="ru-RU"/>
        </w:rPr>
        <w:t>ПОТЕНЦИЈАЛНИ МАРКЕРИ ЗА ТУМОРИ НА ПАРОТИДНИ ЖЛЕЗДИ</w:t>
      </w: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8"/>
          <w:szCs w:val="28"/>
          <w:lang w:val="en-US"/>
        </w:rPr>
      </w:pPr>
      <w:r w:rsidRPr="00F2432E">
        <w:rPr>
          <w:rFonts w:ascii="Times New Roman" w:hAnsi="Times New Roman" w:cs="Times New Roman"/>
          <w:b/>
          <w:color w:val="000000"/>
          <w:sz w:val="28"/>
          <w:szCs w:val="28"/>
        </w:rPr>
        <w:t>EVALUATION OF SERUM AND SALIVARY INTERLEUKIN-33 POTENTIAL MARKERS FOR PAROTID GLAND TUMORS</w:t>
      </w:r>
    </w:p>
    <w:p w:rsidR="00F2432E" w:rsidRPr="00F2432E" w:rsidRDefault="00F2432E" w:rsidP="009A7015">
      <w:pPr>
        <w:tabs>
          <w:tab w:val="left" w:pos="6453"/>
        </w:tabs>
        <w:rPr>
          <w:rFonts w:ascii="Times New Roman" w:hAnsi="Times New Roman" w:cs="Times New Roman"/>
          <w:b/>
          <w:color w:val="215868"/>
          <w:sz w:val="24"/>
          <w:szCs w:val="24"/>
        </w:rPr>
      </w:pPr>
    </w:p>
    <w:p w:rsidR="00F2432E" w:rsidRPr="00F2432E" w:rsidRDefault="00F2432E" w:rsidP="009A7015">
      <w:pPr>
        <w:tabs>
          <w:tab w:val="left" w:pos="6453"/>
        </w:tabs>
        <w:rPr>
          <w:rFonts w:ascii="Times New Roman" w:hAnsi="Times New Roman" w:cs="Times New Roman"/>
          <w:color w:val="215868"/>
          <w:sz w:val="24"/>
          <w:szCs w:val="24"/>
        </w:rPr>
      </w:pPr>
    </w:p>
    <w:p w:rsidR="00F2432E" w:rsidRPr="00F2432E" w:rsidRDefault="00F2432E" w:rsidP="00F2432E">
      <w:pPr>
        <w:tabs>
          <w:tab w:val="left" w:pos="6453"/>
        </w:tabs>
        <w:jc w:val="center"/>
        <w:rPr>
          <w:rFonts w:ascii="Times New Roman" w:hAnsi="Times New Roman" w:cs="Times New Roman"/>
          <w:color w:val="000000"/>
          <w:sz w:val="24"/>
          <w:szCs w:val="24"/>
        </w:rPr>
      </w:pPr>
    </w:p>
    <w:p w:rsidR="00F2432E" w:rsidRPr="00F2432E" w:rsidRDefault="00F2432E" w:rsidP="00F2432E">
      <w:pPr>
        <w:tabs>
          <w:tab w:val="left" w:pos="6453"/>
        </w:tabs>
        <w:jc w:val="center"/>
        <w:rPr>
          <w:rFonts w:ascii="Times New Roman" w:hAnsi="Times New Roman" w:cs="Times New Roman"/>
          <w:color w:val="000000"/>
          <w:sz w:val="24"/>
          <w:szCs w:val="24"/>
        </w:rPr>
      </w:pPr>
    </w:p>
    <w:p w:rsidR="00F2432E" w:rsidRPr="00F2432E" w:rsidRDefault="00F2432E" w:rsidP="00F2432E">
      <w:pPr>
        <w:tabs>
          <w:tab w:val="left" w:pos="6453"/>
        </w:tabs>
        <w:jc w:val="center"/>
        <w:rPr>
          <w:rFonts w:ascii="Times New Roman" w:hAnsi="Times New Roman" w:cs="Times New Roman"/>
          <w:color w:val="000000"/>
          <w:sz w:val="24"/>
          <w:szCs w:val="24"/>
        </w:rPr>
      </w:pPr>
    </w:p>
    <w:p w:rsidR="00837DC8" w:rsidRPr="00F2432E" w:rsidRDefault="00F2432E" w:rsidP="00F2432E">
      <w:pPr>
        <w:tabs>
          <w:tab w:val="left" w:pos="6453"/>
        </w:tabs>
        <w:jc w:val="center"/>
        <w:rPr>
          <w:rFonts w:ascii="Times New Roman" w:hAnsi="Times New Roman" w:cs="Times New Roman"/>
          <w:color w:val="000000"/>
          <w:sz w:val="24"/>
          <w:szCs w:val="24"/>
        </w:rPr>
      </w:pPr>
      <w:r>
        <w:rPr>
          <w:rFonts w:ascii="Times New Roman" w:hAnsi="Times New Roman" w:cs="Times New Roman"/>
          <w:color w:val="000000"/>
          <w:sz w:val="24"/>
          <w:szCs w:val="24"/>
        </w:rPr>
        <w:t>ДОКТОРСКА ДИСЕРТАЦИЈА</w:t>
      </w:r>
    </w:p>
    <w:p w:rsidR="00F2432E" w:rsidRDefault="00F2432E" w:rsidP="00F2432E">
      <w:pPr>
        <w:tabs>
          <w:tab w:val="left" w:pos="6453"/>
        </w:tabs>
        <w:jc w:val="center"/>
        <w:rPr>
          <w:rFonts w:ascii="Times New Roman" w:hAnsi="Times New Roman" w:cs="Times New Roman"/>
          <w:b/>
          <w:color w:val="000000"/>
          <w:sz w:val="24"/>
          <w:szCs w:val="24"/>
        </w:rPr>
      </w:pPr>
    </w:p>
    <w:p w:rsidR="00F2432E" w:rsidRDefault="00F2432E" w:rsidP="00F2432E">
      <w:pPr>
        <w:tabs>
          <w:tab w:val="left" w:pos="6453"/>
        </w:tabs>
        <w:jc w:val="center"/>
        <w:rPr>
          <w:rFonts w:ascii="Times New Roman" w:hAnsi="Times New Roman" w:cs="Times New Roman"/>
          <w:b/>
          <w:color w:val="000000"/>
          <w:sz w:val="24"/>
          <w:szCs w:val="24"/>
        </w:rPr>
      </w:pPr>
    </w:p>
    <w:p w:rsidR="00F2432E" w:rsidRDefault="00F2432E" w:rsidP="00F2432E">
      <w:pPr>
        <w:tabs>
          <w:tab w:val="left" w:pos="6453"/>
        </w:tabs>
        <w:jc w:val="center"/>
        <w:rPr>
          <w:rFonts w:ascii="Times New Roman" w:hAnsi="Times New Roman" w:cs="Times New Roman"/>
          <w:b/>
          <w:color w:val="000000"/>
          <w:sz w:val="24"/>
          <w:szCs w:val="24"/>
        </w:rPr>
      </w:pPr>
    </w:p>
    <w:p w:rsidR="00F2432E" w:rsidRDefault="00F2432E" w:rsidP="00F2432E">
      <w:pPr>
        <w:tabs>
          <w:tab w:val="left" w:pos="6453"/>
        </w:tabs>
        <w:jc w:val="center"/>
        <w:rPr>
          <w:rFonts w:ascii="Times New Roman" w:hAnsi="Times New Roman" w:cs="Times New Roman"/>
          <w:b/>
          <w:color w:val="000000"/>
          <w:sz w:val="24"/>
          <w:szCs w:val="24"/>
        </w:rPr>
      </w:pPr>
    </w:p>
    <w:p w:rsidR="00F2432E" w:rsidRDefault="00F2432E" w:rsidP="00F2432E">
      <w:pPr>
        <w:tabs>
          <w:tab w:val="left" w:pos="6453"/>
        </w:tabs>
        <w:jc w:val="center"/>
        <w:rPr>
          <w:rFonts w:ascii="Times New Roman" w:hAnsi="Times New Roman" w:cs="Times New Roman"/>
          <w:b/>
          <w:color w:val="000000"/>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r w:rsidRPr="00F2432E">
        <w:rPr>
          <w:rFonts w:ascii="Times New Roman" w:hAnsi="Times New Roman" w:cs="Times New Roman"/>
          <w:b/>
          <w:color w:val="000000"/>
          <w:sz w:val="24"/>
          <w:szCs w:val="24"/>
        </w:rPr>
        <w:t>КАНДИДАТ:д-р АЛЕКСАНДРА БРАНКО</w:t>
      </w:r>
    </w:p>
    <w:p w:rsidR="00F2432E" w:rsidRPr="00F2432E" w:rsidRDefault="00F2432E" w:rsidP="00F2432E">
      <w:pPr>
        <w:tabs>
          <w:tab w:val="left" w:pos="6453"/>
        </w:tabs>
        <w:jc w:val="center"/>
        <w:rPr>
          <w:rFonts w:ascii="Times New Roman" w:hAnsi="Times New Roman" w:cs="Times New Roman"/>
          <w:b/>
          <w:color w:val="000000"/>
          <w:sz w:val="24"/>
          <w:szCs w:val="24"/>
        </w:rPr>
      </w:pPr>
      <w:r w:rsidRPr="00F2432E">
        <w:rPr>
          <w:rFonts w:ascii="Times New Roman" w:hAnsi="Times New Roman" w:cs="Times New Roman"/>
          <w:b/>
          <w:color w:val="000000"/>
          <w:sz w:val="24"/>
          <w:szCs w:val="24"/>
        </w:rPr>
        <w:t>МЕНТОР: проф. д-р ВЛАДИМИР ПОПОВСКИ</w:t>
      </w:r>
    </w:p>
    <w:p w:rsidR="00F2432E" w:rsidRPr="00F2432E" w:rsidRDefault="00F2432E" w:rsidP="009A7015">
      <w:pPr>
        <w:tabs>
          <w:tab w:val="left" w:pos="6453"/>
        </w:tabs>
        <w:rPr>
          <w:rFonts w:ascii="Times New Roman" w:hAnsi="Times New Roman" w:cs="Times New Roman"/>
          <w:b/>
          <w:color w:val="215868"/>
          <w:sz w:val="24"/>
          <w:szCs w:val="24"/>
        </w:rPr>
      </w:pPr>
    </w:p>
    <w:p w:rsidR="00F2432E" w:rsidRPr="00F2432E" w:rsidRDefault="00F2432E" w:rsidP="00F2432E">
      <w:pPr>
        <w:tabs>
          <w:tab w:val="left" w:pos="6453"/>
        </w:tabs>
        <w:jc w:val="center"/>
        <w:rPr>
          <w:rFonts w:ascii="Times New Roman" w:hAnsi="Times New Roman" w:cs="Times New Roman"/>
          <w:b/>
          <w:color w:val="000000"/>
          <w:sz w:val="24"/>
          <w:szCs w:val="24"/>
        </w:rPr>
      </w:pPr>
      <w:r w:rsidRPr="00F2432E">
        <w:rPr>
          <w:rFonts w:ascii="Times New Roman" w:hAnsi="Times New Roman" w:cs="Times New Roman"/>
          <w:b/>
          <w:color w:val="000000"/>
          <w:sz w:val="24"/>
          <w:szCs w:val="24"/>
        </w:rPr>
        <w:t>Скопје, 2023</w:t>
      </w:r>
    </w:p>
    <w:p w:rsidR="00F2432E" w:rsidRPr="00F2432E" w:rsidRDefault="00F2432E" w:rsidP="009A7015">
      <w:pPr>
        <w:tabs>
          <w:tab w:val="left" w:pos="6453"/>
        </w:tabs>
        <w:rPr>
          <w:rFonts w:ascii="Times New Roman" w:hAnsi="Times New Roman" w:cs="Times New Roman"/>
          <w:b/>
          <w:sz w:val="24"/>
          <w:szCs w:val="24"/>
          <w:lang w:val="ru-RU"/>
        </w:rPr>
      </w:pPr>
    </w:p>
    <w:p w:rsidR="00F2432E" w:rsidRDefault="00F2432E" w:rsidP="009A7015">
      <w:pPr>
        <w:tabs>
          <w:tab w:val="left" w:pos="6453"/>
        </w:tabs>
        <w:rPr>
          <w:rFonts w:ascii="Times New Roman" w:hAnsi="Times New Roman" w:cs="Times New Roman"/>
          <w:b/>
          <w:sz w:val="28"/>
          <w:szCs w:val="28"/>
          <w:lang w:val="ru-RU"/>
        </w:rPr>
      </w:pPr>
    </w:p>
    <w:p w:rsidR="00F2432E" w:rsidRDefault="00F2432E" w:rsidP="009A7015">
      <w:pPr>
        <w:tabs>
          <w:tab w:val="left" w:pos="6453"/>
        </w:tabs>
        <w:rPr>
          <w:rFonts w:ascii="Times New Roman" w:hAnsi="Times New Roman" w:cs="Times New Roman"/>
          <w:b/>
          <w:sz w:val="28"/>
          <w:szCs w:val="28"/>
          <w:lang w:val="ru-RU"/>
        </w:rPr>
      </w:pPr>
    </w:p>
    <w:p w:rsidR="00F2432E" w:rsidRDefault="00F2432E" w:rsidP="009A7015">
      <w:pPr>
        <w:tabs>
          <w:tab w:val="left" w:pos="6453"/>
        </w:tabs>
        <w:rPr>
          <w:rFonts w:ascii="Times New Roman" w:hAnsi="Times New Roman" w:cs="Times New Roman"/>
          <w:b/>
          <w:sz w:val="28"/>
          <w:szCs w:val="28"/>
          <w:lang w:val="ru-RU"/>
        </w:rPr>
      </w:pPr>
    </w:p>
    <w:p w:rsidR="00F2432E" w:rsidRDefault="00F2432E" w:rsidP="009A7015">
      <w:pPr>
        <w:tabs>
          <w:tab w:val="left" w:pos="6453"/>
        </w:tabs>
        <w:rPr>
          <w:rFonts w:ascii="Times New Roman" w:hAnsi="Times New Roman" w:cs="Times New Roman"/>
          <w:b/>
          <w:sz w:val="28"/>
          <w:szCs w:val="28"/>
          <w:lang w:val="ru-RU"/>
        </w:rPr>
      </w:pPr>
    </w:p>
    <w:p w:rsidR="00F2432E" w:rsidRDefault="00B7099D" w:rsidP="009A7015">
      <w:pPr>
        <w:tabs>
          <w:tab w:val="left" w:pos="6453"/>
        </w:tabs>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НАСЛОВ НА ТЕМАТА:</w:t>
      </w:r>
    </w:p>
    <w:p w:rsidR="00B7099D" w:rsidRDefault="00B7099D" w:rsidP="009A7015">
      <w:pPr>
        <w:tabs>
          <w:tab w:val="left" w:pos="6453"/>
        </w:tabs>
        <w:rPr>
          <w:rFonts w:ascii="Times New Roman" w:hAnsi="Times New Roman" w:cs="Times New Roman"/>
          <w:b/>
          <w:sz w:val="28"/>
          <w:szCs w:val="28"/>
          <w:lang w:val="ru-RU"/>
        </w:rPr>
      </w:pPr>
    </w:p>
    <w:p w:rsidR="00D3292F" w:rsidRDefault="00D3292F" w:rsidP="00B7099D">
      <w:pPr>
        <w:tabs>
          <w:tab w:val="left" w:pos="6453"/>
        </w:tabs>
        <w:rPr>
          <w:rFonts w:ascii="Times New Roman" w:hAnsi="Times New Roman" w:cs="Times New Roman"/>
          <w:color w:val="000000"/>
          <w:sz w:val="28"/>
          <w:szCs w:val="28"/>
        </w:rPr>
      </w:pPr>
    </w:p>
    <w:p w:rsidR="00B7099D" w:rsidRPr="008D1EFA" w:rsidRDefault="00B7099D" w:rsidP="00B7099D">
      <w:pPr>
        <w:tabs>
          <w:tab w:val="left" w:pos="6453"/>
        </w:tabs>
        <w:rPr>
          <w:rFonts w:ascii="Times New Roman" w:hAnsi="Times New Roman" w:cs="Times New Roman"/>
          <w:color w:val="000000"/>
          <w:sz w:val="28"/>
          <w:szCs w:val="28"/>
          <w:lang w:val="ru-RU"/>
        </w:rPr>
      </w:pPr>
      <w:r w:rsidRPr="008D1EFA">
        <w:rPr>
          <w:rFonts w:ascii="Times New Roman" w:hAnsi="Times New Roman" w:cs="Times New Roman"/>
          <w:color w:val="000000"/>
          <w:sz w:val="28"/>
          <w:szCs w:val="28"/>
        </w:rPr>
        <w:t xml:space="preserve">ЕВАЛУАЦИЈА НА </w:t>
      </w:r>
      <w:r w:rsidRPr="008D1EFA">
        <w:rPr>
          <w:rFonts w:ascii="Times New Roman" w:hAnsi="Times New Roman" w:cs="Times New Roman"/>
          <w:color w:val="000000"/>
          <w:sz w:val="28"/>
          <w:szCs w:val="28"/>
          <w:lang w:val="ru-RU"/>
        </w:rPr>
        <w:t>СЕРУМСКИ И</w:t>
      </w:r>
      <w:r w:rsidRPr="008D1EFA">
        <w:rPr>
          <w:rFonts w:ascii="Times New Roman" w:hAnsi="Times New Roman" w:cs="Times New Roman"/>
          <w:color w:val="000000"/>
          <w:sz w:val="28"/>
          <w:szCs w:val="28"/>
        </w:rPr>
        <w:t xml:space="preserve"> САЛИВАРЕН INTERLEUKIN-33 </w:t>
      </w:r>
      <w:r w:rsidRPr="008D1EFA">
        <w:rPr>
          <w:rFonts w:ascii="Times New Roman" w:hAnsi="Times New Roman" w:cs="Times New Roman"/>
          <w:color w:val="000000"/>
          <w:sz w:val="28"/>
          <w:szCs w:val="28"/>
          <w:lang w:val="ru-RU"/>
        </w:rPr>
        <w:t>ПОТЕНЦИЈАЛНИ МАРКЕРИ ЗА ТУМОРИ НА ПАРОТИДНИ ЖЛЕЗДИ</w:t>
      </w:r>
    </w:p>
    <w:p w:rsidR="00F2432E" w:rsidRDefault="00F2432E" w:rsidP="009A7015">
      <w:pPr>
        <w:tabs>
          <w:tab w:val="left" w:pos="6453"/>
        </w:tabs>
        <w:rPr>
          <w:rFonts w:ascii="Times New Roman" w:hAnsi="Times New Roman" w:cs="Times New Roman"/>
          <w:b/>
          <w:sz w:val="28"/>
          <w:szCs w:val="28"/>
          <w:lang w:val="ru-RU"/>
        </w:rPr>
      </w:pPr>
    </w:p>
    <w:p w:rsidR="00BF35C5" w:rsidRPr="00F2432E" w:rsidRDefault="00B7099D" w:rsidP="008D1EFA">
      <w:pPr>
        <w:tabs>
          <w:tab w:val="left" w:pos="6453"/>
        </w:tabs>
        <w:rPr>
          <w:rFonts w:ascii="Times New Roman" w:hAnsi="Times New Roman" w:cs="Times New Roman"/>
          <w:b/>
          <w:color w:val="000000"/>
          <w:sz w:val="24"/>
          <w:szCs w:val="24"/>
        </w:rPr>
      </w:pPr>
      <w:r w:rsidRPr="008D1EFA">
        <w:rPr>
          <w:rFonts w:ascii="Times New Roman" w:hAnsi="Times New Roman" w:cs="Times New Roman"/>
          <w:sz w:val="28"/>
          <w:szCs w:val="28"/>
          <w:lang w:val="ru-RU"/>
        </w:rPr>
        <w:t>Изработил:</w:t>
      </w:r>
      <w:r w:rsidR="00BF35C5" w:rsidRPr="00BF35C5">
        <w:rPr>
          <w:rFonts w:ascii="Times New Roman" w:hAnsi="Times New Roman" w:cs="Times New Roman"/>
          <w:b/>
          <w:color w:val="000000"/>
          <w:sz w:val="24"/>
          <w:szCs w:val="24"/>
        </w:rPr>
        <w:t xml:space="preserve"> </w:t>
      </w:r>
      <w:r w:rsidR="00BF35C5" w:rsidRPr="00F2432E">
        <w:rPr>
          <w:rFonts w:ascii="Times New Roman" w:hAnsi="Times New Roman" w:cs="Times New Roman"/>
          <w:b/>
          <w:color w:val="000000"/>
          <w:sz w:val="24"/>
          <w:szCs w:val="24"/>
        </w:rPr>
        <w:t>д-р АЛЕКСАНДРА БРАНКО</w:t>
      </w:r>
    </w:p>
    <w:p w:rsidR="008D1EFA" w:rsidRDefault="008D1EFA" w:rsidP="008D1EFA">
      <w:pPr>
        <w:tabs>
          <w:tab w:val="left" w:pos="6453"/>
        </w:tabs>
        <w:rPr>
          <w:rFonts w:ascii="Times New Roman" w:hAnsi="Times New Roman" w:cs="Times New Roman"/>
          <w:b/>
          <w:color w:val="000000"/>
          <w:sz w:val="24"/>
          <w:szCs w:val="24"/>
        </w:rPr>
      </w:pPr>
    </w:p>
    <w:p w:rsidR="00BF35C5" w:rsidRPr="00F2432E" w:rsidRDefault="00BF35C5" w:rsidP="008D1EFA">
      <w:pPr>
        <w:tabs>
          <w:tab w:val="left" w:pos="6453"/>
        </w:tabs>
        <w:rPr>
          <w:rFonts w:ascii="Times New Roman" w:hAnsi="Times New Roman" w:cs="Times New Roman"/>
          <w:b/>
          <w:color w:val="000000"/>
          <w:sz w:val="24"/>
          <w:szCs w:val="24"/>
        </w:rPr>
      </w:pPr>
      <w:r w:rsidRPr="008D1EFA">
        <w:rPr>
          <w:rFonts w:ascii="Times New Roman" w:hAnsi="Times New Roman" w:cs="Times New Roman"/>
          <w:color w:val="000000"/>
          <w:sz w:val="28"/>
          <w:szCs w:val="28"/>
        </w:rPr>
        <w:t>М</w:t>
      </w:r>
      <w:r w:rsidR="008D1EFA" w:rsidRPr="008D1EFA">
        <w:rPr>
          <w:rFonts w:ascii="Times New Roman" w:hAnsi="Times New Roman" w:cs="Times New Roman"/>
          <w:color w:val="000000"/>
          <w:sz w:val="28"/>
          <w:szCs w:val="28"/>
        </w:rPr>
        <w:t>ентор</w:t>
      </w:r>
      <w:r w:rsidRPr="008D1EFA">
        <w:rPr>
          <w:rFonts w:ascii="Times New Roman" w:hAnsi="Times New Roman" w:cs="Times New Roman"/>
          <w:color w:val="000000"/>
          <w:sz w:val="28"/>
          <w:szCs w:val="28"/>
        </w:rPr>
        <w:t>:</w:t>
      </w:r>
      <w:r w:rsidRPr="00F2432E">
        <w:rPr>
          <w:rFonts w:ascii="Times New Roman" w:hAnsi="Times New Roman" w:cs="Times New Roman"/>
          <w:b/>
          <w:color w:val="000000"/>
          <w:sz w:val="24"/>
          <w:szCs w:val="24"/>
        </w:rPr>
        <w:t xml:space="preserve"> </w:t>
      </w:r>
      <w:r w:rsidRPr="00D3292F">
        <w:rPr>
          <w:rFonts w:ascii="Times New Roman" w:hAnsi="Times New Roman" w:cs="Times New Roman"/>
          <w:b/>
          <w:color w:val="000000"/>
          <w:sz w:val="24"/>
          <w:szCs w:val="24"/>
        </w:rPr>
        <w:t>проф</w:t>
      </w:r>
      <w:r w:rsidRPr="00F2432E">
        <w:rPr>
          <w:rFonts w:ascii="Times New Roman" w:hAnsi="Times New Roman" w:cs="Times New Roman"/>
          <w:b/>
          <w:color w:val="000000"/>
          <w:sz w:val="24"/>
          <w:szCs w:val="24"/>
        </w:rPr>
        <w:t>. д-р ВЛАДИМИР ПОПОВСКИ</w:t>
      </w:r>
    </w:p>
    <w:p w:rsidR="008D1EFA" w:rsidRDefault="008D1EFA" w:rsidP="009A7015">
      <w:pPr>
        <w:tabs>
          <w:tab w:val="left" w:pos="6453"/>
        </w:tabs>
        <w:rPr>
          <w:rFonts w:ascii="Times New Roman" w:hAnsi="Times New Roman" w:cs="Times New Roman"/>
          <w:b/>
          <w:sz w:val="28"/>
          <w:szCs w:val="28"/>
          <w:lang w:val="ru-RU"/>
        </w:rPr>
      </w:pPr>
    </w:p>
    <w:p w:rsidR="00B7099D" w:rsidRPr="008D1EFA" w:rsidRDefault="00B7099D" w:rsidP="009A7015">
      <w:pPr>
        <w:tabs>
          <w:tab w:val="left" w:pos="6453"/>
        </w:tabs>
        <w:rPr>
          <w:rFonts w:ascii="Times New Roman" w:hAnsi="Times New Roman" w:cs="Times New Roman"/>
          <w:sz w:val="28"/>
          <w:szCs w:val="28"/>
          <w:lang w:val="ru-RU"/>
        </w:rPr>
      </w:pPr>
      <w:r w:rsidRPr="008D1EFA">
        <w:rPr>
          <w:rFonts w:ascii="Times New Roman" w:hAnsi="Times New Roman" w:cs="Times New Roman"/>
          <w:sz w:val="28"/>
          <w:szCs w:val="28"/>
          <w:lang w:val="ru-RU"/>
        </w:rPr>
        <w:t>Област: Стоматолошки науки-Максилофацијална хирургија</w:t>
      </w:r>
    </w:p>
    <w:p w:rsidR="008D1EFA" w:rsidRDefault="008D1EFA" w:rsidP="00BF35C5">
      <w:pPr>
        <w:tabs>
          <w:tab w:val="left" w:pos="6453"/>
        </w:tabs>
        <w:rPr>
          <w:rFonts w:ascii="Times New Roman" w:hAnsi="Times New Roman" w:cs="Times New Roman"/>
          <w:b/>
          <w:sz w:val="28"/>
          <w:szCs w:val="28"/>
          <w:lang w:val="ru-RU"/>
        </w:rPr>
      </w:pPr>
    </w:p>
    <w:p w:rsidR="008D1EFA" w:rsidRDefault="008D1EFA" w:rsidP="00BF35C5">
      <w:pPr>
        <w:tabs>
          <w:tab w:val="left" w:pos="6453"/>
        </w:tabs>
        <w:rPr>
          <w:rFonts w:ascii="Times New Roman" w:hAnsi="Times New Roman" w:cs="Times New Roman"/>
          <w:b/>
          <w:sz w:val="28"/>
          <w:szCs w:val="28"/>
          <w:lang w:val="ru-RU"/>
        </w:rPr>
      </w:pPr>
    </w:p>
    <w:p w:rsidR="008D1EFA" w:rsidRDefault="008D1EFA" w:rsidP="00BF35C5">
      <w:pPr>
        <w:tabs>
          <w:tab w:val="left" w:pos="6453"/>
        </w:tabs>
        <w:rPr>
          <w:rFonts w:ascii="Times New Roman" w:hAnsi="Times New Roman" w:cs="Times New Roman"/>
          <w:b/>
          <w:sz w:val="28"/>
          <w:szCs w:val="28"/>
          <w:lang w:val="ru-RU"/>
        </w:rPr>
      </w:pPr>
    </w:p>
    <w:p w:rsidR="008D1EFA" w:rsidRPr="008D1EFA" w:rsidRDefault="008D1EFA" w:rsidP="00BF35C5">
      <w:pPr>
        <w:tabs>
          <w:tab w:val="left" w:pos="6453"/>
        </w:tabs>
        <w:rPr>
          <w:rFonts w:ascii="Times New Roman" w:hAnsi="Times New Roman" w:cs="Times New Roman"/>
          <w:sz w:val="28"/>
          <w:szCs w:val="28"/>
          <w:lang w:val="ru-RU"/>
        </w:rPr>
      </w:pPr>
    </w:p>
    <w:p w:rsidR="00BF35C5" w:rsidRPr="008D1EFA" w:rsidRDefault="00BF35C5" w:rsidP="00BF35C5">
      <w:pPr>
        <w:tabs>
          <w:tab w:val="left" w:pos="6453"/>
        </w:tabs>
        <w:rPr>
          <w:rFonts w:ascii="Times New Roman" w:hAnsi="Times New Roman" w:cs="Times New Roman"/>
          <w:sz w:val="28"/>
          <w:szCs w:val="28"/>
          <w:lang w:val="ru-RU"/>
        </w:rPr>
      </w:pPr>
      <w:r w:rsidRPr="008D1EFA">
        <w:rPr>
          <w:rFonts w:ascii="Times New Roman" w:hAnsi="Times New Roman" w:cs="Times New Roman"/>
          <w:sz w:val="28"/>
          <w:szCs w:val="28"/>
          <w:lang w:val="ru-RU"/>
        </w:rPr>
        <w:t>Членови на комисијата за оцена и одбрана на докторската дисертација:</w:t>
      </w:r>
    </w:p>
    <w:p w:rsidR="00BF35C5" w:rsidRDefault="00BF35C5" w:rsidP="009A7015">
      <w:pPr>
        <w:tabs>
          <w:tab w:val="left" w:pos="6453"/>
        </w:tabs>
        <w:rPr>
          <w:rFonts w:ascii="Times New Roman" w:hAnsi="Times New Roman" w:cs="Times New Roman"/>
          <w:b/>
          <w:sz w:val="28"/>
          <w:szCs w:val="28"/>
          <w:lang w:val="ru-RU"/>
        </w:rPr>
      </w:pPr>
    </w:p>
    <w:p w:rsidR="00B7099D" w:rsidRDefault="00B7099D"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BF35C5" w:rsidRDefault="00BF35C5" w:rsidP="00650FAD">
      <w:pPr>
        <w:tabs>
          <w:tab w:val="left" w:pos="6453"/>
        </w:tabs>
        <w:jc w:val="center"/>
        <w:rPr>
          <w:rFonts w:ascii="Times New Roman" w:hAnsi="Times New Roman" w:cs="Times New Roman"/>
          <w:b/>
          <w:color w:val="000000"/>
          <w:sz w:val="20"/>
          <w:szCs w:val="20"/>
        </w:rPr>
      </w:pPr>
    </w:p>
    <w:p w:rsidR="00C13904" w:rsidRDefault="00C13904" w:rsidP="00C13904">
      <w:pPr>
        <w:tabs>
          <w:tab w:val="left" w:pos="6453"/>
        </w:tabs>
        <w:rPr>
          <w:rFonts w:ascii="Times New Roman" w:hAnsi="Times New Roman" w:cs="Times New Roman"/>
          <w:b/>
          <w:color w:val="000000"/>
          <w:sz w:val="20"/>
          <w:szCs w:val="20"/>
        </w:rPr>
      </w:pPr>
    </w:p>
    <w:p w:rsidR="00C13904" w:rsidRDefault="00C13904" w:rsidP="00C13904">
      <w:pPr>
        <w:tabs>
          <w:tab w:val="left" w:pos="6453"/>
        </w:tabs>
        <w:rPr>
          <w:rFonts w:ascii="Times New Roman" w:hAnsi="Times New Roman" w:cs="Times New Roman"/>
          <w:b/>
          <w:color w:val="000000"/>
          <w:sz w:val="20"/>
          <w:szCs w:val="20"/>
        </w:rPr>
      </w:pPr>
    </w:p>
    <w:p w:rsidR="00322696" w:rsidRDefault="00322696" w:rsidP="00C13904">
      <w:pPr>
        <w:tabs>
          <w:tab w:val="left" w:pos="6453"/>
        </w:tabs>
        <w:rPr>
          <w:rFonts w:ascii="Times New Roman" w:hAnsi="Times New Roman" w:cs="Times New Roman"/>
          <w:b/>
          <w:color w:val="000000"/>
          <w:sz w:val="20"/>
          <w:szCs w:val="20"/>
        </w:rPr>
      </w:pPr>
    </w:p>
    <w:p w:rsidR="00322696" w:rsidRDefault="00322696" w:rsidP="00C13904">
      <w:pPr>
        <w:tabs>
          <w:tab w:val="left" w:pos="6453"/>
        </w:tabs>
        <w:rPr>
          <w:rFonts w:ascii="Times New Roman" w:hAnsi="Times New Roman" w:cs="Times New Roman"/>
          <w:b/>
          <w:color w:val="000000"/>
          <w:sz w:val="20"/>
          <w:szCs w:val="20"/>
        </w:rPr>
      </w:pPr>
    </w:p>
    <w:p w:rsidR="00322696" w:rsidRDefault="00322696" w:rsidP="00C13904">
      <w:pPr>
        <w:tabs>
          <w:tab w:val="left" w:pos="6453"/>
        </w:tabs>
        <w:rPr>
          <w:rFonts w:ascii="Times New Roman" w:hAnsi="Times New Roman" w:cs="Times New Roman"/>
          <w:b/>
          <w:color w:val="000000"/>
          <w:sz w:val="20"/>
          <w:szCs w:val="20"/>
        </w:rPr>
      </w:pPr>
    </w:p>
    <w:p w:rsidR="00322696" w:rsidRDefault="00322696" w:rsidP="00C13904">
      <w:pPr>
        <w:tabs>
          <w:tab w:val="left" w:pos="6453"/>
        </w:tabs>
        <w:rPr>
          <w:rFonts w:ascii="Times New Roman" w:hAnsi="Times New Roman" w:cs="Times New Roman"/>
          <w:b/>
          <w:color w:val="000000"/>
          <w:sz w:val="20"/>
          <w:szCs w:val="20"/>
        </w:rPr>
      </w:pPr>
    </w:p>
    <w:p w:rsidR="00650FAD" w:rsidRPr="00150464" w:rsidRDefault="00650FAD" w:rsidP="00C13904">
      <w:pPr>
        <w:tabs>
          <w:tab w:val="left" w:pos="6453"/>
        </w:tabs>
        <w:rPr>
          <w:rFonts w:ascii="Times New Roman" w:hAnsi="Times New Roman" w:cs="Times New Roman"/>
          <w:b/>
          <w:color w:val="000000"/>
          <w:sz w:val="20"/>
          <w:szCs w:val="20"/>
          <w:lang w:val="ru-RU"/>
        </w:rPr>
      </w:pPr>
      <w:r w:rsidRPr="00150464">
        <w:rPr>
          <w:rFonts w:ascii="Times New Roman" w:hAnsi="Times New Roman" w:cs="Times New Roman"/>
          <w:b/>
          <w:color w:val="000000"/>
          <w:sz w:val="20"/>
          <w:szCs w:val="20"/>
        </w:rPr>
        <w:t xml:space="preserve">ЕВАЛУАЦИЈА НА </w:t>
      </w:r>
      <w:r w:rsidRPr="00150464">
        <w:rPr>
          <w:rFonts w:ascii="Times New Roman" w:hAnsi="Times New Roman" w:cs="Times New Roman"/>
          <w:b/>
          <w:color w:val="000000"/>
          <w:sz w:val="20"/>
          <w:szCs w:val="20"/>
          <w:lang w:val="ru-RU"/>
        </w:rPr>
        <w:t>СЕРУМСКИ И</w:t>
      </w:r>
      <w:r w:rsidRPr="00150464">
        <w:rPr>
          <w:rFonts w:ascii="Times New Roman" w:hAnsi="Times New Roman" w:cs="Times New Roman"/>
          <w:b/>
          <w:color w:val="000000"/>
          <w:sz w:val="20"/>
          <w:szCs w:val="20"/>
        </w:rPr>
        <w:t xml:space="preserve"> САЛИВАРЕН INTERLEUKIN-33 </w:t>
      </w:r>
      <w:r w:rsidRPr="00150464">
        <w:rPr>
          <w:rFonts w:ascii="Times New Roman" w:hAnsi="Times New Roman" w:cs="Times New Roman"/>
          <w:b/>
          <w:color w:val="000000"/>
          <w:sz w:val="20"/>
          <w:szCs w:val="20"/>
          <w:lang w:val="ru-RU"/>
        </w:rPr>
        <w:t>ПОТЕНЦИЈАЛНИ МАРКЕРИ ЗА ТУМОРИ НА ПАРОТИДНИ ЖЛЕЗДИ</w:t>
      </w:r>
    </w:p>
    <w:p w:rsidR="00BF35C5" w:rsidRDefault="00BF35C5" w:rsidP="009A7015">
      <w:pPr>
        <w:tabs>
          <w:tab w:val="left" w:pos="6453"/>
        </w:tabs>
        <w:rPr>
          <w:rFonts w:ascii="Times New Roman" w:hAnsi="Times New Roman" w:cs="Times New Roman"/>
          <w:sz w:val="20"/>
          <w:szCs w:val="20"/>
          <w:lang w:val="ru-RU"/>
        </w:rPr>
      </w:pPr>
    </w:p>
    <w:p w:rsidR="00BF35C5" w:rsidRDefault="00BF35C5" w:rsidP="009A7015">
      <w:pPr>
        <w:tabs>
          <w:tab w:val="left" w:pos="6453"/>
        </w:tabs>
        <w:rPr>
          <w:rFonts w:ascii="Times New Roman" w:hAnsi="Times New Roman" w:cs="Times New Roman"/>
          <w:sz w:val="20"/>
          <w:szCs w:val="20"/>
          <w:lang w:val="ru-RU"/>
        </w:rPr>
      </w:pPr>
    </w:p>
    <w:p w:rsidR="00650FAD" w:rsidRPr="00650FAD" w:rsidRDefault="00650FAD" w:rsidP="009A7015">
      <w:pPr>
        <w:tabs>
          <w:tab w:val="left" w:pos="6453"/>
        </w:tabs>
        <w:rPr>
          <w:rFonts w:ascii="Times New Roman" w:hAnsi="Times New Roman" w:cs="Times New Roman"/>
          <w:sz w:val="20"/>
          <w:szCs w:val="20"/>
          <w:lang w:val="ru-RU"/>
        </w:rPr>
      </w:pPr>
      <w:r w:rsidRPr="00650FAD">
        <w:rPr>
          <w:rFonts w:ascii="Times New Roman" w:hAnsi="Times New Roman" w:cs="Times New Roman"/>
          <w:sz w:val="20"/>
          <w:szCs w:val="20"/>
          <w:lang w:val="ru-RU"/>
        </w:rPr>
        <w:t>Др.Александра Бранко</w:t>
      </w:r>
    </w:p>
    <w:p w:rsidR="00F2432E" w:rsidRDefault="00F2432E" w:rsidP="009A7015">
      <w:pPr>
        <w:tabs>
          <w:tab w:val="left" w:pos="6453"/>
        </w:tabs>
        <w:rPr>
          <w:rFonts w:ascii="Times New Roman" w:hAnsi="Times New Roman" w:cs="Times New Roman"/>
          <w:b/>
          <w:sz w:val="28"/>
          <w:szCs w:val="28"/>
          <w:lang w:val="ru-RU"/>
        </w:rPr>
      </w:pPr>
    </w:p>
    <w:p w:rsidR="009A7015" w:rsidRPr="00650FAD" w:rsidRDefault="009A7015" w:rsidP="00650FAD">
      <w:pPr>
        <w:tabs>
          <w:tab w:val="left" w:pos="6453"/>
        </w:tabs>
        <w:rPr>
          <w:rFonts w:ascii="Times New Roman" w:hAnsi="Times New Roman" w:cs="Times New Roman"/>
          <w:b/>
          <w:sz w:val="20"/>
          <w:szCs w:val="20"/>
          <w:lang w:val="ru-RU"/>
        </w:rPr>
      </w:pPr>
      <w:r w:rsidRPr="00650FAD">
        <w:rPr>
          <w:rFonts w:ascii="Times New Roman" w:hAnsi="Times New Roman" w:cs="Times New Roman"/>
          <w:b/>
          <w:sz w:val="20"/>
          <w:szCs w:val="20"/>
          <w:lang w:val="ru-RU"/>
        </w:rPr>
        <w:t>Абстракт</w:t>
      </w:r>
    </w:p>
    <w:p w:rsidR="009A7015" w:rsidRPr="00650FAD" w:rsidRDefault="009A7015" w:rsidP="00650FAD">
      <w:pPr>
        <w:rPr>
          <w:rFonts w:ascii="Times New Roman" w:hAnsi="Times New Roman" w:cs="Times New Roman"/>
          <w:b/>
          <w:sz w:val="20"/>
          <w:szCs w:val="20"/>
        </w:rPr>
      </w:pPr>
    </w:p>
    <w:p w:rsidR="009A7015" w:rsidRPr="00650FAD" w:rsidRDefault="009A7015" w:rsidP="00650FAD">
      <w:pPr>
        <w:rPr>
          <w:rFonts w:ascii="Times New Roman" w:hAnsi="Times New Roman" w:cs="Times New Roman"/>
          <w:sz w:val="20"/>
          <w:szCs w:val="20"/>
        </w:rPr>
      </w:pPr>
      <w:r w:rsidRPr="00650FAD">
        <w:rPr>
          <w:rFonts w:ascii="Times New Roman" w:hAnsi="Times New Roman" w:cs="Times New Roman"/>
          <w:b/>
          <w:sz w:val="20"/>
          <w:szCs w:val="20"/>
        </w:rPr>
        <w:t>Вовед:</w:t>
      </w:r>
      <w:r w:rsidR="00584601">
        <w:rPr>
          <w:rFonts w:ascii="Times New Roman" w:hAnsi="Times New Roman" w:cs="Times New Roman"/>
          <w:b/>
          <w:sz w:val="20"/>
          <w:szCs w:val="20"/>
          <w:lang w:val="en-US"/>
        </w:rPr>
        <w:t xml:space="preserve"> </w:t>
      </w:r>
      <w:r w:rsidR="00584601">
        <w:rPr>
          <w:rFonts w:ascii="Times New Roman" w:hAnsi="Times New Roman" w:cs="Times New Roman"/>
          <w:sz w:val="20"/>
          <w:szCs w:val="20"/>
        </w:rPr>
        <w:t>I</w:t>
      </w:r>
      <w:r w:rsidR="00584601">
        <w:rPr>
          <w:rFonts w:ascii="Times New Roman" w:hAnsi="Times New Roman" w:cs="Times New Roman"/>
          <w:sz w:val="20"/>
          <w:szCs w:val="20"/>
          <w:lang w:val="en-US"/>
        </w:rPr>
        <w:t>L-</w:t>
      </w:r>
      <w:r w:rsidRPr="00650FAD">
        <w:rPr>
          <w:rFonts w:ascii="Times New Roman" w:hAnsi="Times New Roman" w:cs="Times New Roman"/>
          <w:sz w:val="20"/>
          <w:szCs w:val="20"/>
        </w:rPr>
        <w:t>33 припаѓа на</w:t>
      </w:r>
      <w:r w:rsidR="00584601">
        <w:rPr>
          <w:rFonts w:ascii="Times New Roman" w:hAnsi="Times New Roman" w:cs="Times New Roman"/>
          <w:sz w:val="20"/>
          <w:szCs w:val="20"/>
        </w:rPr>
        <w:t xml:space="preserve"> групата цитокини од I</w:t>
      </w:r>
      <w:r w:rsidR="00584601">
        <w:rPr>
          <w:rFonts w:ascii="Times New Roman" w:hAnsi="Times New Roman" w:cs="Times New Roman"/>
          <w:sz w:val="20"/>
          <w:szCs w:val="20"/>
          <w:lang w:val="en-US"/>
        </w:rPr>
        <w:t>L</w:t>
      </w:r>
      <w:r w:rsidRPr="00650FAD">
        <w:rPr>
          <w:rFonts w:ascii="Times New Roman" w:hAnsi="Times New Roman" w:cs="Times New Roman"/>
          <w:sz w:val="20"/>
          <w:szCs w:val="20"/>
        </w:rPr>
        <w:t xml:space="preserve">-1 фамилијата. Идентификуван е за прв пат 2005 година и се уште нема доволно информации за неговата улога во патогенезата и прогнозата на тумори на паротидните жлезди. Експресија на нуклеарен IL-33 експериментално е потврдена во ткивото на паротидните тумори (малигни и бенигни). </w:t>
      </w:r>
    </w:p>
    <w:p w:rsidR="00630CAF" w:rsidRPr="00650FAD" w:rsidRDefault="00630CAF" w:rsidP="00650FAD">
      <w:pPr>
        <w:rPr>
          <w:rFonts w:ascii="Times New Roman" w:hAnsi="Times New Roman" w:cs="Times New Roman"/>
          <w:b/>
          <w:sz w:val="20"/>
          <w:szCs w:val="20"/>
        </w:rPr>
      </w:pPr>
    </w:p>
    <w:p w:rsidR="009A7015" w:rsidRPr="00650FAD" w:rsidRDefault="009A7015" w:rsidP="00650FAD">
      <w:pPr>
        <w:rPr>
          <w:rFonts w:ascii="Times New Roman" w:hAnsi="Times New Roman" w:cs="Times New Roman"/>
          <w:sz w:val="20"/>
          <w:szCs w:val="20"/>
        </w:rPr>
      </w:pPr>
      <w:r w:rsidRPr="00650FAD">
        <w:rPr>
          <w:rFonts w:ascii="Times New Roman" w:hAnsi="Times New Roman" w:cs="Times New Roman"/>
          <w:b/>
          <w:sz w:val="20"/>
          <w:szCs w:val="20"/>
        </w:rPr>
        <w:t xml:space="preserve">Цел: </w:t>
      </w:r>
      <w:r w:rsidRPr="00650FAD">
        <w:rPr>
          <w:rFonts w:ascii="Times New Roman" w:hAnsi="Times New Roman" w:cs="Times New Roman"/>
          <w:sz w:val="20"/>
          <w:szCs w:val="20"/>
        </w:rPr>
        <w:t>Да се испита дали серумските и вредностите на</w:t>
      </w:r>
      <w:r w:rsidRPr="00650FAD">
        <w:rPr>
          <w:rFonts w:ascii="Times New Roman" w:hAnsi="Times New Roman" w:cs="Times New Roman"/>
          <w:b/>
          <w:sz w:val="20"/>
          <w:szCs w:val="20"/>
        </w:rPr>
        <w:t xml:space="preserve"> </w:t>
      </w:r>
      <w:r w:rsidRPr="00650FAD">
        <w:rPr>
          <w:rFonts w:ascii="Times New Roman" w:hAnsi="Times New Roman" w:cs="Times New Roman"/>
          <w:sz w:val="20"/>
          <w:szCs w:val="20"/>
        </w:rPr>
        <w:t>IL-33 во салива кај пациенти со бенигни и малигни тумори на паротидните жлезди се повисоки од вредностите на IL-33, во серум и салива кај здрави испитаници.</w:t>
      </w:r>
    </w:p>
    <w:p w:rsidR="00630CAF" w:rsidRPr="00650FAD" w:rsidRDefault="00630CAF" w:rsidP="00650FAD">
      <w:pPr>
        <w:rPr>
          <w:rFonts w:ascii="Times New Roman" w:hAnsi="Times New Roman" w:cs="Times New Roman"/>
          <w:b/>
          <w:sz w:val="20"/>
          <w:szCs w:val="20"/>
        </w:rPr>
      </w:pPr>
    </w:p>
    <w:p w:rsidR="009A7015" w:rsidRPr="00650FAD" w:rsidRDefault="009A7015" w:rsidP="00650FAD">
      <w:pPr>
        <w:rPr>
          <w:rFonts w:ascii="Times New Roman" w:hAnsi="Times New Roman" w:cs="Times New Roman"/>
          <w:sz w:val="20"/>
          <w:szCs w:val="20"/>
        </w:rPr>
      </w:pPr>
      <w:r w:rsidRPr="00650FAD">
        <w:rPr>
          <w:rFonts w:ascii="Times New Roman" w:hAnsi="Times New Roman" w:cs="Times New Roman"/>
          <w:b/>
          <w:sz w:val="20"/>
          <w:szCs w:val="20"/>
        </w:rPr>
        <w:t>Метод:</w:t>
      </w:r>
      <w:r w:rsidRPr="00650FAD">
        <w:rPr>
          <w:rFonts w:ascii="Times New Roman" w:hAnsi="Times New Roman" w:cs="Times New Roman"/>
          <w:sz w:val="20"/>
          <w:szCs w:val="20"/>
        </w:rPr>
        <w:t xml:space="preserve"> Истражувањето е направено кај 62 пациенти со тумори на паротидните жлезди (49 бенигни, 13 малигни) и контролна група од 49 испитаници. Серумските и вредностите на IL-33 во салива се анализирани со </w:t>
      </w:r>
      <w:r w:rsidR="00B32014" w:rsidRPr="00650FAD">
        <w:rPr>
          <w:rFonts w:ascii="Times New Roman" w:hAnsi="Times New Roman" w:cs="Times New Roman"/>
          <w:color w:val="202124"/>
          <w:sz w:val="20"/>
          <w:szCs w:val="20"/>
        </w:rPr>
        <w:t>мултиплексна ELISA (</w:t>
      </w:r>
      <w:r w:rsidR="00B32014" w:rsidRPr="00A926CA">
        <w:rPr>
          <w:rFonts w:ascii="Times New Roman" w:hAnsi="Times New Roman" w:cs="Times New Roman"/>
          <w:color w:val="202124"/>
          <w:sz w:val="20"/>
          <w:szCs w:val="20"/>
        </w:rPr>
        <w:t xml:space="preserve">enzyme-linked immunosorbent assay) </w:t>
      </w:r>
      <w:r w:rsidR="00B32014" w:rsidRPr="00650FAD">
        <w:rPr>
          <w:rFonts w:ascii="Times New Roman" w:hAnsi="Times New Roman" w:cs="Times New Roman"/>
          <w:color w:val="202124"/>
          <w:sz w:val="20"/>
          <w:szCs w:val="20"/>
        </w:rPr>
        <w:t>сендвич метода.</w:t>
      </w:r>
      <w:r w:rsidRPr="00650FAD">
        <w:rPr>
          <w:rFonts w:ascii="Times New Roman" w:hAnsi="Times New Roman" w:cs="Times New Roman"/>
          <w:sz w:val="20"/>
          <w:szCs w:val="20"/>
        </w:rPr>
        <w:t xml:space="preserve"> Статистичката обработка на податоците е реализирана со употреба на Kruskal-Wallis H, Mann-Whitney U, </w:t>
      </w:r>
      <w:r w:rsidRPr="00650FAD">
        <w:rPr>
          <w:rFonts w:ascii="Times New Roman" w:hAnsi="Times New Roman" w:cs="Times New Roman"/>
          <w:color w:val="000000"/>
          <w:kern w:val="1"/>
          <w:sz w:val="20"/>
          <w:szCs w:val="20"/>
          <w:lang w:eastAsia="mk-MK"/>
        </w:rPr>
        <w:t>Shapiro</w:t>
      </w:r>
      <w:r w:rsidRPr="00A926CA">
        <w:rPr>
          <w:rFonts w:ascii="Times New Roman" w:hAnsi="Times New Roman" w:cs="Times New Roman"/>
          <w:color w:val="000000"/>
          <w:kern w:val="1"/>
          <w:sz w:val="20"/>
          <w:szCs w:val="20"/>
          <w:lang w:eastAsia="mk-MK"/>
        </w:rPr>
        <w:t>-</w:t>
      </w:r>
      <w:r w:rsidRPr="00650FAD">
        <w:rPr>
          <w:rFonts w:ascii="Times New Roman" w:hAnsi="Times New Roman" w:cs="Times New Roman"/>
          <w:color w:val="000000"/>
          <w:kern w:val="1"/>
          <w:sz w:val="20"/>
          <w:szCs w:val="20"/>
          <w:lang w:eastAsia="mk-MK"/>
        </w:rPr>
        <w:t>Wilk</w:t>
      </w:r>
      <w:r w:rsidRPr="00A926CA">
        <w:rPr>
          <w:rFonts w:ascii="Times New Roman" w:hAnsi="Times New Roman" w:cs="Times New Roman"/>
          <w:color w:val="000000"/>
          <w:kern w:val="1"/>
          <w:sz w:val="20"/>
          <w:szCs w:val="20"/>
          <w:lang w:eastAsia="mk-MK"/>
        </w:rPr>
        <w:t xml:space="preserve"> </w:t>
      </w:r>
      <w:r w:rsidRPr="00650FAD">
        <w:rPr>
          <w:rFonts w:ascii="Times New Roman" w:hAnsi="Times New Roman" w:cs="Times New Roman"/>
          <w:color w:val="000000"/>
          <w:kern w:val="1"/>
          <w:sz w:val="20"/>
          <w:szCs w:val="20"/>
          <w:lang w:eastAsia="mk-MK"/>
        </w:rPr>
        <w:t>W</w:t>
      </w:r>
      <w:r w:rsidRPr="00A926CA">
        <w:rPr>
          <w:rFonts w:ascii="Times New Roman" w:hAnsi="Times New Roman" w:cs="Times New Roman"/>
          <w:color w:val="000000"/>
          <w:kern w:val="1"/>
          <w:sz w:val="20"/>
          <w:szCs w:val="20"/>
          <w:lang w:eastAsia="mk-MK"/>
        </w:rPr>
        <w:t xml:space="preserve"> </w:t>
      </w:r>
      <w:r w:rsidRPr="00650FAD">
        <w:rPr>
          <w:rFonts w:ascii="Times New Roman" w:hAnsi="Times New Roman" w:cs="Times New Roman"/>
          <w:color w:val="000000"/>
          <w:sz w:val="20"/>
          <w:szCs w:val="20"/>
        </w:rPr>
        <w:t>Pearson Chi square test, Fisher exact test и Fisher Freeman Halton тест</w:t>
      </w:r>
      <w:r w:rsidRPr="00650FAD">
        <w:rPr>
          <w:rFonts w:ascii="Times New Roman" w:hAnsi="Times New Roman" w:cs="Times New Roman"/>
          <w:sz w:val="20"/>
          <w:szCs w:val="20"/>
        </w:rPr>
        <w:t>.</w:t>
      </w:r>
    </w:p>
    <w:p w:rsidR="00630CAF" w:rsidRPr="00650FAD" w:rsidRDefault="00630CAF" w:rsidP="00650FAD">
      <w:pPr>
        <w:rPr>
          <w:rFonts w:ascii="Times New Roman" w:hAnsi="Times New Roman" w:cs="Times New Roman"/>
          <w:b/>
          <w:sz w:val="20"/>
          <w:szCs w:val="20"/>
        </w:rPr>
      </w:pPr>
    </w:p>
    <w:p w:rsidR="009A7015" w:rsidRPr="00650FAD" w:rsidRDefault="009A7015" w:rsidP="00650FAD">
      <w:pPr>
        <w:rPr>
          <w:rFonts w:ascii="Times New Roman" w:hAnsi="Times New Roman" w:cs="Times New Roman"/>
          <w:bCs/>
          <w:color w:val="000000"/>
          <w:sz w:val="20"/>
          <w:szCs w:val="20"/>
        </w:rPr>
      </w:pPr>
      <w:r w:rsidRPr="00650FAD">
        <w:rPr>
          <w:rFonts w:ascii="Times New Roman" w:hAnsi="Times New Roman" w:cs="Times New Roman"/>
          <w:b/>
          <w:sz w:val="20"/>
          <w:szCs w:val="20"/>
        </w:rPr>
        <w:t>Резултати:</w:t>
      </w:r>
      <w:r w:rsidRPr="00650FAD">
        <w:rPr>
          <w:rFonts w:ascii="Times New Roman" w:hAnsi="Times New Roman" w:cs="Times New Roman"/>
          <w:sz w:val="20"/>
          <w:szCs w:val="20"/>
        </w:rPr>
        <w:t xml:space="preserve"> Вредноста на </w:t>
      </w:r>
      <w:r w:rsidRPr="00650FAD">
        <w:rPr>
          <w:rFonts w:ascii="Times New Roman" w:hAnsi="Times New Roman" w:cs="Times New Roman"/>
          <w:color w:val="000000"/>
          <w:sz w:val="20"/>
          <w:szCs w:val="20"/>
        </w:rPr>
        <w:t>IL-33 во серум, беше несигнификантно повисока кај пациентите од испитуваната група со тумори на паротидните жлезди – Mean=</w:t>
      </w:r>
      <w:r w:rsidRPr="00650FAD">
        <w:rPr>
          <w:rFonts w:ascii="Times New Roman" w:hAnsi="Times New Roman" w:cs="Times New Roman"/>
          <w:sz w:val="20"/>
          <w:szCs w:val="20"/>
        </w:rPr>
        <w:t>4,85±0,16 и Median IQR=</w:t>
      </w:r>
      <w:r w:rsidRPr="00650FAD">
        <w:rPr>
          <w:rFonts w:ascii="Times New Roman" w:hAnsi="Times New Roman" w:cs="Times New Roman"/>
          <w:bCs/>
          <w:color w:val="000000"/>
          <w:sz w:val="20"/>
          <w:szCs w:val="20"/>
        </w:rPr>
        <w:t>4,85 (4,85-4,93)</w:t>
      </w:r>
      <w:r w:rsidRPr="00650FAD">
        <w:rPr>
          <w:rFonts w:ascii="Times New Roman" w:hAnsi="Times New Roman" w:cs="Times New Roman"/>
          <w:color w:val="000000"/>
          <w:sz w:val="20"/>
          <w:szCs w:val="20"/>
        </w:rPr>
        <w:t>, споредено со IL-33 во серум кај здрави лица во контролната група – Mean=</w:t>
      </w:r>
      <w:r w:rsidRPr="00650FAD">
        <w:rPr>
          <w:rFonts w:ascii="Times New Roman" w:hAnsi="Times New Roman" w:cs="Times New Roman"/>
          <w:sz w:val="20"/>
          <w:szCs w:val="20"/>
        </w:rPr>
        <w:t>4,80±0,55 и Median IQR=</w:t>
      </w:r>
      <w:r w:rsidRPr="00650FAD">
        <w:rPr>
          <w:rFonts w:ascii="Times New Roman" w:hAnsi="Times New Roman" w:cs="Times New Roman"/>
          <w:bCs/>
          <w:color w:val="000000"/>
          <w:sz w:val="20"/>
          <w:szCs w:val="20"/>
        </w:rPr>
        <w:t>4,85 (4,76-5,01), односно, вредноста на IL-33 во салива, беше несигнификантно повисока кај пациентите од испитуваната група со тумори на паротидните жлезди – Mean=4,81±0,18 и Median IQR=4,85 (4,68-4,85), споредено со IL-33 во салива кај здрави лица во контролната група – Mean=4,73±0,56 и Median IQR=4,85 (4,68-4,85).</w:t>
      </w:r>
    </w:p>
    <w:p w:rsidR="00630CAF" w:rsidRPr="00650FAD" w:rsidRDefault="00630CAF" w:rsidP="00650FAD">
      <w:pPr>
        <w:rPr>
          <w:rFonts w:ascii="Times New Roman" w:hAnsi="Times New Roman" w:cs="Times New Roman"/>
          <w:b/>
          <w:color w:val="000000"/>
          <w:sz w:val="20"/>
          <w:szCs w:val="20"/>
        </w:rPr>
      </w:pPr>
    </w:p>
    <w:p w:rsidR="009A7015" w:rsidRPr="00650FAD" w:rsidRDefault="009A7015" w:rsidP="00650FAD">
      <w:pPr>
        <w:rPr>
          <w:rFonts w:ascii="Times New Roman" w:hAnsi="Times New Roman" w:cs="Times New Roman"/>
          <w:sz w:val="20"/>
          <w:szCs w:val="20"/>
        </w:rPr>
      </w:pPr>
      <w:r w:rsidRPr="00650FAD">
        <w:rPr>
          <w:rFonts w:ascii="Times New Roman" w:hAnsi="Times New Roman" w:cs="Times New Roman"/>
          <w:b/>
          <w:color w:val="000000"/>
          <w:sz w:val="20"/>
          <w:szCs w:val="20"/>
        </w:rPr>
        <w:t>Заклучок:</w:t>
      </w:r>
      <w:r w:rsidRPr="00650FAD">
        <w:rPr>
          <w:rFonts w:ascii="Times New Roman" w:hAnsi="Times New Roman" w:cs="Times New Roman"/>
          <w:sz w:val="20"/>
          <w:szCs w:val="20"/>
        </w:rPr>
        <w:t xml:space="preserve"> Потребни се дополнителни истражувања за да се детерминира IL-33 како потенцијален биомаркер за паротидните тумори.</w:t>
      </w:r>
    </w:p>
    <w:p w:rsidR="00630CAF" w:rsidRPr="00650FAD" w:rsidRDefault="00630CAF" w:rsidP="00650FAD">
      <w:pPr>
        <w:rPr>
          <w:rFonts w:ascii="Times New Roman" w:hAnsi="Times New Roman" w:cs="Times New Roman"/>
          <w:b/>
          <w:sz w:val="20"/>
          <w:szCs w:val="20"/>
        </w:rPr>
      </w:pPr>
    </w:p>
    <w:p w:rsidR="009A7015" w:rsidRPr="00650FAD" w:rsidRDefault="009A7015" w:rsidP="00650FAD">
      <w:pPr>
        <w:rPr>
          <w:rFonts w:ascii="Times New Roman" w:hAnsi="Times New Roman" w:cs="Times New Roman"/>
          <w:sz w:val="20"/>
          <w:szCs w:val="20"/>
        </w:rPr>
      </w:pPr>
      <w:r w:rsidRPr="00650FAD">
        <w:rPr>
          <w:rFonts w:ascii="Times New Roman" w:hAnsi="Times New Roman" w:cs="Times New Roman"/>
          <w:b/>
          <w:sz w:val="20"/>
          <w:szCs w:val="20"/>
        </w:rPr>
        <w:t>Клучни зборови:</w:t>
      </w:r>
      <w:r w:rsidRPr="00650FAD">
        <w:rPr>
          <w:rFonts w:ascii="Times New Roman" w:hAnsi="Times New Roman" w:cs="Times New Roman"/>
          <w:sz w:val="20"/>
          <w:szCs w:val="20"/>
        </w:rPr>
        <w:t xml:space="preserve"> IL-33, IL-1, паротидни тумори, ELISA, серум, салива</w:t>
      </w:r>
    </w:p>
    <w:p w:rsidR="00630CAF" w:rsidRPr="00650FAD" w:rsidRDefault="00630CAF"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15868"/>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r w:rsidRPr="00650FAD">
        <w:rPr>
          <w:rFonts w:ascii="Times New Roman" w:hAnsi="Times New Roman" w:cs="Times New Roman"/>
          <w:b/>
          <w:color w:val="202124"/>
          <w:sz w:val="20"/>
          <w:szCs w:val="20"/>
        </w:rPr>
        <w:t>EVALUATION OF SERUM AND SALIVARY INTERLEUKIN-33 POTENTIAL MARKERS FOR PAROTID GLAND TUMORS</w:t>
      </w: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lang w:val="en-US"/>
        </w:rPr>
      </w:pPr>
    </w:p>
    <w:p w:rsidR="00650FAD" w:rsidRP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0"/>
          <w:szCs w:val="20"/>
          <w:lang w:val="en-US"/>
        </w:rPr>
      </w:pPr>
      <w:r w:rsidRPr="00650FAD">
        <w:rPr>
          <w:rFonts w:ascii="Times New Roman" w:hAnsi="Times New Roman" w:cs="Times New Roman"/>
          <w:color w:val="202124"/>
          <w:sz w:val="20"/>
          <w:szCs w:val="20"/>
          <w:lang w:val="en-US"/>
        </w:rPr>
        <w:t>Dr. Aleksandra Branko</w:t>
      </w: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650FAD" w:rsidRDefault="00650FAD"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p>
    <w:p w:rsidR="009A7015" w:rsidRPr="00650FAD" w:rsidRDefault="009A7015" w:rsidP="00650F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202124"/>
          <w:sz w:val="20"/>
          <w:szCs w:val="20"/>
        </w:rPr>
      </w:pPr>
      <w:r w:rsidRPr="00650FAD">
        <w:rPr>
          <w:rFonts w:ascii="Times New Roman" w:hAnsi="Times New Roman" w:cs="Times New Roman"/>
          <w:b/>
          <w:color w:val="202124"/>
          <w:sz w:val="20"/>
          <w:szCs w:val="20"/>
        </w:rPr>
        <w:t>Abstract</w:t>
      </w:r>
    </w:p>
    <w:p w:rsidR="009A7015" w:rsidRPr="00650FAD" w:rsidRDefault="009A7015" w:rsidP="00650FAD">
      <w:pPr>
        <w:pStyle w:val="HTMLPreformatted"/>
        <w:shd w:val="clear" w:color="auto" w:fill="FFFFFF"/>
        <w:rPr>
          <w:rStyle w:val="y2iqfc"/>
          <w:rFonts w:ascii="Times New Roman" w:hAnsi="Times New Roman" w:cs="Times New Roman"/>
          <w:color w:val="202124"/>
        </w:rPr>
      </w:pPr>
    </w:p>
    <w:p w:rsidR="009A7015" w:rsidRPr="00650FAD" w:rsidRDefault="009A7015" w:rsidP="00650FAD">
      <w:pPr>
        <w:pStyle w:val="HTMLPreformatted"/>
        <w:shd w:val="clear" w:color="auto" w:fill="FFFFFF"/>
        <w:rPr>
          <w:rStyle w:val="y2iqfc"/>
          <w:rFonts w:ascii="Times New Roman" w:hAnsi="Times New Roman" w:cs="Times New Roman"/>
          <w:color w:val="202124"/>
        </w:rPr>
      </w:pPr>
      <w:r w:rsidRPr="00650FAD">
        <w:rPr>
          <w:rStyle w:val="y2iqfc"/>
          <w:rFonts w:ascii="Times New Roman" w:hAnsi="Times New Roman" w:cs="Times New Roman"/>
          <w:b/>
          <w:color w:val="202124"/>
        </w:rPr>
        <w:t>Introduction</w:t>
      </w:r>
      <w:r w:rsidR="00584601">
        <w:rPr>
          <w:rStyle w:val="y2iqfc"/>
          <w:rFonts w:ascii="Times New Roman" w:hAnsi="Times New Roman" w:cs="Times New Roman"/>
          <w:color w:val="202124"/>
        </w:rPr>
        <w:t>: IL-</w:t>
      </w:r>
      <w:r w:rsidRPr="00650FAD">
        <w:rPr>
          <w:rStyle w:val="y2iqfc"/>
          <w:rFonts w:ascii="Times New Roman" w:hAnsi="Times New Roman" w:cs="Times New Roman"/>
          <w:color w:val="202124"/>
        </w:rPr>
        <w:t>33 belongs to the group of cytokines from the Interleukin-1 family. It was identified for the first time in 2005 and there is still not enough information about its role in the pathogenesis and prognosis of tumors of the parotid glands. Expression of nuclear IL-33 has been experimentally confirmed in the tissue of parotid tumors (malignant and benign).</w:t>
      </w:r>
    </w:p>
    <w:p w:rsidR="009A7015" w:rsidRPr="00650FAD" w:rsidRDefault="009A7015" w:rsidP="00650FAD">
      <w:pPr>
        <w:pStyle w:val="HTMLPreformatted"/>
        <w:shd w:val="clear" w:color="auto" w:fill="FFFFFF"/>
        <w:rPr>
          <w:rStyle w:val="y2iqfc"/>
          <w:rFonts w:ascii="Times New Roman" w:hAnsi="Times New Roman" w:cs="Times New Roman"/>
          <w:b/>
          <w:color w:val="202124"/>
        </w:rPr>
      </w:pPr>
    </w:p>
    <w:p w:rsidR="009A7015" w:rsidRPr="00650FAD" w:rsidRDefault="009A7015" w:rsidP="00650FAD">
      <w:pPr>
        <w:pStyle w:val="HTMLPreformatted"/>
        <w:shd w:val="clear" w:color="auto" w:fill="FFFFFF"/>
        <w:rPr>
          <w:rStyle w:val="y2iqfc"/>
          <w:rFonts w:ascii="Times New Roman" w:hAnsi="Times New Roman" w:cs="Times New Roman"/>
          <w:color w:val="202124"/>
        </w:rPr>
      </w:pPr>
      <w:r w:rsidRPr="00650FAD">
        <w:rPr>
          <w:rStyle w:val="y2iqfc"/>
          <w:rFonts w:ascii="Times New Roman" w:hAnsi="Times New Roman" w:cs="Times New Roman"/>
          <w:b/>
          <w:color w:val="202124"/>
        </w:rPr>
        <w:t>Objective:</w:t>
      </w:r>
      <w:r w:rsidRPr="00650FAD">
        <w:rPr>
          <w:rStyle w:val="y2iqfc"/>
          <w:rFonts w:ascii="Times New Roman" w:hAnsi="Times New Roman" w:cs="Times New Roman"/>
          <w:color w:val="202124"/>
        </w:rPr>
        <w:t xml:space="preserve"> To investigate whether serum and saliva IL-33 values ​​in patients with benign and malignant parotid gland tumors are higher than serum and saliva IL-33 values ​​in healthy subjects.</w:t>
      </w:r>
    </w:p>
    <w:p w:rsidR="009A7015" w:rsidRPr="00650FAD" w:rsidRDefault="009A7015" w:rsidP="00650FAD">
      <w:pPr>
        <w:pStyle w:val="HTMLPreformatted"/>
        <w:shd w:val="clear" w:color="auto" w:fill="FFFFFF"/>
        <w:rPr>
          <w:rStyle w:val="y2iqfc"/>
          <w:rFonts w:ascii="Times New Roman" w:hAnsi="Times New Roman" w:cs="Times New Roman"/>
          <w:color w:val="202124"/>
        </w:rPr>
      </w:pPr>
    </w:p>
    <w:p w:rsidR="009A7015" w:rsidRPr="00650FAD" w:rsidRDefault="009A7015" w:rsidP="00650FAD">
      <w:pPr>
        <w:pStyle w:val="HTMLPreformatted"/>
        <w:shd w:val="clear" w:color="auto" w:fill="FFFFFF"/>
        <w:rPr>
          <w:rStyle w:val="y2iqfc"/>
          <w:rFonts w:ascii="Times New Roman" w:hAnsi="Times New Roman" w:cs="Times New Roman"/>
          <w:color w:val="202124"/>
        </w:rPr>
      </w:pPr>
      <w:r w:rsidRPr="00150464">
        <w:rPr>
          <w:rStyle w:val="y2iqfc"/>
          <w:rFonts w:ascii="Times New Roman" w:hAnsi="Times New Roman" w:cs="Times New Roman"/>
          <w:b/>
          <w:color w:val="202124"/>
        </w:rPr>
        <w:t>Method</w:t>
      </w:r>
      <w:r w:rsidRPr="00650FAD">
        <w:rPr>
          <w:rStyle w:val="y2iqfc"/>
          <w:rFonts w:ascii="Times New Roman" w:hAnsi="Times New Roman" w:cs="Times New Roman"/>
          <w:color w:val="202124"/>
        </w:rPr>
        <w:t xml:space="preserve">: The research was done with a total of subjects, that is, 62 patients with tumors of the parotid glands (49 benign, 13 malignant) and a control group of 49 subjects. </w:t>
      </w:r>
      <w:r w:rsidRPr="00650FAD">
        <w:rPr>
          <w:rFonts w:ascii="Times New Roman" w:hAnsi="Times New Roman" w:cs="Times New Roman"/>
          <w:color w:val="202124"/>
        </w:rPr>
        <w:t xml:space="preserve">The serum and saliva levels of IL-33 was measured by using </w:t>
      </w:r>
      <w:r w:rsidR="00B32014" w:rsidRPr="00650FAD">
        <w:rPr>
          <w:rFonts w:ascii="Times New Roman" w:hAnsi="Times New Roman" w:cs="Times New Roman"/>
          <w:color w:val="202124"/>
        </w:rPr>
        <w:t xml:space="preserve">sandwich </w:t>
      </w:r>
      <w:r w:rsidRPr="00650FAD">
        <w:rPr>
          <w:rFonts w:ascii="Times New Roman" w:hAnsi="Times New Roman" w:cs="Times New Roman"/>
          <w:color w:val="202124"/>
        </w:rPr>
        <w:t>ELISA method. The data were statistically analyzed through</w:t>
      </w:r>
      <w:r w:rsidRPr="00650FAD">
        <w:rPr>
          <w:rStyle w:val="y2iqfc"/>
          <w:rFonts w:ascii="Times New Roman" w:hAnsi="Times New Roman" w:cs="Times New Roman"/>
          <w:color w:val="202124"/>
        </w:rPr>
        <w:t xml:space="preserve"> Kruskal-Wallis H, Mann-Whitney U, Shapiro-Wilk W Pearson Chi square, Fisher exact  and Fisher Freeman Halton tests.</w:t>
      </w:r>
    </w:p>
    <w:p w:rsidR="009A7015" w:rsidRPr="00650FAD" w:rsidRDefault="009A7015" w:rsidP="00650FAD">
      <w:pPr>
        <w:pStyle w:val="HTMLPreformatted"/>
        <w:shd w:val="clear" w:color="auto" w:fill="FFFFFF"/>
        <w:rPr>
          <w:rFonts w:ascii="Times New Roman" w:hAnsi="Times New Roman" w:cs="Times New Roman"/>
          <w:color w:val="202124"/>
        </w:rPr>
      </w:pPr>
    </w:p>
    <w:p w:rsidR="009A7015" w:rsidRPr="00150464" w:rsidRDefault="009A7015" w:rsidP="00650FAD">
      <w:pPr>
        <w:pStyle w:val="HTMLPreformatted"/>
        <w:shd w:val="clear" w:color="auto" w:fill="FFFFFF"/>
        <w:rPr>
          <w:rStyle w:val="y2iqfc"/>
          <w:rFonts w:ascii="Times New Roman" w:hAnsi="Times New Roman" w:cs="Times New Roman"/>
          <w:color w:val="202124"/>
        </w:rPr>
      </w:pPr>
      <w:r w:rsidRPr="00650FAD">
        <w:rPr>
          <w:rStyle w:val="y2iqfc"/>
          <w:rFonts w:ascii="Times New Roman" w:hAnsi="Times New Roman" w:cs="Times New Roman"/>
          <w:b/>
          <w:color w:val="202124"/>
        </w:rPr>
        <w:t>Results:</w:t>
      </w:r>
      <w:r w:rsidRPr="00650FAD">
        <w:rPr>
          <w:rStyle w:val="y2iqfc"/>
          <w:rFonts w:ascii="Times New Roman" w:hAnsi="Times New Roman" w:cs="Times New Roman"/>
          <w:color w:val="202124"/>
        </w:rPr>
        <w:t xml:space="preserve"> IL-33 serum levels, was non-significantly higher in patients from the studied group wi</w:t>
      </w:r>
      <w:r w:rsidR="00150464">
        <w:rPr>
          <w:rStyle w:val="y2iqfc"/>
          <w:rFonts w:ascii="Times New Roman" w:hAnsi="Times New Roman" w:cs="Times New Roman"/>
          <w:color w:val="202124"/>
        </w:rPr>
        <w:t>th tumors of the parotid glands</w:t>
      </w:r>
      <w:r w:rsidR="00150464">
        <w:rPr>
          <w:rStyle w:val="y2iqfc"/>
          <w:rFonts w:ascii="Times New Roman" w:hAnsi="Times New Roman" w:cs="Times New Roman"/>
          <w:color w:val="202124"/>
          <w:lang w:val="mk-MK"/>
        </w:rPr>
        <w:t>-</w:t>
      </w:r>
      <w:r w:rsidR="00150464" w:rsidRPr="00150464">
        <w:rPr>
          <w:rFonts w:ascii="Times New Roman" w:hAnsi="Times New Roman" w:cs="Times New Roman"/>
          <w:color w:val="000000"/>
        </w:rPr>
        <w:t xml:space="preserve"> </w:t>
      </w:r>
      <w:r w:rsidR="00150464" w:rsidRPr="00650FAD">
        <w:rPr>
          <w:rFonts w:ascii="Times New Roman" w:hAnsi="Times New Roman" w:cs="Times New Roman"/>
          <w:color w:val="000000"/>
        </w:rPr>
        <w:t>Mean=</w:t>
      </w:r>
      <w:r w:rsidR="00150464">
        <w:rPr>
          <w:rFonts w:ascii="Times New Roman" w:hAnsi="Times New Roman" w:cs="Times New Roman"/>
        </w:rPr>
        <w:t>4,85±0,16 and</w:t>
      </w:r>
      <w:r w:rsidR="00150464" w:rsidRPr="00650FAD">
        <w:rPr>
          <w:rFonts w:ascii="Times New Roman" w:hAnsi="Times New Roman" w:cs="Times New Roman"/>
        </w:rPr>
        <w:t xml:space="preserve"> Median IQR=</w:t>
      </w:r>
      <w:r w:rsidR="00150464" w:rsidRPr="00650FAD">
        <w:rPr>
          <w:rFonts w:ascii="Times New Roman" w:hAnsi="Times New Roman" w:cs="Times New Roman"/>
          <w:bCs/>
          <w:color w:val="000000"/>
        </w:rPr>
        <w:t>4,85 (4,85-4,93)</w:t>
      </w:r>
      <w:r w:rsidR="00150464" w:rsidRPr="00650FAD">
        <w:rPr>
          <w:rFonts w:ascii="Times New Roman" w:hAnsi="Times New Roman" w:cs="Times New Roman"/>
          <w:color w:val="000000"/>
        </w:rPr>
        <w:t xml:space="preserve">, </w:t>
      </w:r>
      <w:r w:rsidRPr="00650FAD">
        <w:rPr>
          <w:rStyle w:val="y2iqfc"/>
          <w:rFonts w:ascii="Times New Roman" w:hAnsi="Times New Roman" w:cs="Times New Roman"/>
          <w:color w:val="202124"/>
        </w:rPr>
        <w:t>compared with IL-33 serum levels, in health</w:t>
      </w:r>
      <w:r w:rsidR="00150464">
        <w:rPr>
          <w:rStyle w:val="y2iqfc"/>
          <w:rFonts w:ascii="Times New Roman" w:hAnsi="Times New Roman" w:cs="Times New Roman"/>
          <w:color w:val="202124"/>
        </w:rPr>
        <w:t>y subjects in the control group</w:t>
      </w:r>
      <w:r w:rsidR="00150464" w:rsidRPr="00150464">
        <w:rPr>
          <w:rFonts w:ascii="Times New Roman" w:hAnsi="Times New Roman" w:cs="Times New Roman"/>
          <w:color w:val="000000"/>
        </w:rPr>
        <w:t xml:space="preserve"> </w:t>
      </w:r>
      <w:r w:rsidR="00150464" w:rsidRPr="00650FAD">
        <w:rPr>
          <w:rFonts w:ascii="Times New Roman" w:hAnsi="Times New Roman" w:cs="Times New Roman"/>
          <w:color w:val="000000"/>
        </w:rPr>
        <w:t>Mean=</w:t>
      </w:r>
      <w:r w:rsidR="00150464">
        <w:rPr>
          <w:rFonts w:ascii="Times New Roman" w:hAnsi="Times New Roman" w:cs="Times New Roman"/>
        </w:rPr>
        <w:t>4,80±0,55 and</w:t>
      </w:r>
      <w:r w:rsidR="00150464" w:rsidRPr="00650FAD">
        <w:rPr>
          <w:rFonts w:ascii="Times New Roman" w:hAnsi="Times New Roman" w:cs="Times New Roman"/>
        </w:rPr>
        <w:t xml:space="preserve"> Median IQR=</w:t>
      </w:r>
      <w:r w:rsidR="00150464" w:rsidRPr="00650FAD">
        <w:rPr>
          <w:rFonts w:ascii="Times New Roman" w:hAnsi="Times New Roman" w:cs="Times New Roman"/>
          <w:bCs/>
          <w:color w:val="000000"/>
        </w:rPr>
        <w:t>4,85 (4,76-5,01)</w:t>
      </w:r>
      <w:r w:rsidR="00150464">
        <w:rPr>
          <w:rStyle w:val="y2iqfc"/>
          <w:rFonts w:ascii="Times New Roman" w:hAnsi="Times New Roman" w:cs="Times New Roman"/>
          <w:color w:val="202124"/>
          <w:lang w:val="mk-MK"/>
        </w:rPr>
        <w:t xml:space="preserve">. </w:t>
      </w:r>
      <w:r w:rsidRPr="00650FAD">
        <w:rPr>
          <w:rStyle w:val="y2iqfc"/>
          <w:rFonts w:ascii="Times New Roman" w:hAnsi="Times New Roman" w:cs="Times New Roman"/>
          <w:color w:val="202124"/>
        </w:rPr>
        <w:t>IL-33 levels in saliva, was insignificantly higher in patients from the studied group with tumo</w:t>
      </w:r>
      <w:r w:rsidR="00150464">
        <w:rPr>
          <w:rStyle w:val="y2iqfc"/>
          <w:rFonts w:ascii="Times New Roman" w:hAnsi="Times New Roman" w:cs="Times New Roman"/>
          <w:color w:val="202124"/>
        </w:rPr>
        <w:t>rs of the parotid glands</w:t>
      </w:r>
      <w:r w:rsidR="00150464">
        <w:rPr>
          <w:rFonts w:ascii="Times New Roman" w:hAnsi="Times New Roman" w:cs="Times New Roman"/>
          <w:bCs/>
          <w:color w:val="000000"/>
        </w:rPr>
        <w:t xml:space="preserve"> – Mean=4,81±0,18 and</w:t>
      </w:r>
      <w:r w:rsidR="00150464" w:rsidRPr="00650FAD">
        <w:rPr>
          <w:rFonts w:ascii="Times New Roman" w:hAnsi="Times New Roman" w:cs="Times New Roman"/>
          <w:bCs/>
          <w:color w:val="000000"/>
        </w:rPr>
        <w:t xml:space="preserve"> Median IQR=4,85 (4,68-4,85)</w:t>
      </w:r>
      <w:r w:rsidRPr="00650FAD">
        <w:rPr>
          <w:rStyle w:val="y2iqfc"/>
          <w:rFonts w:ascii="Times New Roman" w:hAnsi="Times New Roman" w:cs="Times New Roman"/>
          <w:color w:val="202124"/>
        </w:rPr>
        <w:t>, compared with IL-33 levels in saliva of health</w:t>
      </w:r>
      <w:r w:rsidR="00150464">
        <w:rPr>
          <w:rStyle w:val="y2iqfc"/>
          <w:rFonts w:ascii="Times New Roman" w:hAnsi="Times New Roman" w:cs="Times New Roman"/>
          <w:color w:val="202124"/>
        </w:rPr>
        <w:t>y subjects in the control group</w:t>
      </w:r>
      <w:r w:rsidR="00150464">
        <w:rPr>
          <w:rFonts w:ascii="Times New Roman" w:hAnsi="Times New Roman" w:cs="Times New Roman"/>
          <w:bCs/>
          <w:color w:val="000000"/>
        </w:rPr>
        <w:t>-Mean=4,73±0,56 and</w:t>
      </w:r>
      <w:r w:rsidR="00150464" w:rsidRPr="00650FAD">
        <w:rPr>
          <w:rFonts w:ascii="Times New Roman" w:hAnsi="Times New Roman" w:cs="Times New Roman"/>
          <w:bCs/>
          <w:color w:val="000000"/>
        </w:rPr>
        <w:t xml:space="preserve"> Median IQR=4,85 (4,68-4,85).</w:t>
      </w:r>
    </w:p>
    <w:p w:rsidR="009A7015" w:rsidRPr="00650FAD" w:rsidRDefault="009A7015" w:rsidP="00650FAD">
      <w:pPr>
        <w:pStyle w:val="HTMLPreformatted"/>
        <w:shd w:val="clear" w:color="auto" w:fill="FFFFFF"/>
        <w:rPr>
          <w:rStyle w:val="y2iqfc"/>
          <w:rFonts w:ascii="Times New Roman" w:hAnsi="Times New Roman" w:cs="Times New Roman"/>
          <w:color w:val="202124"/>
        </w:rPr>
      </w:pPr>
    </w:p>
    <w:p w:rsidR="009A7015" w:rsidRPr="00650FAD" w:rsidRDefault="009A7015" w:rsidP="00650FAD">
      <w:pPr>
        <w:pStyle w:val="HTMLPreformatted"/>
        <w:shd w:val="clear" w:color="auto" w:fill="FFFFFF"/>
        <w:rPr>
          <w:rStyle w:val="y2iqfc"/>
          <w:rFonts w:ascii="Times New Roman" w:hAnsi="Times New Roman" w:cs="Times New Roman"/>
          <w:color w:val="202124"/>
        </w:rPr>
      </w:pPr>
      <w:r w:rsidRPr="00650FAD">
        <w:rPr>
          <w:rStyle w:val="y2iqfc"/>
          <w:rFonts w:ascii="Times New Roman" w:hAnsi="Times New Roman" w:cs="Times New Roman"/>
          <w:b/>
          <w:color w:val="202124"/>
        </w:rPr>
        <w:t>Conclusion:</w:t>
      </w:r>
      <w:r w:rsidRPr="00650FAD">
        <w:rPr>
          <w:rStyle w:val="y2iqfc"/>
          <w:rFonts w:ascii="Times New Roman" w:hAnsi="Times New Roman" w:cs="Times New Roman"/>
          <w:color w:val="202124"/>
        </w:rPr>
        <w:t xml:space="preserve"> Further research is needed to determine IL-33 as a potential biomarker for parotid tumors.</w:t>
      </w:r>
    </w:p>
    <w:p w:rsidR="009A7015" w:rsidRPr="00650FAD" w:rsidRDefault="009A7015" w:rsidP="00650FAD">
      <w:pPr>
        <w:pStyle w:val="HTMLPreformatted"/>
        <w:shd w:val="clear" w:color="auto" w:fill="FFFFFF"/>
        <w:rPr>
          <w:rStyle w:val="y2iqfc"/>
          <w:rFonts w:ascii="Times New Roman" w:hAnsi="Times New Roman" w:cs="Times New Roman"/>
          <w:color w:val="202124"/>
        </w:rPr>
      </w:pPr>
    </w:p>
    <w:p w:rsidR="009A7015" w:rsidRDefault="009A7015" w:rsidP="00650FAD">
      <w:pPr>
        <w:pStyle w:val="HTMLPreformatted"/>
        <w:shd w:val="clear" w:color="auto" w:fill="FFFFFF"/>
        <w:rPr>
          <w:rStyle w:val="y2iqfc"/>
          <w:rFonts w:ascii="Times New Roman" w:hAnsi="Times New Roman" w:cs="Times New Roman"/>
          <w:color w:val="202124"/>
          <w:sz w:val="24"/>
          <w:szCs w:val="24"/>
          <w:lang w:val="mk-MK"/>
        </w:rPr>
      </w:pPr>
      <w:r w:rsidRPr="00A926CA">
        <w:rPr>
          <w:rStyle w:val="y2iqfc"/>
          <w:rFonts w:ascii="Times New Roman" w:hAnsi="Times New Roman" w:cs="Times New Roman"/>
          <w:b/>
          <w:color w:val="202124"/>
          <w:lang w:val="fr-FR"/>
        </w:rPr>
        <w:t>Keywords:</w:t>
      </w:r>
      <w:r w:rsidRPr="00A926CA">
        <w:rPr>
          <w:rStyle w:val="y2iqfc"/>
          <w:rFonts w:ascii="Times New Roman" w:hAnsi="Times New Roman" w:cs="Times New Roman"/>
          <w:color w:val="202124"/>
          <w:lang w:val="fr-FR"/>
        </w:rPr>
        <w:t xml:space="preserve"> IL-33, IL-1, parotid tumors, ELISA, serum, saliva</w:t>
      </w: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fr-FR"/>
        </w:rPr>
      </w:pPr>
    </w:p>
    <w:p w:rsidR="008213A7" w:rsidRDefault="008213A7" w:rsidP="00D41FE1">
      <w:pPr>
        <w:pStyle w:val="HTMLPreformatted"/>
        <w:shd w:val="clear" w:color="auto" w:fill="FFFFFF"/>
        <w:spacing w:line="360" w:lineRule="auto"/>
        <w:rPr>
          <w:rFonts w:ascii="Times New Roman" w:eastAsia="SkolaSerifCnOffc" w:hAnsi="Times New Roman" w:cs="Times New Roman"/>
          <w:b/>
          <w:sz w:val="24"/>
          <w:szCs w:val="24"/>
          <w:lang w:val="mk-MK"/>
        </w:rPr>
      </w:pPr>
    </w:p>
    <w:p w:rsidR="008213A7" w:rsidRDefault="008213A7" w:rsidP="00D41FE1">
      <w:pPr>
        <w:pStyle w:val="HTMLPreformatted"/>
        <w:shd w:val="clear" w:color="auto" w:fill="FFFFFF"/>
        <w:spacing w:line="360" w:lineRule="auto"/>
        <w:rPr>
          <w:rFonts w:ascii="Times New Roman" w:eastAsia="SkolaSerifCnOffc" w:hAnsi="Times New Roman" w:cs="Times New Roman"/>
          <w:b/>
          <w:sz w:val="24"/>
          <w:szCs w:val="24"/>
          <w:lang w:val="mk-MK"/>
        </w:rPr>
      </w:pPr>
    </w:p>
    <w:p w:rsidR="00D41FE1" w:rsidRPr="00810BB0" w:rsidRDefault="004B12D6" w:rsidP="00D41FE1">
      <w:pPr>
        <w:pStyle w:val="HTMLPreformatted"/>
        <w:shd w:val="clear" w:color="auto" w:fill="FFFFFF"/>
        <w:spacing w:line="360" w:lineRule="auto"/>
        <w:rPr>
          <w:rFonts w:ascii="Times New Roman" w:eastAsia="SkolaSerifCnOffc" w:hAnsi="Times New Roman" w:cs="Times New Roman"/>
          <w:b/>
          <w:sz w:val="24"/>
          <w:szCs w:val="24"/>
          <w:lang w:val="ru-RU"/>
        </w:rPr>
      </w:pPr>
      <w:r w:rsidRPr="00810BB0">
        <w:rPr>
          <w:rFonts w:ascii="Times New Roman" w:eastAsia="SkolaSerifCnOffc" w:hAnsi="Times New Roman" w:cs="Times New Roman"/>
          <w:b/>
          <w:sz w:val="24"/>
          <w:szCs w:val="24"/>
          <w:lang w:val="mk-MK"/>
        </w:rPr>
        <w:t>Благодарност</w:t>
      </w:r>
    </w:p>
    <w:p w:rsidR="00C13904" w:rsidRDefault="00C13904" w:rsidP="00C13904">
      <w:pPr>
        <w:pStyle w:val="HTMLPreformatted"/>
        <w:shd w:val="clear" w:color="auto" w:fill="FFFFFF"/>
        <w:spacing w:line="360" w:lineRule="auto"/>
        <w:rPr>
          <w:rFonts w:ascii="Times New Roman" w:eastAsia="SkolaSerifCnOffc" w:hAnsi="Times New Roman" w:cs="Times New Roman"/>
          <w:sz w:val="24"/>
          <w:szCs w:val="24"/>
          <w:lang w:val="mk-MK"/>
        </w:rPr>
      </w:pPr>
    </w:p>
    <w:p w:rsidR="00C13904" w:rsidRDefault="00810BB0" w:rsidP="005C5624">
      <w:pPr>
        <w:pStyle w:val="HTMLPreformatted"/>
        <w:shd w:val="clear" w:color="auto" w:fill="FFFFFF"/>
        <w:rPr>
          <w:rFonts w:ascii="Times New Roman" w:eastAsia="SkolaSerifCnOffc" w:hAnsi="Times New Roman" w:cs="Times New Roman"/>
          <w:sz w:val="24"/>
          <w:szCs w:val="24"/>
          <w:lang w:val="mk-MK"/>
        </w:rPr>
      </w:pPr>
      <w:r>
        <w:rPr>
          <w:rFonts w:ascii="Times New Roman" w:eastAsia="SkolaSerifCnOffc" w:hAnsi="Times New Roman" w:cs="Times New Roman"/>
          <w:sz w:val="24"/>
          <w:szCs w:val="24"/>
          <w:lang w:val="mk-MK"/>
        </w:rPr>
        <w:t xml:space="preserve">Особена благодарност до мојот ментор, Проф.др Владимир Поповски, под чија што  всушност иницијатива се реализираше оваа Докторска дисертација. Доајенот на паротидната хирургија во нашата држава, Професорот Поповски, во улога на ментор и во текот на мојата специјализација во областа на Максилофацијалната хирургија, </w:t>
      </w:r>
      <w:r w:rsidR="003806B3">
        <w:rPr>
          <w:rFonts w:ascii="Times New Roman" w:eastAsia="SkolaSerifCnOffc" w:hAnsi="Times New Roman" w:cs="Times New Roman"/>
          <w:sz w:val="24"/>
          <w:szCs w:val="24"/>
          <w:lang w:val="mk-MK"/>
        </w:rPr>
        <w:t xml:space="preserve">претставуваваше за мене инспирација и мотив за понатамошно професионално усовршување. </w:t>
      </w:r>
      <w:r w:rsidR="006B59CE">
        <w:rPr>
          <w:rFonts w:ascii="Times New Roman" w:eastAsia="SkolaSerifCnOffc" w:hAnsi="Times New Roman" w:cs="Times New Roman"/>
          <w:sz w:val="24"/>
          <w:szCs w:val="24"/>
          <w:lang w:val="mk-MK"/>
        </w:rPr>
        <w:t>Строг, но принципиелен, во текот на речиси цела една декада, несебично се вложуваше во моето професионално, но и индиви</w:t>
      </w:r>
      <w:r w:rsidR="0090710F">
        <w:rPr>
          <w:rFonts w:ascii="Times New Roman" w:eastAsia="SkolaSerifCnOffc" w:hAnsi="Times New Roman" w:cs="Times New Roman"/>
          <w:sz w:val="24"/>
          <w:szCs w:val="24"/>
          <w:lang w:val="mk-MK"/>
        </w:rPr>
        <w:t>дулано раст</w:t>
      </w:r>
      <w:r w:rsidR="006B59CE">
        <w:rPr>
          <w:rFonts w:ascii="Times New Roman" w:eastAsia="SkolaSerifCnOffc" w:hAnsi="Times New Roman" w:cs="Times New Roman"/>
          <w:sz w:val="24"/>
          <w:szCs w:val="24"/>
          <w:lang w:val="mk-MK"/>
        </w:rPr>
        <w:t>ење и надоградување. Кога стручното усовршување е под менторство на човек, како што е Професорот Поповски, успехот е неминовен.</w:t>
      </w:r>
    </w:p>
    <w:p w:rsidR="008B2629" w:rsidRDefault="008B2629" w:rsidP="005C5624">
      <w:pPr>
        <w:pStyle w:val="HTMLPreformatted"/>
        <w:shd w:val="clear" w:color="auto" w:fill="FFFFFF"/>
        <w:rPr>
          <w:rFonts w:ascii="Times New Roman" w:eastAsia="SkolaSerifCnOffc" w:hAnsi="Times New Roman" w:cs="Times New Roman"/>
          <w:sz w:val="24"/>
          <w:szCs w:val="24"/>
          <w:lang w:val="mk-MK"/>
        </w:rPr>
      </w:pPr>
    </w:p>
    <w:p w:rsidR="006B59CE" w:rsidRDefault="006B59CE" w:rsidP="005C5624">
      <w:pPr>
        <w:pStyle w:val="HTMLPreformatted"/>
        <w:shd w:val="clear" w:color="auto" w:fill="FFFFFF"/>
        <w:rPr>
          <w:rFonts w:ascii="Times New Roman" w:eastAsia="SkolaSerifCnOffc" w:hAnsi="Times New Roman" w:cs="Times New Roman"/>
          <w:sz w:val="24"/>
          <w:szCs w:val="24"/>
          <w:lang w:val="mk-MK"/>
        </w:rPr>
      </w:pPr>
      <w:r>
        <w:rPr>
          <w:rFonts w:ascii="Times New Roman" w:eastAsia="SkolaSerifCnOffc" w:hAnsi="Times New Roman" w:cs="Times New Roman"/>
          <w:sz w:val="24"/>
          <w:szCs w:val="24"/>
          <w:lang w:val="mk-MK"/>
        </w:rPr>
        <w:t xml:space="preserve">Благодарна сум на Проф.др </w:t>
      </w:r>
      <w:r w:rsidR="00F65344">
        <w:rPr>
          <w:rFonts w:ascii="Times New Roman" w:eastAsia="SkolaSerifCnOffc" w:hAnsi="Times New Roman" w:cs="Times New Roman"/>
          <w:sz w:val="24"/>
          <w:szCs w:val="24"/>
          <w:lang w:val="mk-MK"/>
        </w:rPr>
        <w:t>Александар</w:t>
      </w:r>
      <w:r>
        <w:rPr>
          <w:rFonts w:ascii="Times New Roman" w:eastAsia="SkolaSerifCnOffc" w:hAnsi="Times New Roman" w:cs="Times New Roman"/>
          <w:sz w:val="24"/>
          <w:szCs w:val="24"/>
          <w:lang w:val="mk-MK"/>
        </w:rPr>
        <w:t xml:space="preserve"> Петличковски </w:t>
      </w:r>
      <w:r w:rsidR="00F65344">
        <w:rPr>
          <w:rFonts w:ascii="Times New Roman" w:eastAsia="SkolaSerifCnOffc" w:hAnsi="Times New Roman" w:cs="Times New Roman"/>
          <w:sz w:val="24"/>
          <w:szCs w:val="24"/>
          <w:lang w:val="mk-MK"/>
        </w:rPr>
        <w:t xml:space="preserve">и Доц.др. Мери Киријас </w:t>
      </w:r>
      <w:r>
        <w:rPr>
          <w:rFonts w:ascii="Times New Roman" w:eastAsia="SkolaSerifCnOffc" w:hAnsi="Times New Roman" w:cs="Times New Roman"/>
          <w:sz w:val="24"/>
          <w:szCs w:val="24"/>
          <w:lang w:val="mk-MK"/>
        </w:rPr>
        <w:t>од Институтот за Имунологија и хумана генетика при УКИМ-Ск</w:t>
      </w:r>
      <w:r w:rsidR="00F65344">
        <w:rPr>
          <w:rFonts w:ascii="Times New Roman" w:eastAsia="SkolaSerifCnOffc" w:hAnsi="Times New Roman" w:cs="Times New Roman"/>
          <w:sz w:val="24"/>
          <w:szCs w:val="24"/>
          <w:lang w:val="mk-MK"/>
        </w:rPr>
        <w:t>опје, каде што всушност се одвиваше комплетната анализа на примероците.</w:t>
      </w:r>
    </w:p>
    <w:p w:rsidR="008B2629" w:rsidRDefault="008B2629" w:rsidP="005C5624">
      <w:pPr>
        <w:pStyle w:val="HTMLPreformatted"/>
        <w:shd w:val="clear" w:color="auto" w:fill="FFFFFF"/>
        <w:rPr>
          <w:rFonts w:ascii="Times New Roman" w:eastAsia="SkolaSerifCnOffc" w:hAnsi="Times New Roman" w:cs="Times New Roman"/>
          <w:sz w:val="24"/>
          <w:szCs w:val="24"/>
          <w:lang w:val="mk-MK"/>
        </w:rPr>
      </w:pPr>
    </w:p>
    <w:p w:rsidR="00F65344" w:rsidRDefault="00F65344" w:rsidP="005C5624">
      <w:pPr>
        <w:pStyle w:val="HTMLPreformatted"/>
        <w:shd w:val="clear" w:color="auto" w:fill="FFFFFF"/>
        <w:rPr>
          <w:rFonts w:ascii="Times New Roman" w:eastAsia="SkolaSerifCnOffc" w:hAnsi="Times New Roman" w:cs="Times New Roman"/>
          <w:sz w:val="24"/>
          <w:szCs w:val="24"/>
          <w:lang w:val="mk-MK"/>
        </w:rPr>
      </w:pPr>
      <w:r>
        <w:rPr>
          <w:rFonts w:ascii="Times New Roman" w:eastAsia="SkolaSerifCnOffc" w:hAnsi="Times New Roman" w:cs="Times New Roman"/>
          <w:sz w:val="24"/>
          <w:szCs w:val="24"/>
          <w:lang w:val="mk-MK"/>
        </w:rPr>
        <w:t>Б</w:t>
      </w:r>
      <w:r w:rsidR="008B2629">
        <w:rPr>
          <w:rFonts w:ascii="Times New Roman" w:eastAsia="SkolaSerifCnOffc" w:hAnsi="Times New Roman" w:cs="Times New Roman"/>
          <w:sz w:val="24"/>
          <w:szCs w:val="24"/>
          <w:lang w:val="mk-MK"/>
        </w:rPr>
        <w:t>лагодарна сум на Проф.др</w:t>
      </w:r>
      <w:r>
        <w:rPr>
          <w:rFonts w:ascii="Times New Roman" w:eastAsia="SkolaSerifCnOffc" w:hAnsi="Times New Roman" w:cs="Times New Roman"/>
          <w:sz w:val="24"/>
          <w:szCs w:val="24"/>
          <w:lang w:val="mk-MK"/>
        </w:rPr>
        <w:t xml:space="preserve"> Весна Велиќ-Стефановска од Институтот за Биостатистика, која што </w:t>
      </w:r>
      <w:r w:rsidR="009132D9">
        <w:rPr>
          <w:rFonts w:ascii="Times New Roman" w:eastAsia="SkolaSerifCnOffc" w:hAnsi="Times New Roman" w:cs="Times New Roman"/>
          <w:sz w:val="24"/>
          <w:szCs w:val="24"/>
          <w:lang w:val="mk-MK"/>
        </w:rPr>
        <w:t xml:space="preserve">со беспрекорната статистичка анализа на податоците овозможи </w:t>
      </w:r>
      <w:r>
        <w:rPr>
          <w:rFonts w:ascii="Times New Roman" w:eastAsia="SkolaSerifCnOffc" w:hAnsi="Times New Roman" w:cs="Times New Roman"/>
          <w:sz w:val="24"/>
          <w:szCs w:val="24"/>
          <w:lang w:val="mk-MK"/>
        </w:rPr>
        <w:t xml:space="preserve"> </w:t>
      </w:r>
      <w:r w:rsidR="009132D9">
        <w:rPr>
          <w:rFonts w:ascii="Times New Roman" w:eastAsia="SkolaSerifCnOffc" w:hAnsi="Times New Roman" w:cs="Times New Roman"/>
          <w:sz w:val="24"/>
          <w:szCs w:val="24"/>
          <w:lang w:val="mk-MK"/>
        </w:rPr>
        <w:t>достоен завршеток на ова научно истражување.</w:t>
      </w:r>
    </w:p>
    <w:p w:rsidR="008B2629" w:rsidRDefault="008B2629" w:rsidP="005C5624">
      <w:pPr>
        <w:pStyle w:val="HTMLPreformatted"/>
        <w:shd w:val="clear" w:color="auto" w:fill="FFFFFF"/>
        <w:rPr>
          <w:rFonts w:ascii="Times New Roman" w:eastAsia="SkolaSerifCnOffc" w:hAnsi="Times New Roman" w:cs="Times New Roman"/>
          <w:sz w:val="24"/>
          <w:szCs w:val="24"/>
          <w:lang w:val="mk-MK"/>
        </w:rPr>
      </w:pPr>
    </w:p>
    <w:p w:rsidR="008B2629" w:rsidRDefault="008B2629" w:rsidP="005C5624">
      <w:pPr>
        <w:pStyle w:val="HTMLPreformatted"/>
        <w:shd w:val="clear" w:color="auto" w:fill="FFFFFF"/>
        <w:rPr>
          <w:rFonts w:ascii="Times New Roman" w:eastAsia="SkolaSerifCnOffc" w:hAnsi="Times New Roman" w:cs="Times New Roman"/>
          <w:sz w:val="24"/>
          <w:szCs w:val="24"/>
          <w:lang w:val="mk-MK"/>
        </w:rPr>
      </w:pPr>
      <w:r>
        <w:rPr>
          <w:rFonts w:ascii="Times New Roman" w:eastAsia="SkolaSerifCnOffc" w:hAnsi="Times New Roman" w:cs="Times New Roman"/>
          <w:sz w:val="24"/>
          <w:szCs w:val="24"/>
          <w:lang w:val="mk-MK"/>
        </w:rPr>
        <w:t>Најмногу сум благодарна на мојата ќерка Галина, за нејзиното трпение, љубов и разбирање, за безрезервната подршка како во текот на мојата специјализација, така и во текот на изработката на Докторската дисертација.</w:t>
      </w:r>
    </w:p>
    <w:p w:rsidR="008B2629" w:rsidRDefault="008B2629" w:rsidP="005C5624">
      <w:pPr>
        <w:pStyle w:val="HTMLPreformatted"/>
        <w:shd w:val="clear" w:color="auto" w:fill="FFFFFF"/>
        <w:rPr>
          <w:rFonts w:ascii="Times New Roman" w:eastAsia="SkolaSerifCnOffc" w:hAnsi="Times New Roman" w:cs="Times New Roman"/>
          <w:sz w:val="24"/>
          <w:szCs w:val="24"/>
          <w:lang w:val="mk-MK"/>
        </w:rPr>
      </w:pPr>
    </w:p>
    <w:p w:rsidR="00C13904" w:rsidRDefault="00C13904" w:rsidP="005C5624">
      <w:pPr>
        <w:pStyle w:val="HTMLPreformatted"/>
        <w:shd w:val="clear" w:color="auto" w:fill="FFFFFF"/>
        <w:rPr>
          <w:rFonts w:ascii="Times New Roman" w:eastAsia="SkolaSerifCnOffc" w:hAnsi="Times New Roman" w:cs="Times New Roman"/>
          <w:sz w:val="24"/>
          <w:szCs w:val="24"/>
          <w:lang w:val="mk-MK"/>
        </w:rPr>
      </w:pPr>
    </w:p>
    <w:p w:rsidR="00C13904" w:rsidRDefault="00C13904" w:rsidP="005C5624">
      <w:pPr>
        <w:pStyle w:val="HTMLPreformatted"/>
        <w:shd w:val="clear" w:color="auto" w:fill="FFFFFF"/>
        <w:rPr>
          <w:rFonts w:ascii="Times New Roman" w:eastAsia="SkolaSerifCnOffc" w:hAnsi="Times New Roman" w:cs="Times New Roman"/>
          <w:sz w:val="24"/>
          <w:szCs w:val="24"/>
          <w:lang w:val="mk-MK"/>
        </w:rPr>
      </w:pPr>
    </w:p>
    <w:p w:rsidR="00C13904" w:rsidRDefault="00C13904" w:rsidP="005C5624">
      <w:pPr>
        <w:pStyle w:val="HTMLPreformatted"/>
        <w:shd w:val="clear" w:color="auto" w:fill="FFFFFF"/>
        <w:rPr>
          <w:rFonts w:ascii="Times New Roman" w:eastAsia="SkolaSerifCnOffc" w:hAnsi="Times New Roman" w:cs="Times New Roman"/>
          <w:sz w:val="24"/>
          <w:szCs w:val="24"/>
          <w:lang w:val="mk-MK"/>
        </w:rPr>
      </w:pPr>
    </w:p>
    <w:p w:rsidR="00C13904" w:rsidRDefault="00C13904" w:rsidP="005C5624">
      <w:pPr>
        <w:pStyle w:val="HTMLPreformatted"/>
        <w:shd w:val="clear" w:color="auto" w:fill="FFFFFF"/>
        <w:rPr>
          <w:rFonts w:ascii="Times New Roman" w:eastAsia="SkolaSerifCnOffc" w:hAnsi="Times New Roman" w:cs="Times New Roman"/>
          <w:sz w:val="24"/>
          <w:szCs w:val="24"/>
          <w:lang w:val="mk-MK"/>
        </w:rPr>
      </w:pPr>
    </w:p>
    <w:p w:rsidR="00C13904" w:rsidRDefault="00C13904" w:rsidP="005C5624">
      <w:pPr>
        <w:pStyle w:val="HTMLPreformatted"/>
        <w:shd w:val="clear" w:color="auto" w:fill="FFFFFF"/>
        <w:rPr>
          <w:rFonts w:ascii="Times New Roman" w:eastAsia="SkolaSerifCnOffc" w:hAnsi="Times New Roman" w:cs="Times New Roman"/>
          <w:sz w:val="24"/>
          <w:szCs w:val="24"/>
          <w:lang w:val="mk-MK"/>
        </w:rPr>
      </w:pPr>
    </w:p>
    <w:p w:rsidR="00C13904" w:rsidRPr="00A926CA" w:rsidRDefault="00C13904" w:rsidP="005C5624">
      <w:pPr>
        <w:pStyle w:val="HTMLPreformatted"/>
        <w:shd w:val="clear" w:color="auto" w:fill="FFFFFF"/>
        <w:rPr>
          <w:rFonts w:ascii="Times New Roman" w:eastAsia="SkolaSerifCnOffc" w:hAnsi="Times New Roman" w:cs="Times New Roman"/>
          <w:sz w:val="24"/>
          <w:szCs w:val="24"/>
          <w:lang w:val="ru-RU"/>
        </w:rPr>
      </w:pPr>
      <w:r w:rsidRPr="00A926CA">
        <w:rPr>
          <w:rFonts w:ascii="Times New Roman" w:eastAsia="SkolaSerifCnOffc" w:hAnsi="Times New Roman" w:cs="Times New Roman"/>
          <w:sz w:val="24"/>
          <w:szCs w:val="24"/>
          <w:lang w:val="ru-RU"/>
        </w:rPr>
        <w:t>„Изјавувам дека докторскиот труд го изработев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на друго звање“</w:t>
      </w:r>
    </w:p>
    <w:p w:rsidR="00C13904" w:rsidRPr="00C13904" w:rsidRDefault="00C13904" w:rsidP="005C5624">
      <w:pPr>
        <w:pStyle w:val="HTMLPreformatted"/>
        <w:shd w:val="clear" w:color="auto" w:fill="FFFFFF"/>
        <w:rPr>
          <w:rFonts w:ascii="Times New Roman" w:eastAsia="SkolaSerifCnOffc" w:hAnsi="Times New Roman" w:cs="Times New Roman"/>
          <w:sz w:val="24"/>
          <w:szCs w:val="24"/>
          <w:lang w:val="mk-MK"/>
        </w:rPr>
      </w:pPr>
      <w:r>
        <w:rPr>
          <w:rFonts w:ascii="Times New Roman" w:eastAsia="SkolaSerifCnOffc" w:hAnsi="Times New Roman" w:cs="Times New Roman"/>
          <w:sz w:val="24"/>
          <w:szCs w:val="24"/>
          <w:lang w:val="mk-MK"/>
        </w:rPr>
        <w:t>Др.Александра Бранко</w:t>
      </w:r>
    </w:p>
    <w:p w:rsidR="00650FAD" w:rsidRPr="00A926CA" w:rsidRDefault="00650FAD" w:rsidP="009A7015">
      <w:pPr>
        <w:pStyle w:val="HTMLPreformatted"/>
        <w:shd w:val="clear" w:color="auto" w:fill="FFFFFF"/>
        <w:spacing w:line="360" w:lineRule="auto"/>
        <w:rPr>
          <w:rFonts w:ascii="Times New Roman" w:eastAsia="SkolaSerifCnOffc" w:hAnsi="Times New Roman" w:cs="Times New Roman"/>
          <w:sz w:val="24"/>
          <w:szCs w:val="24"/>
          <w:lang w:val="ru-RU"/>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221492" w:rsidRDefault="00221492" w:rsidP="00D443C7">
      <w:pPr>
        <w:spacing w:line="360" w:lineRule="auto"/>
        <w:rPr>
          <w:rFonts w:ascii="Times New Roman" w:hAnsi="Times New Roman" w:cs="Times New Roman"/>
          <w:b/>
          <w:color w:val="000000"/>
          <w:sz w:val="24"/>
          <w:szCs w:val="24"/>
        </w:rPr>
      </w:pPr>
    </w:p>
    <w:p w:rsidR="00D443C7" w:rsidRPr="00832C1A" w:rsidRDefault="00D443C7" w:rsidP="00D443C7">
      <w:pPr>
        <w:spacing w:line="360" w:lineRule="auto"/>
        <w:rPr>
          <w:rFonts w:ascii="Times New Roman" w:hAnsi="Times New Roman" w:cs="Times New Roman"/>
          <w:b/>
          <w:color w:val="000000"/>
          <w:sz w:val="24"/>
          <w:szCs w:val="24"/>
          <w:lang w:val="en-US"/>
        </w:rPr>
      </w:pPr>
      <w:r w:rsidRPr="00832C1A">
        <w:rPr>
          <w:rFonts w:ascii="Times New Roman" w:hAnsi="Times New Roman" w:cs="Times New Roman"/>
          <w:b/>
          <w:color w:val="000000"/>
          <w:sz w:val="24"/>
          <w:szCs w:val="24"/>
          <w:lang w:val="en-US"/>
        </w:rPr>
        <w:t>СОДРЖИНА</w:t>
      </w:r>
    </w:p>
    <w:p w:rsidR="00D443C7" w:rsidRP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ru-RU"/>
        </w:rPr>
        <w:t xml:space="preserve">1. </w:t>
      </w:r>
      <w:r w:rsidRPr="00D443C7">
        <w:rPr>
          <w:rFonts w:ascii="Times New Roman" w:hAnsi="Times New Roman" w:cs="Times New Roman"/>
          <w:b/>
          <w:color w:val="000000"/>
          <w:sz w:val="24"/>
          <w:szCs w:val="24"/>
          <w:lang w:val="en-US"/>
        </w:rPr>
        <w:t>ВОВЕД.........................................................................................................................</w:t>
      </w:r>
      <w:r w:rsidRPr="00D443C7">
        <w:rPr>
          <w:rFonts w:ascii="Times New Roman" w:hAnsi="Times New Roman" w:cs="Times New Roman"/>
          <w:b/>
          <w:color w:val="000000"/>
          <w:sz w:val="24"/>
          <w:szCs w:val="24"/>
        </w:rPr>
        <w:t>.9</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2. ПРЕГЛЕД НА ЛИТЕРАТУРА...............................................................................</w:t>
      </w:r>
      <w:r w:rsidRPr="00D443C7">
        <w:rPr>
          <w:rFonts w:ascii="Times New Roman" w:hAnsi="Times New Roman" w:cs="Times New Roman"/>
          <w:b/>
          <w:color w:val="000000"/>
          <w:sz w:val="24"/>
          <w:szCs w:val="24"/>
        </w:rPr>
        <w:t>.12</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3.</w:t>
      </w:r>
      <w:r w:rsidRPr="00D443C7">
        <w:rPr>
          <w:rFonts w:ascii="Times New Roman" w:hAnsi="Times New Roman" w:cs="Times New Roman"/>
          <w:b/>
          <w:color w:val="000000"/>
          <w:sz w:val="24"/>
          <w:szCs w:val="24"/>
        </w:rPr>
        <w:t xml:space="preserve"> </w:t>
      </w:r>
      <w:r w:rsidRPr="00D443C7">
        <w:rPr>
          <w:rFonts w:ascii="Times New Roman" w:hAnsi="Times New Roman" w:cs="Times New Roman"/>
          <w:b/>
          <w:color w:val="000000"/>
          <w:sz w:val="24"/>
          <w:szCs w:val="24"/>
          <w:lang w:val="en-US"/>
        </w:rPr>
        <w:t>ЦЕЛ</w:t>
      </w:r>
      <w:r w:rsidRPr="00D443C7">
        <w:rPr>
          <w:rFonts w:ascii="Times New Roman" w:hAnsi="Times New Roman" w:cs="Times New Roman"/>
          <w:b/>
          <w:color w:val="000000"/>
          <w:sz w:val="24"/>
          <w:szCs w:val="24"/>
        </w:rPr>
        <w:t>И</w:t>
      </w:r>
      <w:r w:rsidRPr="00D443C7">
        <w:rPr>
          <w:rFonts w:ascii="Times New Roman" w:hAnsi="Times New Roman" w:cs="Times New Roman"/>
          <w:b/>
          <w:color w:val="000000"/>
          <w:sz w:val="24"/>
          <w:szCs w:val="24"/>
          <w:lang w:val="en-US"/>
        </w:rPr>
        <w:t xml:space="preserve"> НА ИСТРАЖУВАЊЕТО</w:t>
      </w:r>
      <w:r w:rsidRPr="00D443C7">
        <w:rPr>
          <w:rFonts w:ascii="Times New Roman" w:hAnsi="Times New Roman" w:cs="Times New Roman"/>
          <w:b/>
          <w:color w:val="000000"/>
          <w:sz w:val="24"/>
          <w:szCs w:val="24"/>
        </w:rPr>
        <w:t>............................................................................53</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4. ХИПОТЕЗИ НА ИСТРАЖУВАЊЕТО.................................................................</w:t>
      </w:r>
      <w:r w:rsidRPr="00D443C7">
        <w:rPr>
          <w:rFonts w:ascii="Times New Roman" w:hAnsi="Times New Roman" w:cs="Times New Roman"/>
          <w:b/>
          <w:color w:val="000000"/>
          <w:sz w:val="24"/>
          <w:szCs w:val="24"/>
        </w:rPr>
        <w:t>54</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5. ПРИМЕНЕТИ НАУЧНИ МЕТОДИ И НАЧИН НА РАБОТА..........................................................................................</w:t>
      </w:r>
      <w:r w:rsidRPr="00D443C7">
        <w:rPr>
          <w:rFonts w:ascii="Times New Roman" w:hAnsi="Times New Roman" w:cs="Times New Roman"/>
          <w:b/>
          <w:color w:val="000000"/>
          <w:sz w:val="24"/>
          <w:szCs w:val="24"/>
        </w:rPr>
        <w:t>................................55</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6. СТАТИСТИЧКА АНАЛИЗА..................................................................................</w:t>
      </w:r>
      <w:r w:rsidRPr="00D443C7">
        <w:rPr>
          <w:rFonts w:ascii="Times New Roman" w:hAnsi="Times New Roman" w:cs="Times New Roman"/>
          <w:b/>
          <w:color w:val="000000"/>
          <w:sz w:val="24"/>
          <w:szCs w:val="24"/>
        </w:rPr>
        <w:t>.60</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7. РЕЗУЛТАТИ..............................................................................................................</w:t>
      </w:r>
      <w:r w:rsidRPr="00D443C7">
        <w:rPr>
          <w:rFonts w:ascii="Times New Roman" w:hAnsi="Times New Roman" w:cs="Times New Roman"/>
          <w:b/>
          <w:color w:val="000000"/>
          <w:sz w:val="24"/>
          <w:szCs w:val="24"/>
        </w:rPr>
        <w:t>.</w:t>
      </w:r>
      <w:r w:rsidRPr="00D443C7">
        <w:rPr>
          <w:rFonts w:ascii="Times New Roman" w:hAnsi="Times New Roman" w:cs="Times New Roman"/>
          <w:b/>
          <w:color w:val="000000"/>
          <w:sz w:val="24"/>
          <w:szCs w:val="24"/>
          <w:lang w:val="en-US"/>
        </w:rPr>
        <w:t>82</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8. ДИСКУСИЈА.............................................................................................................</w:t>
      </w:r>
      <w:r w:rsidRPr="00D443C7">
        <w:rPr>
          <w:rFonts w:ascii="Times New Roman" w:hAnsi="Times New Roman" w:cs="Times New Roman"/>
          <w:b/>
          <w:color w:val="000000"/>
          <w:sz w:val="24"/>
          <w:szCs w:val="24"/>
        </w:rPr>
        <w:t>.</w:t>
      </w:r>
      <w:r w:rsidRPr="00D443C7">
        <w:rPr>
          <w:rFonts w:ascii="Times New Roman" w:hAnsi="Times New Roman" w:cs="Times New Roman"/>
          <w:b/>
          <w:color w:val="000000"/>
          <w:sz w:val="24"/>
          <w:szCs w:val="24"/>
          <w:lang w:val="en-US"/>
        </w:rPr>
        <w:t>9</w:t>
      </w:r>
      <w:r w:rsidRPr="00D443C7">
        <w:rPr>
          <w:rFonts w:ascii="Times New Roman" w:hAnsi="Times New Roman" w:cs="Times New Roman"/>
          <w:b/>
          <w:color w:val="000000"/>
          <w:sz w:val="24"/>
          <w:szCs w:val="24"/>
        </w:rPr>
        <w:t>9</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9. ЗАКЛУЧОЦИ...........................................................................................................</w:t>
      </w:r>
      <w:r w:rsidRPr="00D443C7">
        <w:rPr>
          <w:rFonts w:ascii="Times New Roman" w:hAnsi="Times New Roman" w:cs="Times New Roman"/>
          <w:b/>
          <w:color w:val="000000"/>
          <w:sz w:val="24"/>
          <w:szCs w:val="24"/>
        </w:rPr>
        <w:t>.106</w:t>
      </w:r>
    </w:p>
    <w:p w:rsidR="00D443C7" w:rsidRDefault="00D443C7" w:rsidP="00D443C7">
      <w:pPr>
        <w:spacing w:line="360" w:lineRule="auto"/>
        <w:rPr>
          <w:rFonts w:ascii="Times New Roman" w:hAnsi="Times New Roman" w:cs="Times New Roman"/>
          <w:b/>
          <w:color w:val="000000"/>
          <w:sz w:val="24"/>
          <w:szCs w:val="24"/>
        </w:rPr>
      </w:pPr>
    </w:p>
    <w:p w:rsidR="00D443C7" w:rsidRPr="00D443C7" w:rsidRDefault="00D443C7" w:rsidP="00D443C7">
      <w:pPr>
        <w:spacing w:line="360" w:lineRule="auto"/>
        <w:rPr>
          <w:rFonts w:ascii="Times New Roman" w:hAnsi="Times New Roman" w:cs="Times New Roman"/>
          <w:b/>
          <w:color w:val="000000"/>
          <w:sz w:val="24"/>
          <w:szCs w:val="24"/>
        </w:rPr>
      </w:pPr>
      <w:r w:rsidRPr="00D443C7">
        <w:rPr>
          <w:rFonts w:ascii="Times New Roman" w:hAnsi="Times New Roman" w:cs="Times New Roman"/>
          <w:b/>
          <w:color w:val="000000"/>
          <w:sz w:val="24"/>
          <w:szCs w:val="24"/>
          <w:lang w:val="en-US"/>
        </w:rPr>
        <w:t>10. КОРИСТЕНА ЛИТЕРАТУРА.............................................................................</w:t>
      </w:r>
      <w:r w:rsidRPr="00D443C7">
        <w:rPr>
          <w:rFonts w:ascii="Times New Roman" w:hAnsi="Times New Roman" w:cs="Times New Roman"/>
          <w:b/>
          <w:color w:val="000000"/>
          <w:sz w:val="24"/>
          <w:szCs w:val="24"/>
        </w:rPr>
        <w:t>.108</w:t>
      </w:r>
    </w:p>
    <w:p w:rsidR="00C13904" w:rsidRPr="00C13904" w:rsidRDefault="00C13904" w:rsidP="001B0B9B">
      <w:pPr>
        <w:spacing w:line="360" w:lineRule="auto"/>
        <w:rPr>
          <w:rFonts w:ascii="Times New Roman" w:hAnsi="Times New Roman" w:cs="Times New Roman"/>
          <w:b/>
          <w:color w:val="000000"/>
          <w:sz w:val="24"/>
          <w:szCs w:val="24"/>
        </w:rPr>
      </w:pPr>
    </w:p>
    <w:p w:rsidR="00911561" w:rsidRDefault="00911561" w:rsidP="00483D8C">
      <w:pPr>
        <w:spacing w:line="360" w:lineRule="auto"/>
        <w:rPr>
          <w:rFonts w:ascii="Times New Roman" w:hAnsi="Times New Roman" w:cs="Times New Roman"/>
          <w:b/>
          <w:color w:val="000000"/>
          <w:sz w:val="24"/>
          <w:szCs w:val="24"/>
        </w:rPr>
      </w:pPr>
    </w:p>
    <w:p w:rsidR="00911561" w:rsidRDefault="00911561" w:rsidP="00483D8C">
      <w:pPr>
        <w:spacing w:line="360" w:lineRule="auto"/>
        <w:rPr>
          <w:rFonts w:ascii="Times New Roman" w:hAnsi="Times New Roman" w:cs="Times New Roman"/>
          <w:b/>
          <w:color w:val="000000"/>
          <w:sz w:val="24"/>
          <w:szCs w:val="24"/>
        </w:rPr>
      </w:pPr>
    </w:p>
    <w:p w:rsidR="00911561" w:rsidRDefault="00911561"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221492" w:rsidRDefault="00221492" w:rsidP="00483D8C">
      <w:pPr>
        <w:spacing w:line="360" w:lineRule="auto"/>
        <w:rPr>
          <w:rFonts w:ascii="Times New Roman" w:hAnsi="Times New Roman" w:cs="Times New Roman"/>
          <w:b/>
          <w:color w:val="000000"/>
          <w:sz w:val="24"/>
          <w:szCs w:val="24"/>
        </w:rPr>
      </w:pPr>
    </w:p>
    <w:p w:rsidR="001B0B9B" w:rsidRDefault="00483D8C" w:rsidP="00483D8C">
      <w:p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Скратеници:</w:t>
      </w:r>
    </w:p>
    <w:p w:rsidR="00221492" w:rsidRDefault="00221492" w:rsidP="00483D8C">
      <w:pPr>
        <w:spacing w:line="360" w:lineRule="auto"/>
        <w:rPr>
          <w:rFonts w:ascii="Times New Roman" w:hAnsi="Times New Roman" w:cs="Times New Roman"/>
          <w:b/>
          <w:color w:val="000000"/>
          <w:sz w:val="24"/>
          <w:szCs w:val="24"/>
        </w:rPr>
      </w:pPr>
    </w:p>
    <w:p w:rsidR="00483D8C" w:rsidRPr="005B02F3" w:rsidRDefault="00483D8C" w:rsidP="00483D8C">
      <w:pPr>
        <w:jc w:val="both"/>
        <w:rPr>
          <w:rFonts w:ascii="Times New Roman" w:eastAsiaTheme="minorEastAsia" w:hAnsi="Times New Roman" w:cs="Times New Roman"/>
          <w:color w:val="000000" w:themeColor="text1"/>
          <w:sz w:val="20"/>
          <w:szCs w:val="20"/>
        </w:rPr>
      </w:pPr>
      <w:r>
        <w:rPr>
          <w:rFonts w:ascii="Times New Roman" w:hAnsi="Times New Roman" w:cs="Times New Roman"/>
          <w:color w:val="000000" w:themeColor="text1"/>
          <w:sz w:val="20"/>
          <w:szCs w:val="20"/>
        </w:rPr>
        <w:t>IL-</w:t>
      </w:r>
      <w:r w:rsidRPr="007068A0">
        <w:rPr>
          <w:rFonts w:ascii="Times New Roman" w:hAnsi="Times New Roman" w:cs="Times New Roman"/>
          <w:color w:val="000000" w:themeColor="text1"/>
          <w:sz w:val="20"/>
          <w:szCs w:val="20"/>
        </w:rPr>
        <w:t>Interleukin</w:t>
      </w:r>
      <w:r>
        <w:rPr>
          <w:rFonts w:ascii="Times New Roman" w:hAnsi="Times New Roman" w:cs="Times New Roman"/>
          <w:color w:val="000000" w:themeColor="text1"/>
          <w:sz w:val="20"/>
          <w:szCs w:val="20"/>
        </w:rPr>
        <w:t>,</w:t>
      </w:r>
      <w:r w:rsidRPr="00453A70">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FNAC-</w:t>
      </w:r>
      <w:r w:rsidRPr="007068A0">
        <w:rPr>
          <w:rFonts w:ascii="Times New Roman" w:hAnsi="Times New Roman" w:cs="Times New Roman"/>
          <w:color w:val="000000" w:themeColor="text1"/>
          <w:sz w:val="20"/>
          <w:szCs w:val="20"/>
          <w:lang w:val="en-US"/>
        </w:rPr>
        <w:t>Fine Needle Aspiration Biopsy</w:t>
      </w:r>
      <w:r>
        <w:rPr>
          <w:rFonts w:ascii="Times New Roman" w:hAnsi="Times New Roman" w:cs="Times New Roman"/>
          <w:color w:val="000000" w:themeColor="text1"/>
          <w:sz w:val="20"/>
          <w:szCs w:val="20"/>
        </w:rPr>
        <w:t>,</w:t>
      </w:r>
      <w:r w:rsidR="00B233CB">
        <w:rPr>
          <w:rFonts w:ascii="Times New Roman" w:hAnsi="Times New Roman" w:cs="Times New Roman"/>
          <w:color w:val="000000" w:themeColor="text1"/>
          <w:sz w:val="20"/>
          <w:szCs w:val="20"/>
        </w:rPr>
        <w:t xml:space="preserve"> </w:t>
      </w:r>
      <w:r w:rsidR="00B233CB" w:rsidRPr="00B233CB">
        <w:rPr>
          <w:rFonts w:ascii="Times New Roman" w:hAnsi="Times New Roman" w:cs="Times New Roman"/>
          <w:color w:val="202124"/>
          <w:sz w:val="20"/>
          <w:szCs w:val="20"/>
        </w:rPr>
        <w:t>ELISA-</w:t>
      </w:r>
      <w:r w:rsidR="00B233CB" w:rsidRPr="00B233CB">
        <w:rPr>
          <w:rFonts w:ascii="Times New Roman" w:hAnsi="Times New Roman" w:cs="Times New Roman"/>
          <w:color w:val="202124"/>
          <w:sz w:val="20"/>
          <w:szCs w:val="20"/>
          <w:lang w:val="ru-RU"/>
        </w:rPr>
        <w:t>enzyme-linked immunosorbent assay</w:t>
      </w:r>
      <w:r w:rsidR="00B233CB" w:rsidRPr="007D6D5F">
        <w:rPr>
          <w:rFonts w:ascii="Times New Roman" w:hAnsi="Times New Roman" w:cs="Times New Roman"/>
          <w:color w:val="202124"/>
          <w:sz w:val="24"/>
          <w:szCs w:val="24"/>
          <w:lang w:val="ru-RU"/>
        </w:rPr>
        <w:t xml:space="preserve"> </w:t>
      </w:r>
      <w:r w:rsidRPr="007068A0">
        <w:rPr>
          <w:rFonts w:ascii="Times New Roman" w:hAnsi="Times New Roman" w:cs="Times New Roman"/>
          <w:color w:val="000000" w:themeColor="text1"/>
          <w:sz w:val="20"/>
          <w:szCs w:val="20"/>
          <w:lang w:val="de-DE"/>
        </w:rPr>
        <w:t>CTLs-</w:t>
      </w:r>
      <w:r w:rsidRPr="007068A0">
        <w:rPr>
          <w:rFonts w:ascii="Times New Roman" w:hAnsi="Times New Roman" w:cs="Times New Roman"/>
          <w:color w:val="000000" w:themeColor="text1"/>
          <w:sz w:val="20"/>
          <w:szCs w:val="20"/>
          <w:lang w:val="en-US"/>
        </w:rPr>
        <w:t>Cytotoxic T lymphocytes</w:t>
      </w:r>
      <w:r>
        <w:rPr>
          <w:rFonts w:ascii="Times New Roman" w:hAnsi="Times New Roman" w:cs="Times New Roman"/>
          <w:color w:val="000000" w:themeColor="text1"/>
          <w:sz w:val="20"/>
          <w:szCs w:val="20"/>
        </w:rPr>
        <w:t>,</w:t>
      </w:r>
      <w:r w:rsidRPr="007068A0">
        <w:rPr>
          <w:rFonts w:ascii="Times New Roman" w:hAnsi="Times New Roman" w:cs="Times New Roman"/>
          <w:color w:val="000000" w:themeColor="text1"/>
          <w:sz w:val="20"/>
          <w:szCs w:val="20"/>
          <w:lang w:val="de-DE"/>
        </w:rPr>
        <w:t xml:space="preserve"> </w:t>
      </w:r>
      <w:r w:rsidRPr="007068A0">
        <w:rPr>
          <w:rFonts w:ascii="Times New Roman" w:hAnsi="Times New Roman" w:cs="Times New Roman"/>
          <w:color w:val="000000" w:themeColor="text1"/>
          <w:sz w:val="20"/>
          <w:szCs w:val="20"/>
        </w:rPr>
        <w:t>NK-Natural killer</w:t>
      </w:r>
      <w:r>
        <w:rPr>
          <w:rFonts w:ascii="Times New Roman" w:hAnsi="Times New Roman" w:cs="Times New Roman"/>
          <w:color w:val="000000" w:themeColor="text1"/>
          <w:sz w:val="20"/>
          <w:szCs w:val="20"/>
        </w:rPr>
        <w:t>,</w:t>
      </w:r>
      <w:r w:rsidRPr="007068A0">
        <w:rPr>
          <w:rFonts w:ascii="Times New Roman" w:hAnsi="Times New Roman" w:cs="Times New Roman"/>
          <w:color w:val="000000" w:themeColor="text1"/>
          <w:sz w:val="20"/>
          <w:szCs w:val="20"/>
        </w:rPr>
        <w:t xml:space="preserve"> </w:t>
      </w:r>
      <w:r w:rsidR="00C86A6D" w:rsidRPr="00C86A6D">
        <w:rPr>
          <w:rFonts w:ascii="Times New Roman" w:hAnsi="Times New Roman" w:cs="Times New Roman"/>
          <w:color w:val="000000" w:themeColor="text1"/>
          <w:sz w:val="20"/>
          <w:szCs w:val="20"/>
          <w:lang w:val="en-US"/>
        </w:rPr>
        <w:t>PCR-</w:t>
      </w:r>
      <w:r w:rsidR="00C86A6D" w:rsidRPr="00C86A6D">
        <w:rPr>
          <w:rFonts w:ascii="Times New Roman" w:hAnsi="Times New Roman" w:cs="Times New Roman"/>
          <w:color w:val="212121"/>
          <w:sz w:val="20"/>
          <w:szCs w:val="20"/>
        </w:rPr>
        <w:t>polymerase chain reaction</w:t>
      </w:r>
      <w:r w:rsidR="00C86A6D" w:rsidRPr="00C86A6D">
        <w:rPr>
          <w:rFonts w:ascii="Times New Roman" w:hAnsi="Times New Roman" w:cs="Times New Roman"/>
          <w:color w:val="212121"/>
          <w:sz w:val="20"/>
          <w:szCs w:val="20"/>
          <w:lang w:val="en-US"/>
        </w:rPr>
        <w:t>,</w:t>
      </w:r>
      <w:r w:rsidR="00C86A6D">
        <w:rPr>
          <w:rFonts w:ascii="Times New Roman" w:hAnsi="Times New Roman" w:cs="Times New Roman"/>
          <w:color w:val="212121"/>
          <w:sz w:val="24"/>
          <w:szCs w:val="24"/>
          <w:lang w:val="en-US"/>
        </w:rPr>
        <w:t xml:space="preserve"> </w:t>
      </w:r>
      <w:r w:rsidR="00C86A6D" w:rsidRPr="00C86A6D">
        <w:rPr>
          <w:rFonts w:ascii="Times New Roman" w:hAnsi="Times New Roman" w:cs="Times New Roman"/>
          <w:color w:val="212121"/>
          <w:sz w:val="20"/>
          <w:szCs w:val="20"/>
          <w:lang w:val="en-US"/>
        </w:rPr>
        <w:t>EDTA-</w:t>
      </w:r>
      <w:r w:rsidR="00C86A6D" w:rsidRPr="00C86A6D">
        <w:rPr>
          <w:rFonts w:ascii="Times New Roman" w:hAnsi="Times New Roman" w:cs="Times New Roman"/>
          <w:color w:val="212121"/>
          <w:sz w:val="20"/>
          <w:szCs w:val="20"/>
        </w:rPr>
        <w:t>ethylenediamine</w:t>
      </w:r>
      <w:r w:rsidR="00C86A6D">
        <w:rPr>
          <w:rFonts w:ascii="Times New Roman" w:hAnsi="Times New Roman" w:cs="Times New Roman"/>
          <w:color w:val="212121"/>
          <w:sz w:val="20"/>
          <w:szCs w:val="20"/>
        </w:rPr>
        <w:t>tetraacetic acid</w:t>
      </w:r>
      <w:r w:rsidR="00C86A6D">
        <w:rPr>
          <w:rFonts w:ascii="Times New Roman" w:hAnsi="Times New Roman" w:cs="Times New Roman"/>
          <w:color w:val="212121"/>
          <w:sz w:val="20"/>
          <w:szCs w:val="20"/>
          <w:lang w:val="en-US"/>
        </w:rPr>
        <w:t xml:space="preserve">, </w:t>
      </w:r>
      <w:r w:rsidR="009F59EC" w:rsidRPr="009F59EC">
        <w:rPr>
          <w:rFonts w:ascii="Times New Roman" w:hAnsi="Times New Roman" w:cs="Times New Roman"/>
          <w:color w:val="212121"/>
          <w:sz w:val="20"/>
          <w:szCs w:val="20"/>
          <w:lang w:val="ru-RU"/>
        </w:rPr>
        <w:t>TIR</w:t>
      </w:r>
      <w:r w:rsidR="009F59EC">
        <w:rPr>
          <w:rFonts w:ascii="Times New Roman" w:hAnsi="Times New Roman" w:cs="Times New Roman"/>
          <w:color w:val="212121"/>
          <w:sz w:val="20"/>
          <w:szCs w:val="20"/>
          <w:lang w:val="en-US"/>
        </w:rPr>
        <w:t>-</w:t>
      </w:r>
      <w:r w:rsidR="009F59EC" w:rsidRPr="009F59EC">
        <w:rPr>
          <w:rFonts w:ascii="Times New Roman" w:hAnsi="Times New Roman" w:cs="Times New Roman"/>
          <w:color w:val="212121"/>
          <w:sz w:val="20"/>
          <w:szCs w:val="20"/>
        </w:rPr>
        <w:t>toll-interleukin-1 </w:t>
      </w:r>
      <w:r w:rsidR="009F59EC" w:rsidRPr="009F59EC">
        <w:rPr>
          <w:rFonts w:ascii="Times New Roman" w:hAnsi="Times New Roman" w:cs="Times New Roman"/>
          <w:bCs/>
          <w:color w:val="212121"/>
          <w:sz w:val="20"/>
          <w:szCs w:val="20"/>
        </w:rPr>
        <w:t>receptor</w:t>
      </w:r>
      <w:r w:rsidR="009F59EC">
        <w:rPr>
          <w:rFonts w:ascii="Times New Roman" w:hAnsi="Times New Roman" w:cs="Times New Roman"/>
          <w:color w:val="212121"/>
          <w:sz w:val="20"/>
          <w:szCs w:val="20"/>
          <w:lang w:val="en-US"/>
        </w:rPr>
        <w:t>,</w:t>
      </w:r>
      <w:r w:rsidR="009F59EC" w:rsidRPr="009F59EC">
        <w:rPr>
          <w:rFonts w:ascii="Arial" w:hAnsi="Arial" w:cs="Arial"/>
          <w:color w:val="4D5156"/>
          <w:sz w:val="14"/>
          <w:szCs w:val="14"/>
          <w:shd w:val="clear" w:color="auto" w:fill="FFFFFF"/>
        </w:rPr>
        <w:t xml:space="preserve"> </w:t>
      </w:r>
      <w:r w:rsidR="009F59EC" w:rsidRPr="007C1C95">
        <w:rPr>
          <w:rFonts w:ascii="Times New Roman" w:hAnsi="Times New Roman" w:cs="Times New Roman"/>
          <w:color w:val="000000" w:themeColor="text1"/>
          <w:sz w:val="20"/>
          <w:szCs w:val="20"/>
          <w:shd w:val="clear" w:color="auto" w:fill="FFFFFF"/>
          <w:lang w:val="en-US"/>
        </w:rPr>
        <w:t>MYD88-</w:t>
      </w:r>
      <w:r w:rsidR="009F59EC" w:rsidRPr="007C1C95">
        <w:rPr>
          <w:rFonts w:ascii="Times New Roman" w:hAnsi="Times New Roman" w:cs="Times New Roman"/>
          <w:color w:val="000000" w:themeColor="text1"/>
          <w:sz w:val="20"/>
          <w:szCs w:val="20"/>
        </w:rPr>
        <w:t>Myeloid differentiation primary response 88</w:t>
      </w:r>
      <w:r w:rsidR="007C1C95" w:rsidRPr="007C1C95">
        <w:rPr>
          <w:rFonts w:ascii="Arial" w:hAnsi="Arial" w:cs="Arial"/>
          <w:color w:val="202124"/>
          <w:sz w:val="16"/>
          <w:szCs w:val="16"/>
          <w:shd w:val="clear" w:color="auto" w:fill="FFFFFF"/>
        </w:rPr>
        <w:t xml:space="preserve"> </w:t>
      </w:r>
      <w:r w:rsidR="007C1C95">
        <w:rPr>
          <w:rFonts w:ascii="Times New Roman" w:hAnsi="Times New Roman" w:cs="Times New Roman"/>
          <w:color w:val="000000" w:themeColor="text1"/>
          <w:sz w:val="20"/>
          <w:szCs w:val="20"/>
          <w:lang w:val="en-US"/>
        </w:rPr>
        <w:t>ADAMST-</w:t>
      </w:r>
      <w:r w:rsidR="007C1C95" w:rsidRPr="007C1C95">
        <w:rPr>
          <w:rFonts w:ascii="Times New Roman" w:hAnsi="Times New Roman" w:cs="Times New Roman"/>
          <w:bCs/>
          <w:color w:val="000000" w:themeColor="text1"/>
          <w:sz w:val="20"/>
          <w:szCs w:val="20"/>
        </w:rPr>
        <w:t>A Disintegrin and Metalloproteinase with Thrombospondin motifs</w:t>
      </w:r>
      <w:r w:rsidR="007C1C95">
        <w:rPr>
          <w:rFonts w:ascii="Times New Roman" w:hAnsi="Times New Roman" w:cs="Times New Roman"/>
          <w:color w:val="000000" w:themeColor="text1"/>
          <w:sz w:val="20"/>
          <w:szCs w:val="20"/>
        </w:rPr>
        <w:t>,</w:t>
      </w:r>
      <w:r w:rsidR="009F59EC" w:rsidRPr="009F59EC">
        <w:rPr>
          <w:rFonts w:ascii="Times New Roman" w:hAnsi="Times New Roman" w:cs="Times New Roman"/>
          <w:color w:val="212121"/>
          <w:sz w:val="20"/>
          <w:szCs w:val="20"/>
        </w:rPr>
        <w:t xml:space="preserve"> </w:t>
      </w:r>
      <w:r w:rsidRPr="007068A0">
        <w:rPr>
          <w:rFonts w:ascii="Times New Roman" w:hAnsi="Times New Roman" w:cs="Times New Roman"/>
          <w:color w:val="000000" w:themeColor="text1"/>
          <w:sz w:val="20"/>
          <w:szCs w:val="20"/>
          <w:shd w:val="clear" w:color="auto" w:fill="FFFFFF"/>
        </w:rPr>
        <w:t xml:space="preserve">CD4 </w:t>
      </w:r>
      <w:r>
        <w:rPr>
          <w:rFonts w:ascii="Times New Roman" w:hAnsi="Times New Roman" w:cs="Times New Roman"/>
          <w:color w:val="000000" w:themeColor="text1"/>
          <w:sz w:val="20"/>
          <w:szCs w:val="20"/>
          <w:shd w:val="clear" w:color="auto" w:fill="FFFFFF"/>
        </w:rPr>
        <w:t>–cluster of differentiation</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shd w:val="clear" w:color="auto" w:fill="FFFFFF"/>
        </w:rPr>
        <w:t>IFN‐Interferon</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shd w:val="clear" w:color="auto" w:fill="FFFFFF"/>
        </w:rPr>
        <w:t>TNF‐Tumor necrosis factor</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shd w:val="clear" w:color="auto" w:fill="FFFFFF"/>
        </w:rPr>
        <w:t>TGF‐Transforming growth factor</w:t>
      </w:r>
      <w:r>
        <w:rPr>
          <w:rFonts w:ascii="Times New Roman" w:hAnsi="Times New Roman" w:cs="Times New Roman"/>
          <w:color w:val="000000" w:themeColor="text1"/>
          <w:sz w:val="20"/>
          <w:szCs w:val="20"/>
          <w:shd w:val="clear" w:color="auto" w:fill="FFFFFF"/>
        </w:rPr>
        <w:t xml:space="preserve">, </w:t>
      </w:r>
      <w:r w:rsidRPr="007068A0">
        <w:rPr>
          <w:rFonts w:ascii="Times New Roman" w:hAnsi="Times New Roman" w:cs="Times New Roman"/>
          <w:color w:val="000000" w:themeColor="text1"/>
          <w:sz w:val="20"/>
          <w:szCs w:val="20"/>
        </w:rPr>
        <w:t>FGF-fibroblast grow factor</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BMCMCs-mouse bone-marrow derived cultured mast cells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shd w:val="clear" w:color="auto" w:fill="FFFFFF"/>
        </w:rPr>
        <w:t>ERK-extracellul</w:t>
      </w:r>
      <w:r>
        <w:rPr>
          <w:rFonts w:ascii="Times New Roman" w:hAnsi="Times New Roman" w:cs="Times New Roman"/>
          <w:color w:val="000000" w:themeColor="text1"/>
          <w:sz w:val="20"/>
          <w:szCs w:val="20"/>
          <w:shd w:val="clear" w:color="auto" w:fill="FFFFFF"/>
        </w:rPr>
        <w:t>ar signal</w:t>
      </w:r>
      <w:r>
        <w:rPr>
          <w:rFonts w:ascii="Times New Roman" w:hAnsi="Times New Roman" w:cs="Times New Roman"/>
          <w:color w:val="000000" w:themeColor="text1"/>
          <w:sz w:val="20"/>
          <w:szCs w:val="20"/>
          <w:shd w:val="clear" w:color="auto" w:fill="FFFFFF"/>
        </w:rPr>
        <w:noBreakHyphen/>
        <w:t xml:space="preserve">regulated kinases Erк, </w:t>
      </w:r>
      <w:r w:rsidRPr="007068A0">
        <w:rPr>
          <w:rFonts w:ascii="Times New Roman" w:hAnsi="Times New Roman" w:cs="Times New Roman"/>
          <w:color w:val="000000" w:themeColor="text1"/>
          <w:sz w:val="20"/>
          <w:szCs w:val="20"/>
          <w:shd w:val="clear" w:color="auto" w:fill="FFFFFF"/>
        </w:rPr>
        <w:t xml:space="preserve">TRAF-tumor </w:t>
      </w:r>
      <w:r w:rsidR="00455EB5">
        <w:rPr>
          <w:rFonts w:ascii="Times New Roman" w:hAnsi="Times New Roman" w:cs="Times New Roman"/>
          <w:color w:val="000000" w:themeColor="text1"/>
          <w:sz w:val="20"/>
          <w:szCs w:val="20"/>
          <w:shd w:val="clear" w:color="auto" w:fill="FFFFFF"/>
        </w:rPr>
        <w:t>necrosis factor receptor, TNF-R</w:t>
      </w:r>
      <w:r w:rsidRPr="007068A0">
        <w:rPr>
          <w:rFonts w:ascii="Times New Roman" w:hAnsi="Times New Roman" w:cs="Times New Roman"/>
          <w:color w:val="000000" w:themeColor="text1"/>
          <w:sz w:val="20"/>
          <w:szCs w:val="20"/>
          <w:shd w:val="clear" w:color="auto" w:fill="FFFFFF"/>
        </w:rPr>
        <w:t>-associated factor (TRAF)</w:t>
      </w:r>
      <w:r>
        <w:rPr>
          <w:rFonts w:ascii="Times New Roman" w:hAnsi="Times New Roman" w:cs="Times New Roman"/>
          <w:color w:val="000000" w:themeColor="text1"/>
          <w:sz w:val="20"/>
          <w:szCs w:val="20"/>
          <w:shd w:val="clear" w:color="auto" w:fill="FFFFFF"/>
        </w:rPr>
        <w:t>,</w:t>
      </w:r>
      <w:r w:rsidRPr="007068A0">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rPr>
        <w:t>PI3K-</w:t>
      </w:r>
      <w:r w:rsidRPr="004C6C99">
        <w:rPr>
          <w:rFonts w:ascii="NotoSans" w:hAnsi="NotoSans"/>
          <w:color w:val="333333"/>
          <w:sz w:val="13"/>
          <w:szCs w:val="13"/>
          <w:shd w:val="clear" w:color="auto" w:fill="FFFFFF"/>
        </w:rPr>
        <w:t xml:space="preserve"> </w:t>
      </w:r>
      <w:r w:rsidRPr="004C6C99">
        <w:rPr>
          <w:rFonts w:ascii="Times New Roman" w:hAnsi="Times New Roman" w:cs="Times New Roman"/>
          <w:color w:val="000000" w:themeColor="text1"/>
          <w:sz w:val="20"/>
          <w:szCs w:val="20"/>
        </w:rPr>
        <w:t xml:space="preserve">phosphatidylinositol 3-kinase </w:t>
      </w:r>
      <w:r>
        <w:rPr>
          <w:rFonts w:ascii="Times New Roman" w:hAnsi="Times New Roman" w:cs="Times New Roman"/>
          <w:color w:val="000000" w:themeColor="text1"/>
          <w:sz w:val="20"/>
          <w:szCs w:val="20"/>
        </w:rPr>
        <w:t>(PI3K) and Akt/Protein Kinase B pathway, Akt</w:t>
      </w:r>
      <w:r w:rsidRPr="007068A0">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w:t>
      </w:r>
      <w:r w:rsidRPr="004C6C99">
        <w:rPr>
          <w:rFonts w:ascii="Arial" w:hAnsi="Arial" w:cs="Arial"/>
          <w:b/>
          <w:bCs/>
          <w:color w:val="202124"/>
          <w:sz w:val="15"/>
          <w:szCs w:val="15"/>
          <w:shd w:val="clear" w:color="auto" w:fill="FFFFFF"/>
        </w:rPr>
        <w:t xml:space="preserve"> </w:t>
      </w:r>
      <w:r w:rsidRPr="004C6C99">
        <w:rPr>
          <w:rFonts w:ascii="Times New Roman" w:hAnsi="Times New Roman" w:cs="Times New Roman"/>
          <w:bCs/>
          <w:color w:val="000000" w:themeColor="text1"/>
          <w:sz w:val="20"/>
          <w:szCs w:val="20"/>
        </w:rPr>
        <w:t>insulin signaling pathway</w:t>
      </w:r>
      <w:r>
        <w:rPr>
          <w:rFonts w:ascii="Times New Roman" w:hAnsi="Times New Roman" w:cs="Times New Roman"/>
          <w:color w:val="000000" w:themeColor="text1"/>
          <w:sz w:val="20"/>
          <w:szCs w:val="20"/>
        </w:rPr>
        <w:t>, NOS-</w:t>
      </w:r>
      <w:r w:rsidRPr="004C6C99">
        <w:rPr>
          <w:rFonts w:ascii="Times New Roman" w:hAnsi="Times New Roman" w:cs="Times New Roman"/>
          <w:color w:val="000000" w:themeColor="text1"/>
          <w:sz w:val="20"/>
          <w:szCs w:val="20"/>
        </w:rPr>
        <w:t>Nitric oxide synthases</w:t>
      </w:r>
      <w:r>
        <w:rPr>
          <w:rFonts w:ascii="Times New Roman" w:hAnsi="Times New Roman" w:cs="Times New Roman"/>
          <w:color w:val="000000" w:themeColor="text1"/>
          <w:sz w:val="20"/>
          <w:szCs w:val="20"/>
        </w:rPr>
        <w:t>, SYK</w:t>
      </w:r>
      <w:r w:rsidRPr="004C6C99">
        <w:rPr>
          <w:rFonts w:ascii="Times New Roman" w:hAnsi="Times New Roman" w:cs="Times New Roman"/>
          <w:color w:val="000000"/>
          <w:sz w:val="20"/>
          <w:szCs w:val="20"/>
        </w:rPr>
        <w:t>-</w:t>
      </w:r>
      <w:r w:rsidRPr="004C6C99">
        <w:rPr>
          <w:rFonts w:ascii="Times New Roman" w:hAnsi="Times New Roman" w:cs="Times New Roman"/>
          <w:bCs/>
          <w:color w:val="000000" w:themeColor="text1"/>
          <w:sz w:val="20"/>
          <w:szCs w:val="20"/>
        </w:rPr>
        <w:t>spleen associated tyrosine kinase</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PLCγ</w:t>
      </w:r>
      <w:r>
        <w:rPr>
          <w:rFonts w:ascii="Times New Roman" w:hAnsi="Times New Roman" w:cs="Times New Roman"/>
          <w:color w:val="000000" w:themeColor="text1"/>
          <w:sz w:val="20"/>
          <w:szCs w:val="20"/>
        </w:rPr>
        <w:t>-</w:t>
      </w:r>
      <w:r w:rsidRPr="004C6C99">
        <w:rPr>
          <w:rFonts w:ascii="Arial" w:hAnsi="Arial" w:cs="Arial"/>
          <w:color w:val="4D5156"/>
          <w:sz w:val="13"/>
          <w:szCs w:val="13"/>
          <w:shd w:val="clear" w:color="auto" w:fill="FFFFFF"/>
        </w:rPr>
        <w:t xml:space="preserve"> </w:t>
      </w:r>
      <w:r w:rsidRPr="004C6C99">
        <w:rPr>
          <w:rFonts w:ascii="Times New Roman" w:hAnsi="Times New Roman" w:cs="Times New Roman"/>
          <w:color w:val="000000" w:themeColor="text1"/>
          <w:sz w:val="20"/>
          <w:szCs w:val="20"/>
        </w:rPr>
        <w:t>Phosphoinositide phospholipase C</w:t>
      </w:r>
      <w:r>
        <w:rPr>
          <w:rFonts w:ascii="Times New Roman" w:hAnsi="Times New Roman" w:cs="Times New Roman"/>
          <w:color w:val="000000" w:themeColor="text1"/>
          <w:sz w:val="20"/>
          <w:szCs w:val="20"/>
        </w:rPr>
        <w:t>, GAB2</w:t>
      </w:r>
      <w:r w:rsidRPr="007068A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w:t>
      </w:r>
      <w:r w:rsidRPr="004C6C99">
        <w:rPr>
          <w:rFonts w:ascii="Times New Roman" w:hAnsi="Times New Roman" w:cs="Times New Roman"/>
          <w:bCs/>
          <w:color w:val="000000" w:themeColor="text1"/>
          <w:sz w:val="20"/>
          <w:szCs w:val="20"/>
        </w:rPr>
        <w:t>GRB2-associated-binding protein 2</w:t>
      </w:r>
      <w:r>
        <w:rPr>
          <w:rFonts w:ascii="Times New Roman" w:hAnsi="Times New Roman" w:cs="Times New Roman"/>
          <w:color w:val="000000" w:themeColor="text1"/>
          <w:sz w:val="20"/>
          <w:szCs w:val="20"/>
        </w:rPr>
        <w:t xml:space="preserve">, c-Fos-proto-oncogene, </w:t>
      </w:r>
      <w:r w:rsidRPr="007068A0">
        <w:rPr>
          <w:rFonts w:ascii="Times New Roman" w:hAnsi="Times New Roman" w:cs="Times New Roman"/>
          <w:color w:val="000000" w:themeColor="text1"/>
          <w:sz w:val="20"/>
          <w:szCs w:val="20"/>
        </w:rPr>
        <w:t>NFATc1</w:t>
      </w:r>
      <w:r>
        <w:rPr>
          <w:rFonts w:ascii="Segoe UI" w:hAnsi="Segoe UI" w:cs="Segoe UI"/>
          <w:color w:val="212121"/>
          <w:sz w:val="15"/>
          <w:szCs w:val="15"/>
          <w:shd w:val="clear" w:color="auto" w:fill="FFFFFF"/>
        </w:rPr>
        <w:t>-</w:t>
      </w:r>
      <w:r w:rsidRPr="004C6C99">
        <w:rPr>
          <w:rFonts w:ascii="Times New Roman" w:hAnsi="Times New Roman" w:cs="Times New Roman"/>
          <w:color w:val="000000" w:themeColor="text1"/>
          <w:sz w:val="20"/>
          <w:szCs w:val="20"/>
        </w:rPr>
        <w:t>transcription factor</w:t>
      </w:r>
      <w:r>
        <w:rPr>
          <w:rFonts w:ascii="Times New Roman" w:hAnsi="Times New Roman" w:cs="Times New Roman"/>
          <w:color w:val="000000" w:themeColor="text1"/>
          <w:sz w:val="20"/>
          <w:szCs w:val="20"/>
        </w:rPr>
        <w:t>, JAK2</w:t>
      </w:r>
      <w:r>
        <w:rPr>
          <w:rFonts w:ascii="Arial" w:hAnsi="Arial" w:cs="Arial"/>
          <w:b/>
          <w:bCs/>
          <w:color w:val="202124"/>
          <w:sz w:val="15"/>
          <w:szCs w:val="15"/>
          <w:shd w:val="clear" w:color="auto" w:fill="FFFFFF"/>
        </w:rPr>
        <w:t>-</w:t>
      </w:r>
      <w:r w:rsidRPr="008B6CA1">
        <w:rPr>
          <w:rFonts w:ascii="Times New Roman" w:hAnsi="Times New Roman" w:cs="Times New Roman"/>
          <w:bCs/>
          <w:color w:val="000000" w:themeColor="text1"/>
          <w:sz w:val="20"/>
          <w:szCs w:val="20"/>
        </w:rPr>
        <w:t>Janus kinase (JAKs) family of non-receptor protein tyrosine kinases</w:t>
      </w:r>
      <w:r w:rsidRPr="008B6CA1">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NF-κB</w:t>
      </w:r>
      <w:r>
        <w:rPr>
          <w:rFonts w:ascii="Times New Roman" w:hAnsi="Times New Roman" w:cs="Times New Roman"/>
          <w:color w:val="000000" w:themeColor="text1"/>
          <w:sz w:val="20"/>
          <w:szCs w:val="20"/>
        </w:rPr>
        <w:t>-</w:t>
      </w:r>
      <w:r w:rsidRPr="008B6CA1">
        <w:rPr>
          <w:rFonts w:ascii="Times New Roman" w:hAnsi="Times New Roman" w:cs="Times New Roman"/>
          <w:color w:val="000000" w:themeColor="text1"/>
          <w:sz w:val="20"/>
          <w:szCs w:val="20"/>
        </w:rPr>
        <w:t>Nuclear factor kappa-light-chain-enhancer of activated B cells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MAPK-</w:t>
      </w:r>
      <w:r w:rsidRPr="007068A0">
        <w:rPr>
          <w:rFonts w:ascii="Times New Roman" w:hAnsi="Times New Roman" w:cs="Times New Roman"/>
          <w:color w:val="000000" w:themeColor="text1"/>
          <w:sz w:val="20"/>
          <w:szCs w:val="20"/>
          <w:shd w:val="clear" w:color="auto" w:fill="FFFFFF"/>
        </w:rPr>
        <w:t>Mitogen</w:t>
      </w:r>
      <w:r w:rsidRPr="007068A0">
        <w:rPr>
          <w:rFonts w:ascii="Times New Roman" w:hAnsi="Times New Roman" w:cs="Times New Roman"/>
          <w:color w:val="000000" w:themeColor="text1"/>
          <w:sz w:val="20"/>
          <w:szCs w:val="20"/>
          <w:shd w:val="clear" w:color="auto" w:fill="FFFFFF"/>
        </w:rPr>
        <w:noBreakHyphen/>
        <w:t>activated protein kinase)</w:t>
      </w:r>
      <w:r>
        <w:rPr>
          <w:rFonts w:ascii="Times New Roman" w:hAnsi="Times New Roman" w:cs="Times New Roman"/>
          <w:color w:val="000000" w:themeColor="text1"/>
          <w:sz w:val="20"/>
          <w:szCs w:val="20"/>
          <w:shd w:val="clear" w:color="auto" w:fill="FFFFFF"/>
        </w:rPr>
        <w:t xml:space="preserve">, </w:t>
      </w:r>
      <w:r w:rsidRPr="007068A0">
        <w:rPr>
          <w:rFonts w:ascii="Times New Roman" w:hAnsi="Times New Roman" w:cs="Times New Roman"/>
          <w:color w:val="000000" w:themeColor="text1"/>
          <w:sz w:val="20"/>
          <w:szCs w:val="20"/>
        </w:rPr>
        <w:t>JNK</w:t>
      </w:r>
      <w:r>
        <w:rPr>
          <w:rFonts w:ascii="Times New Roman" w:hAnsi="Times New Roman" w:cs="Times New Roman"/>
          <w:color w:val="000000" w:themeColor="text1"/>
          <w:sz w:val="20"/>
          <w:szCs w:val="20"/>
        </w:rPr>
        <w:t>-</w:t>
      </w:r>
      <w:r w:rsidRPr="008B6CA1">
        <w:rPr>
          <w:rFonts w:ascii="Arial" w:hAnsi="Arial" w:cs="Arial"/>
          <w:color w:val="202124"/>
          <w:sz w:val="15"/>
          <w:szCs w:val="15"/>
          <w:shd w:val="clear" w:color="auto" w:fill="FFFFFF"/>
        </w:rPr>
        <w:t xml:space="preserve"> </w:t>
      </w:r>
      <w:r>
        <w:rPr>
          <w:rFonts w:ascii="Times New Roman" w:hAnsi="Times New Roman" w:cs="Times New Roman"/>
          <w:color w:val="000000" w:themeColor="text1"/>
          <w:sz w:val="20"/>
          <w:szCs w:val="20"/>
        </w:rPr>
        <w:t xml:space="preserve">c-Jun N-terminal kinases, </w:t>
      </w:r>
      <w:r w:rsidRPr="007068A0">
        <w:rPr>
          <w:rFonts w:ascii="Times New Roman" w:hAnsi="Times New Roman" w:cs="Times New Roman"/>
          <w:color w:val="000000" w:themeColor="text1"/>
          <w:sz w:val="20"/>
          <w:szCs w:val="20"/>
        </w:rPr>
        <w:t>p38</w:t>
      </w:r>
      <w:r>
        <w:rPr>
          <w:rFonts w:ascii="Times New Roman" w:hAnsi="Times New Roman" w:cs="Times New Roman"/>
          <w:color w:val="000000" w:themeColor="text1"/>
          <w:sz w:val="20"/>
          <w:szCs w:val="20"/>
        </w:rPr>
        <w:t>-</w:t>
      </w:r>
      <w:r w:rsidRPr="008B6CA1">
        <w:rPr>
          <w:rFonts w:ascii="Times New Roman" w:hAnsi="Times New Roman" w:cs="Times New Roman"/>
          <w:color w:val="000000" w:themeColor="text1"/>
          <w:sz w:val="20"/>
          <w:szCs w:val="20"/>
        </w:rPr>
        <w:t>Mitogen-activated protein (MAP) kinase pathway</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c-Kit</w:t>
      </w:r>
      <w:r w:rsidRPr="007068A0">
        <w:rPr>
          <w:rFonts w:ascii="Times New Roman" w:hAnsi="Times New Roman" w:cs="Times New Roman"/>
          <w:color w:val="000000" w:themeColor="text1"/>
          <w:sz w:val="20"/>
          <w:szCs w:val="20"/>
          <w:shd w:val="clear" w:color="auto" w:fill="FFFFFF"/>
        </w:rPr>
        <w:t xml:space="preserve">  member of tyrosine kinase family</w:t>
      </w:r>
      <w:r>
        <w:rPr>
          <w:rFonts w:ascii="Times New Roman" w:hAnsi="Times New Roman" w:cs="Times New Roman"/>
          <w:color w:val="000000" w:themeColor="text1"/>
          <w:sz w:val="20"/>
          <w:szCs w:val="20"/>
          <w:shd w:val="clear" w:color="auto" w:fill="FFFFFF"/>
        </w:rPr>
        <w:t xml:space="preserve">, </w:t>
      </w:r>
      <w:r w:rsidRPr="007068A0">
        <w:rPr>
          <w:rFonts w:ascii="Times New Roman" w:hAnsi="Times New Roman" w:cs="Times New Roman"/>
          <w:color w:val="000000" w:themeColor="text1"/>
          <w:sz w:val="20"/>
          <w:szCs w:val="20"/>
        </w:rPr>
        <w:t>STAT</w:t>
      </w:r>
      <w:r>
        <w:rPr>
          <w:rFonts w:ascii="Times New Roman" w:hAnsi="Times New Roman" w:cs="Times New Roman"/>
          <w:color w:val="000000" w:themeColor="text1"/>
          <w:sz w:val="20"/>
          <w:szCs w:val="20"/>
        </w:rPr>
        <w:t>3-</w:t>
      </w:r>
      <w:r w:rsidRPr="008B6CA1">
        <w:rPr>
          <w:rFonts w:ascii="Times New Roman" w:hAnsi="Times New Roman" w:cs="Times New Roman"/>
          <w:color w:val="000000" w:themeColor="text1"/>
          <w:sz w:val="20"/>
          <w:szCs w:val="20"/>
        </w:rPr>
        <w:t>Signal transducer and activator of transcription 3</w:t>
      </w:r>
      <w:r>
        <w:rPr>
          <w:rFonts w:ascii="Times New Roman" w:hAnsi="Times New Roman" w:cs="Times New Roman"/>
          <w:color w:val="000000" w:themeColor="text1"/>
          <w:sz w:val="20"/>
          <w:szCs w:val="20"/>
        </w:rPr>
        <w:t>, Rho-</w:t>
      </w:r>
      <w:r w:rsidRPr="008B6CA1">
        <w:rPr>
          <w:rFonts w:ascii="Times New Roman" w:hAnsi="Times New Roman" w:cs="Times New Roman"/>
          <w:color w:val="000000" w:themeColor="text1"/>
          <w:sz w:val="20"/>
          <w:szCs w:val="20"/>
        </w:rPr>
        <w:t>Ras homologous (Rho) protein </w:t>
      </w:r>
      <w:r>
        <w:rPr>
          <w:rStyle w:val="nowrap"/>
          <w:rFonts w:ascii="Times New Roman" w:hAnsi="Times New Roman"/>
          <w:color w:val="000000" w:themeColor="text1"/>
          <w:sz w:val="20"/>
          <w:szCs w:val="20"/>
        </w:rPr>
        <w:t xml:space="preserve">, </w:t>
      </w:r>
      <w:r>
        <w:rPr>
          <w:rFonts w:ascii="Times New Roman" w:hAnsi="Times New Roman" w:cs="Times New Roman"/>
          <w:color w:val="000000" w:themeColor="text1"/>
          <w:sz w:val="20"/>
          <w:szCs w:val="20"/>
        </w:rPr>
        <w:t>MCP-</w:t>
      </w:r>
      <w:r w:rsidRPr="007068A0">
        <w:rPr>
          <w:rFonts w:ascii="Times New Roman" w:hAnsi="Times New Roman" w:cs="Times New Roman"/>
          <w:color w:val="000000" w:themeColor="text1"/>
          <w:sz w:val="20"/>
          <w:szCs w:val="20"/>
        </w:rPr>
        <w:t xml:space="preserve"> </w:t>
      </w:r>
      <w:r w:rsidRPr="008B6CA1">
        <w:rPr>
          <w:rFonts w:ascii="Times New Roman" w:hAnsi="Times New Roman" w:cs="Times New Roman"/>
          <w:color w:val="000000" w:themeColor="text1"/>
          <w:sz w:val="20"/>
          <w:szCs w:val="20"/>
        </w:rPr>
        <w:t>Monocyte chemoattractant protein-1</w:t>
      </w:r>
      <w:r>
        <w:rPr>
          <w:rFonts w:ascii="Times New Roman" w:hAnsi="Times New Roman" w:cs="Times New Roman"/>
          <w:color w:val="000000" w:themeColor="text1"/>
          <w:sz w:val="20"/>
          <w:szCs w:val="20"/>
        </w:rPr>
        <w:t xml:space="preserve">, </w:t>
      </w:r>
      <w:r w:rsidR="007C1C95">
        <w:rPr>
          <w:rFonts w:ascii="Times New Roman" w:hAnsi="Times New Roman" w:cs="Times New Roman"/>
          <w:color w:val="000000" w:themeColor="text1"/>
          <w:sz w:val="20"/>
          <w:szCs w:val="20"/>
        </w:rPr>
        <w:t>GVH</w:t>
      </w:r>
      <w:r w:rsidR="007C1C95">
        <w:rPr>
          <w:rFonts w:ascii="Times New Roman" w:hAnsi="Times New Roman" w:cs="Times New Roman"/>
          <w:color w:val="000000" w:themeColor="text1"/>
          <w:sz w:val="20"/>
          <w:szCs w:val="20"/>
          <w:lang w:val="en-US"/>
        </w:rPr>
        <w:t>-</w:t>
      </w:r>
      <w:r w:rsidRPr="007068A0">
        <w:rPr>
          <w:rFonts w:ascii="Times New Roman" w:hAnsi="Times New Roman" w:cs="Times New Roman"/>
          <w:color w:val="000000" w:themeColor="text1"/>
          <w:sz w:val="20"/>
          <w:szCs w:val="20"/>
        </w:rPr>
        <w:t xml:space="preserve"> </w:t>
      </w:r>
      <w:r w:rsidR="007C1C95">
        <w:rPr>
          <w:rFonts w:ascii="Times New Roman" w:hAnsi="Times New Roman" w:cs="Times New Roman"/>
          <w:color w:val="000000" w:themeColor="text1"/>
          <w:sz w:val="20"/>
          <w:szCs w:val="20"/>
        </w:rPr>
        <w:t>graft-versus-host</w:t>
      </w:r>
      <w:r>
        <w:rPr>
          <w:rFonts w:ascii="Times New Roman" w:hAnsi="Times New Roman" w:cs="Times New Roman"/>
          <w:color w:val="000000" w:themeColor="text1"/>
          <w:sz w:val="20"/>
          <w:szCs w:val="20"/>
        </w:rPr>
        <w:t xml:space="preserve">, </w:t>
      </w:r>
      <w:r w:rsidR="007C1C95">
        <w:rPr>
          <w:rFonts w:ascii="Times New Roman" w:hAnsi="Times New Roman" w:cs="Times New Roman"/>
          <w:color w:val="000000" w:themeColor="text1"/>
          <w:kern w:val="24"/>
          <w:sz w:val="20"/>
          <w:szCs w:val="20"/>
        </w:rPr>
        <w:t>FRC</w:t>
      </w:r>
      <w:r w:rsidR="007C1C95">
        <w:rPr>
          <w:rFonts w:ascii="Times New Roman" w:hAnsi="Times New Roman" w:cs="Times New Roman"/>
          <w:color w:val="000000" w:themeColor="text1"/>
          <w:kern w:val="24"/>
          <w:sz w:val="20"/>
          <w:szCs w:val="20"/>
          <w:lang w:val="en-US"/>
        </w:rPr>
        <w:t>-</w:t>
      </w:r>
      <w:r w:rsidRPr="007068A0">
        <w:rPr>
          <w:rFonts w:ascii="Times New Roman" w:hAnsi="Times New Roman" w:cs="Times New Roman"/>
          <w:color w:val="000000" w:themeColor="text1"/>
          <w:kern w:val="24"/>
          <w:sz w:val="20"/>
          <w:szCs w:val="20"/>
        </w:rPr>
        <w:t>fibroblast-type reticular stromal cells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kern w:val="24"/>
          <w:sz w:val="20"/>
          <w:szCs w:val="20"/>
        </w:rPr>
        <w:t>ААM-</w:t>
      </w:r>
      <w:r w:rsidRPr="007068A0">
        <w:rPr>
          <w:rFonts w:ascii="Times New Roman" w:hAnsi="Times New Roman" w:cs="Times New Roman"/>
          <w:bCs/>
          <w:color w:val="000000" w:themeColor="text1"/>
          <w:kern w:val="24"/>
          <w:sz w:val="20"/>
          <w:szCs w:val="20"/>
        </w:rPr>
        <w:t>alternative</w:t>
      </w:r>
      <w:r w:rsidRPr="007068A0">
        <w:rPr>
          <w:rFonts w:ascii="Times New Roman" w:hAnsi="Times New Roman" w:cs="Times New Roman"/>
          <w:color w:val="000000" w:themeColor="text1"/>
          <w:kern w:val="24"/>
          <w:sz w:val="20"/>
          <w:szCs w:val="20"/>
        </w:rPr>
        <w:t> activated </w:t>
      </w:r>
      <w:r w:rsidRPr="007068A0">
        <w:rPr>
          <w:rFonts w:ascii="Times New Roman" w:hAnsi="Times New Roman" w:cs="Times New Roman"/>
          <w:bCs/>
          <w:color w:val="000000" w:themeColor="text1"/>
          <w:kern w:val="24"/>
          <w:sz w:val="20"/>
          <w:szCs w:val="20"/>
        </w:rPr>
        <w:t>macrophages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kern w:val="24"/>
          <w:sz w:val="20"/>
          <w:szCs w:val="20"/>
        </w:rPr>
        <w:t>ILC-</w:t>
      </w:r>
      <w:r w:rsidRPr="007068A0">
        <w:rPr>
          <w:rFonts w:ascii="Times New Roman" w:hAnsi="Times New Roman" w:cs="Times New Roman"/>
          <w:color w:val="000000" w:themeColor="text1"/>
          <w:kern w:val="24"/>
          <w:sz w:val="20"/>
          <w:szCs w:val="20"/>
          <w:lang w:val="en-US"/>
        </w:rPr>
        <w:t>innate lymphoid</w:t>
      </w:r>
      <w:r w:rsidRPr="007068A0">
        <w:rPr>
          <w:rFonts w:ascii="Times New Roman" w:hAnsi="Times New Roman" w:cs="Times New Roman"/>
          <w:color w:val="000000" w:themeColor="text1"/>
          <w:kern w:val="24"/>
          <w:sz w:val="20"/>
          <w:szCs w:val="20"/>
        </w:rPr>
        <w:t xml:space="preserve"> cells</w:t>
      </w:r>
      <w:r w:rsidRPr="007068A0">
        <w:rPr>
          <w:rFonts w:ascii="Times New Roman" w:hAnsi="Times New Roman" w:cs="Times New Roman"/>
          <w:color w:val="000000" w:themeColor="text1"/>
          <w:kern w:val="24"/>
          <w:sz w:val="20"/>
          <w:szCs w:val="20"/>
          <w:lang w:val="en-US"/>
        </w:rPr>
        <w:t xml:space="preserve"> </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PAMPs-pathoge</w:t>
      </w:r>
      <w:r w:rsidR="007C1C95">
        <w:rPr>
          <w:rFonts w:ascii="Times New Roman" w:hAnsi="Times New Roman" w:cs="Times New Roman"/>
          <w:color w:val="000000" w:themeColor="text1"/>
          <w:sz w:val="20"/>
          <w:szCs w:val="20"/>
        </w:rPr>
        <w:t>n-associated molecular patterns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 xml:space="preserve">DAMPs damage associated molecular patterns </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HMGB1-</w:t>
      </w:r>
      <w:r>
        <w:rPr>
          <w:rFonts w:ascii="Times New Roman" w:hAnsi="Times New Roman" w:cs="Times New Roman"/>
          <w:color w:val="000000" w:themeColor="text1"/>
          <w:sz w:val="20"/>
          <w:szCs w:val="20"/>
        </w:rPr>
        <w:t xml:space="preserve">high-mobility group box 1, </w:t>
      </w:r>
      <w:r w:rsidRPr="007068A0">
        <w:rPr>
          <w:rFonts w:ascii="Times New Roman" w:hAnsi="Times New Roman" w:cs="Times New Roman"/>
          <w:color w:val="000000" w:themeColor="text1"/>
          <w:sz w:val="20"/>
          <w:szCs w:val="20"/>
        </w:rPr>
        <w:t>TCR-T cell receptor</w:t>
      </w:r>
      <w:r>
        <w:rPr>
          <w:rFonts w:ascii="Times New Roman" w:hAnsi="Times New Roman" w:cs="Times New Roman"/>
          <w:color w:val="000000" w:themeColor="text1"/>
          <w:sz w:val="20"/>
          <w:szCs w:val="20"/>
        </w:rPr>
        <w:t>, BATF-</w:t>
      </w:r>
      <w:r w:rsidRPr="008B6CA1">
        <w:rPr>
          <w:rFonts w:ascii="Times New Roman" w:hAnsi="Times New Roman" w:cs="Times New Roman"/>
          <w:color w:val="000000" w:themeColor="text1"/>
          <w:sz w:val="20"/>
          <w:szCs w:val="20"/>
        </w:rPr>
        <w:t>Basic leucine zipper</w:t>
      </w:r>
      <w:r>
        <w:rPr>
          <w:rFonts w:ascii="Times New Roman" w:hAnsi="Times New Roman" w:cs="Times New Roman"/>
          <w:color w:val="000000" w:themeColor="text1"/>
          <w:sz w:val="20"/>
          <w:szCs w:val="20"/>
        </w:rPr>
        <w:t xml:space="preserve"> transcription factor, ATF-like, </w:t>
      </w:r>
      <w:r w:rsidR="007C1C95" w:rsidRPr="007C1C95">
        <w:rPr>
          <w:rFonts w:ascii="Times New Roman" w:hAnsi="Times New Roman" w:cs="Times New Roman"/>
          <w:sz w:val="20"/>
          <w:szCs w:val="20"/>
        </w:rPr>
        <w:t>BMCM</w:t>
      </w:r>
      <w:r w:rsidR="007C1C95" w:rsidRPr="007C1C95">
        <w:rPr>
          <w:rFonts w:ascii="Times New Roman" w:hAnsi="Times New Roman" w:cs="Times New Roman"/>
          <w:sz w:val="20"/>
          <w:szCs w:val="20"/>
          <w:lang w:val="en-US"/>
        </w:rPr>
        <w:t>-</w:t>
      </w:r>
      <w:r w:rsidR="007C1C95" w:rsidRPr="007C1C95">
        <w:rPr>
          <w:rFonts w:ascii="Times New Roman" w:hAnsi="Times New Roman" w:cs="Times New Roman"/>
          <w:sz w:val="20"/>
          <w:szCs w:val="20"/>
        </w:rPr>
        <w:t>bone marrow-derived cultured MCs</w:t>
      </w:r>
      <w:r w:rsidR="007C1C95">
        <w:rPr>
          <w:rFonts w:ascii="Times New Roman" w:hAnsi="Times New Roman" w:cs="Times New Roman"/>
          <w:sz w:val="24"/>
          <w:szCs w:val="24"/>
          <w:lang w:val="en-US"/>
        </w:rPr>
        <w:t xml:space="preserve">, </w:t>
      </w:r>
      <w:r w:rsidR="008D6018" w:rsidRPr="008D6018">
        <w:rPr>
          <w:rFonts w:ascii="Times New Roman" w:hAnsi="Times New Roman" w:cs="Times New Roman"/>
          <w:sz w:val="20"/>
          <w:szCs w:val="20"/>
        </w:rPr>
        <w:t>BMDCs</w:t>
      </w:r>
      <w:r w:rsidR="008D6018" w:rsidRPr="008D6018">
        <w:rPr>
          <w:rFonts w:ascii="Times New Roman" w:hAnsi="Times New Roman" w:cs="Times New Roman"/>
          <w:sz w:val="20"/>
          <w:szCs w:val="20"/>
          <w:lang w:val="en-US"/>
        </w:rPr>
        <w:t>-</w:t>
      </w:r>
      <w:r w:rsidR="008D6018" w:rsidRPr="008D6018">
        <w:rPr>
          <w:rFonts w:ascii="Times New Roman" w:hAnsi="Times New Roman" w:cs="Times New Roman"/>
          <w:sz w:val="20"/>
          <w:szCs w:val="20"/>
        </w:rPr>
        <w:t>bone marrow-derived DCs</w:t>
      </w:r>
      <w:r w:rsidR="008D6018" w:rsidRPr="008D6018">
        <w:rPr>
          <w:rFonts w:ascii="Times New Roman" w:hAnsi="Times New Roman" w:cs="Times New Roman"/>
          <w:sz w:val="20"/>
          <w:szCs w:val="20"/>
          <w:lang w:val="en-US"/>
        </w:rPr>
        <w:t xml:space="preserve">, </w:t>
      </w:r>
      <w:r w:rsidRPr="007068A0">
        <w:rPr>
          <w:rFonts w:ascii="Times New Roman" w:hAnsi="Times New Roman" w:cs="Times New Roman"/>
          <w:color w:val="000000" w:themeColor="text1"/>
          <w:sz w:val="20"/>
          <w:szCs w:val="20"/>
        </w:rPr>
        <w:t>IRF4</w:t>
      </w:r>
      <w:r>
        <w:rPr>
          <w:rFonts w:ascii="Times New Roman" w:hAnsi="Times New Roman" w:cs="Times New Roman"/>
          <w:color w:val="000000" w:themeColor="text1"/>
          <w:sz w:val="20"/>
          <w:szCs w:val="20"/>
        </w:rPr>
        <w:t>-</w:t>
      </w:r>
      <w:r w:rsidRPr="008B6CA1">
        <w:rPr>
          <w:rFonts w:ascii="Arial" w:hAnsi="Arial" w:cs="Arial"/>
          <w:color w:val="4D5156"/>
          <w:sz w:val="13"/>
          <w:szCs w:val="13"/>
          <w:shd w:val="clear" w:color="auto" w:fill="FFFFFF"/>
        </w:rPr>
        <w:t xml:space="preserve"> </w:t>
      </w:r>
      <w:r w:rsidRPr="008B6CA1">
        <w:rPr>
          <w:rFonts w:ascii="Times New Roman" w:hAnsi="Times New Roman" w:cs="Times New Roman"/>
          <w:color w:val="000000" w:themeColor="text1"/>
          <w:sz w:val="20"/>
          <w:szCs w:val="20"/>
        </w:rPr>
        <w:t>Interferon regulatory factor 4</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MHCII-</w:t>
      </w:r>
      <w:r w:rsidRPr="007068A0">
        <w:rPr>
          <w:rFonts w:ascii="Times New Roman" w:hAnsi="Times New Roman" w:cs="Times New Roman"/>
          <w:color w:val="000000" w:themeColor="text1"/>
          <w:sz w:val="20"/>
          <w:szCs w:val="20"/>
          <w:lang w:val="en-US"/>
        </w:rPr>
        <w:t>major hystocompatibility complex II</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c-Kit-</w:t>
      </w:r>
      <w:r w:rsidRPr="007068A0">
        <w:rPr>
          <w:rFonts w:ascii="Times New Roman" w:hAnsi="Times New Roman" w:cs="Times New Roman"/>
          <w:color w:val="000000" w:themeColor="text1"/>
          <w:sz w:val="20"/>
          <w:szCs w:val="20"/>
          <w:shd w:val="clear" w:color="auto" w:fill="FFFFFF"/>
        </w:rPr>
        <w:t>stem cell factor receptor</w:t>
      </w:r>
      <w:r w:rsidRPr="007068A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BMCM-bone marrow-derived cultured MCs</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MCP-1-</w:t>
      </w:r>
      <w:r w:rsidRPr="007068A0">
        <w:rPr>
          <w:rFonts w:ascii="Times New Roman" w:hAnsi="Times New Roman" w:cs="Times New Roman"/>
          <w:bCs/>
          <w:color w:val="000000" w:themeColor="text1"/>
          <w:sz w:val="20"/>
          <w:szCs w:val="20"/>
        </w:rPr>
        <w:t>Monocyte chemoattractant protein</w:t>
      </w:r>
      <w:r w:rsidRPr="007068A0">
        <w:rPr>
          <w:rFonts w:ascii="Times New Roman" w:hAnsi="Times New Roman" w:cs="Times New Roman"/>
          <w:color w:val="000000" w:themeColor="text1"/>
          <w:sz w:val="20"/>
          <w:szCs w:val="20"/>
        </w:rPr>
        <w:t>-</w:t>
      </w:r>
      <w:r w:rsidRPr="007068A0">
        <w:rPr>
          <w:rFonts w:ascii="Times New Roman" w:hAnsi="Times New Roman" w:cs="Times New Roman"/>
          <w:bCs/>
          <w:color w:val="000000" w:themeColor="text1"/>
          <w:sz w:val="20"/>
          <w:szCs w:val="20"/>
        </w:rPr>
        <w:t>1</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TSLP- thymic stromal lymphopoietin</w:t>
      </w:r>
      <w:r>
        <w:rPr>
          <w:rFonts w:ascii="Times New Roman" w:hAnsi="Times New Roman" w:cs="Times New Roman"/>
          <w:color w:val="000000" w:themeColor="text1"/>
          <w:sz w:val="20"/>
          <w:szCs w:val="20"/>
        </w:rPr>
        <w:t xml:space="preserve">, </w:t>
      </w:r>
      <w:r w:rsidR="008D6018" w:rsidRPr="008D6018">
        <w:rPr>
          <w:rFonts w:ascii="Times New Roman" w:hAnsi="Times New Roman" w:cs="Times New Roman"/>
          <w:color w:val="212121"/>
          <w:sz w:val="20"/>
          <w:szCs w:val="20"/>
        </w:rPr>
        <w:t>HBE</w:t>
      </w:r>
      <w:r w:rsidR="008D6018" w:rsidRPr="008D6018">
        <w:rPr>
          <w:rFonts w:ascii="Times New Roman" w:hAnsi="Times New Roman" w:cs="Times New Roman"/>
          <w:color w:val="212121"/>
          <w:sz w:val="20"/>
          <w:szCs w:val="20"/>
          <w:lang w:val="en-US"/>
        </w:rPr>
        <w:t>-</w:t>
      </w:r>
      <w:r w:rsidR="008D6018" w:rsidRPr="008D6018">
        <w:rPr>
          <w:rFonts w:ascii="Times New Roman" w:hAnsi="Times New Roman" w:cs="Times New Roman"/>
          <w:color w:val="212121"/>
          <w:sz w:val="20"/>
          <w:szCs w:val="20"/>
        </w:rPr>
        <w:t>human primary epithelial</w:t>
      </w:r>
      <w:r w:rsidR="008D6018" w:rsidRPr="008D6018">
        <w:rPr>
          <w:rFonts w:ascii="Times New Roman" w:hAnsi="Times New Roman" w:cs="Times New Roman"/>
          <w:color w:val="212121"/>
          <w:sz w:val="20"/>
          <w:szCs w:val="20"/>
          <w:lang w:val="en-US"/>
        </w:rPr>
        <w:t>,</w:t>
      </w:r>
      <w:r w:rsidR="008D6018">
        <w:rPr>
          <w:rFonts w:ascii="Times New Roman" w:hAnsi="Times New Roman" w:cs="Times New Roman"/>
          <w:color w:val="212121"/>
          <w:sz w:val="24"/>
          <w:szCs w:val="24"/>
          <w:lang w:val="en-US"/>
        </w:rPr>
        <w:t xml:space="preserve">  </w:t>
      </w:r>
      <w:r w:rsidRPr="007068A0">
        <w:rPr>
          <w:rFonts w:ascii="Times New Roman" w:hAnsi="Times New Roman" w:cs="Times New Roman"/>
          <w:color w:val="000000" w:themeColor="text1"/>
          <w:sz w:val="20"/>
          <w:szCs w:val="20"/>
        </w:rPr>
        <w:t>PBM-</w:t>
      </w:r>
      <w:r w:rsidRPr="007068A0">
        <w:rPr>
          <w:rFonts w:ascii="Times New Roman" w:hAnsi="Times New Roman" w:cs="Times New Roman"/>
          <w:color w:val="000000" w:themeColor="text1"/>
          <w:sz w:val="20"/>
          <w:szCs w:val="20"/>
          <w:shd w:val="clear" w:color="auto" w:fill="FFFFFF"/>
        </w:rPr>
        <w:t>peripheral blood mononuclear</w:t>
      </w:r>
      <w:r>
        <w:rPr>
          <w:rFonts w:ascii="Times New Roman" w:hAnsi="Times New Roman" w:cs="Times New Roman"/>
          <w:color w:val="000000" w:themeColor="text1"/>
          <w:sz w:val="20"/>
          <w:szCs w:val="20"/>
          <w:shd w:val="clear" w:color="auto" w:fill="FFFFFF"/>
        </w:rPr>
        <w:t xml:space="preserve">, </w:t>
      </w:r>
      <w:r w:rsidRPr="007068A0">
        <w:rPr>
          <w:rFonts w:ascii="Times New Roman" w:hAnsi="Times New Roman" w:cs="Times New Roman"/>
          <w:color w:val="000000" w:themeColor="text1"/>
          <w:sz w:val="20"/>
          <w:szCs w:val="20"/>
        </w:rPr>
        <w:t>TCR-T-cell receptor</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ICAM1-Interc</w:t>
      </w:r>
      <w:r>
        <w:rPr>
          <w:rFonts w:ascii="Times New Roman" w:hAnsi="Times New Roman" w:cs="Times New Roman"/>
          <w:color w:val="000000" w:themeColor="text1"/>
          <w:sz w:val="20"/>
          <w:szCs w:val="20"/>
        </w:rPr>
        <w:t>ellular adhesion molecule 1,</w:t>
      </w:r>
      <w:r w:rsidR="009F59EC" w:rsidRPr="009F59EC">
        <w:rPr>
          <w:rFonts w:ascii="Times New Roman" w:hAnsi="Times New Roman" w:cs="Times New Roman"/>
          <w:color w:val="000000"/>
          <w:kern w:val="24"/>
          <w:sz w:val="24"/>
          <w:szCs w:val="24"/>
        </w:rPr>
        <w:t xml:space="preserve"> </w:t>
      </w:r>
      <w:r w:rsidR="009F59EC" w:rsidRPr="009F59EC">
        <w:rPr>
          <w:rFonts w:ascii="Times New Roman" w:hAnsi="Times New Roman" w:cs="Times New Roman"/>
          <w:color w:val="000000" w:themeColor="text1"/>
          <w:kern w:val="24"/>
          <w:sz w:val="20"/>
          <w:szCs w:val="20"/>
        </w:rPr>
        <w:t>IRAK1</w:t>
      </w:r>
      <w:r w:rsidR="009F59EC">
        <w:rPr>
          <w:rFonts w:ascii="Times New Roman" w:hAnsi="Times New Roman" w:cs="Times New Roman"/>
          <w:color w:val="000000" w:themeColor="text1"/>
          <w:kern w:val="24"/>
          <w:sz w:val="20"/>
          <w:szCs w:val="20"/>
          <w:lang w:val="en-US"/>
        </w:rPr>
        <w:t>-</w:t>
      </w:r>
      <w:r w:rsidR="009F59EC" w:rsidRPr="009F59EC">
        <w:rPr>
          <w:rFonts w:ascii="Times New Roman" w:hAnsi="Times New Roman" w:cs="Times New Roman"/>
          <w:color w:val="000000" w:themeColor="text1"/>
          <w:sz w:val="20"/>
          <w:szCs w:val="20"/>
          <w:shd w:val="clear" w:color="auto" w:fill="FFFFFF"/>
        </w:rPr>
        <w:t>Interleukin-1 receptor-associated kinase </w:t>
      </w:r>
      <w:r w:rsidR="009F59EC" w:rsidRPr="009F59EC">
        <w:rPr>
          <w:rFonts w:ascii="Times New Roman" w:hAnsi="Times New Roman" w:cs="Times New Roman"/>
          <w:color w:val="000000" w:themeColor="text1"/>
          <w:sz w:val="20"/>
          <w:szCs w:val="20"/>
          <w:shd w:val="clear" w:color="auto" w:fill="FFFFFF"/>
          <w:lang w:val="en-US"/>
        </w:rPr>
        <w:t>1,</w:t>
      </w:r>
      <w:r w:rsidRPr="009F59EC">
        <w:rPr>
          <w:rFonts w:ascii="Times New Roman" w:hAnsi="Times New Roman" w:cs="Times New Roman"/>
          <w:color w:val="000000" w:themeColor="text1"/>
          <w:sz w:val="20"/>
          <w:szCs w:val="20"/>
        </w:rPr>
        <w:t>VCAM</w:t>
      </w:r>
      <w:r w:rsidRPr="007068A0">
        <w:rPr>
          <w:rFonts w:ascii="Times New Roman" w:hAnsi="Times New Roman" w:cs="Times New Roman"/>
          <w:color w:val="000000" w:themeColor="text1"/>
          <w:sz w:val="20"/>
          <w:szCs w:val="20"/>
        </w:rPr>
        <w:t>-vascular cell adhesion molecule</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HBE-h</w:t>
      </w:r>
      <w:r>
        <w:rPr>
          <w:rFonts w:ascii="Times New Roman" w:hAnsi="Times New Roman" w:cs="Times New Roman"/>
          <w:color w:val="000000" w:themeColor="text1"/>
          <w:sz w:val="20"/>
          <w:szCs w:val="20"/>
        </w:rPr>
        <w:t>uman primary epithelial cells,</w:t>
      </w:r>
      <w:r w:rsidRPr="007068A0">
        <w:rPr>
          <w:rFonts w:ascii="Times New Roman" w:hAnsi="Times New Roman" w:cs="Times New Roman"/>
          <w:color w:val="000000" w:themeColor="text1"/>
          <w:sz w:val="20"/>
          <w:szCs w:val="20"/>
        </w:rPr>
        <w:t xml:space="preserve"> PBMCs-human peripheral blood mononuclear cells</w:t>
      </w:r>
      <w:r>
        <w:rPr>
          <w:rFonts w:ascii="Times New Roman" w:hAnsi="Times New Roman" w:cs="Times New Roman"/>
          <w:color w:val="000000" w:themeColor="text1"/>
          <w:sz w:val="20"/>
          <w:szCs w:val="20"/>
        </w:rPr>
        <w:t xml:space="preserve">, </w:t>
      </w:r>
      <w:r w:rsidRPr="005B02F3">
        <w:rPr>
          <w:rFonts w:ascii="Times New Roman" w:hAnsi="Times New Roman" w:cs="Times New Roman"/>
          <w:color w:val="000000" w:themeColor="text1"/>
          <w:sz w:val="20"/>
          <w:szCs w:val="20"/>
        </w:rPr>
        <w:t>VEGF</w:t>
      </w:r>
      <w:r w:rsidRPr="007068A0">
        <w:rPr>
          <w:rFonts w:ascii="Times New Roman" w:hAnsi="Times New Roman" w:cs="Times New Roman"/>
          <w:b/>
          <w:color w:val="000000" w:themeColor="text1"/>
          <w:sz w:val="20"/>
          <w:szCs w:val="20"/>
        </w:rPr>
        <w:t>-</w:t>
      </w:r>
      <w:r w:rsidRPr="007068A0">
        <w:rPr>
          <w:rFonts w:ascii="Times New Roman" w:hAnsi="Times New Roman" w:cs="Times New Roman"/>
          <w:color w:val="000000" w:themeColor="text1"/>
          <w:sz w:val="20"/>
          <w:szCs w:val="20"/>
        </w:rPr>
        <w:t>Vascular endothelial growth factor</w:t>
      </w:r>
      <w:r w:rsidRPr="005B02F3">
        <w:rPr>
          <w:rFonts w:ascii="Times New Roman" w:hAnsi="Times New Roman" w:cs="Times New Roman"/>
          <w:color w:val="000000" w:themeColor="text1"/>
          <w:sz w:val="20"/>
          <w:szCs w:val="20"/>
        </w:rPr>
        <w:t>,</w:t>
      </w:r>
      <w:r w:rsidRPr="007068A0">
        <w:rPr>
          <w:rFonts w:ascii="Times New Roman" w:hAnsi="Times New Roman" w:cs="Times New Roman"/>
          <w:color w:val="000000" w:themeColor="text1"/>
          <w:sz w:val="20"/>
          <w:szCs w:val="20"/>
        </w:rPr>
        <w:t>MDSCs-my</w:t>
      </w:r>
      <w:r>
        <w:rPr>
          <w:rFonts w:ascii="Times New Roman" w:hAnsi="Times New Roman" w:cs="Times New Roman"/>
          <w:color w:val="000000" w:themeColor="text1"/>
          <w:sz w:val="20"/>
          <w:szCs w:val="20"/>
        </w:rPr>
        <w:t xml:space="preserve">eloid-derived suppressor cells, </w:t>
      </w:r>
      <w:r w:rsidRPr="007068A0">
        <w:rPr>
          <w:rFonts w:ascii="Times New Roman" w:hAnsi="Times New Roman" w:cs="Times New Roman"/>
          <w:color w:val="000000" w:themeColor="text1"/>
          <w:sz w:val="20"/>
          <w:szCs w:val="20"/>
          <w:shd w:val="clear" w:color="auto" w:fill="FFFFFF"/>
        </w:rPr>
        <w:t>CAF- Carcinoma-associated fibroblasts</w:t>
      </w:r>
      <w:r>
        <w:rPr>
          <w:rFonts w:ascii="Times New Roman" w:hAnsi="Times New Roman" w:cs="Times New Roman"/>
          <w:color w:val="000000" w:themeColor="text1"/>
          <w:sz w:val="20"/>
          <w:szCs w:val="20"/>
        </w:rPr>
        <w:t>, MMP</w:t>
      </w:r>
      <w:r w:rsidRPr="007068A0">
        <w:rPr>
          <w:rFonts w:ascii="Times New Roman" w:hAnsi="Times New Roman" w:cs="Times New Roman"/>
          <w:color w:val="000000" w:themeColor="text1"/>
          <w:sz w:val="20"/>
          <w:szCs w:val="20"/>
        </w:rPr>
        <w:t>-matrix metalloproteinase</w:t>
      </w:r>
      <w:r>
        <w:rPr>
          <w:rFonts w:ascii="Times New Roman" w:hAnsi="Times New Roman" w:cs="Times New Roman"/>
          <w:color w:val="000000" w:themeColor="text1"/>
          <w:sz w:val="20"/>
          <w:szCs w:val="20"/>
        </w:rPr>
        <w:t>,</w:t>
      </w:r>
      <w:r w:rsidRPr="007068A0">
        <w:rPr>
          <w:rFonts w:ascii="Times New Roman" w:hAnsi="Times New Roman" w:cs="Times New Roman"/>
          <w:color w:val="000000" w:themeColor="text1"/>
          <w:sz w:val="20"/>
          <w:szCs w:val="20"/>
        </w:rPr>
        <w:t xml:space="preserve"> </w:t>
      </w:r>
      <w:r w:rsidRPr="005B02F3">
        <w:rPr>
          <w:rFonts w:ascii="Times New Roman" w:hAnsi="Times New Roman" w:cs="Times New Roman"/>
          <w:color w:val="000000" w:themeColor="text1"/>
          <w:sz w:val="20"/>
          <w:szCs w:val="20"/>
        </w:rPr>
        <w:t>GM-CSF-</w:t>
      </w:r>
      <w:r w:rsidRPr="005B02F3">
        <w:rPr>
          <w:rFonts w:ascii="Times New Roman" w:hAnsi="Times New Roman" w:cs="Times New Roman"/>
          <w:color w:val="000000" w:themeColor="text1"/>
          <w:sz w:val="20"/>
          <w:szCs w:val="20"/>
          <w:shd w:val="clear" w:color="auto" w:fill="FFFFFF"/>
        </w:rPr>
        <w:t>Granulocyte-macrophage colony-stimulating factor</w:t>
      </w:r>
      <w:r>
        <w:rPr>
          <w:rFonts w:ascii="Times New Roman" w:hAnsi="Times New Roman" w:cs="Times New Roman"/>
          <w:b/>
          <w:color w:val="000000" w:themeColor="text1"/>
          <w:sz w:val="20"/>
          <w:szCs w:val="20"/>
        </w:rPr>
        <w:t xml:space="preserve">, </w:t>
      </w:r>
      <w:r w:rsidR="00193D0D">
        <w:rPr>
          <w:rFonts w:ascii="Times New Roman" w:hAnsi="Times New Roman" w:cs="Times New Roman"/>
          <w:color w:val="000000" w:themeColor="text1"/>
          <w:sz w:val="20"/>
          <w:szCs w:val="20"/>
        </w:rPr>
        <w:t>CAF-</w:t>
      </w:r>
      <w:r w:rsidR="00193D0D" w:rsidRPr="00193D0D">
        <w:rPr>
          <w:rFonts w:ascii="Times New Roman" w:hAnsi="Times New Roman" w:cs="Times New Roman"/>
          <w:color w:val="000000" w:themeColor="text1"/>
          <w:sz w:val="20"/>
          <w:szCs w:val="20"/>
        </w:rPr>
        <w:t>Carcinoma-associated fibroblasts</w:t>
      </w:r>
      <w:r w:rsidR="00193D0D">
        <w:rPr>
          <w:rFonts w:ascii="Times New Roman" w:hAnsi="Times New Roman" w:cs="Times New Roman"/>
          <w:color w:val="000000" w:themeColor="text1"/>
          <w:sz w:val="20"/>
          <w:szCs w:val="20"/>
          <w:lang w:val="en-US"/>
        </w:rPr>
        <w:t>,</w:t>
      </w:r>
      <w:r w:rsidR="00193D0D" w:rsidRPr="00193D0D">
        <w:rPr>
          <w:rFonts w:ascii="Times New Roman" w:hAnsi="Times New Roman" w:cs="Times New Roman"/>
          <w:color w:val="000000" w:themeColor="text1"/>
          <w:sz w:val="20"/>
          <w:szCs w:val="20"/>
        </w:rPr>
        <w:t xml:space="preserve"> </w:t>
      </w:r>
      <w:r w:rsidR="0064457C">
        <w:rPr>
          <w:rFonts w:ascii="Times New Roman" w:hAnsi="Times New Roman" w:cs="Times New Roman"/>
          <w:color w:val="000000" w:themeColor="text1"/>
          <w:sz w:val="20"/>
          <w:szCs w:val="20"/>
          <w:lang w:val="en-US"/>
        </w:rPr>
        <w:t xml:space="preserve">CCl4-carbon tetrachloride, </w:t>
      </w:r>
      <w:r w:rsidR="00193D0D" w:rsidRPr="00193D0D">
        <w:rPr>
          <w:rFonts w:ascii="Times New Roman" w:hAnsi="Times New Roman" w:cs="Times New Roman"/>
          <w:color w:val="000000" w:themeColor="text1"/>
          <w:sz w:val="20"/>
          <w:szCs w:val="20"/>
          <w:lang w:val="en-US"/>
        </w:rPr>
        <w:t>PDGF-</w:t>
      </w:r>
      <w:r w:rsidR="00193D0D" w:rsidRPr="00193D0D">
        <w:rPr>
          <w:rFonts w:ascii="Times New Roman" w:hAnsi="Times New Roman" w:cs="Times New Roman"/>
          <w:color w:val="000000" w:themeColor="text1"/>
          <w:sz w:val="20"/>
          <w:szCs w:val="20"/>
        </w:rPr>
        <w:t>platelet-derived growth factor</w:t>
      </w:r>
      <w:r w:rsidR="00193D0D">
        <w:rPr>
          <w:rFonts w:ascii="Times New Roman" w:hAnsi="Times New Roman" w:cs="Times New Roman"/>
          <w:color w:val="000000" w:themeColor="text1"/>
          <w:sz w:val="20"/>
          <w:szCs w:val="20"/>
          <w:lang w:val="en-US"/>
        </w:rPr>
        <w:t>,</w:t>
      </w:r>
      <w:r w:rsidR="00193D0D" w:rsidRPr="00193D0D">
        <w:rPr>
          <w:rFonts w:ascii="Times New Roman" w:hAnsi="Times New Roman" w:cs="Times New Roman"/>
          <w:b/>
          <w:color w:val="000000" w:themeColor="text1"/>
          <w:sz w:val="20"/>
          <w:szCs w:val="20"/>
        </w:rPr>
        <w:t xml:space="preserve"> </w:t>
      </w:r>
      <w:r w:rsidRPr="005B02F3">
        <w:rPr>
          <w:rFonts w:ascii="Times New Roman" w:hAnsi="Times New Roman" w:cs="Times New Roman"/>
          <w:color w:val="000000" w:themeColor="text1"/>
          <w:sz w:val="20"/>
          <w:szCs w:val="20"/>
        </w:rPr>
        <w:t>MDS-myeloid-derived suppressor cells</w:t>
      </w:r>
      <w:r>
        <w:rPr>
          <w:rFonts w:ascii="Times New Roman" w:hAnsi="Times New Roman" w:cs="Times New Roman"/>
          <w:b/>
          <w:color w:val="000000" w:themeColor="text1"/>
          <w:sz w:val="20"/>
          <w:szCs w:val="20"/>
        </w:rPr>
        <w:t>,</w:t>
      </w:r>
      <w:r w:rsidRPr="007068A0">
        <w:rPr>
          <w:rFonts w:ascii="Times New Roman" w:hAnsi="Times New Roman" w:cs="Times New Roman"/>
          <w:color w:val="000000" w:themeColor="text1"/>
          <w:sz w:val="20"/>
          <w:szCs w:val="20"/>
        </w:rPr>
        <w:t xml:space="preserve">KIRs killer-cell immunoglobulin (Ig)-like receptors </w:t>
      </w:r>
      <w:r>
        <w:rPr>
          <w:rFonts w:ascii="Times New Roman" w:hAnsi="Times New Roman" w:cs="Times New Roman"/>
          <w:color w:val="000000" w:themeColor="text1"/>
          <w:sz w:val="20"/>
          <w:szCs w:val="20"/>
        </w:rPr>
        <w:t xml:space="preserve">, </w:t>
      </w:r>
      <w:r w:rsidRPr="007068A0">
        <w:rPr>
          <w:rFonts w:ascii="Times New Roman" w:hAnsi="Times New Roman" w:cs="Times New Roman"/>
          <w:color w:val="000000" w:themeColor="text1"/>
          <w:sz w:val="20"/>
          <w:szCs w:val="20"/>
        </w:rPr>
        <w:t>CXCL10-C-X-C motif chemokine ligand 10</w:t>
      </w:r>
      <w:r w:rsidR="0076360B">
        <w:rPr>
          <w:rFonts w:ascii="Times New Roman" w:hAnsi="Times New Roman" w:cs="Times New Roman"/>
          <w:color w:val="000000" w:themeColor="text1"/>
          <w:sz w:val="20"/>
          <w:szCs w:val="20"/>
          <w:lang w:val="en-US"/>
        </w:rPr>
        <w:t>,CCL-C-C motif ligand</w:t>
      </w:r>
      <w:r w:rsidRPr="007068A0">
        <w:rPr>
          <w:rFonts w:ascii="Times New Roman" w:hAnsi="Times New Roman" w:cs="Times New Roman"/>
          <w:color w:val="000000" w:themeColor="text1"/>
          <w:sz w:val="20"/>
          <w:szCs w:val="20"/>
        </w:rPr>
        <w:t xml:space="preserve"> </w:t>
      </w:r>
    </w:p>
    <w:p w:rsidR="00483D8C" w:rsidRPr="00483D8C" w:rsidRDefault="00483D8C" w:rsidP="00483D8C">
      <w:pPr>
        <w:spacing w:line="360" w:lineRule="auto"/>
        <w:rPr>
          <w:rFonts w:ascii="Times New Roman" w:hAnsi="Times New Roman" w:cs="Times New Roman"/>
          <w:b/>
          <w:color w:val="215868"/>
          <w:sz w:val="32"/>
          <w:szCs w:val="32"/>
        </w:rPr>
      </w:pPr>
    </w:p>
    <w:p w:rsidR="001B0B9B" w:rsidRPr="001B0B9B" w:rsidRDefault="001B0B9B" w:rsidP="00650FAD">
      <w:pPr>
        <w:spacing w:line="360" w:lineRule="auto"/>
        <w:ind w:left="360"/>
        <w:rPr>
          <w:rFonts w:ascii="Times New Roman" w:hAnsi="Times New Roman" w:cs="Times New Roman"/>
          <w:b/>
          <w:color w:val="215868"/>
          <w:sz w:val="32"/>
          <w:szCs w:val="32"/>
        </w:rPr>
      </w:pPr>
    </w:p>
    <w:p w:rsidR="00650FAD" w:rsidRDefault="00650FAD" w:rsidP="00650FAD">
      <w:pPr>
        <w:spacing w:line="360" w:lineRule="auto"/>
        <w:ind w:left="360"/>
        <w:rPr>
          <w:rFonts w:ascii="Times New Roman" w:hAnsi="Times New Roman" w:cs="Times New Roman"/>
          <w:b/>
          <w:color w:val="215868"/>
          <w:sz w:val="32"/>
          <w:szCs w:val="32"/>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BD5B72" w:rsidRDefault="00BD5B72" w:rsidP="00650FAD">
      <w:pPr>
        <w:spacing w:line="360" w:lineRule="auto"/>
        <w:rPr>
          <w:rFonts w:ascii="Times New Roman" w:hAnsi="Times New Roman" w:cs="Times New Roman"/>
          <w:b/>
          <w:sz w:val="24"/>
          <w:szCs w:val="24"/>
        </w:rPr>
      </w:pPr>
    </w:p>
    <w:p w:rsidR="00221492" w:rsidRDefault="00221492" w:rsidP="00650FAD">
      <w:pPr>
        <w:spacing w:line="360" w:lineRule="auto"/>
        <w:rPr>
          <w:rFonts w:ascii="Times New Roman" w:hAnsi="Times New Roman" w:cs="Times New Roman"/>
          <w:b/>
          <w:sz w:val="24"/>
          <w:szCs w:val="24"/>
        </w:rPr>
      </w:pPr>
    </w:p>
    <w:p w:rsidR="00221492" w:rsidRDefault="00221492" w:rsidP="00650FAD">
      <w:pPr>
        <w:spacing w:line="360" w:lineRule="auto"/>
        <w:rPr>
          <w:rFonts w:ascii="Times New Roman" w:hAnsi="Times New Roman" w:cs="Times New Roman"/>
          <w:b/>
          <w:sz w:val="24"/>
          <w:szCs w:val="24"/>
        </w:rPr>
      </w:pPr>
    </w:p>
    <w:p w:rsidR="00C345DD" w:rsidRPr="00C13904" w:rsidRDefault="00650FAD" w:rsidP="00650FAD">
      <w:pPr>
        <w:spacing w:line="360" w:lineRule="auto"/>
        <w:rPr>
          <w:rFonts w:ascii="Times New Roman" w:hAnsi="Times New Roman" w:cs="Times New Roman"/>
          <w:sz w:val="24"/>
          <w:szCs w:val="24"/>
        </w:rPr>
      </w:pPr>
      <w:r w:rsidRPr="00C13904">
        <w:rPr>
          <w:rFonts w:ascii="Times New Roman" w:hAnsi="Times New Roman" w:cs="Times New Roman"/>
          <w:b/>
          <w:sz w:val="24"/>
          <w:szCs w:val="24"/>
        </w:rPr>
        <w:t>1.</w:t>
      </w:r>
      <w:r w:rsidR="00C13904">
        <w:rPr>
          <w:rFonts w:ascii="Times New Roman" w:hAnsi="Times New Roman" w:cs="Times New Roman"/>
          <w:b/>
          <w:sz w:val="24"/>
          <w:szCs w:val="24"/>
        </w:rPr>
        <w:t xml:space="preserve"> </w:t>
      </w:r>
      <w:r w:rsidR="00C345DD" w:rsidRPr="00C13904">
        <w:rPr>
          <w:rFonts w:ascii="Times New Roman" w:hAnsi="Times New Roman" w:cs="Times New Roman"/>
          <w:b/>
          <w:sz w:val="24"/>
          <w:szCs w:val="24"/>
        </w:rPr>
        <w:t>ВОВЕД</w:t>
      </w:r>
    </w:p>
    <w:p w:rsidR="00C345DD" w:rsidRDefault="00C345DD" w:rsidP="00C345DD">
      <w:pPr>
        <w:spacing w:line="360" w:lineRule="auto"/>
        <w:rPr>
          <w:rFonts w:ascii="Times New Roman" w:hAnsi="Times New Roman" w:cs="Times New Roman"/>
          <w:sz w:val="24"/>
          <w:szCs w:val="24"/>
        </w:rPr>
      </w:pPr>
    </w:p>
    <w:p w:rsidR="00C345DD" w:rsidRPr="004B6F62" w:rsidRDefault="00C345DD" w:rsidP="00421E8E">
      <w:pPr>
        <w:rPr>
          <w:rFonts w:ascii="Times New Roman" w:hAnsi="Times New Roman" w:cs="Times New Roman"/>
          <w:sz w:val="24"/>
          <w:szCs w:val="24"/>
        </w:rPr>
      </w:pPr>
      <w:r w:rsidRPr="004B6F62">
        <w:rPr>
          <w:rFonts w:ascii="Times New Roman" w:hAnsi="Times New Roman" w:cs="Times New Roman"/>
          <w:sz w:val="24"/>
          <w:szCs w:val="24"/>
        </w:rPr>
        <w:t>Според светската здравствена организација, туморите на саливарни жлезди претставуваат околу 6% од неоплазмите во регијата на глава и вратот, односно 0,5% од сите малигни неоплазми. Глобално, годишната инциденца на овој вид на тумори се движи помеѓу 4 и 13,5 случаи на 100</w:t>
      </w:r>
      <w:r w:rsidR="00C13904">
        <w:rPr>
          <w:rFonts w:ascii="Times New Roman" w:hAnsi="Times New Roman" w:cs="Times New Roman"/>
          <w:sz w:val="24"/>
          <w:szCs w:val="24"/>
        </w:rPr>
        <w:t xml:space="preserve"> </w:t>
      </w:r>
      <w:r w:rsidRPr="004B6F62">
        <w:rPr>
          <w:rFonts w:ascii="Times New Roman" w:hAnsi="Times New Roman" w:cs="Times New Roman"/>
          <w:sz w:val="24"/>
          <w:szCs w:val="24"/>
        </w:rPr>
        <w:t>000 жители. Морталитетот зависи од видот на неоплазмата и стадиумот во кој што истата се наоѓа, а стапката на петгодишно преживување изнесува 72% (1). 80% од овој вид на неоплазми претставуваат тумори на паротидните жлезди, односно 10-15% тумори на субмандибуларните, а останатиот процент се однесува на сублингвалните и малите плунковни жлезди, од кои пак 80% претставуваат бенигни тумори.  Според класификацијата на Светската здравствена организација, од 2005 година, а модифицирана 2017 година, туморите на плунковните жлезди можат да бидат бенигни, пр</w:t>
      </w:r>
      <w:r w:rsidR="00B74466">
        <w:rPr>
          <w:rFonts w:ascii="Times New Roman" w:hAnsi="Times New Roman" w:cs="Times New Roman"/>
          <w:sz w:val="24"/>
          <w:szCs w:val="24"/>
        </w:rPr>
        <w:t>имарни и секундарни малигни (2,</w:t>
      </w:r>
      <w:r w:rsidRPr="004B6F62">
        <w:rPr>
          <w:rFonts w:ascii="Times New Roman" w:hAnsi="Times New Roman" w:cs="Times New Roman"/>
          <w:sz w:val="24"/>
          <w:szCs w:val="24"/>
        </w:rPr>
        <w:t xml:space="preserve">3). Со зголемување на инциденцата на тумори на саливарни жлезди, истовремено расте и бројот на случаи со малигна патологија. </w:t>
      </w:r>
      <w:r w:rsidR="00573755">
        <w:rPr>
          <w:rFonts w:ascii="Times New Roman" w:hAnsi="Times New Roman" w:cs="Times New Roman"/>
          <w:noProof/>
          <w:sz w:val="24"/>
          <w:szCs w:val="24"/>
          <w:lang w:val="en-US"/>
        </w:rPr>
        <w:drawing>
          <wp:inline distT="0" distB="0" distL="0" distR="0">
            <wp:extent cx="3108960" cy="2813050"/>
            <wp:effectExtent l="171450" t="133350" r="358140" b="311150"/>
            <wp:docPr id="7" name="Picture 6" descr="C:\Users\Hp\Desktop\parotis\IMG-76b0faabf6b36d89d061ca4ddf006c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arotis\IMG-76b0faabf6b36d89d061ca4ddf006c42-V.jpg"/>
                    <pic:cNvPicPr>
                      <a:picLocks noChangeAspect="1" noChangeArrowheads="1"/>
                    </pic:cNvPicPr>
                  </pic:nvPicPr>
                  <pic:blipFill>
                    <a:blip r:embed="rId11" cstate="print"/>
                    <a:srcRect/>
                    <a:stretch>
                      <a:fillRect/>
                    </a:stretch>
                  </pic:blipFill>
                  <pic:spPr bwMode="auto">
                    <a:xfrm>
                      <a:off x="0" y="0"/>
                      <a:ext cx="3108960" cy="2813050"/>
                    </a:xfrm>
                    <a:prstGeom prst="rect">
                      <a:avLst/>
                    </a:prstGeom>
                    <a:ln>
                      <a:noFill/>
                    </a:ln>
                    <a:effectLst>
                      <a:outerShdw blurRad="292100" dist="139700" dir="2700000" algn="tl" rotWithShape="0">
                        <a:srgbClr val="333333">
                          <a:alpha val="65000"/>
                        </a:srgbClr>
                      </a:outerShdw>
                    </a:effectLst>
                  </pic:spPr>
                </pic:pic>
              </a:graphicData>
            </a:graphic>
          </wp:inline>
        </w:drawing>
      </w:r>
    </w:p>
    <w:p w:rsidR="00573755" w:rsidRPr="00573755" w:rsidRDefault="00573755" w:rsidP="00421E8E">
      <w:pPr>
        <w:jc w:val="both"/>
        <w:rPr>
          <w:rFonts w:ascii="Times New Roman" w:hAnsi="Times New Roman" w:cs="Times New Roman"/>
          <w:sz w:val="20"/>
          <w:szCs w:val="20"/>
        </w:rPr>
      </w:pPr>
      <w:r w:rsidRPr="00573755">
        <w:rPr>
          <w:rFonts w:ascii="Times New Roman" w:hAnsi="Times New Roman" w:cs="Times New Roman"/>
          <w:b/>
          <w:sz w:val="20"/>
          <w:szCs w:val="20"/>
        </w:rPr>
        <w:t>Слика 1</w:t>
      </w:r>
      <w:r w:rsidRPr="00573755">
        <w:rPr>
          <w:rFonts w:ascii="Times New Roman" w:hAnsi="Times New Roman" w:cs="Times New Roman"/>
          <w:sz w:val="20"/>
          <w:szCs w:val="20"/>
        </w:rPr>
        <w:t xml:space="preserve">. </w:t>
      </w:r>
      <w:r w:rsidRPr="00573755">
        <w:rPr>
          <w:rFonts w:ascii="Times New Roman" w:hAnsi="Times New Roman" w:cs="Times New Roman"/>
          <w:sz w:val="20"/>
          <w:szCs w:val="20"/>
          <w:lang w:val="en-US"/>
        </w:rPr>
        <w:t xml:space="preserve">Warthin </w:t>
      </w:r>
      <w:r w:rsidRPr="00573755">
        <w:rPr>
          <w:rFonts w:ascii="Times New Roman" w:hAnsi="Times New Roman" w:cs="Times New Roman"/>
          <w:sz w:val="20"/>
          <w:szCs w:val="20"/>
        </w:rPr>
        <w:t>тумор на левата паротидна жлезда</w:t>
      </w:r>
    </w:p>
    <w:p w:rsidR="00573755" w:rsidRDefault="00573755" w:rsidP="00421E8E">
      <w:pPr>
        <w:jc w:val="both"/>
        <w:rPr>
          <w:rFonts w:ascii="Times New Roman" w:hAnsi="Times New Roman" w:cs="Times New Roman"/>
          <w:sz w:val="24"/>
          <w:szCs w:val="24"/>
        </w:rPr>
      </w:pPr>
    </w:p>
    <w:p w:rsidR="00C345DD" w:rsidRPr="004B6F62" w:rsidRDefault="00C345DD" w:rsidP="00421E8E">
      <w:pPr>
        <w:jc w:val="both"/>
        <w:rPr>
          <w:rFonts w:ascii="Times New Roman" w:hAnsi="Times New Roman" w:cs="Times New Roman"/>
          <w:sz w:val="24"/>
          <w:szCs w:val="24"/>
        </w:rPr>
      </w:pPr>
      <w:r w:rsidRPr="004B6F62">
        <w:rPr>
          <w:rFonts w:ascii="Times New Roman" w:hAnsi="Times New Roman" w:cs="Times New Roman"/>
          <w:sz w:val="24"/>
          <w:szCs w:val="24"/>
        </w:rPr>
        <w:t>Дијагностиката на туморите на паротидните жлезди претставува предизвик, заради нивната хетерогеност, варијабилна хистологија степенот на малигнитет и клиничката слика. Дијагностичката процедура вообичаено вклучува клинички преглед и последователна имиџинг ди</w:t>
      </w:r>
      <w:r w:rsidR="00C13904">
        <w:rPr>
          <w:rFonts w:ascii="Times New Roman" w:hAnsi="Times New Roman" w:cs="Times New Roman"/>
          <w:sz w:val="24"/>
          <w:szCs w:val="24"/>
        </w:rPr>
        <w:t>јагностика (ултрасонографија, Kомпјутерска томографија и Магнетна резонанца</w:t>
      </w:r>
      <w:r w:rsidR="00B233CB">
        <w:rPr>
          <w:rFonts w:ascii="Times New Roman" w:hAnsi="Times New Roman" w:cs="Times New Roman"/>
          <w:sz w:val="24"/>
          <w:szCs w:val="24"/>
        </w:rPr>
        <w:t>),</w:t>
      </w:r>
      <w:r w:rsidR="00573755">
        <w:rPr>
          <w:rFonts w:ascii="Times New Roman" w:hAnsi="Times New Roman" w:cs="Times New Roman"/>
          <w:sz w:val="24"/>
          <w:szCs w:val="24"/>
        </w:rPr>
        <w:t xml:space="preserve"> </w:t>
      </w:r>
      <w:r w:rsidR="00B233CB">
        <w:rPr>
          <w:rFonts w:ascii="Times New Roman" w:hAnsi="Times New Roman" w:cs="Times New Roman"/>
          <w:sz w:val="24"/>
          <w:szCs w:val="24"/>
        </w:rPr>
        <w:t>FNAC</w:t>
      </w:r>
      <w:r w:rsidRPr="004B6F62">
        <w:rPr>
          <w:rFonts w:ascii="Times New Roman" w:hAnsi="Times New Roman" w:cs="Times New Roman"/>
          <w:sz w:val="24"/>
          <w:szCs w:val="24"/>
        </w:rPr>
        <w:t>. Постоперативната дијагностика се темели на хистопатолошки анализи на примероците. Терапијата на овој вид неоплазми се состои од хируршки третман, односно последователна радиотерапија и хемотерапија (палијатива) кај патохистолошки потврдени малигни промени.</w:t>
      </w:r>
    </w:p>
    <w:p w:rsidR="00221492" w:rsidRDefault="00221492" w:rsidP="00421E8E">
      <w:pPr>
        <w:jc w:val="both"/>
        <w:rPr>
          <w:rFonts w:ascii="Times New Roman" w:hAnsi="Times New Roman" w:cs="Times New Roman"/>
          <w:sz w:val="24"/>
          <w:szCs w:val="24"/>
        </w:rPr>
      </w:pPr>
    </w:p>
    <w:p w:rsidR="00221492" w:rsidRDefault="00221492" w:rsidP="00421E8E">
      <w:pPr>
        <w:jc w:val="both"/>
        <w:rPr>
          <w:rFonts w:ascii="Times New Roman" w:hAnsi="Times New Roman" w:cs="Times New Roman"/>
          <w:sz w:val="24"/>
          <w:szCs w:val="24"/>
        </w:rPr>
      </w:pPr>
    </w:p>
    <w:p w:rsidR="00221492" w:rsidRDefault="00221492" w:rsidP="00421E8E">
      <w:pPr>
        <w:jc w:val="both"/>
        <w:rPr>
          <w:rFonts w:ascii="Times New Roman" w:hAnsi="Times New Roman" w:cs="Times New Roman"/>
          <w:sz w:val="24"/>
          <w:szCs w:val="24"/>
        </w:rPr>
      </w:pPr>
    </w:p>
    <w:p w:rsidR="00221492" w:rsidRDefault="00221492" w:rsidP="00421E8E">
      <w:pPr>
        <w:jc w:val="both"/>
        <w:rPr>
          <w:rFonts w:ascii="Times New Roman" w:hAnsi="Times New Roman" w:cs="Times New Roman"/>
          <w:sz w:val="24"/>
          <w:szCs w:val="24"/>
        </w:rPr>
      </w:pPr>
    </w:p>
    <w:p w:rsidR="00221492" w:rsidRDefault="00221492" w:rsidP="00421E8E">
      <w:pPr>
        <w:jc w:val="both"/>
        <w:rPr>
          <w:rFonts w:ascii="Times New Roman" w:hAnsi="Times New Roman" w:cs="Times New Roman"/>
          <w:sz w:val="24"/>
          <w:szCs w:val="24"/>
        </w:rPr>
      </w:pPr>
    </w:p>
    <w:p w:rsidR="00221492" w:rsidRDefault="00221492" w:rsidP="00421E8E">
      <w:pPr>
        <w:jc w:val="both"/>
        <w:rPr>
          <w:rFonts w:ascii="Times New Roman" w:hAnsi="Times New Roman" w:cs="Times New Roman"/>
          <w:sz w:val="24"/>
          <w:szCs w:val="24"/>
        </w:rPr>
      </w:pPr>
    </w:p>
    <w:p w:rsidR="00C345DD" w:rsidRPr="004B6F62" w:rsidRDefault="00C345DD" w:rsidP="00421E8E">
      <w:pPr>
        <w:jc w:val="both"/>
        <w:rPr>
          <w:rFonts w:ascii="Times New Roman" w:hAnsi="Times New Roman" w:cs="Times New Roman"/>
          <w:sz w:val="24"/>
          <w:szCs w:val="24"/>
        </w:rPr>
      </w:pPr>
      <w:r w:rsidRPr="004B6F62">
        <w:rPr>
          <w:rFonts w:ascii="Times New Roman" w:hAnsi="Times New Roman" w:cs="Times New Roman"/>
          <w:sz w:val="24"/>
          <w:szCs w:val="24"/>
        </w:rPr>
        <w:t xml:space="preserve">Имајќи ја во предвид зголемената инциденца на тумори на паротидните жлезди, би било од круцијално значење да се детерминира серумски и/или саливарен цитокин, кој би претставувал биомаркер за истите. </w:t>
      </w:r>
    </w:p>
    <w:p w:rsidR="00C345DD" w:rsidRPr="004B6F62" w:rsidRDefault="00C345DD" w:rsidP="00421E8E">
      <w:pPr>
        <w:jc w:val="both"/>
        <w:rPr>
          <w:rFonts w:ascii="Times New Roman" w:hAnsi="Times New Roman" w:cs="Times New Roman"/>
          <w:sz w:val="24"/>
          <w:szCs w:val="24"/>
        </w:rPr>
      </w:pPr>
      <w:r w:rsidRPr="004B6F62">
        <w:rPr>
          <w:rFonts w:ascii="Times New Roman" w:hAnsi="Times New Roman" w:cs="Times New Roman"/>
          <w:sz w:val="24"/>
          <w:szCs w:val="24"/>
        </w:rPr>
        <w:t>Горе</w:t>
      </w:r>
      <w:r w:rsidR="00F407B9">
        <w:rPr>
          <w:rFonts w:ascii="Times New Roman" w:hAnsi="Times New Roman" w:cs="Times New Roman"/>
          <w:sz w:val="24"/>
          <w:szCs w:val="24"/>
          <w:lang w:val="en-US"/>
        </w:rPr>
        <w:t xml:space="preserve"> </w:t>
      </w:r>
      <w:r w:rsidRPr="004B6F62">
        <w:rPr>
          <w:rFonts w:ascii="Times New Roman" w:hAnsi="Times New Roman" w:cs="Times New Roman"/>
          <w:sz w:val="24"/>
          <w:szCs w:val="24"/>
        </w:rPr>
        <w:t xml:space="preserve">наведеното, особено се однесува на користење на саливата како дијагностичка алатка, која што има свои предности над ткивната и серумска дијагностика: неинвазивна метода, доволна е помало количество од примерокот, лесно складирање и транспорт. </w:t>
      </w:r>
    </w:p>
    <w:p w:rsidR="00C345DD" w:rsidRPr="00584601" w:rsidRDefault="00584601" w:rsidP="00421E8E">
      <w:pPr>
        <w:jc w:val="both"/>
        <w:rPr>
          <w:rFonts w:ascii="Times New Roman" w:hAnsi="Times New Roman" w:cs="Times New Roman"/>
          <w:sz w:val="24"/>
          <w:szCs w:val="24"/>
          <w:lang w:val="en-US"/>
        </w:rPr>
      </w:pPr>
      <w:r>
        <w:rPr>
          <w:rFonts w:ascii="Times New Roman" w:hAnsi="Times New Roman" w:cs="Times New Roman"/>
          <w:sz w:val="24"/>
          <w:szCs w:val="24"/>
        </w:rPr>
        <w:t>IL-33</w:t>
      </w:r>
      <w:r w:rsidR="00C345DD" w:rsidRPr="004B6F62">
        <w:rPr>
          <w:rFonts w:ascii="Times New Roman" w:hAnsi="Times New Roman" w:cs="Times New Roman"/>
          <w:sz w:val="24"/>
          <w:szCs w:val="24"/>
        </w:rPr>
        <w:t xml:space="preserve"> припаѓа на гру</w:t>
      </w:r>
      <w:r>
        <w:rPr>
          <w:rFonts w:ascii="Times New Roman" w:hAnsi="Times New Roman" w:cs="Times New Roman"/>
          <w:sz w:val="24"/>
          <w:szCs w:val="24"/>
        </w:rPr>
        <w:t>пата цитокини од IL-</w:t>
      </w:r>
      <w:r>
        <w:rPr>
          <w:rFonts w:ascii="Times New Roman" w:hAnsi="Times New Roman" w:cs="Times New Roman"/>
          <w:sz w:val="24"/>
          <w:szCs w:val="24"/>
          <w:lang w:val="en-US"/>
        </w:rPr>
        <w:t xml:space="preserve">1 </w:t>
      </w:r>
      <w:r w:rsidR="00C345DD" w:rsidRPr="004B6F62">
        <w:rPr>
          <w:rFonts w:ascii="Times New Roman" w:hAnsi="Times New Roman" w:cs="Times New Roman"/>
          <w:sz w:val="24"/>
          <w:szCs w:val="24"/>
        </w:rPr>
        <w:t xml:space="preserve">фамилијата и има  клучна улога во патогенеза на болести чија основа се Th2 имуни реакции. </w:t>
      </w:r>
      <w:r w:rsidR="00651A0C" w:rsidRPr="00651A0C">
        <w:rPr>
          <w:rFonts w:ascii="Times New Roman" w:hAnsi="Times New Roman" w:cs="Times New Roman"/>
          <w:sz w:val="24"/>
          <w:szCs w:val="24"/>
        </w:rPr>
        <w:t>Се смета дека IL-33 е потенцијален биомаркер за бројни онколошки заболувања, односно овозможува детекција на туморот, текот на болеста и одговорот на терапија.</w:t>
      </w:r>
      <w:r w:rsidR="00651A0C" w:rsidRPr="00651A0C">
        <w:rPr>
          <w:rFonts w:ascii="Times New Roman" w:hAnsi="Times New Roman" w:cs="Times New Roman"/>
          <w:sz w:val="24"/>
          <w:szCs w:val="24"/>
          <w:lang w:val="ru-RU"/>
        </w:rPr>
        <w:t xml:space="preserve"> </w:t>
      </w:r>
      <w:r w:rsidR="00651A0C" w:rsidRPr="00651A0C">
        <w:rPr>
          <w:rFonts w:ascii="Times New Roman" w:hAnsi="Times New Roman" w:cs="Times New Roman"/>
          <w:sz w:val="24"/>
          <w:szCs w:val="24"/>
        </w:rPr>
        <w:t>Можноста за употреба на IL-33 и ST2 како дијагностички и прогностички маркер, во главно е детерминирана од типот на туморот и стадиумот на прогресија на истиот.</w:t>
      </w:r>
    </w:p>
    <w:p w:rsidR="00C345DD" w:rsidRPr="004B6F62" w:rsidRDefault="00C345DD" w:rsidP="00421E8E">
      <w:pPr>
        <w:shd w:val="clear" w:color="auto" w:fill="FFFFFF"/>
        <w:spacing w:before="100" w:beforeAutospacing="1" w:after="100" w:afterAutospacing="1"/>
        <w:rPr>
          <w:rFonts w:ascii="Times New Roman" w:hAnsi="Times New Roman" w:cs="Times New Roman"/>
          <w:color w:val="212121"/>
          <w:sz w:val="24"/>
          <w:szCs w:val="24"/>
        </w:rPr>
      </w:pPr>
      <w:r w:rsidRPr="004B6F62">
        <w:rPr>
          <w:rFonts w:ascii="Times New Roman" w:hAnsi="Times New Roman" w:cs="Times New Roman"/>
          <w:sz w:val="24"/>
          <w:szCs w:val="24"/>
        </w:rPr>
        <w:t>IL-33 покажува висока експресија во здраво саливарно ткиво и кај бенигни саливарни тумори. Малигни тумори на саливарните жлезди со повисока експресија на IL-33 имаат поволни хистолошки параметри, помала склоност кон метастазирање и поголема стапка на преживување, во споредба со IL-33 негативни тумори, податок кој отвара нови можности за користење на IL-33 и како прогностички маркер кај овој вид на малигни неоплазми (4).</w:t>
      </w:r>
      <w:r w:rsidRPr="004B6F62">
        <w:rPr>
          <w:rFonts w:ascii="Times New Roman" w:hAnsi="Times New Roman" w:cs="Times New Roman"/>
          <w:color w:val="212121"/>
          <w:sz w:val="24"/>
          <w:szCs w:val="24"/>
        </w:rPr>
        <w:t xml:space="preserve"> </w:t>
      </w:r>
    </w:p>
    <w:p w:rsidR="00C345DD" w:rsidRPr="004B6F62" w:rsidRDefault="00C345DD" w:rsidP="00421E8E">
      <w:pPr>
        <w:jc w:val="both"/>
        <w:rPr>
          <w:rFonts w:ascii="Times New Roman" w:hAnsi="Times New Roman" w:cs="Times New Roman"/>
          <w:sz w:val="24"/>
          <w:szCs w:val="24"/>
          <w:u w:val="single"/>
        </w:rPr>
      </w:pPr>
      <w:r w:rsidRPr="004B6F62">
        <w:rPr>
          <w:rFonts w:ascii="Times New Roman" w:hAnsi="Times New Roman" w:cs="Times New Roman"/>
          <w:sz w:val="24"/>
          <w:szCs w:val="24"/>
        </w:rPr>
        <w:t>Досегашниот оскуден број на нау</w:t>
      </w:r>
      <w:r w:rsidR="00F407B9">
        <w:rPr>
          <w:rFonts w:ascii="Times New Roman" w:hAnsi="Times New Roman" w:cs="Times New Roman"/>
          <w:sz w:val="24"/>
          <w:szCs w:val="24"/>
        </w:rPr>
        <w:t>чни истражувања на оваа тема</w:t>
      </w:r>
      <w:r w:rsidRPr="004B6F62">
        <w:rPr>
          <w:rFonts w:ascii="Times New Roman" w:hAnsi="Times New Roman" w:cs="Times New Roman"/>
          <w:sz w:val="24"/>
          <w:szCs w:val="24"/>
        </w:rPr>
        <w:t xml:space="preserve">, сведочат дека кај пациенти со малигни неоплазми на саливарните жлезди, </w:t>
      </w:r>
      <w:r w:rsidR="00674E26">
        <w:rPr>
          <w:rFonts w:ascii="Times New Roman" w:hAnsi="Times New Roman" w:cs="Times New Roman"/>
          <w:sz w:val="24"/>
          <w:szCs w:val="24"/>
        </w:rPr>
        <w:t>в</w:t>
      </w:r>
      <w:r w:rsidRPr="004B6F62">
        <w:rPr>
          <w:rFonts w:ascii="Times New Roman" w:hAnsi="Times New Roman" w:cs="Times New Roman"/>
          <w:sz w:val="24"/>
          <w:szCs w:val="24"/>
        </w:rPr>
        <w:t>редности</w:t>
      </w:r>
      <w:r w:rsidR="00674E26">
        <w:rPr>
          <w:rFonts w:ascii="Times New Roman" w:hAnsi="Times New Roman" w:cs="Times New Roman"/>
          <w:sz w:val="24"/>
          <w:szCs w:val="24"/>
        </w:rPr>
        <w:t>те</w:t>
      </w:r>
      <w:r w:rsidRPr="004B6F62">
        <w:rPr>
          <w:rFonts w:ascii="Times New Roman" w:hAnsi="Times New Roman" w:cs="Times New Roman"/>
          <w:sz w:val="24"/>
          <w:szCs w:val="24"/>
        </w:rPr>
        <w:t xml:space="preserve"> на IL-33</w:t>
      </w:r>
      <w:r w:rsidR="00674E26">
        <w:rPr>
          <w:rFonts w:ascii="Times New Roman" w:hAnsi="Times New Roman" w:cs="Times New Roman"/>
          <w:sz w:val="24"/>
          <w:szCs w:val="24"/>
        </w:rPr>
        <w:t xml:space="preserve"> во серум</w:t>
      </w:r>
      <w:r w:rsidRPr="004B6F62">
        <w:rPr>
          <w:rFonts w:ascii="Times New Roman" w:hAnsi="Times New Roman" w:cs="Times New Roman"/>
          <w:sz w:val="24"/>
          <w:szCs w:val="24"/>
        </w:rPr>
        <w:t xml:space="preserve"> </w:t>
      </w:r>
      <w:r w:rsidR="00674E26">
        <w:rPr>
          <w:rFonts w:ascii="Times New Roman" w:hAnsi="Times New Roman" w:cs="Times New Roman"/>
          <w:sz w:val="24"/>
          <w:szCs w:val="24"/>
        </w:rPr>
        <w:t xml:space="preserve">се </w:t>
      </w:r>
      <w:r w:rsidRPr="004B6F62">
        <w:rPr>
          <w:rFonts w:ascii="Times New Roman" w:hAnsi="Times New Roman" w:cs="Times New Roman"/>
          <w:sz w:val="24"/>
          <w:szCs w:val="24"/>
        </w:rPr>
        <w:t xml:space="preserve">повисоки </w:t>
      </w:r>
      <w:r w:rsidR="00674E26">
        <w:rPr>
          <w:rFonts w:ascii="Times New Roman" w:hAnsi="Times New Roman" w:cs="Times New Roman"/>
          <w:sz w:val="24"/>
          <w:szCs w:val="24"/>
        </w:rPr>
        <w:t xml:space="preserve">во споредба со истите </w:t>
      </w:r>
      <w:r w:rsidRPr="004B6F62">
        <w:rPr>
          <w:rFonts w:ascii="Times New Roman" w:hAnsi="Times New Roman" w:cs="Times New Roman"/>
          <w:sz w:val="24"/>
          <w:szCs w:val="24"/>
        </w:rPr>
        <w:t>кај пациенти со бенигни тумори и здрава популација. Исто така, постои и позитивна корелација помеѓу концентрацијата на IL-33 и големината на туморот и стадиумот на болеста (</w:t>
      </w:r>
      <w:r w:rsidRPr="004B6F62">
        <w:rPr>
          <w:rFonts w:ascii="Times New Roman" w:hAnsi="Times New Roman" w:cs="Times New Roman"/>
          <w:color w:val="212121"/>
          <w:sz w:val="24"/>
          <w:szCs w:val="24"/>
        </w:rPr>
        <w:t xml:space="preserve">5). </w:t>
      </w:r>
    </w:p>
    <w:p w:rsidR="00C345DD" w:rsidRPr="00704C3E" w:rsidRDefault="00C345DD" w:rsidP="00421E8E">
      <w:pPr>
        <w:jc w:val="both"/>
        <w:rPr>
          <w:rFonts w:ascii="Times New Roman" w:eastAsia="Calibri" w:hAnsi="Times New Roman" w:cs="Times New Roman"/>
          <w:sz w:val="24"/>
          <w:szCs w:val="24"/>
          <w:lang w:val="ru-RU"/>
        </w:rPr>
      </w:pPr>
      <w:r w:rsidRPr="00704C3E">
        <w:rPr>
          <w:rFonts w:ascii="Times New Roman" w:hAnsi="Times New Roman" w:cs="Times New Roman"/>
          <w:sz w:val="24"/>
          <w:szCs w:val="24"/>
        </w:rPr>
        <w:t>Целта на нашето истражување е да се утврди IL-33 како потенцијален серумски, односно саливарен биомаркер за туморите на паротидни жлезди.</w:t>
      </w:r>
      <w:r w:rsidRPr="00704C3E">
        <w:rPr>
          <w:rFonts w:ascii="Times New Roman" w:eastAsia="Calibri" w:hAnsi="Times New Roman" w:cs="Times New Roman"/>
          <w:sz w:val="24"/>
          <w:szCs w:val="24"/>
          <w:lang w:val="ru-RU"/>
        </w:rPr>
        <w:t xml:space="preserve"> </w:t>
      </w:r>
    </w:p>
    <w:p w:rsidR="00584601" w:rsidRDefault="00C345DD" w:rsidP="00421E8E">
      <w:pPr>
        <w:shd w:val="clear" w:color="auto" w:fill="FFFFFF"/>
        <w:spacing w:before="100" w:beforeAutospacing="1" w:after="100" w:afterAutospacing="1"/>
        <w:rPr>
          <w:rFonts w:ascii="Times New Roman" w:hAnsi="Times New Roman" w:cs="Times New Roman"/>
          <w:sz w:val="24"/>
          <w:szCs w:val="24"/>
          <w:lang w:val="en-US"/>
        </w:rPr>
      </w:pPr>
      <w:r w:rsidRPr="000C1879">
        <w:rPr>
          <w:rFonts w:ascii="Times New Roman" w:hAnsi="Times New Roman" w:cs="Times New Roman"/>
          <w:bCs/>
          <w:color w:val="000000"/>
          <w:sz w:val="24"/>
          <w:szCs w:val="24"/>
        </w:rPr>
        <w:t>Истражувањето во рамките на оваа до</w:t>
      </w:r>
      <w:r w:rsidR="00390246">
        <w:rPr>
          <w:rFonts w:ascii="Times New Roman" w:hAnsi="Times New Roman" w:cs="Times New Roman"/>
          <w:bCs/>
          <w:color w:val="000000"/>
          <w:sz w:val="24"/>
          <w:szCs w:val="24"/>
        </w:rPr>
        <w:t>кторска дис</w:t>
      </w:r>
      <w:r>
        <w:rPr>
          <w:rFonts w:ascii="Times New Roman" w:hAnsi="Times New Roman" w:cs="Times New Roman"/>
          <w:bCs/>
          <w:color w:val="000000"/>
          <w:sz w:val="24"/>
          <w:szCs w:val="24"/>
        </w:rPr>
        <w:t>ертација преставува</w:t>
      </w:r>
      <w:r w:rsidRPr="000C1879">
        <w:rPr>
          <w:rFonts w:ascii="Times New Roman" w:hAnsi="Times New Roman" w:cs="Times New Roman"/>
          <w:bCs/>
          <w:color w:val="000000"/>
          <w:sz w:val="24"/>
          <w:szCs w:val="24"/>
        </w:rPr>
        <w:t xml:space="preserve"> прос</w:t>
      </w:r>
      <w:r w:rsidRPr="00A926CA">
        <w:rPr>
          <w:rFonts w:ascii="Times New Roman" w:hAnsi="Times New Roman" w:cs="Times New Roman"/>
          <w:bCs/>
          <w:color w:val="000000"/>
          <w:sz w:val="24"/>
          <w:szCs w:val="24"/>
          <w:lang w:val="ru-RU"/>
        </w:rPr>
        <w:t>п</w:t>
      </w:r>
      <w:r w:rsidRPr="000C1879">
        <w:rPr>
          <w:rFonts w:ascii="Times New Roman" w:hAnsi="Times New Roman" w:cs="Times New Roman"/>
          <w:bCs/>
          <w:color w:val="000000"/>
          <w:sz w:val="24"/>
          <w:szCs w:val="24"/>
        </w:rPr>
        <w:t xml:space="preserve">ективна рандомизирана клиничка студија, </w:t>
      </w:r>
      <w:r>
        <w:rPr>
          <w:rFonts w:ascii="Times New Roman" w:hAnsi="Times New Roman" w:cs="Times New Roman"/>
          <w:bCs/>
          <w:color w:val="000000"/>
          <w:sz w:val="24"/>
          <w:szCs w:val="24"/>
        </w:rPr>
        <w:t xml:space="preserve">за </w:t>
      </w:r>
      <w:r w:rsidRPr="000C1879">
        <w:rPr>
          <w:rFonts w:ascii="Times New Roman" w:hAnsi="Times New Roman" w:cs="Times New Roman"/>
          <w:color w:val="000000"/>
          <w:sz w:val="24"/>
          <w:szCs w:val="24"/>
        </w:rPr>
        <w:t>утврдување на серумски и саливарни вредности на IL-33 кај пациенти со тумори на паротидни жлезди и контролна група испитаници</w:t>
      </w:r>
      <w:r>
        <w:rPr>
          <w:rFonts w:ascii="Times New Roman" w:hAnsi="Times New Roman" w:cs="Times New Roman"/>
          <w:color w:val="000000"/>
          <w:sz w:val="24"/>
          <w:szCs w:val="24"/>
        </w:rPr>
        <w:t xml:space="preserve">. </w:t>
      </w:r>
      <w:r w:rsidR="007F253C">
        <w:rPr>
          <w:rFonts w:ascii="Times New Roman" w:hAnsi="Times New Roman" w:cs="Times New Roman"/>
          <w:color w:val="000000"/>
          <w:kern w:val="24"/>
          <w:sz w:val="24"/>
          <w:szCs w:val="24"/>
        </w:rPr>
        <w:t>Истата,</w:t>
      </w:r>
      <w:r w:rsidR="007F253C" w:rsidRPr="00396BC0">
        <w:rPr>
          <w:rFonts w:ascii="Times New Roman" w:hAnsi="Times New Roman" w:cs="Times New Roman"/>
          <w:color w:val="000000"/>
          <w:kern w:val="24"/>
          <w:sz w:val="24"/>
          <w:szCs w:val="24"/>
        </w:rPr>
        <w:t xml:space="preserve"> воедно </w:t>
      </w:r>
      <w:r w:rsidR="007F253C">
        <w:rPr>
          <w:rFonts w:ascii="Times New Roman" w:hAnsi="Times New Roman" w:cs="Times New Roman"/>
          <w:color w:val="000000"/>
          <w:kern w:val="24"/>
          <w:sz w:val="24"/>
          <w:szCs w:val="24"/>
        </w:rPr>
        <w:t xml:space="preserve">претставува </w:t>
      </w:r>
      <w:r w:rsidR="007F253C" w:rsidRPr="00396BC0">
        <w:rPr>
          <w:rFonts w:ascii="Times New Roman" w:hAnsi="Times New Roman" w:cs="Times New Roman"/>
          <w:color w:val="000000"/>
          <w:kern w:val="24"/>
          <w:sz w:val="24"/>
          <w:szCs w:val="24"/>
        </w:rPr>
        <w:t xml:space="preserve">и пилот студија која ја анализира концентрацијата на </w:t>
      </w:r>
      <w:r w:rsidR="007F253C" w:rsidRPr="00396BC0">
        <w:rPr>
          <w:rFonts w:ascii="Times New Roman" w:hAnsi="Times New Roman" w:cs="Times New Roman"/>
          <w:sz w:val="24"/>
          <w:szCs w:val="24"/>
        </w:rPr>
        <w:t>IL-33 во салива кај пациенти со тумори на паротидни жлезди, во споредба со неговата концентрација кај здрави испитаници.</w:t>
      </w:r>
    </w:p>
    <w:p w:rsidR="00C345DD" w:rsidRPr="00584601" w:rsidRDefault="00C345DD" w:rsidP="00421E8E">
      <w:pPr>
        <w:shd w:val="clear" w:color="auto" w:fill="FFFFFF"/>
        <w:spacing w:before="100" w:beforeAutospacing="1" w:after="100" w:afterAutospacing="1"/>
        <w:rPr>
          <w:rFonts w:ascii="Times New Roman" w:hAnsi="Times New Roman" w:cs="Times New Roman"/>
          <w:sz w:val="24"/>
          <w:szCs w:val="24"/>
        </w:rPr>
      </w:pPr>
      <w:r w:rsidRPr="00704C3E">
        <w:rPr>
          <w:rFonts w:ascii="Times New Roman" w:hAnsi="Times New Roman" w:cs="Times New Roman"/>
          <w:color w:val="212121"/>
          <w:sz w:val="24"/>
          <w:szCs w:val="24"/>
          <w:shd w:val="clear" w:color="auto" w:fill="FFFFFF"/>
        </w:rPr>
        <w:t xml:space="preserve">Согласно однапред поставените инклузиони и ексклузиони критериуми, во истражувањето беа вклучени </w:t>
      </w:r>
      <w:r w:rsidRPr="00A926CA">
        <w:rPr>
          <w:rFonts w:ascii="Times New Roman" w:hAnsi="Times New Roman" w:cs="Times New Roman"/>
          <w:color w:val="212121"/>
          <w:sz w:val="24"/>
          <w:szCs w:val="24"/>
          <w:shd w:val="clear" w:color="auto" w:fill="FFFFFF"/>
          <w:lang w:val="ru-RU"/>
        </w:rPr>
        <w:t>1</w:t>
      </w:r>
      <w:r>
        <w:rPr>
          <w:rFonts w:ascii="Times New Roman" w:hAnsi="Times New Roman" w:cs="Times New Roman"/>
          <w:color w:val="212121"/>
          <w:sz w:val="24"/>
          <w:szCs w:val="24"/>
          <w:shd w:val="clear" w:color="auto" w:fill="FFFFFF"/>
        </w:rPr>
        <w:t>20</w:t>
      </w:r>
      <w:r w:rsidRPr="00A926CA">
        <w:rPr>
          <w:rFonts w:ascii="Times New Roman" w:hAnsi="Times New Roman" w:cs="Times New Roman"/>
          <w:color w:val="212121"/>
          <w:sz w:val="24"/>
          <w:szCs w:val="24"/>
          <w:shd w:val="clear" w:color="auto" w:fill="FFFFFF"/>
          <w:lang w:val="ru-RU"/>
        </w:rPr>
        <w:t xml:space="preserve"> </w:t>
      </w:r>
      <w:r w:rsidRPr="00704C3E">
        <w:rPr>
          <w:rFonts w:ascii="Times New Roman" w:hAnsi="Times New Roman" w:cs="Times New Roman"/>
          <w:color w:val="212121"/>
          <w:sz w:val="24"/>
          <w:szCs w:val="24"/>
          <w:shd w:val="clear" w:color="auto" w:fill="FFFFFF"/>
        </w:rPr>
        <w:t xml:space="preserve">испитаници на </w:t>
      </w:r>
      <w:r w:rsidRPr="00704C3E">
        <w:rPr>
          <w:rFonts w:ascii="Times New Roman" w:hAnsi="Times New Roman" w:cs="Times New Roman"/>
          <w:sz w:val="24"/>
          <w:szCs w:val="24"/>
        </w:rPr>
        <w:t xml:space="preserve">возраст </w:t>
      </w:r>
      <w:r w:rsidRPr="00A926CA">
        <w:rPr>
          <w:rFonts w:ascii="Times New Roman" w:hAnsi="Times New Roman" w:cs="Times New Roman"/>
          <w:sz w:val="24"/>
          <w:szCs w:val="24"/>
          <w:lang w:val="ru-RU"/>
        </w:rPr>
        <w:t>&gt;</w:t>
      </w:r>
      <w:r w:rsidRPr="00704C3E">
        <w:rPr>
          <w:rFonts w:ascii="Times New Roman" w:hAnsi="Times New Roman" w:cs="Times New Roman"/>
          <w:sz w:val="24"/>
          <w:szCs w:val="24"/>
        </w:rPr>
        <w:t>14 години</w:t>
      </w:r>
      <w:r>
        <w:rPr>
          <w:rFonts w:ascii="Times New Roman" w:hAnsi="Times New Roman" w:cs="Times New Roman"/>
          <w:sz w:val="24"/>
          <w:szCs w:val="24"/>
        </w:rPr>
        <w:t xml:space="preserve">. </w:t>
      </w:r>
      <w:r w:rsidRPr="00704C3E">
        <w:rPr>
          <w:rFonts w:ascii="Times New Roman" w:hAnsi="Times New Roman" w:cs="Times New Roman"/>
          <w:color w:val="000000"/>
          <w:sz w:val="24"/>
          <w:szCs w:val="24"/>
        </w:rPr>
        <w:t>Примерокот беше базиран на методот на прост случаен избор (</w:t>
      </w:r>
      <w:r w:rsidRPr="00704C3E">
        <w:rPr>
          <w:rFonts w:ascii="Times New Roman" w:hAnsi="Times New Roman" w:cs="Times New Roman"/>
          <w:color w:val="000000"/>
          <w:sz w:val="24"/>
          <w:szCs w:val="24"/>
          <w:lang w:val="en-US"/>
        </w:rPr>
        <w:t>random</w:t>
      </w:r>
      <w:r w:rsidRPr="00A926CA">
        <w:rPr>
          <w:rFonts w:ascii="Times New Roman" w:hAnsi="Times New Roman" w:cs="Times New Roman"/>
          <w:color w:val="000000"/>
          <w:sz w:val="24"/>
          <w:szCs w:val="24"/>
          <w:lang w:val="ru-RU"/>
        </w:rPr>
        <w:t xml:space="preserve"> </w:t>
      </w:r>
      <w:r w:rsidRPr="00704C3E">
        <w:rPr>
          <w:rFonts w:ascii="Times New Roman" w:hAnsi="Times New Roman" w:cs="Times New Roman"/>
          <w:color w:val="000000"/>
          <w:sz w:val="24"/>
          <w:szCs w:val="24"/>
          <w:lang w:val="en-US"/>
        </w:rPr>
        <w:t>sampling</w:t>
      </w:r>
      <w:r w:rsidRPr="00A926CA">
        <w:rPr>
          <w:rFonts w:ascii="Times New Roman" w:hAnsi="Times New Roman" w:cs="Times New Roman"/>
          <w:color w:val="000000"/>
          <w:sz w:val="24"/>
          <w:szCs w:val="24"/>
          <w:lang w:val="ru-RU"/>
        </w:rPr>
        <w:t>).</w:t>
      </w:r>
      <w:r w:rsidRPr="00704C3E">
        <w:rPr>
          <w:rFonts w:ascii="Times New Roman" w:hAnsi="Times New Roman" w:cs="Times New Roman"/>
          <w:color w:val="212121"/>
          <w:sz w:val="24"/>
          <w:szCs w:val="24"/>
          <w:shd w:val="clear" w:color="auto" w:fill="FFFFFF"/>
        </w:rPr>
        <w:t xml:space="preserve"> </w:t>
      </w:r>
      <w:r w:rsidRPr="000E542A">
        <w:rPr>
          <w:rFonts w:ascii="Times New Roman" w:hAnsi="Times New Roman" w:cs="Times New Roman"/>
          <w:color w:val="212121"/>
          <w:sz w:val="24"/>
          <w:szCs w:val="24"/>
          <w:shd w:val="clear" w:color="auto" w:fill="FFFFFF"/>
          <w:lang w:val="ru-RU"/>
        </w:rPr>
        <w:t xml:space="preserve">Земени се примероци од венска крв (2 </w:t>
      </w:r>
      <w:r w:rsidRPr="000E542A">
        <w:rPr>
          <w:rFonts w:ascii="Times New Roman" w:hAnsi="Times New Roman" w:cs="Times New Roman"/>
          <w:color w:val="212121"/>
          <w:sz w:val="24"/>
          <w:szCs w:val="24"/>
          <w:shd w:val="clear" w:color="auto" w:fill="FFFFFF"/>
        </w:rPr>
        <w:t>ml)</w:t>
      </w:r>
      <w:r w:rsidRPr="000E542A">
        <w:rPr>
          <w:rFonts w:ascii="Times New Roman" w:hAnsi="Times New Roman" w:cs="Times New Roman"/>
          <w:color w:val="212121"/>
          <w:sz w:val="24"/>
          <w:szCs w:val="24"/>
          <w:shd w:val="clear" w:color="auto" w:fill="FFFFFF"/>
          <w:lang w:val="ru-RU"/>
        </w:rPr>
        <w:t xml:space="preserve"> и салива кај </w:t>
      </w:r>
      <w:r>
        <w:rPr>
          <w:rFonts w:ascii="Times New Roman" w:hAnsi="Times New Roman" w:cs="Times New Roman"/>
          <w:color w:val="212121"/>
          <w:sz w:val="24"/>
          <w:szCs w:val="24"/>
          <w:shd w:val="clear" w:color="auto" w:fill="FFFFFF"/>
          <w:lang w:val="ru-RU"/>
        </w:rPr>
        <w:t>62</w:t>
      </w:r>
      <w:r w:rsidRPr="000E542A">
        <w:rPr>
          <w:rFonts w:ascii="Times New Roman" w:hAnsi="Times New Roman" w:cs="Times New Roman"/>
          <w:color w:val="212121"/>
          <w:sz w:val="24"/>
          <w:szCs w:val="24"/>
          <w:shd w:val="clear" w:color="auto" w:fill="FFFFFF"/>
          <w:lang w:val="ru-RU"/>
        </w:rPr>
        <w:t xml:space="preserve"> испитани</w:t>
      </w:r>
      <w:r>
        <w:rPr>
          <w:rFonts w:ascii="Times New Roman" w:hAnsi="Times New Roman" w:cs="Times New Roman"/>
          <w:color w:val="212121"/>
          <w:sz w:val="24"/>
          <w:szCs w:val="24"/>
          <w:shd w:val="clear" w:color="auto" w:fill="FFFFFF"/>
          <w:lang w:val="ru-RU"/>
        </w:rPr>
        <w:t>ци–</w:t>
      </w:r>
      <w:r w:rsidRPr="000E542A">
        <w:rPr>
          <w:rFonts w:ascii="Times New Roman" w:hAnsi="Times New Roman" w:cs="Times New Roman"/>
          <w:color w:val="212121"/>
          <w:sz w:val="24"/>
          <w:szCs w:val="24"/>
          <w:shd w:val="clear" w:color="auto" w:fill="FFFFFF"/>
          <w:lang w:val="ru-RU"/>
        </w:rPr>
        <w:t>пациенти со целната саливарна патологија</w:t>
      </w:r>
      <w:r>
        <w:rPr>
          <w:rFonts w:ascii="Times New Roman" w:hAnsi="Times New Roman" w:cs="Times New Roman"/>
          <w:color w:val="212121"/>
          <w:sz w:val="24"/>
          <w:szCs w:val="24"/>
          <w:shd w:val="clear" w:color="auto" w:fill="FFFFFF"/>
          <w:lang w:val="ru-RU"/>
        </w:rPr>
        <w:t xml:space="preserve"> (49</w:t>
      </w:r>
      <w:r w:rsidRPr="000E542A">
        <w:rPr>
          <w:rFonts w:ascii="Times New Roman" w:hAnsi="Times New Roman" w:cs="Times New Roman"/>
          <w:color w:val="212121"/>
          <w:sz w:val="24"/>
          <w:szCs w:val="24"/>
          <w:shd w:val="clear" w:color="auto" w:fill="FFFFFF"/>
          <w:lang w:val="ru-RU"/>
        </w:rPr>
        <w:t xml:space="preserve"> пациенти со бенигни тумори, односно</w:t>
      </w:r>
      <w:r>
        <w:rPr>
          <w:rFonts w:ascii="Times New Roman" w:hAnsi="Times New Roman" w:cs="Times New Roman"/>
          <w:color w:val="212121"/>
          <w:sz w:val="24"/>
          <w:szCs w:val="24"/>
          <w:shd w:val="clear" w:color="auto" w:fill="FFFFFF"/>
          <w:lang w:val="ru-RU"/>
        </w:rPr>
        <w:t xml:space="preserve"> 13</w:t>
      </w:r>
      <w:r w:rsidRPr="000E542A">
        <w:rPr>
          <w:rFonts w:ascii="Times New Roman" w:hAnsi="Times New Roman" w:cs="Times New Roman"/>
          <w:color w:val="212121"/>
          <w:sz w:val="24"/>
          <w:szCs w:val="24"/>
          <w:shd w:val="clear" w:color="auto" w:fill="FFFFFF"/>
          <w:lang w:val="ru-RU"/>
        </w:rPr>
        <w:t xml:space="preserve"> пациенти со малигни неоплазми)</w:t>
      </w:r>
      <w:r w:rsidRPr="000E542A">
        <w:rPr>
          <w:rFonts w:ascii="Times New Roman" w:hAnsi="Times New Roman" w:cs="Times New Roman"/>
          <w:color w:val="212121"/>
          <w:sz w:val="24"/>
          <w:szCs w:val="24"/>
          <w:shd w:val="clear" w:color="auto" w:fill="FFFFFF"/>
        </w:rPr>
        <w:t>, непосредно пред хируршката интервенција</w:t>
      </w:r>
      <w:r w:rsidR="00674E26">
        <w:rPr>
          <w:rFonts w:ascii="Times New Roman" w:hAnsi="Times New Roman" w:cs="Times New Roman"/>
          <w:color w:val="212121"/>
          <w:sz w:val="24"/>
          <w:szCs w:val="24"/>
          <w:shd w:val="clear" w:color="auto" w:fill="FFFFFF"/>
        </w:rPr>
        <w:t xml:space="preserve"> </w:t>
      </w:r>
      <w:r w:rsidRPr="000E542A">
        <w:rPr>
          <w:rFonts w:ascii="Times New Roman" w:hAnsi="Times New Roman" w:cs="Times New Roman"/>
          <w:color w:val="212121"/>
          <w:sz w:val="24"/>
          <w:szCs w:val="24"/>
          <w:shd w:val="clear" w:color="auto" w:fill="FFFFFF"/>
          <w:lang w:val="ru-RU"/>
        </w:rPr>
        <w:t xml:space="preserve">и примероци од </w:t>
      </w:r>
      <w:r w:rsidR="00B74466">
        <w:rPr>
          <w:rFonts w:ascii="Times New Roman" w:hAnsi="Times New Roman" w:cs="Times New Roman"/>
          <w:color w:val="212121"/>
          <w:sz w:val="24"/>
          <w:szCs w:val="24"/>
          <w:shd w:val="clear" w:color="auto" w:fill="FFFFFF"/>
          <w:lang w:val="ru-RU"/>
        </w:rPr>
        <w:t>58</w:t>
      </w:r>
      <w:r w:rsidRPr="000E542A">
        <w:rPr>
          <w:rFonts w:ascii="Times New Roman" w:hAnsi="Times New Roman" w:cs="Times New Roman"/>
          <w:color w:val="212121"/>
          <w:sz w:val="24"/>
          <w:szCs w:val="24"/>
          <w:shd w:val="clear" w:color="auto" w:fill="FFFFFF"/>
          <w:lang w:val="ru-RU"/>
        </w:rPr>
        <w:t xml:space="preserve"> контролни испитаници.</w:t>
      </w:r>
      <w:r>
        <w:rPr>
          <w:rFonts w:ascii="Times New Roman" w:hAnsi="Times New Roman" w:cs="Times New Roman"/>
          <w:color w:val="212121"/>
          <w:sz w:val="24"/>
          <w:szCs w:val="24"/>
          <w:shd w:val="clear" w:color="auto" w:fill="FFFFFF"/>
          <w:lang w:val="ru-RU"/>
        </w:rPr>
        <w:t xml:space="preserve"> </w:t>
      </w:r>
    </w:p>
    <w:p w:rsidR="00221492" w:rsidRDefault="00221492" w:rsidP="00421E8E">
      <w:pPr>
        <w:jc w:val="both"/>
        <w:rPr>
          <w:rFonts w:ascii="Times New Roman" w:hAnsi="Times New Roman" w:cs="Times New Roman"/>
          <w:color w:val="212121"/>
          <w:sz w:val="24"/>
          <w:szCs w:val="24"/>
          <w:shd w:val="clear" w:color="auto" w:fill="FFFFFF"/>
        </w:rPr>
      </w:pPr>
    </w:p>
    <w:p w:rsidR="00221492" w:rsidRDefault="00221492" w:rsidP="00421E8E">
      <w:pPr>
        <w:jc w:val="both"/>
        <w:rPr>
          <w:rFonts w:ascii="Times New Roman" w:hAnsi="Times New Roman" w:cs="Times New Roman"/>
          <w:color w:val="212121"/>
          <w:sz w:val="24"/>
          <w:szCs w:val="24"/>
          <w:shd w:val="clear" w:color="auto" w:fill="FFFFFF"/>
        </w:rPr>
      </w:pPr>
    </w:p>
    <w:p w:rsidR="00221492" w:rsidRDefault="00221492" w:rsidP="00421E8E">
      <w:pPr>
        <w:jc w:val="both"/>
        <w:rPr>
          <w:rFonts w:ascii="Times New Roman" w:hAnsi="Times New Roman" w:cs="Times New Roman"/>
          <w:color w:val="212121"/>
          <w:sz w:val="24"/>
          <w:szCs w:val="24"/>
          <w:shd w:val="clear" w:color="auto" w:fill="FFFFFF"/>
        </w:rPr>
      </w:pPr>
    </w:p>
    <w:p w:rsidR="00221492" w:rsidRDefault="00221492" w:rsidP="00421E8E">
      <w:pPr>
        <w:jc w:val="both"/>
        <w:rPr>
          <w:rFonts w:ascii="Times New Roman" w:hAnsi="Times New Roman" w:cs="Times New Roman"/>
          <w:color w:val="212121"/>
          <w:sz w:val="24"/>
          <w:szCs w:val="24"/>
          <w:shd w:val="clear" w:color="auto" w:fill="FFFFFF"/>
        </w:rPr>
      </w:pPr>
    </w:p>
    <w:p w:rsidR="00221492" w:rsidRDefault="00221492" w:rsidP="00421E8E">
      <w:pPr>
        <w:jc w:val="both"/>
        <w:rPr>
          <w:rFonts w:ascii="Times New Roman" w:hAnsi="Times New Roman" w:cs="Times New Roman"/>
          <w:color w:val="212121"/>
          <w:sz w:val="24"/>
          <w:szCs w:val="24"/>
          <w:shd w:val="clear" w:color="auto" w:fill="FFFFFF"/>
        </w:rPr>
      </w:pPr>
    </w:p>
    <w:p w:rsidR="00221492" w:rsidRDefault="00221492" w:rsidP="00421E8E">
      <w:pPr>
        <w:jc w:val="both"/>
        <w:rPr>
          <w:rFonts w:ascii="Times New Roman" w:hAnsi="Times New Roman" w:cs="Times New Roman"/>
          <w:color w:val="212121"/>
          <w:sz w:val="24"/>
          <w:szCs w:val="24"/>
          <w:shd w:val="clear" w:color="auto" w:fill="FFFFFF"/>
        </w:rPr>
      </w:pPr>
    </w:p>
    <w:p w:rsidR="00C345DD" w:rsidRDefault="00C345DD" w:rsidP="00421E8E">
      <w:pPr>
        <w:jc w:val="both"/>
        <w:rPr>
          <w:rFonts w:ascii="Times New Roman" w:hAnsi="Times New Roman" w:cs="Times New Roman"/>
          <w:color w:val="212121"/>
          <w:sz w:val="24"/>
          <w:szCs w:val="24"/>
          <w:shd w:val="clear" w:color="auto" w:fill="FFFFFF"/>
        </w:rPr>
      </w:pPr>
      <w:r w:rsidRPr="00704C3E">
        <w:rPr>
          <w:rFonts w:ascii="Times New Roman" w:hAnsi="Times New Roman" w:cs="Times New Roman"/>
          <w:color w:val="212121"/>
          <w:sz w:val="24"/>
          <w:szCs w:val="24"/>
          <w:shd w:val="clear" w:color="auto" w:fill="FFFFFF"/>
        </w:rPr>
        <w:t xml:space="preserve">За евалуацијата на пациентите согласно целите на истражувањето користени беа податоци од достапната медицинска документација, историјата на болеста, клиничките согледувања на истражувачот и резултатите од имунолошки анализи за </w:t>
      </w:r>
      <w:r w:rsidR="00B74466">
        <w:rPr>
          <w:rFonts w:ascii="Times New Roman" w:hAnsi="Times New Roman" w:cs="Times New Roman"/>
          <w:color w:val="000000"/>
          <w:sz w:val="24"/>
          <w:szCs w:val="24"/>
        </w:rPr>
        <w:t>IL-33 одредувани</w:t>
      </w:r>
      <w:r w:rsidRPr="00704C3E">
        <w:rPr>
          <w:rFonts w:ascii="Times New Roman" w:hAnsi="Times New Roman" w:cs="Times New Roman"/>
          <w:color w:val="000000"/>
          <w:sz w:val="24"/>
          <w:szCs w:val="24"/>
        </w:rPr>
        <w:t xml:space="preserve"> со </w:t>
      </w:r>
      <w:r w:rsidR="00C86A6D">
        <w:rPr>
          <w:rFonts w:ascii="Times New Roman" w:hAnsi="Times New Roman" w:cs="Times New Roman"/>
          <w:color w:val="202124"/>
          <w:sz w:val="24"/>
          <w:szCs w:val="24"/>
        </w:rPr>
        <w:t xml:space="preserve">мултиплексна ELISA </w:t>
      </w:r>
      <w:r w:rsidR="00834293" w:rsidRPr="007D6D5F">
        <w:rPr>
          <w:rFonts w:ascii="Times New Roman" w:hAnsi="Times New Roman" w:cs="Times New Roman"/>
          <w:color w:val="202124"/>
          <w:sz w:val="24"/>
          <w:szCs w:val="24"/>
        </w:rPr>
        <w:t>сендвич метода</w:t>
      </w:r>
      <w:r w:rsidRPr="00704C3E">
        <w:rPr>
          <w:rFonts w:ascii="Times New Roman" w:hAnsi="Times New Roman" w:cs="Times New Roman"/>
          <w:color w:val="000000"/>
          <w:sz w:val="24"/>
          <w:szCs w:val="24"/>
        </w:rPr>
        <w:t xml:space="preserve"> кај</w:t>
      </w:r>
      <w:r w:rsidRPr="00704C3E">
        <w:rPr>
          <w:rFonts w:ascii="Times New Roman" w:hAnsi="Times New Roman" w:cs="Times New Roman"/>
          <w:color w:val="212121"/>
          <w:sz w:val="24"/>
          <w:szCs w:val="24"/>
          <w:shd w:val="clear" w:color="auto" w:fill="FFFFFF"/>
        </w:rPr>
        <w:t xml:space="preserve"> примероците од серум и салива за секој испитаник.</w:t>
      </w:r>
      <w:r w:rsidRPr="00A926CA">
        <w:rPr>
          <w:rFonts w:ascii="Times New Roman" w:hAnsi="Times New Roman" w:cs="Times New Roman"/>
          <w:color w:val="212121"/>
          <w:sz w:val="24"/>
          <w:szCs w:val="24"/>
          <w:shd w:val="clear" w:color="auto" w:fill="FFFFFF"/>
          <w:lang w:val="ru-RU"/>
        </w:rPr>
        <w:t xml:space="preserve"> </w:t>
      </w:r>
    </w:p>
    <w:p w:rsidR="00C345DD" w:rsidRDefault="00C345DD" w:rsidP="00421E8E">
      <w:pPr>
        <w:jc w:val="both"/>
        <w:rPr>
          <w:rFonts w:ascii="Times New Roman" w:hAnsi="Times New Roman" w:cs="Times New Roman"/>
          <w:color w:val="000000"/>
          <w:sz w:val="24"/>
          <w:szCs w:val="24"/>
        </w:rPr>
      </w:pPr>
      <w:r>
        <w:rPr>
          <w:rFonts w:ascii="Times New Roman" w:hAnsi="Times New Roman" w:cs="Times New Roman"/>
          <w:color w:val="212121"/>
          <w:sz w:val="24"/>
          <w:szCs w:val="24"/>
          <w:shd w:val="clear" w:color="auto" w:fill="FFFFFF"/>
        </w:rPr>
        <w:t xml:space="preserve">По статистичката обработка на податоците, </w:t>
      </w:r>
      <w:r>
        <w:rPr>
          <w:rFonts w:ascii="Times New Roman" w:hAnsi="Times New Roman"/>
          <w:sz w:val="24"/>
          <w:szCs w:val="24"/>
        </w:rPr>
        <w:t xml:space="preserve">добиените </w:t>
      </w:r>
      <w:r w:rsidRPr="00CD0937">
        <w:rPr>
          <w:rFonts w:ascii="Times New Roman" w:hAnsi="Times New Roman"/>
          <w:sz w:val="24"/>
          <w:szCs w:val="24"/>
        </w:rPr>
        <w:t xml:space="preserve">вредности </w:t>
      </w:r>
      <w:r>
        <w:rPr>
          <w:rFonts w:ascii="Times New Roman" w:hAnsi="Times New Roman"/>
          <w:sz w:val="24"/>
          <w:szCs w:val="24"/>
        </w:rPr>
        <w:t xml:space="preserve">за </w:t>
      </w:r>
      <w:r w:rsidRPr="00CD0937">
        <w:rPr>
          <w:rFonts w:ascii="Times New Roman" w:hAnsi="Times New Roman"/>
          <w:sz w:val="24"/>
          <w:szCs w:val="24"/>
        </w:rPr>
        <w:t xml:space="preserve">дијагностичка ефикасност </w:t>
      </w:r>
      <w:r>
        <w:rPr>
          <w:rFonts w:ascii="Times New Roman" w:hAnsi="Times New Roman"/>
          <w:sz w:val="24"/>
          <w:szCs w:val="24"/>
        </w:rPr>
        <w:t xml:space="preserve">на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 во</w:t>
      </w:r>
      <w:r>
        <w:rPr>
          <w:rFonts w:ascii="Times New Roman" w:hAnsi="Times New Roman" w:cs="Times New Roman"/>
          <w:color w:val="000000"/>
          <w:sz w:val="24"/>
          <w:szCs w:val="24"/>
        </w:rPr>
        <w:t xml:space="preserve"> серум покажаа недоволна, односно </w:t>
      </w:r>
      <w:r w:rsidR="00F407B9">
        <w:rPr>
          <w:rFonts w:ascii="Times New Roman" w:hAnsi="Times New Roman" w:cs="Times New Roman"/>
          <w:color w:val="000000"/>
          <w:sz w:val="24"/>
          <w:szCs w:val="24"/>
        </w:rPr>
        <w:t>несигнификантна</w:t>
      </w:r>
      <w:r>
        <w:rPr>
          <w:rFonts w:ascii="Times New Roman" w:hAnsi="Times New Roman" w:cs="Times New Roman"/>
          <w:color w:val="000000"/>
          <w:sz w:val="24"/>
          <w:szCs w:val="24"/>
        </w:rPr>
        <w:t xml:space="preserve"> </w:t>
      </w:r>
      <w:r w:rsidR="00674E26">
        <w:rPr>
          <w:rFonts w:ascii="Times New Roman" w:hAnsi="Times New Roman" w:cs="Times New Roman"/>
          <w:color w:val="000000"/>
          <w:sz w:val="24"/>
          <w:szCs w:val="24"/>
        </w:rPr>
        <w:t xml:space="preserve">дијагностичка </w:t>
      </w:r>
      <w:r>
        <w:rPr>
          <w:rFonts w:ascii="Times New Roman" w:hAnsi="Times New Roman" w:cs="Times New Roman"/>
          <w:color w:val="000000"/>
          <w:sz w:val="24"/>
          <w:szCs w:val="24"/>
        </w:rPr>
        <w:t xml:space="preserve">ефикасност на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w:t>
      </w:r>
      <w:r>
        <w:rPr>
          <w:rFonts w:ascii="Times New Roman" w:hAnsi="Times New Roman" w:cs="Times New Roman"/>
          <w:color w:val="000000"/>
          <w:sz w:val="24"/>
          <w:szCs w:val="24"/>
        </w:rPr>
        <w:t xml:space="preserve"> во салива.</w:t>
      </w:r>
      <w:r w:rsidRPr="00A926CA">
        <w:rPr>
          <w:rFonts w:ascii="Times New Roman" w:hAnsi="Times New Roman" w:cs="Times New Roman"/>
          <w:color w:val="000000"/>
          <w:sz w:val="24"/>
          <w:szCs w:val="24"/>
          <w:lang w:val="ru-RU"/>
        </w:rPr>
        <w:t xml:space="preserve"> </w:t>
      </w:r>
    </w:p>
    <w:p w:rsidR="001107BF" w:rsidRDefault="00C345DD" w:rsidP="00421E8E">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 оглед на фактот дека станува збор за истражување за кое се уште нема доволно податоци во досегашната литература (тоа се однесува особено на анализа на вредностите на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w:t>
      </w:r>
      <w:r w:rsidR="00390246">
        <w:rPr>
          <w:rFonts w:ascii="Times New Roman" w:hAnsi="Times New Roman" w:cs="Times New Roman"/>
          <w:color w:val="000000"/>
          <w:sz w:val="24"/>
          <w:szCs w:val="24"/>
        </w:rPr>
        <w:t xml:space="preserve"> во салива</w:t>
      </w:r>
      <w:r>
        <w:rPr>
          <w:rFonts w:ascii="Times New Roman" w:hAnsi="Times New Roman" w:cs="Times New Roman"/>
          <w:color w:val="000000"/>
          <w:sz w:val="24"/>
          <w:szCs w:val="24"/>
        </w:rPr>
        <w:t>),  неопходна</w:t>
      </w:r>
      <w:r w:rsidR="00836454">
        <w:rPr>
          <w:rFonts w:ascii="Times New Roman" w:hAnsi="Times New Roman" w:cs="Times New Roman"/>
          <w:color w:val="000000"/>
          <w:sz w:val="24"/>
          <w:szCs w:val="24"/>
        </w:rPr>
        <w:t xml:space="preserve"> е</w:t>
      </w:r>
      <w:r>
        <w:rPr>
          <w:rFonts w:ascii="Times New Roman" w:hAnsi="Times New Roman" w:cs="Times New Roman"/>
          <w:color w:val="000000"/>
          <w:sz w:val="24"/>
          <w:szCs w:val="24"/>
        </w:rPr>
        <w:t xml:space="preserve"> дополнителна и пообемна инвестигација на оваа тема, за да </w:t>
      </w:r>
      <w:r w:rsidR="00674E26">
        <w:rPr>
          <w:rFonts w:ascii="Times New Roman" w:hAnsi="Times New Roman" w:cs="Times New Roman"/>
          <w:color w:val="000000"/>
          <w:sz w:val="24"/>
          <w:szCs w:val="24"/>
        </w:rPr>
        <w:t xml:space="preserve">се имплементираат серумскиот, односно саливарниот </w:t>
      </w:r>
      <w:r w:rsidR="00674E26" w:rsidRPr="007C59E7">
        <w:rPr>
          <w:rFonts w:ascii="Times New Roman" w:hAnsi="Times New Roman" w:cs="Times New Roman"/>
          <w:color w:val="000000"/>
          <w:sz w:val="24"/>
          <w:szCs w:val="24"/>
          <w:lang w:val="en-US"/>
        </w:rPr>
        <w:t>IL</w:t>
      </w:r>
      <w:r w:rsidR="00674E26" w:rsidRPr="00A926CA">
        <w:rPr>
          <w:rFonts w:ascii="Times New Roman" w:hAnsi="Times New Roman" w:cs="Times New Roman"/>
          <w:color w:val="000000"/>
          <w:sz w:val="24"/>
          <w:szCs w:val="24"/>
          <w:lang w:val="ru-RU"/>
        </w:rPr>
        <w:t>-33</w:t>
      </w:r>
      <w:r w:rsidR="00674E26">
        <w:rPr>
          <w:rFonts w:ascii="Times New Roman" w:hAnsi="Times New Roman" w:cs="Times New Roman"/>
          <w:color w:val="000000"/>
          <w:sz w:val="24"/>
          <w:szCs w:val="24"/>
        </w:rPr>
        <w:t xml:space="preserve"> како потенцијални биомаркери </w:t>
      </w:r>
      <w:r w:rsidR="00836454">
        <w:rPr>
          <w:rFonts w:ascii="Times New Roman" w:hAnsi="Times New Roman" w:cs="Times New Roman"/>
          <w:color w:val="000000"/>
          <w:sz w:val="24"/>
          <w:szCs w:val="24"/>
        </w:rPr>
        <w:t xml:space="preserve"> во дијагностичката процедура на туморите на паротидните жлезди.  </w:t>
      </w:r>
    </w:p>
    <w:p w:rsidR="00910BD3" w:rsidRDefault="00910BD3" w:rsidP="00421E8E">
      <w:pPr>
        <w:jc w:val="both"/>
        <w:rPr>
          <w:rFonts w:ascii="Times New Roman" w:hAnsi="Times New Roman" w:cs="Times New Roman"/>
          <w:b/>
          <w:color w:val="000000"/>
          <w:sz w:val="24"/>
          <w:szCs w:val="24"/>
        </w:rPr>
      </w:pPr>
    </w:p>
    <w:p w:rsidR="00910BD3" w:rsidRDefault="00910BD3" w:rsidP="00421E8E">
      <w:pPr>
        <w:jc w:val="both"/>
        <w:rPr>
          <w:rFonts w:ascii="Times New Roman" w:hAnsi="Times New Roman" w:cs="Times New Roman"/>
          <w:b/>
          <w:color w:val="000000"/>
          <w:sz w:val="24"/>
          <w:szCs w:val="24"/>
        </w:rPr>
      </w:pPr>
    </w:p>
    <w:p w:rsidR="00910BD3" w:rsidRDefault="00910BD3" w:rsidP="00421E8E">
      <w:pPr>
        <w:jc w:val="both"/>
        <w:rPr>
          <w:rFonts w:ascii="Times New Roman" w:hAnsi="Times New Roman" w:cs="Times New Roman"/>
          <w:b/>
          <w:color w:val="000000"/>
          <w:sz w:val="24"/>
          <w:szCs w:val="24"/>
        </w:rPr>
      </w:pPr>
    </w:p>
    <w:p w:rsidR="00910BD3" w:rsidRDefault="00910BD3" w:rsidP="00421E8E">
      <w:pPr>
        <w:jc w:val="both"/>
        <w:rPr>
          <w:rFonts w:ascii="Times New Roman" w:hAnsi="Times New Roman" w:cs="Times New Roman"/>
          <w:b/>
          <w:color w:val="000000"/>
          <w:sz w:val="24"/>
          <w:szCs w:val="24"/>
        </w:rPr>
      </w:pPr>
    </w:p>
    <w:p w:rsidR="00910BD3" w:rsidRDefault="00910BD3"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221492" w:rsidRDefault="00221492" w:rsidP="00421E8E">
      <w:pPr>
        <w:jc w:val="both"/>
        <w:rPr>
          <w:rFonts w:ascii="Times New Roman" w:hAnsi="Times New Roman" w:cs="Times New Roman"/>
          <w:b/>
          <w:color w:val="000000"/>
          <w:sz w:val="24"/>
          <w:szCs w:val="24"/>
        </w:rPr>
      </w:pPr>
    </w:p>
    <w:p w:rsidR="00630CAF" w:rsidRPr="001107BF" w:rsidRDefault="00834293" w:rsidP="00421E8E">
      <w:pPr>
        <w:jc w:val="both"/>
        <w:rPr>
          <w:rFonts w:ascii="Times New Roman" w:hAnsi="Times New Roman" w:cs="Times New Roman"/>
          <w:color w:val="212121"/>
          <w:sz w:val="24"/>
          <w:szCs w:val="24"/>
          <w:shd w:val="clear" w:color="auto" w:fill="FFFFFF"/>
        </w:rPr>
      </w:pPr>
      <w:r w:rsidRPr="00913DA7">
        <w:rPr>
          <w:rFonts w:ascii="Times New Roman" w:hAnsi="Times New Roman" w:cs="Times New Roman"/>
          <w:b/>
          <w:color w:val="000000"/>
          <w:sz w:val="24"/>
          <w:szCs w:val="24"/>
        </w:rPr>
        <w:t xml:space="preserve">2. </w:t>
      </w:r>
      <w:r w:rsidR="005074C2" w:rsidRPr="00913DA7">
        <w:rPr>
          <w:rFonts w:ascii="Times New Roman" w:hAnsi="Times New Roman" w:cs="Times New Roman"/>
          <w:b/>
          <w:color w:val="000000"/>
          <w:sz w:val="24"/>
          <w:szCs w:val="24"/>
        </w:rPr>
        <w:t>ЛИТЕРАТУРЕН ПРЕГЛЕД</w:t>
      </w:r>
    </w:p>
    <w:p w:rsidR="00B2014B" w:rsidRDefault="00B2014B" w:rsidP="00421E8E">
      <w:pPr>
        <w:pStyle w:val="ListParagraph"/>
        <w:spacing w:after="480"/>
        <w:ind w:left="0"/>
        <w:jc w:val="both"/>
        <w:rPr>
          <w:rFonts w:ascii="Times New Roman" w:hAnsi="Times New Roman" w:cs="Times New Roman"/>
          <w:b/>
          <w:color w:val="000000"/>
          <w:sz w:val="24"/>
          <w:szCs w:val="24"/>
        </w:rPr>
      </w:pPr>
    </w:p>
    <w:p w:rsidR="005074C2" w:rsidRPr="00913DA7" w:rsidRDefault="00834293" w:rsidP="00421E8E">
      <w:pPr>
        <w:pStyle w:val="ListParagraph"/>
        <w:spacing w:after="480"/>
        <w:ind w:left="0"/>
        <w:jc w:val="both"/>
        <w:rPr>
          <w:rFonts w:ascii="Times New Roman" w:hAnsi="Times New Roman" w:cs="Times New Roman"/>
          <w:b/>
          <w:color w:val="000000"/>
          <w:sz w:val="24"/>
          <w:szCs w:val="24"/>
        </w:rPr>
      </w:pPr>
      <w:r w:rsidRPr="00913DA7">
        <w:rPr>
          <w:rFonts w:ascii="Times New Roman" w:hAnsi="Times New Roman" w:cs="Times New Roman"/>
          <w:b/>
          <w:color w:val="000000"/>
          <w:sz w:val="24"/>
          <w:szCs w:val="24"/>
        </w:rPr>
        <w:t>2</w:t>
      </w:r>
      <w:r w:rsidR="005074C2" w:rsidRPr="00913DA7">
        <w:rPr>
          <w:rFonts w:ascii="Times New Roman" w:hAnsi="Times New Roman" w:cs="Times New Roman"/>
          <w:b/>
          <w:color w:val="000000"/>
          <w:sz w:val="24"/>
          <w:szCs w:val="24"/>
        </w:rPr>
        <w:t>.1 ЦИТОКИНИ</w:t>
      </w:r>
    </w:p>
    <w:p w:rsidR="005074C2" w:rsidRPr="00115349" w:rsidRDefault="005074C2" w:rsidP="00421E8E">
      <w:pPr>
        <w:shd w:val="clear" w:color="auto" w:fill="FFFFFF"/>
        <w:rPr>
          <w:rFonts w:ascii="Times New Roman" w:hAnsi="Times New Roman" w:cs="Times New Roman"/>
          <w:sz w:val="24"/>
          <w:szCs w:val="24"/>
        </w:rPr>
      </w:pPr>
      <w:r w:rsidRPr="00115349">
        <w:rPr>
          <w:rStyle w:val="jlqj4b"/>
          <w:rFonts w:ascii="Times New Roman" w:hAnsi="Times New Roman" w:cs="Times New Roman"/>
          <w:color w:val="000000"/>
          <w:sz w:val="24"/>
          <w:szCs w:val="24"/>
        </w:rPr>
        <w:t>Во текот на последните неколку години во подем е проучувањето</w:t>
      </w:r>
      <w:r>
        <w:rPr>
          <w:rStyle w:val="jlqj4b"/>
          <w:rFonts w:ascii="Times New Roman" w:hAnsi="Times New Roman" w:cs="Times New Roman"/>
          <w:color w:val="000000"/>
          <w:sz w:val="24"/>
          <w:szCs w:val="24"/>
        </w:rPr>
        <w:t xml:space="preserve"> </w:t>
      </w:r>
      <w:r w:rsidRPr="00115349">
        <w:rPr>
          <w:rStyle w:val="jlqj4b"/>
          <w:rFonts w:ascii="Times New Roman" w:hAnsi="Times New Roman" w:cs="Times New Roman"/>
          <w:color w:val="000000"/>
          <w:sz w:val="24"/>
          <w:szCs w:val="24"/>
        </w:rPr>
        <w:t>на механизмите одговорни за имунолошка регулација на растот на туморите</w:t>
      </w:r>
      <w:r w:rsidR="00573AFE">
        <w:rPr>
          <w:rStyle w:val="jlqj4b"/>
          <w:rFonts w:ascii="Times New Roman" w:hAnsi="Times New Roman" w:cs="Times New Roman"/>
          <w:color w:val="000000"/>
          <w:sz w:val="24"/>
          <w:szCs w:val="24"/>
        </w:rPr>
        <w:t xml:space="preserve"> </w:t>
      </w:r>
      <w:r w:rsidR="00573AFE" w:rsidRPr="00115349">
        <w:rPr>
          <w:rStyle w:val="jlqj4b"/>
          <w:rFonts w:ascii="Times New Roman" w:hAnsi="Times New Roman" w:cs="Times New Roman"/>
          <w:color w:val="000000"/>
          <w:sz w:val="24"/>
          <w:szCs w:val="24"/>
        </w:rPr>
        <w:t>на клеточно</w:t>
      </w:r>
      <w:r w:rsidR="00573AFE">
        <w:rPr>
          <w:rStyle w:val="jlqj4b"/>
          <w:rFonts w:ascii="Times New Roman" w:hAnsi="Times New Roman" w:cs="Times New Roman"/>
          <w:color w:val="000000"/>
          <w:sz w:val="24"/>
          <w:szCs w:val="24"/>
        </w:rPr>
        <w:t>то</w:t>
      </w:r>
      <w:r w:rsidR="00573AFE" w:rsidRPr="00115349">
        <w:rPr>
          <w:rStyle w:val="jlqj4b"/>
          <w:rFonts w:ascii="Times New Roman" w:hAnsi="Times New Roman" w:cs="Times New Roman"/>
          <w:color w:val="000000"/>
          <w:sz w:val="24"/>
          <w:szCs w:val="24"/>
        </w:rPr>
        <w:t xml:space="preserve"> и молекуларно ниво</w:t>
      </w:r>
      <w:r w:rsidRPr="00115349">
        <w:rPr>
          <w:rStyle w:val="jlqj4b"/>
          <w:rFonts w:ascii="Times New Roman" w:hAnsi="Times New Roman" w:cs="Times New Roman"/>
          <w:color w:val="000000"/>
          <w:sz w:val="24"/>
          <w:szCs w:val="24"/>
        </w:rPr>
        <w:t xml:space="preserve">. </w:t>
      </w:r>
      <w:r w:rsidRPr="00115349">
        <w:rPr>
          <w:rFonts w:ascii="Times New Roman" w:eastAsia="SimSun" w:hAnsi="Times New Roman" w:cs="Times New Roman"/>
          <w:sz w:val="24"/>
          <w:szCs w:val="24"/>
        </w:rPr>
        <w:t xml:space="preserve">Инфилтрацијата на туморите со различни видови имуни клетки резултира со продукција на цитокини кои имаат непосредно влијание на клетките на туморот и предизвикуваат клеточни промени на паренхимот, кои што промени ја диктираат прогнозата и конечниот исход на овој вид неоплазми. Проучувањето на молекуларните карактеристики на имунолошкото микропружување на туморите на саливарни жлезди се уште е на незавидно ниво. </w:t>
      </w:r>
      <w:r w:rsidRPr="00115349">
        <w:rPr>
          <w:rStyle w:val="jlqj4b"/>
          <w:rFonts w:ascii="Times New Roman" w:hAnsi="Times New Roman" w:cs="Times New Roman"/>
          <w:color w:val="000000"/>
          <w:sz w:val="24"/>
          <w:szCs w:val="24"/>
          <w:shd w:val="clear" w:color="auto" w:fill="FFFFFF"/>
        </w:rPr>
        <w:t>Познавањето на функциите, реципрочното и спротивно дејство на имуните клетки и молекули, отвара можности за нови модалитети во имунолошкиот третман на овие неоплазми,</w:t>
      </w:r>
      <w:r w:rsidR="00913DA7">
        <w:rPr>
          <w:rStyle w:val="jlqj4b"/>
          <w:rFonts w:ascii="Times New Roman" w:hAnsi="Times New Roman" w:cs="Times New Roman"/>
          <w:color w:val="000000"/>
          <w:sz w:val="24"/>
          <w:szCs w:val="24"/>
          <w:shd w:val="clear" w:color="auto" w:fill="FFFFFF"/>
        </w:rPr>
        <w:t xml:space="preserve"> </w:t>
      </w:r>
      <w:r w:rsidRPr="00115349">
        <w:rPr>
          <w:rStyle w:val="jlqj4b"/>
          <w:rFonts w:ascii="Times New Roman" w:hAnsi="Times New Roman" w:cs="Times New Roman"/>
          <w:color w:val="000000"/>
          <w:sz w:val="24"/>
          <w:szCs w:val="24"/>
          <w:shd w:val="clear" w:color="auto" w:fill="FFFFFF"/>
        </w:rPr>
        <w:t xml:space="preserve"> насочени токму кон овие молекули, односно нивните рецептори. </w:t>
      </w:r>
    </w:p>
    <w:p w:rsidR="005074C2" w:rsidRPr="00115349" w:rsidRDefault="005074C2" w:rsidP="00421E8E">
      <w:pPr>
        <w:shd w:val="clear" w:color="auto" w:fill="FFFFFF"/>
        <w:spacing w:before="145" w:after="145"/>
        <w:rPr>
          <w:rFonts w:ascii="Times New Roman" w:eastAsia="SimSun" w:hAnsi="Times New Roman" w:cs="Times New Roman"/>
          <w:color w:val="000000"/>
          <w:sz w:val="24"/>
          <w:szCs w:val="24"/>
          <w:shd w:val="clear" w:color="auto" w:fill="FFFFFF"/>
        </w:rPr>
      </w:pPr>
      <w:r w:rsidRPr="00115349">
        <w:rPr>
          <w:rFonts w:ascii="Times New Roman" w:eastAsia="SimSun" w:hAnsi="Times New Roman" w:cs="Times New Roman"/>
          <w:color w:val="000000"/>
          <w:sz w:val="24"/>
          <w:szCs w:val="24"/>
          <w:shd w:val="clear" w:color="auto" w:fill="FFFFFF"/>
        </w:rPr>
        <w:t xml:space="preserve">Virchow, таткото на модерната патологија, 1863 година укажува на тоа дека, на создавање и пролиферација на малигни клетки претходи хронична инфламација и инфекција. Неговиот заклучок се темели на хипотезата според која некои воспалителни медијатори овозможуваат пролиферација на малигни клетки, како и на веќе потврденото присуство на леукоцити во неопластично ткиво (6). </w:t>
      </w:r>
    </w:p>
    <w:p w:rsidR="005074C2" w:rsidRPr="00115349" w:rsidRDefault="005074C2" w:rsidP="00421E8E">
      <w:pPr>
        <w:shd w:val="clear" w:color="auto" w:fill="FFFFFF"/>
        <w:spacing w:before="145" w:after="145"/>
        <w:rPr>
          <w:rStyle w:val="Hyperlink"/>
          <w:rFonts w:ascii="Times New Roman" w:hAnsi="Times New Roman"/>
          <w:color w:val="000000"/>
          <w:sz w:val="24"/>
          <w:szCs w:val="24"/>
          <w:shd w:val="clear" w:color="auto" w:fill="F5F5F5"/>
        </w:rPr>
      </w:pPr>
      <w:r w:rsidRPr="00115349">
        <w:rPr>
          <w:rFonts w:ascii="Times New Roman" w:eastAsia="SimSun" w:hAnsi="Times New Roman" w:cs="Times New Roman"/>
          <w:color w:val="000000"/>
          <w:sz w:val="24"/>
          <w:szCs w:val="24"/>
          <w:shd w:val="clear" w:color="auto" w:fill="FFFFFF"/>
        </w:rPr>
        <w:t>Други податоци пак сугерираат дека причина за туморогенеза се спорадични или наследни мутации на гени одговорни за процесот на диференцијација на клетките, регулација на клеточниот и циклус или програмирана клеточна смрт (апоптоза). Хроничната инфламација и цитокините само ја фаворизираат веќе иницирината промена кај клетките, односно потикнуваат малигна транзиција (7,8).</w:t>
      </w:r>
      <w:r w:rsidRPr="00115349">
        <w:rPr>
          <w:rFonts w:ascii="Times New Roman" w:eastAsia="SimSun" w:hAnsi="Times New Roman" w:cs="Times New Roman"/>
          <w:color w:val="000000"/>
          <w:sz w:val="24"/>
          <w:szCs w:val="24"/>
          <w:shd w:val="clear" w:color="auto" w:fill="FFFFFF"/>
          <w:lang w:eastAsia="zh-CN"/>
        </w:rPr>
        <w:t> </w:t>
      </w:r>
    </w:p>
    <w:p w:rsidR="005074C2" w:rsidRPr="00115349" w:rsidRDefault="005074C2" w:rsidP="00421E8E">
      <w:pPr>
        <w:rPr>
          <w:rStyle w:val="Hyperlink"/>
          <w:rFonts w:ascii="Times New Roman" w:hAnsi="Times New Roman"/>
          <w:sz w:val="24"/>
          <w:szCs w:val="24"/>
        </w:rPr>
      </w:pPr>
      <w:r w:rsidRPr="00115349">
        <w:rPr>
          <w:rFonts w:ascii="Times New Roman" w:hAnsi="Times New Roman" w:cs="Times New Roman"/>
          <w:sz w:val="24"/>
          <w:szCs w:val="24"/>
        </w:rPr>
        <w:t xml:space="preserve">Имунолошкиот одговор на организмот е детерминиран од страна на регулатори на вродениот имунитет - антиген-презентирачки клетки (макрофаги, моноцити, дендритични клетки, гранулоцити, маст клетки и </w:t>
      </w:r>
      <w:r w:rsidR="00573AFE">
        <w:rPr>
          <w:rFonts w:ascii="Times New Roman" w:hAnsi="Times New Roman" w:cs="Times New Roman"/>
          <w:sz w:val="24"/>
          <w:szCs w:val="24"/>
          <w:lang w:val="en-US"/>
        </w:rPr>
        <w:t>NK</w:t>
      </w:r>
      <w:r w:rsidRPr="00115349">
        <w:rPr>
          <w:rFonts w:ascii="Times New Roman" w:hAnsi="Times New Roman" w:cs="Times New Roman"/>
          <w:sz w:val="24"/>
          <w:szCs w:val="24"/>
        </w:rPr>
        <w:t xml:space="preserve"> клетките) и регулатори на стекнатиот имунитет - Т и В лимфоцити. </w:t>
      </w:r>
    </w:p>
    <w:p w:rsidR="005074C2" w:rsidRPr="00115349" w:rsidRDefault="005074C2" w:rsidP="00421E8E">
      <w:pPr>
        <w:shd w:val="clear" w:color="auto" w:fill="FFFFFF"/>
        <w:rPr>
          <w:rStyle w:val="Hyperlink"/>
          <w:rFonts w:ascii="Times New Roman" w:hAnsi="Times New Roman"/>
          <w:b/>
          <w:bCs/>
          <w:sz w:val="24"/>
          <w:szCs w:val="24"/>
        </w:rPr>
      </w:pPr>
      <w:r w:rsidRPr="00115349">
        <w:rPr>
          <w:rFonts w:ascii="Times New Roman" w:hAnsi="Times New Roman" w:cs="Times New Roman"/>
          <w:sz w:val="24"/>
          <w:szCs w:val="24"/>
        </w:rPr>
        <w:t>Микросредината на туморите е хетерогена, составена од миелоидна (вроден имунитет) и лимфоидна (стекнат имунитет) компонента. Не сите клетки кои ја сочинуваат миелоидната компонента имаат антитуморогено дејство. Напротив, некои од нив го потенцираат растот на туморот, неговата инвазивност, потенцијал за метастазирање, како и способноста да го избегнат  имунолошкиот одговор на организмот и конвенционалната терапија (9,10).</w:t>
      </w:r>
      <w:r w:rsidRPr="00115349">
        <w:rPr>
          <w:rStyle w:val="Hyperlink"/>
          <w:rFonts w:ascii="Times New Roman" w:hAnsi="Times New Roman"/>
          <w:b/>
          <w:bCs/>
          <w:sz w:val="24"/>
          <w:szCs w:val="24"/>
        </w:rPr>
        <w:t xml:space="preserve"> </w:t>
      </w:r>
    </w:p>
    <w:p w:rsidR="005074C2" w:rsidRPr="00115349" w:rsidRDefault="005074C2" w:rsidP="00421E8E">
      <w:pPr>
        <w:shd w:val="clear" w:color="auto" w:fill="FFFFFF"/>
        <w:rPr>
          <w:rFonts w:ascii="Times New Roman" w:hAnsi="Times New Roman" w:cs="Times New Roman"/>
          <w:b/>
          <w:bCs/>
          <w:color w:val="0000FF"/>
          <w:sz w:val="24"/>
          <w:szCs w:val="24"/>
          <w:u w:val="single"/>
        </w:rPr>
      </w:pPr>
      <w:r w:rsidRPr="00115349">
        <w:rPr>
          <w:rFonts w:ascii="Times New Roman" w:hAnsi="Times New Roman" w:cs="Times New Roman"/>
          <w:sz w:val="24"/>
          <w:szCs w:val="24"/>
        </w:rPr>
        <w:t>Од друга страна пак, акутната активација на В клетките има улога во ерадикација на неопластичните клетки, односно индуцира регресија на туморот преку секреција на антиген-специфични имуноглобулини</w:t>
      </w:r>
      <w:r w:rsidR="00913DA7">
        <w:rPr>
          <w:rFonts w:ascii="Times New Roman" w:hAnsi="Times New Roman" w:cs="Times New Roman"/>
          <w:sz w:val="24"/>
          <w:szCs w:val="24"/>
        </w:rPr>
        <w:t>.</w:t>
      </w:r>
      <w:r w:rsidRPr="00115349">
        <w:rPr>
          <w:rFonts w:ascii="Times New Roman" w:hAnsi="Times New Roman" w:cs="Times New Roman"/>
          <w:sz w:val="24"/>
          <w:szCs w:val="24"/>
        </w:rPr>
        <w:t xml:space="preserve"> </w:t>
      </w:r>
    </w:p>
    <w:p w:rsidR="00913DA7" w:rsidRDefault="005074C2" w:rsidP="00421E8E">
      <w:pPr>
        <w:shd w:val="clear" w:color="auto" w:fill="FFFFFF"/>
        <w:rPr>
          <w:rFonts w:ascii="Times New Roman" w:hAnsi="Times New Roman" w:cs="Times New Roman"/>
          <w:sz w:val="24"/>
          <w:szCs w:val="24"/>
        </w:rPr>
      </w:pPr>
      <w:r w:rsidRPr="00115349">
        <w:rPr>
          <w:rFonts w:ascii="Times New Roman" w:hAnsi="Times New Roman" w:cs="Times New Roman"/>
          <w:sz w:val="24"/>
          <w:szCs w:val="24"/>
        </w:rPr>
        <w:t xml:space="preserve">Анти-туморогено е и дејството на </w:t>
      </w:r>
      <w:r w:rsidR="00C86A6D">
        <w:rPr>
          <w:rFonts w:ascii="Times New Roman" w:hAnsi="Times New Roman" w:cs="Times New Roman"/>
          <w:sz w:val="24"/>
          <w:szCs w:val="24"/>
          <w:lang w:val="de-DE"/>
        </w:rPr>
        <w:t>CTLs</w:t>
      </w:r>
      <w:r w:rsidRPr="00115349">
        <w:rPr>
          <w:rFonts w:ascii="Times New Roman" w:hAnsi="Times New Roman" w:cs="Times New Roman"/>
          <w:sz w:val="24"/>
          <w:szCs w:val="24"/>
          <w:lang w:val="de-DE"/>
        </w:rPr>
        <w:t xml:space="preserve"> </w:t>
      </w:r>
      <w:r w:rsidRPr="00115349">
        <w:rPr>
          <w:rFonts w:ascii="Times New Roman" w:hAnsi="Times New Roman" w:cs="Times New Roman"/>
          <w:sz w:val="24"/>
          <w:szCs w:val="24"/>
        </w:rPr>
        <w:t xml:space="preserve">за време на акутниот одговор,  додека, сосема парадоксално, хроничната активација на В клетките го потенцира растот на туморот (11,12). </w:t>
      </w:r>
    </w:p>
    <w:p w:rsidR="00221492" w:rsidRDefault="00221492" w:rsidP="00421E8E">
      <w:pPr>
        <w:shd w:val="clear" w:color="auto" w:fill="FFFFFF"/>
        <w:rPr>
          <w:rFonts w:ascii="Times New Roman" w:hAnsi="Times New Roman" w:cs="Times New Roman"/>
          <w:sz w:val="24"/>
          <w:szCs w:val="24"/>
        </w:rPr>
      </w:pPr>
    </w:p>
    <w:p w:rsidR="00221492" w:rsidRDefault="00221492" w:rsidP="00421E8E">
      <w:pPr>
        <w:shd w:val="clear" w:color="auto" w:fill="FFFFFF"/>
        <w:rPr>
          <w:rFonts w:ascii="Times New Roman" w:hAnsi="Times New Roman" w:cs="Times New Roman"/>
          <w:sz w:val="24"/>
          <w:szCs w:val="24"/>
        </w:rPr>
      </w:pPr>
    </w:p>
    <w:p w:rsidR="00221492" w:rsidRDefault="00221492" w:rsidP="00421E8E">
      <w:pPr>
        <w:shd w:val="clear" w:color="auto" w:fill="FFFFFF"/>
        <w:rPr>
          <w:rFonts w:ascii="Times New Roman" w:hAnsi="Times New Roman" w:cs="Times New Roman"/>
          <w:sz w:val="24"/>
          <w:szCs w:val="24"/>
        </w:rPr>
      </w:pPr>
    </w:p>
    <w:p w:rsidR="00221492" w:rsidRDefault="00221492" w:rsidP="00421E8E">
      <w:pPr>
        <w:shd w:val="clear" w:color="auto" w:fill="FFFFFF"/>
        <w:rPr>
          <w:rFonts w:ascii="Times New Roman" w:hAnsi="Times New Roman" w:cs="Times New Roman"/>
          <w:sz w:val="24"/>
          <w:szCs w:val="24"/>
        </w:rPr>
      </w:pPr>
    </w:p>
    <w:p w:rsidR="00221492" w:rsidRDefault="00221492" w:rsidP="00421E8E">
      <w:pPr>
        <w:shd w:val="clear" w:color="auto" w:fill="FFFFFF"/>
        <w:rPr>
          <w:rFonts w:ascii="Times New Roman" w:hAnsi="Times New Roman" w:cs="Times New Roman"/>
          <w:sz w:val="24"/>
          <w:szCs w:val="24"/>
        </w:rPr>
      </w:pPr>
    </w:p>
    <w:p w:rsidR="005074C2" w:rsidRPr="00115349" w:rsidRDefault="005074C2" w:rsidP="00421E8E">
      <w:pPr>
        <w:shd w:val="clear" w:color="auto" w:fill="FFFFFF"/>
        <w:rPr>
          <w:rFonts w:ascii="Times New Roman" w:hAnsi="Times New Roman" w:cs="Times New Roman"/>
          <w:sz w:val="24"/>
          <w:szCs w:val="24"/>
        </w:rPr>
      </w:pPr>
      <w:r w:rsidRPr="00115349">
        <w:rPr>
          <w:rFonts w:ascii="Times New Roman" w:hAnsi="Times New Roman" w:cs="Times New Roman"/>
          <w:sz w:val="24"/>
          <w:szCs w:val="24"/>
        </w:rPr>
        <w:t xml:space="preserve">Хронично активираниот хуморален имунитет и инфилтрацијата со </w:t>
      </w:r>
      <w:r w:rsidRPr="00115349">
        <w:rPr>
          <w:rFonts w:ascii="Times New Roman" w:hAnsi="Times New Roman" w:cs="Times New Roman"/>
          <w:sz w:val="24"/>
          <w:szCs w:val="24"/>
          <w:lang w:val="de-DE"/>
        </w:rPr>
        <w:t xml:space="preserve">Th2 </w:t>
      </w:r>
      <w:r w:rsidRPr="00115349">
        <w:rPr>
          <w:rFonts w:ascii="Times New Roman" w:hAnsi="Times New Roman" w:cs="Times New Roman"/>
          <w:sz w:val="24"/>
          <w:szCs w:val="24"/>
        </w:rPr>
        <w:t xml:space="preserve">клетки, исто така го фаворизира растот на туморот и прогресијата на болеста (12). </w:t>
      </w:r>
    </w:p>
    <w:p w:rsidR="005074C2" w:rsidRPr="00115349" w:rsidRDefault="005074C2" w:rsidP="00421E8E">
      <w:pPr>
        <w:shd w:val="clear" w:color="auto" w:fill="FFFFFF"/>
        <w:rPr>
          <w:rStyle w:val="jlqj4b"/>
          <w:rFonts w:ascii="Times New Roman" w:hAnsi="Times New Roman" w:cs="Times New Roman"/>
          <w:color w:val="212121"/>
          <w:sz w:val="24"/>
          <w:szCs w:val="24"/>
        </w:rPr>
      </w:pPr>
      <w:r w:rsidRPr="00115349">
        <w:rPr>
          <w:rFonts w:ascii="Times New Roman" w:hAnsi="Times New Roman" w:cs="Times New Roman"/>
          <w:color w:val="212121"/>
          <w:sz w:val="24"/>
          <w:szCs w:val="24"/>
        </w:rPr>
        <w:t xml:space="preserve">Цитокините претставуваат растворливи протеини со мала молекуларна маса (≈6–70 kDa), а претставуваат продукт на секреција на различни видови на клетки: лимфоцити, макрофаги, </w:t>
      </w:r>
      <w:r w:rsidR="00913DA7">
        <w:rPr>
          <w:rFonts w:ascii="Times New Roman" w:hAnsi="Times New Roman" w:cs="Times New Roman"/>
          <w:color w:val="212121"/>
          <w:sz w:val="24"/>
          <w:szCs w:val="24"/>
        </w:rPr>
        <w:t>натурал килер</w:t>
      </w:r>
      <w:r w:rsidRPr="00115349">
        <w:rPr>
          <w:rFonts w:ascii="Times New Roman" w:hAnsi="Times New Roman" w:cs="Times New Roman"/>
          <w:color w:val="212121"/>
          <w:sz w:val="24"/>
          <w:szCs w:val="24"/>
        </w:rPr>
        <w:t xml:space="preserve"> (NK), маст клетки и стромални клетки. Цитокините се важни медијатори во комплексната мрежа на реакции во рамките на имунолошкиот систем (13,14).</w:t>
      </w:r>
      <w:r w:rsidRPr="00115349">
        <w:rPr>
          <w:rFonts w:ascii="Times New Roman" w:hAnsi="Times New Roman" w:cs="Times New Roman"/>
          <w:color w:val="212121"/>
          <w:sz w:val="24"/>
          <w:szCs w:val="24"/>
          <w:vertAlign w:val="superscript"/>
        </w:rPr>
        <w:t xml:space="preserve"> </w:t>
      </w:r>
      <w:r w:rsidRPr="00115349">
        <w:rPr>
          <w:rFonts w:ascii="Times New Roman" w:hAnsi="Times New Roman" w:cs="Times New Roman"/>
          <w:color w:val="212121"/>
          <w:sz w:val="24"/>
          <w:szCs w:val="24"/>
        </w:rPr>
        <w:t xml:space="preserve"> </w:t>
      </w:r>
    </w:p>
    <w:p w:rsidR="005074C2" w:rsidRPr="00115349" w:rsidRDefault="00573AFE" w:rsidP="00421E8E">
      <w:pPr>
        <w:shd w:val="clear" w:color="auto" w:fill="FFFFFF"/>
        <w:spacing w:before="145" w:after="145"/>
        <w:rPr>
          <w:rFonts w:ascii="Times New Roman" w:hAnsi="Times New Roman" w:cs="Times New Roman"/>
          <w:b/>
          <w:bCs/>
          <w:color w:val="005274"/>
          <w:sz w:val="24"/>
          <w:szCs w:val="24"/>
          <w:u w:val="single"/>
        </w:rPr>
      </w:pPr>
      <w:r>
        <w:rPr>
          <w:rStyle w:val="jlqj4b"/>
          <w:rFonts w:ascii="Times New Roman" w:hAnsi="Times New Roman" w:cs="Times New Roman"/>
          <w:sz w:val="24"/>
          <w:szCs w:val="24"/>
          <w:shd w:val="clear" w:color="auto" w:fill="FFFFFF"/>
        </w:rPr>
        <w:t>Тие</w:t>
      </w:r>
      <w:r w:rsidR="005074C2" w:rsidRPr="00115349">
        <w:rPr>
          <w:rStyle w:val="jlqj4b"/>
          <w:rFonts w:ascii="Times New Roman" w:hAnsi="Times New Roman" w:cs="Times New Roman"/>
          <w:sz w:val="24"/>
          <w:szCs w:val="24"/>
          <w:shd w:val="clear" w:color="auto" w:fill="FFFFFF"/>
        </w:rPr>
        <w:t xml:space="preserve"> имаат влијание р</w:t>
      </w:r>
      <w:r w:rsidR="00B9170D">
        <w:rPr>
          <w:rStyle w:val="jlqj4b"/>
          <w:rFonts w:ascii="Times New Roman" w:hAnsi="Times New Roman" w:cs="Times New Roman"/>
          <w:sz w:val="24"/>
          <w:szCs w:val="24"/>
          <w:shd w:val="clear" w:color="auto" w:fill="FFFFFF"/>
        </w:rPr>
        <w:t xml:space="preserve">ечиси на секој биолошки процес: </w:t>
      </w:r>
      <w:r w:rsidR="005074C2" w:rsidRPr="00115349">
        <w:rPr>
          <w:rStyle w:val="jlqj4b"/>
          <w:rFonts w:ascii="Times New Roman" w:hAnsi="Times New Roman" w:cs="Times New Roman"/>
          <w:sz w:val="24"/>
          <w:szCs w:val="24"/>
          <w:shd w:val="clear" w:color="auto" w:fill="FFFFFF"/>
        </w:rPr>
        <w:t>ембриогенеза, патогенеза на болести, неспецифични и специфични одговори на антигени, когнитивни функции , дегенеративни процеси при стареење. Цитокините исто така влијаат и на диференцијацијата на матичните клетки, ефикасноста на вакцините и отфрлањето на алографти</w:t>
      </w:r>
      <w:r w:rsidR="005074C2" w:rsidRPr="00115349">
        <w:rPr>
          <w:rStyle w:val="jlqj4b"/>
          <w:rFonts w:ascii="Times New Roman" w:hAnsi="Times New Roman" w:cs="Times New Roman"/>
          <w:sz w:val="24"/>
          <w:szCs w:val="24"/>
          <w:shd w:val="clear" w:color="auto" w:fill="F5F5F5"/>
        </w:rPr>
        <w:t xml:space="preserve"> </w:t>
      </w:r>
      <w:r w:rsidR="005074C2" w:rsidRPr="00115349">
        <w:rPr>
          <w:rFonts w:ascii="Times New Roman" w:hAnsi="Times New Roman" w:cs="Times New Roman"/>
          <w:sz w:val="24"/>
          <w:szCs w:val="24"/>
          <w:shd w:val="clear" w:color="auto" w:fill="FFFFFF"/>
        </w:rPr>
        <w:t>(15).</w:t>
      </w:r>
      <w:r w:rsidR="005074C2" w:rsidRPr="00115349">
        <w:rPr>
          <w:rFonts w:ascii="Times New Roman" w:hAnsi="Times New Roman" w:cs="Times New Roman"/>
          <w:bCs/>
          <w:color w:val="1C1D1E"/>
          <w:kern w:val="36"/>
          <w:sz w:val="24"/>
          <w:szCs w:val="24"/>
        </w:rPr>
        <w:t xml:space="preserve"> </w:t>
      </w:r>
    </w:p>
    <w:p w:rsidR="005074C2" w:rsidRPr="00115349" w:rsidRDefault="005074C2" w:rsidP="00421E8E">
      <w:pPr>
        <w:shd w:val="clear" w:color="auto" w:fill="FFFFFF"/>
        <w:rPr>
          <w:rFonts w:ascii="Times New Roman" w:hAnsi="Times New Roman" w:cs="Times New Roman"/>
          <w:color w:val="212121"/>
          <w:sz w:val="24"/>
          <w:szCs w:val="24"/>
        </w:rPr>
      </w:pPr>
      <w:r w:rsidRPr="00115349">
        <w:rPr>
          <w:rFonts w:ascii="Times New Roman" w:hAnsi="Times New Roman" w:cs="Times New Roman"/>
          <w:color w:val="212121"/>
          <w:sz w:val="24"/>
          <w:szCs w:val="24"/>
        </w:rPr>
        <w:t>Одговорни се за регулација на динамиката на матурацијата, растот и ефикасноста на имуните клетки; всушност претставуваат детерминанти на здравјето воопшто</w:t>
      </w:r>
      <w:r w:rsidR="001C31FA">
        <w:rPr>
          <w:rFonts w:ascii="Times New Roman" w:hAnsi="Times New Roman" w:cs="Times New Roman"/>
          <w:color w:val="212121"/>
          <w:sz w:val="24"/>
          <w:szCs w:val="24"/>
        </w:rPr>
        <w:t xml:space="preserve"> </w:t>
      </w:r>
      <w:r w:rsidRPr="00115349">
        <w:rPr>
          <w:rFonts w:ascii="Times New Roman" w:hAnsi="Times New Roman" w:cs="Times New Roman"/>
          <w:color w:val="212121"/>
          <w:sz w:val="24"/>
          <w:szCs w:val="24"/>
        </w:rPr>
        <w:t>(16,17,18)</w:t>
      </w:r>
      <w:r w:rsidR="00B9170D">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w:t>
      </w:r>
    </w:p>
    <w:p w:rsidR="005074C2" w:rsidRPr="00115349" w:rsidRDefault="005074C2" w:rsidP="00421E8E">
      <w:pPr>
        <w:shd w:val="clear" w:color="auto" w:fill="FFFFFF"/>
        <w:spacing w:before="145" w:after="145"/>
        <w:rPr>
          <w:rFonts w:ascii="Times New Roman" w:hAnsi="Times New Roman" w:cs="Times New Roman"/>
          <w:b/>
          <w:sz w:val="24"/>
          <w:szCs w:val="24"/>
        </w:rPr>
      </w:pPr>
      <w:r w:rsidRPr="00115349">
        <w:rPr>
          <w:rFonts w:ascii="Times New Roman" w:hAnsi="Times New Roman" w:cs="Times New Roman"/>
          <w:color w:val="212121"/>
          <w:sz w:val="24"/>
          <w:szCs w:val="24"/>
        </w:rPr>
        <w:t xml:space="preserve">Различни видови клетки можат да продуцираат еден вид на цитокин, кој пак може да дејствува исто така на повеќе видови на клетки, стимулирајќи </w:t>
      </w:r>
      <w:r w:rsidR="001C31FA">
        <w:rPr>
          <w:rFonts w:ascii="Times New Roman" w:hAnsi="Times New Roman" w:cs="Times New Roman"/>
          <w:color w:val="212121"/>
          <w:sz w:val="24"/>
          <w:szCs w:val="24"/>
        </w:rPr>
        <w:t xml:space="preserve">мноштво биолошки активности </w:t>
      </w:r>
      <w:r w:rsidRPr="00115349">
        <w:rPr>
          <w:rFonts w:ascii="Times New Roman" w:hAnsi="Times New Roman" w:cs="Times New Roman"/>
          <w:color w:val="212121"/>
          <w:sz w:val="24"/>
          <w:szCs w:val="24"/>
        </w:rPr>
        <w:t>(19)</w:t>
      </w:r>
      <w:r w:rsidR="001C31FA">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w:t>
      </w:r>
    </w:p>
    <w:p w:rsidR="005074C2" w:rsidRPr="00115349" w:rsidRDefault="005074C2" w:rsidP="00421E8E">
      <w:pPr>
        <w:shd w:val="clear" w:color="auto" w:fill="FFFFFF"/>
        <w:rPr>
          <w:rFonts w:ascii="Times New Roman" w:hAnsi="Times New Roman" w:cs="Times New Roman"/>
          <w:sz w:val="24"/>
          <w:szCs w:val="24"/>
        </w:rPr>
      </w:pPr>
      <w:r w:rsidRPr="00115349">
        <w:rPr>
          <w:rFonts w:ascii="Times New Roman" w:hAnsi="Times New Roman" w:cs="Times New Roman"/>
          <w:color w:val="212121"/>
          <w:sz w:val="24"/>
          <w:szCs w:val="24"/>
          <w:shd w:val="clear" w:color="auto" w:fill="FFFFFF"/>
        </w:rPr>
        <w:t xml:space="preserve">Врз основа на тоа од кој вид на клетки потекнуваат, цитокините се класифицирани во тип 1 цитокини, произведени од страна на кластер на диференцијација </w:t>
      </w:r>
      <w:r w:rsidR="00573AFE">
        <w:rPr>
          <w:rFonts w:ascii="Times New Roman" w:hAnsi="Times New Roman" w:cs="Times New Roman"/>
          <w:color w:val="212121"/>
          <w:sz w:val="24"/>
          <w:szCs w:val="24"/>
          <w:shd w:val="clear" w:color="auto" w:fill="FFFFFF"/>
        </w:rPr>
        <w:t>CD4</w:t>
      </w:r>
      <w:r w:rsidRPr="00115349">
        <w:rPr>
          <w:rFonts w:ascii="Times New Roman" w:hAnsi="Times New Roman" w:cs="Times New Roman"/>
          <w:color w:val="212121"/>
          <w:sz w:val="24"/>
          <w:szCs w:val="24"/>
          <w:shd w:val="clear" w:color="auto" w:fill="FFFFFF"/>
        </w:rPr>
        <w:t>+ T‐</w:t>
      </w:r>
      <w:r w:rsidR="00B9170D">
        <w:rPr>
          <w:rFonts w:ascii="Times New Roman" w:hAnsi="Times New Roman" w:cs="Times New Roman"/>
          <w:color w:val="212121"/>
          <w:sz w:val="24"/>
          <w:szCs w:val="24"/>
          <w:shd w:val="clear" w:color="auto" w:fill="FFFFFF"/>
        </w:rPr>
        <w:t>хелпер</w:t>
      </w:r>
      <w:r w:rsidRPr="00115349">
        <w:rPr>
          <w:rFonts w:ascii="Times New Roman" w:hAnsi="Times New Roman" w:cs="Times New Roman"/>
          <w:color w:val="212121"/>
          <w:sz w:val="24"/>
          <w:szCs w:val="24"/>
          <w:shd w:val="clear" w:color="auto" w:fill="FFFFFF"/>
        </w:rPr>
        <w:t xml:space="preserve"> 1 (T</w:t>
      </w:r>
      <w:r w:rsidRPr="00115349">
        <w:rPr>
          <w:rFonts w:ascii="Times New Roman" w:hAnsi="Times New Roman" w:cs="Times New Roman"/>
          <w:color w:val="212121"/>
          <w:sz w:val="24"/>
          <w:szCs w:val="24"/>
          <w:shd w:val="clear" w:color="auto" w:fill="FFFFFF"/>
          <w:vertAlign w:val="subscript"/>
        </w:rPr>
        <w:t>h</w:t>
      </w:r>
      <w:r w:rsidRPr="00115349">
        <w:rPr>
          <w:rFonts w:ascii="Times New Roman" w:hAnsi="Times New Roman" w:cs="Times New Roman"/>
          <w:color w:val="212121"/>
          <w:sz w:val="24"/>
          <w:szCs w:val="24"/>
          <w:shd w:val="clear" w:color="auto" w:fill="FFFFFF"/>
        </w:rPr>
        <w:t>1) клетки, односно IL‐2, IL‐12, IFN‐</w:t>
      </w:r>
      <w:r w:rsidRPr="00115349">
        <w:rPr>
          <w:rStyle w:val="Emphasis"/>
          <w:rFonts w:ascii="Times New Roman" w:hAnsi="Times New Roman"/>
          <w:color w:val="212121"/>
          <w:sz w:val="24"/>
          <w:szCs w:val="24"/>
          <w:shd w:val="clear" w:color="auto" w:fill="FFFFFF"/>
        </w:rPr>
        <w:t>γ</w:t>
      </w:r>
      <w:r w:rsidRPr="00115349">
        <w:rPr>
          <w:rFonts w:ascii="Times New Roman" w:hAnsi="Times New Roman" w:cs="Times New Roman"/>
          <w:color w:val="212121"/>
          <w:sz w:val="24"/>
          <w:szCs w:val="24"/>
          <w:shd w:val="clear" w:color="auto" w:fill="FFFFFF"/>
        </w:rPr>
        <w:t xml:space="preserve"> и TNF‐</w:t>
      </w:r>
      <w:r w:rsidRPr="00B9170D">
        <w:rPr>
          <w:rStyle w:val="Emphasis"/>
          <w:rFonts w:ascii="Times New Roman" w:hAnsi="Times New Roman"/>
          <w:i w:val="0"/>
          <w:color w:val="212121"/>
          <w:sz w:val="24"/>
          <w:szCs w:val="24"/>
          <w:shd w:val="clear" w:color="auto" w:fill="FFFFFF"/>
        </w:rPr>
        <w:t>β</w:t>
      </w:r>
      <w:r w:rsidRPr="00B9170D">
        <w:rPr>
          <w:rFonts w:ascii="Times New Roman" w:hAnsi="Times New Roman" w:cs="Times New Roman"/>
          <w:color w:val="212121"/>
          <w:sz w:val="24"/>
          <w:szCs w:val="24"/>
          <w:shd w:val="clear" w:color="auto" w:fill="FFFFFF"/>
        </w:rPr>
        <w:t>;</w:t>
      </w:r>
      <w:r w:rsidRPr="00115349">
        <w:rPr>
          <w:rFonts w:ascii="Times New Roman" w:hAnsi="Times New Roman" w:cs="Times New Roman"/>
          <w:color w:val="212121"/>
          <w:sz w:val="24"/>
          <w:szCs w:val="24"/>
          <w:shd w:val="clear" w:color="auto" w:fill="FFFFFF"/>
        </w:rPr>
        <w:t xml:space="preserve"> и тип 2 цитокини, произведени од страна на CD4+ T</w:t>
      </w:r>
      <w:r w:rsidRPr="00115349">
        <w:rPr>
          <w:rFonts w:ascii="Times New Roman" w:hAnsi="Times New Roman" w:cs="Times New Roman"/>
          <w:color w:val="212121"/>
          <w:sz w:val="24"/>
          <w:szCs w:val="24"/>
          <w:shd w:val="clear" w:color="auto" w:fill="FFFFFF"/>
          <w:vertAlign w:val="subscript"/>
        </w:rPr>
        <w:t>h</w:t>
      </w:r>
      <w:r w:rsidRPr="00115349">
        <w:rPr>
          <w:rFonts w:ascii="Times New Roman" w:hAnsi="Times New Roman" w:cs="Times New Roman"/>
          <w:color w:val="212121"/>
          <w:sz w:val="24"/>
          <w:szCs w:val="24"/>
          <w:shd w:val="clear" w:color="auto" w:fill="FFFFFF"/>
        </w:rPr>
        <w:t>2 клетки,</w:t>
      </w:r>
      <w:r w:rsidR="00B9170D">
        <w:rPr>
          <w:rFonts w:ascii="Times New Roman" w:hAnsi="Times New Roman" w:cs="Times New Roman"/>
          <w:color w:val="212121"/>
          <w:sz w:val="24"/>
          <w:szCs w:val="24"/>
          <w:shd w:val="clear" w:color="auto" w:fill="FFFFFF"/>
        </w:rPr>
        <w:t xml:space="preserve"> </w:t>
      </w:r>
      <w:r w:rsidRPr="00115349">
        <w:rPr>
          <w:rFonts w:ascii="Times New Roman" w:hAnsi="Times New Roman" w:cs="Times New Roman"/>
          <w:color w:val="212121"/>
          <w:sz w:val="24"/>
          <w:szCs w:val="24"/>
          <w:shd w:val="clear" w:color="auto" w:fill="FFFFFF"/>
        </w:rPr>
        <w:t xml:space="preserve">односно IL‐4, IL‐5, IL‐6, IL‐10 и </w:t>
      </w:r>
      <w:r w:rsidR="001C31FA">
        <w:rPr>
          <w:rFonts w:ascii="Times New Roman" w:hAnsi="Times New Roman" w:cs="Times New Roman"/>
          <w:color w:val="212121"/>
          <w:sz w:val="24"/>
          <w:szCs w:val="24"/>
          <w:shd w:val="clear" w:color="auto" w:fill="FFFFFF"/>
        </w:rPr>
        <w:t xml:space="preserve">IL‐13 </w:t>
      </w:r>
      <w:r w:rsidRPr="00115349">
        <w:rPr>
          <w:rFonts w:ascii="Times New Roman" w:hAnsi="Times New Roman" w:cs="Times New Roman"/>
          <w:color w:val="212121"/>
          <w:sz w:val="24"/>
          <w:szCs w:val="24"/>
          <w:shd w:val="clear" w:color="auto" w:fill="FFFFFF"/>
        </w:rPr>
        <w:t>(19)</w:t>
      </w:r>
      <w:r w:rsidR="001C31FA">
        <w:rPr>
          <w:rFonts w:ascii="Times New Roman" w:hAnsi="Times New Roman" w:cs="Times New Roman"/>
          <w:color w:val="212121"/>
          <w:sz w:val="24"/>
          <w:szCs w:val="24"/>
          <w:shd w:val="clear" w:color="auto" w:fill="FFFFFF"/>
        </w:rPr>
        <w:t>.</w:t>
      </w:r>
      <w:r w:rsidRPr="00115349">
        <w:rPr>
          <w:rStyle w:val="nowrap"/>
          <w:rFonts w:ascii="Times New Roman" w:hAnsi="Times New Roman"/>
          <w:color w:val="212121"/>
          <w:sz w:val="24"/>
          <w:szCs w:val="24"/>
          <w:shd w:val="clear" w:color="auto" w:fill="FFFFFF"/>
        </w:rPr>
        <w:t xml:space="preserve"> Зависно пак од нивната улога се поделени се на про и анти-инфламаторни</w:t>
      </w:r>
      <w:r w:rsidR="001C31FA">
        <w:rPr>
          <w:rStyle w:val="nowrap"/>
          <w:rFonts w:ascii="Times New Roman" w:hAnsi="Times New Roman"/>
          <w:color w:val="212121"/>
          <w:sz w:val="24"/>
          <w:szCs w:val="24"/>
          <w:shd w:val="clear" w:color="auto" w:fill="FFFFFF"/>
        </w:rPr>
        <w:t xml:space="preserve"> </w:t>
      </w:r>
      <w:r w:rsidRPr="00115349">
        <w:rPr>
          <w:rFonts w:ascii="Times New Roman" w:hAnsi="Times New Roman" w:cs="Times New Roman"/>
          <w:color w:val="212121"/>
          <w:sz w:val="24"/>
          <w:szCs w:val="24"/>
          <w:shd w:val="clear" w:color="auto" w:fill="FFFFFF"/>
        </w:rPr>
        <w:t>(19)</w:t>
      </w:r>
      <w:r w:rsidR="001C31FA">
        <w:rPr>
          <w:rFonts w:ascii="Times New Roman" w:hAnsi="Times New Roman" w:cs="Times New Roman"/>
          <w:color w:val="212121"/>
          <w:sz w:val="24"/>
          <w:szCs w:val="24"/>
          <w:shd w:val="clear" w:color="auto" w:fill="FFFFFF"/>
        </w:rPr>
        <w:t>.</w:t>
      </w:r>
      <w:r w:rsidRPr="00115349">
        <w:rPr>
          <w:rFonts w:ascii="Times New Roman" w:hAnsi="Times New Roman" w:cs="Times New Roman"/>
          <w:sz w:val="24"/>
          <w:szCs w:val="24"/>
        </w:rPr>
        <w:t xml:space="preserve"> Балансот помеѓу генетски детерминираната експресија на про-инфламторните и анти-инфламаторни цитокини и ефектот од нивното дејство го одредува исходот на болеста (20). </w:t>
      </w:r>
    </w:p>
    <w:p w:rsidR="005074C2" w:rsidRPr="00115349" w:rsidRDefault="005074C2" w:rsidP="00421E8E">
      <w:pPr>
        <w:shd w:val="clear" w:color="auto" w:fill="FFFFFF"/>
        <w:rPr>
          <w:rStyle w:val="nowrap"/>
          <w:rFonts w:ascii="Times New Roman" w:hAnsi="Times New Roman"/>
          <w:color w:val="0071BC"/>
          <w:sz w:val="24"/>
          <w:szCs w:val="24"/>
          <w:u w:val="single"/>
        </w:rPr>
      </w:pPr>
      <w:r w:rsidRPr="00115349">
        <w:rPr>
          <w:rFonts w:ascii="Times New Roman" w:hAnsi="Times New Roman" w:cs="Times New Roman"/>
          <w:color w:val="212121"/>
          <w:sz w:val="24"/>
          <w:szCs w:val="24"/>
          <w:shd w:val="clear" w:color="auto" w:fill="FFFFFF"/>
        </w:rPr>
        <w:t>Про-инфламаторните цитокини како што се IL‐1</w:t>
      </w:r>
      <w:r w:rsidRPr="00B9170D">
        <w:rPr>
          <w:rStyle w:val="Emphasis"/>
          <w:rFonts w:ascii="Times New Roman" w:hAnsi="Times New Roman"/>
          <w:i w:val="0"/>
          <w:color w:val="212121"/>
          <w:sz w:val="24"/>
          <w:szCs w:val="24"/>
          <w:shd w:val="clear" w:color="auto" w:fill="FFFFFF"/>
        </w:rPr>
        <w:t>β</w:t>
      </w:r>
      <w:r w:rsidRPr="00115349">
        <w:rPr>
          <w:rFonts w:ascii="Times New Roman" w:hAnsi="Times New Roman" w:cs="Times New Roman"/>
          <w:color w:val="212121"/>
          <w:sz w:val="24"/>
          <w:szCs w:val="24"/>
          <w:shd w:val="clear" w:color="auto" w:fill="FFFFFF"/>
        </w:rPr>
        <w:t>, IL‐6, IL‐8, IL‐12, TNF‐</w:t>
      </w:r>
      <w:r w:rsidRPr="00115349">
        <w:rPr>
          <w:rStyle w:val="Emphasis"/>
          <w:rFonts w:ascii="Times New Roman" w:hAnsi="Times New Roman"/>
          <w:color w:val="212121"/>
          <w:sz w:val="24"/>
          <w:szCs w:val="24"/>
          <w:shd w:val="clear" w:color="auto" w:fill="FFFFFF"/>
        </w:rPr>
        <w:t>α</w:t>
      </w:r>
      <w:r w:rsidRPr="00115349">
        <w:rPr>
          <w:rFonts w:ascii="Times New Roman" w:hAnsi="Times New Roman" w:cs="Times New Roman"/>
          <w:color w:val="212121"/>
          <w:sz w:val="24"/>
          <w:szCs w:val="24"/>
          <w:shd w:val="clear" w:color="auto" w:fill="FFFFFF"/>
        </w:rPr>
        <w:t xml:space="preserve"> и интерфероните, се акцелератори на инфламаторните реакции со цел да ги стимулираат имунокомпетентните клетки. Анти-инфламаторните пак цитокини, како што се IL‐4, IL‐6, IL‐10, IL‐11, IL‐13, IL‐1 </w:t>
      </w:r>
      <w:r w:rsidR="00B9170D">
        <w:rPr>
          <w:rFonts w:ascii="Times New Roman" w:hAnsi="Times New Roman" w:cs="Times New Roman"/>
          <w:color w:val="212121"/>
          <w:sz w:val="24"/>
          <w:szCs w:val="24"/>
          <w:shd w:val="clear" w:color="auto" w:fill="FFFFFF"/>
        </w:rPr>
        <w:t>рецептор антагонист</w:t>
      </w:r>
      <w:r w:rsidRPr="00115349">
        <w:rPr>
          <w:rFonts w:ascii="Times New Roman" w:hAnsi="Times New Roman" w:cs="Times New Roman"/>
          <w:color w:val="212121"/>
          <w:sz w:val="24"/>
          <w:szCs w:val="24"/>
          <w:shd w:val="clear" w:color="auto" w:fill="FFFFFF"/>
        </w:rPr>
        <w:t xml:space="preserve"> (IL‐1RA) и TGF‐</w:t>
      </w:r>
      <w:r w:rsidRPr="00B9170D">
        <w:rPr>
          <w:rStyle w:val="Emphasis"/>
          <w:rFonts w:ascii="Times New Roman" w:hAnsi="Times New Roman"/>
          <w:i w:val="0"/>
          <w:color w:val="212121"/>
          <w:sz w:val="24"/>
          <w:szCs w:val="24"/>
          <w:shd w:val="clear" w:color="auto" w:fill="FFFFFF"/>
        </w:rPr>
        <w:t>β</w:t>
      </w:r>
      <w:r w:rsidR="00B9170D">
        <w:rPr>
          <w:rStyle w:val="Emphasis"/>
          <w:rFonts w:ascii="Times New Roman" w:hAnsi="Times New Roman"/>
          <w:i w:val="0"/>
          <w:color w:val="212121"/>
          <w:sz w:val="24"/>
          <w:szCs w:val="24"/>
          <w:shd w:val="clear" w:color="auto" w:fill="FFFFFF"/>
        </w:rPr>
        <w:t>(трансформирачки фактор на раст-бета)</w:t>
      </w:r>
      <w:r w:rsidRPr="00115349">
        <w:rPr>
          <w:rFonts w:ascii="Times New Roman" w:hAnsi="Times New Roman" w:cs="Times New Roman"/>
          <w:color w:val="212121"/>
          <w:sz w:val="24"/>
          <w:szCs w:val="24"/>
          <w:shd w:val="clear" w:color="auto" w:fill="FFFFFF"/>
        </w:rPr>
        <w:t>, влијаат инхибиторно на инфлам</w:t>
      </w:r>
      <w:r w:rsidR="00B9170D">
        <w:rPr>
          <w:rFonts w:ascii="Times New Roman" w:hAnsi="Times New Roman" w:cs="Times New Roman"/>
          <w:color w:val="212121"/>
          <w:sz w:val="24"/>
          <w:szCs w:val="24"/>
          <w:shd w:val="clear" w:color="auto" w:fill="FFFFFF"/>
        </w:rPr>
        <w:t>ацијата и супресивно врз имунокомпетентите</w:t>
      </w:r>
      <w:r w:rsidRPr="00115349">
        <w:rPr>
          <w:rFonts w:ascii="Times New Roman" w:hAnsi="Times New Roman" w:cs="Times New Roman"/>
          <w:color w:val="212121"/>
          <w:sz w:val="24"/>
          <w:szCs w:val="24"/>
          <w:shd w:val="clear" w:color="auto" w:fill="FFFFFF"/>
        </w:rPr>
        <w:t xml:space="preserve"> клетки (21)</w:t>
      </w:r>
      <w:r w:rsidR="001C31FA">
        <w:rPr>
          <w:rFonts w:ascii="Times New Roman" w:hAnsi="Times New Roman" w:cs="Times New Roman"/>
          <w:color w:val="212121"/>
          <w:sz w:val="24"/>
          <w:szCs w:val="24"/>
          <w:shd w:val="clear" w:color="auto" w:fill="FFFFFF"/>
        </w:rPr>
        <w:t>.</w:t>
      </w:r>
      <w:r w:rsidRPr="00115349">
        <w:rPr>
          <w:rFonts w:ascii="Times New Roman" w:hAnsi="Times New Roman" w:cs="Times New Roman"/>
          <w:color w:val="212121"/>
          <w:sz w:val="24"/>
          <w:szCs w:val="24"/>
          <w:shd w:val="clear" w:color="auto" w:fill="FFFFFF"/>
        </w:rPr>
        <w:t xml:space="preserve"> </w:t>
      </w:r>
    </w:p>
    <w:p w:rsidR="00221492" w:rsidRDefault="005074C2" w:rsidP="00421E8E">
      <w:pPr>
        <w:pStyle w:val="p"/>
        <w:shd w:val="clear" w:color="auto" w:fill="FFFFFF"/>
        <w:spacing w:before="400" w:beforeAutospacing="0" w:after="400" w:afterAutospacing="0"/>
        <w:rPr>
          <w:color w:val="212121"/>
          <w:shd w:val="clear" w:color="auto" w:fill="FFFFFF"/>
          <w:lang w:val="mk-MK"/>
        </w:rPr>
      </w:pPr>
      <w:r w:rsidRPr="00115349">
        <w:rPr>
          <w:color w:val="212121"/>
          <w:shd w:val="clear" w:color="auto" w:fill="FFFFFF"/>
          <w:lang w:val="mk-MK"/>
        </w:rPr>
        <w:t>Ваквата класификација на цитокини на про и анти-инфламаторни, нуди поголема можност за разбирање на реакциите за кои што тригер претставува имунолошкиот одговорот на организмот.</w:t>
      </w:r>
    </w:p>
    <w:p w:rsidR="005074C2" w:rsidRPr="00115349" w:rsidRDefault="005074C2" w:rsidP="00421E8E">
      <w:pPr>
        <w:pStyle w:val="p"/>
        <w:shd w:val="clear" w:color="auto" w:fill="FFFFFF"/>
        <w:spacing w:before="400" w:beforeAutospacing="0" w:after="400" w:afterAutospacing="0"/>
        <w:rPr>
          <w:rStyle w:val="nowrap"/>
          <w:color w:val="212121"/>
          <w:shd w:val="clear" w:color="auto" w:fill="FFFFFF"/>
          <w:lang w:val="mk-MK"/>
        </w:rPr>
      </w:pPr>
      <w:r w:rsidRPr="00115349">
        <w:rPr>
          <w:color w:val="212121"/>
          <w:shd w:val="clear" w:color="auto" w:fill="FFFFFF"/>
          <w:lang w:val="mk-MK"/>
        </w:rPr>
        <w:t>Еден цитокин може не само да биде произведен од различни видови клетки, туку и да има и различна,</w:t>
      </w:r>
      <w:r w:rsidR="00B9170D">
        <w:rPr>
          <w:color w:val="212121"/>
          <w:shd w:val="clear" w:color="auto" w:fill="FFFFFF"/>
          <w:lang w:val="mk-MK"/>
        </w:rPr>
        <w:t xml:space="preserve"> </w:t>
      </w:r>
      <w:r w:rsidRPr="00115349">
        <w:rPr>
          <w:color w:val="212121"/>
          <w:shd w:val="clear" w:color="auto" w:fill="FFFFFF"/>
          <w:lang w:val="mk-MK"/>
        </w:rPr>
        <w:t>односно, двојна улога, про и анти-инфламаторна (</w:t>
      </w:r>
      <w:r w:rsidRPr="00115349">
        <w:rPr>
          <w:rStyle w:val="nowrap"/>
          <w:color w:val="212121"/>
          <w:shd w:val="clear" w:color="auto" w:fill="FFFFFF"/>
          <w:lang w:val="mk-MK"/>
        </w:rPr>
        <w:t xml:space="preserve">како на пр. </w:t>
      </w:r>
      <w:r w:rsidRPr="00A926CA">
        <w:rPr>
          <w:color w:val="212121"/>
          <w:shd w:val="clear" w:color="auto" w:fill="FFFFFF"/>
          <w:lang w:val="mk-MK"/>
        </w:rPr>
        <w:t>IL‐6</w:t>
      </w:r>
      <w:r w:rsidRPr="00115349">
        <w:rPr>
          <w:color w:val="212121"/>
          <w:shd w:val="clear" w:color="auto" w:fill="FFFFFF"/>
          <w:lang w:val="mk-MK"/>
        </w:rPr>
        <w:t xml:space="preserve">, </w:t>
      </w:r>
      <w:r w:rsidRPr="00A926CA">
        <w:rPr>
          <w:color w:val="212121"/>
          <w:shd w:val="clear" w:color="auto" w:fill="FFFFFF"/>
          <w:lang w:val="mk-MK"/>
        </w:rPr>
        <w:t>IL-33</w:t>
      </w:r>
      <w:r w:rsidRPr="00115349">
        <w:rPr>
          <w:color w:val="212121"/>
          <w:shd w:val="clear" w:color="auto" w:fill="FFFFFF"/>
          <w:lang w:val="mk-MK"/>
        </w:rPr>
        <w:t>) (22). Про-инфламаторните цитокини иницираат автоимуна инфламација, додека анти-инфламаторните ја забрзуваат регресијата на инфламацијата и опоравувањето од акутната</w:t>
      </w:r>
      <w:r w:rsidR="001C31FA">
        <w:rPr>
          <w:color w:val="212121"/>
          <w:shd w:val="clear" w:color="auto" w:fill="FFFFFF"/>
          <w:lang w:val="mk-MK"/>
        </w:rPr>
        <w:t xml:space="preserve"> фаза на автоимуното заболување </w:t>
      </w:r>
      <w:r w:rsidRPr="00115349">
        <w:rPr>
          <w:color w:val="212121"/>
          <w:shd w:val="clear" w:color="auto" w:fill="FFFFFF"/>
          <w:lang w:val="mk-MK"/>
        </w:rPr>
        <w:t>(23)</w:t>
      </w:r>
      <w:r w:rsidR="001C31FA">
        <w:rPr>
          <w:color w:val="212121"/>
          <w:shd w:val="clear" w:color="auto" w:fill="FFFFFF"/>
          <w:lang w:val="mk-MK"/>
        </w:rPr>
        <w:t>.</w:t>
      </w:r>
      <w:r w:rsidRPr="00115349">
        <w:rPr>
          <w:color w:val="212121"/>
          <w:shd w:val="clear" w:color="auto" w:fill="FFFFFF"/>
          <w:lang w:val="mk-MK"/>
        </w:rPr>
        <w:t xml:space="preserve"> </w:t>
      </w:r>
    </w:p>
    <w:p w:rsidR="00221492" w:rsidRDefault="00221492" w:rsidP="00421E8E">
      <w:pPr>
        <w:pStyle w:val="NormalWeb"/>
        <w:shd w:val="clear" w:color="auto" w:fill="FFFFFF"/>
        <w:spacing w:before="400" w:beforeAutospacing="0" w:after="400" w:afterAutospacing="0"/>
        <w:rPr>
          <w:rFonts w:ascii="Times New Roman" w:hAnsi="Times New Roman" w:cs="Times New Roman"/>
          <w:color w:val="212121"/>
          <w:lang w:val="mk-MK"/>
        </w:rPr>
      </w:pPr>
    </w:p>
    <w:p w:rsidR="00221492" w:rsidRDefault="00221492" w:rsidP="00421E8E">
      <w:pPr>
        <w:pStyle w:val="NormalWeb"/>
        <w:shd w:val="clear" w:color="auto" w:fill="FFFFFF"/>
        <w:spacing w:before="400" w:beforeAutospacing="0" w:after="400" w:afterAutospacing="0"/>
        <w:rPr>
          <w:rFonts w:ascii="Times New Roman" w:hAnsi="Times New Roman" w:cs="Times New Roman"/>
          <w:color w:val="212121"/>
          <w:lang w:val="mk-MK"/>
        </w:rPr>
      </w:pPr>
    </w:p>
    <w:p w:rsidR="005074C2" w:rsidRPr="00A926CA" w:rsidRDefault="005074C2" w:rsidP="00421E8E">
      <w:pPr>
        <w:pStyle w:val="NormalWeb"/>
        <w:shd w:val="clear" w:color="auto" w:fill="FFFFFF"/>
        <w:spacing w:before="400" w:beforeAutospacing="0" w:after="400" w:afterAutospacing="0"/>
        <w:rPr>
          <w:rFonts w:ascii="Times New Roman" w:hAnsi="Times New Roman" w:cs="Times New Roman"/>
          <w:color w:val="212121"/>
          <w:lang w:val="ru-RU"/>
        </w:rPr>
      </w:pPr>
      <w:r w:rsidRPr="00115349">
        <w:rPr>
          <w:rFonts w:ascii="Times New Roman" w:hAnsi="Times New Roman" w:cs="Times New Roman"/>
          <w:color w:val="212121"/>
          <w:lang w:val="mk-MK"/>
        </w:rPr>
        <w:t>Про-инфламаторните цитокини поседуваат имуни карактеристики кои му се од корист на организмот во борба против бактерии или други микроорганизми во клеточното опкружување во дадениот момент, односно во ендогената флора на кожата и интестинумот</w:t>
      </w:r>
      <w:r w:rsidRPr="00A926CA">
        <w:rPr>
          <w:rFonts w:ascii="Times New Roman" w:hAnsi="Times New Roman" w:cs="Times New Roman"/>
          <w:color w:val="212121"/>
          <w:vertAlign w:val="superscript"/>
          <w:lang w:val="ru-RU"/>
        </w:rPr>
        <w:t xml:space="preserve"> </w:t>
      </w:r>
      <w:r w:rsidRPr="00115349">
        <w:rPr>
          <w:rFonts w:ascii="Times New Roman" w:hAnsi="Times New Roman" w:cs="Times New Roman"/>
          <w:lang w:val="mk-MK"/>
        </w:rPr>
        <w:t xml:space="preserve">(20). </w:t>
      </w:r>
      <w:r w:rsidR="00B9170D">
        <w:rPr>
          <w:rFonts w:ascii="Times New Roman" w:hAnsi="Times New Roman" w:cs="Times New Roman"/>
          <w:lang w:val="mk-MK"/>
        </w:rPr>
        <w:t xml:space="preserve"> </w:t>
      </w:r>
      <w:r w:rsidRPr="00115349">
        <w:rPr>
          <w:rFonts w:ascii="Times New Roman" w:hAnsi="Times New Roman" w:cs="Times New Roman"/>
          <w:color w:val="212121"/>
          <w:lang w:val="mk-MK"/>
        </w:rPr>
        <w:t>Про-инфламаторните цитокини кои ги ослободуваат макрофагите имаат круцијална ул</w:t>
      </w:r>
      <w:r w:rsidR="001C31FA">
        <w:rPr>
          <w:rFonts w:ascii="Times New Roman" w:hAnsi="Times New Roman" w:cs="Times New Roman"/>
          <w:color w:val="212121"/>
          <w:lang w:val="mk-MK"/>
        </w:rPr>
        <w:t xml:space="preserve">ога во борба против инфекцијата </w:t>
      </w:r>
      <w:r w:rsidRPr="00115349">
        <w:rPr>
          <w:rFonts w:ascii="Times New Roman" w:hAnsi="Times New Roman" w:cs="Times New Roman"/>
          <w:color w:val="212121"/>
          <w:lang w:val="mk-MK"/>
        </w:rPr>
        <w:t>(24)</w:t>
      </w:r>
      <w:r w:rsidR="001C31FA">
        <w:rPr>
          <w:rFonts w:ascii="Times New Roman" w:hAnsi="Times New Roman" w:cs="Times New Roman"/>
          <w:color w:val="212121"/>
          <w:lang w:val="mk-MK"/>
        </w:rPr>
        <w:t>.</w:t>
      </w:r>
      <w:r w:rsidRPr="00115349">
        <w:rPr>
          <w:rFonts w:ascii="Times New Roman" w:hAnsi="Times New Roman" w:cs="Times New Roman"/>
          <w:color w:val="212121"/>
          <w:lang w:val="mk-MK"/>
        </w:rPr>
        <w:t xml:space="preserve"> Макрофагите се прва одбрамбена линија против бактериската инфекција и всушност се одговорни за иницијација на </w:t>
      </w:r>
      <w:r w:rsidR="00573AFE">
        <w:rPr>
          <w:rFonts w:ascii="Times New Roman" w:hAnsi="Times New Roman" w:cs="Times New Roman"/>
          <w:color w:val="212121"/>
          <w:lang w:val="mk-MK"/>
        </w:rPr>
        <w:t xml:space="preserve">имунолошкиот </w:t>
      </w:r>
      <w:r w:rsidRPr="00115349">
        <w:rPr>
          <w:rFonts w:ascii="Times New Roman" w:hAnsi="Times New Roman" w:cs="Times New Roman"/>
          <w:color w:val="212121"/>
          <w:lang w:val="mk-MK"/>
        </w:rPr>
        <w:t>одговор на организмот</w:t>
      </w:r>
      <w:r w:rsidR="00573AFE">
        <w:rPr>
          <w:rFonts w:ascii="Times New Roman" w:hAnsi="Times New Roman" w:cs="Times New Roman"/>
          <w:color w:val="212121"/>
          <w:lang w:val="mk-MK"/>
        </w:rPr>
        <w:t xml:space="preserve">. </w:t>
      </w:r>
      <w:r w:rsidRPr="00115349">
        <w:rPr>
          <w:rFonts w:ascii="Times New Roman" w:hAnsi="Times New Roman" w:cs="Times New Roman"/>
          <w:color w:val="212121"/>
          <w:lang w:val="mk-MK"/>
        </w:rPr>
        <w:t xml:space="preserve">Стимулирани од страна на бактериите, продуцираат про-инфламаторни цитокини, како што се </w:t>
      </w:r>
      <w:r w:rsidRPr="00115349">
        <w:rPr>
          <w:rFonts w:ascii="Times New Roman" w:hAnsi="Times New Roman" w:cs="Times New Roman"/>
          <w:color w:val="212121"/>
        </w:rPr>
        <w:t>IL</w:t>
      </w:r>
      <w:r w:rsidRPr="00A926CA">
        <w:rPr>
          <w:rFonts w:ascii="Times New Roman" w:hAnsi="Times New Roman" w:cs="Times New Roman"/>
          <w:color w:val="212121"/>
          <w:lang w:val="ru-RU"/>
        </w:rPr>
        <w:t xml:space="preserve">‐1, </w:t>
      </w:r>
      <w:r w:rsidRPr="00115349">
        <w:rPr>
          <w:rFonts w:ascii="Times New Roman" w:hAnsi="Times New Roman" w:cs="Times New Roman"/>
          <w:color w:val="212121"/>
        </w:rPr>
        <w:t>IL</w:t>
      </w:r>
      <w:r w:rsidRPr="00A926CA">
        <w:rPr>
          <w:rFonts w:ascii="Times New Roman" w:hAnsi="Times New Roman" w:cs="Times New Roman"/>
          <w:color w:val="212121"/>
          <w:lang w:val="ru-RU"/>
        </w:rPr>
        <w:t xml:space="preserve">‐6, </w:t>
      </w:r>
      <w:r w:rsidRPr="00115349">
        <w:rPr>
          <w:rFonts w:ascii="Times New Roman" w:hAnsi="Times New Roman" w:cs="Times New Roman"/>
          <w:color w:val="212121"/>
        </w:rPr>
        <w:t>IL</w:t>
      </w:r>
      <w:r w:rsidRPr="00A926CA">
        <w:rPr>
          <w:rFonts w:ascii="Times New Roman" w:hAnsi="Times New Roman" w:cs="Times New Roman"/>
          <w:color w:val="212121"/>
          <w:lang w:val="ru-RU"/>
        </w:rPr>
        <w:t xml:space="preserve">‐8, </w:t>
      </w:r>
      <w:r w:rsidRPr="00115349">
        <w:rPr>
          <w:rFonts w:ascii="Times New Roman" w:hAnsi="Times New Roman" w:cs="Times New Roman"/>
          <w:color w:val="212121"/>
        </w:rPr>
        <w:t>IL</w:t>
      </w:r>
      <w:r w:rsidRPr="00A926CA">
        <w:rPr>
          <w:rFonts w:ascii="Times New Roman" w:hAnsi="Times New Roman" w:cs="Times New Roman"/>
          <w:color w:val="212121"/>
          <w:lang w:val="ru-RU"/>
        </w:rPr>
        <w:t xml:space="preserve">‐12, </w:t>
      </w:r>
      <w:r w:rsidRPr="00115349">
        <w:rPr>
          <w:rFonts w:ascii="Times New Roman" w:hAnsi="Times New Roman" w:cs="Times New Roman"/>
          <w:color w:val="212121"/>
        </w:rPr>
        <w:t>IL</w:t>
      </w:r>
      <w:r w:rsidRPr="00A926CA">
        <w:rPr>
          <w:rFonts w:ascii="Times New Roman" w:hAnsi="Times New Roman" w:cs="Times New Roman"/>
          <w:color w:val="212121"/>
          <w:lang w:val="ru-RU"/>
        </w:rPr>
        <w:t xml:space="preserve">‐18, </w:t>
      </w:r>
      <w:r w:rsidRPr="00115349">
        <w:rPr>
          <w:rFonts w:ascii="Times New Roman" w:hAnsi="Times New Roman" w:cs="Times New Roman"/>
          <w:color w:val="212121"/>
        </w:rPr>
        <w:t>IFN</w:t>
      </w:r>
      <w:r w:rsidRPr="00A926CA">
        <w:rPr>
          <w:rFonts w:ascii="Times New Roman" w:hAnsi="Times New Roman" w:cs="Times New Roman"/>
          <w:color w:val="212121"/>
          <w:lang w:val="ru-RU"/>
        </w:rPr>
        <w:t>‐</w:t>
      </w:r>
      <w:r w:rsidRPr="00B9170D">
        <w:rPr>
          <w:rStyle w:val="Emphasis"/>
          <w:rFonts w:ascii="Times New Roman" w:hAnsi="Times New Roman"/>
          <w:i w:val="0"/>
          <w:color w:val="212121"/>
        </w:rPr>
        <w:t>α</w:t>
      </w:r>
      <w:r w:rsidRPr="00A926CA">
        <w:rPr>
          <w:rFonts w:ascii="Times New Roman" w:hAnsi="Times New Roman" w:cs="Times New Roman"/>
          <w:i/>
          <w:color w:val="212121"/>
          <w:lang w:val="ru-RU"/>
        </w:rPr>
        <w:t>/</w:t>
      </w:r>
      <w:r w:rsidRPr="00B9170D">
        <w:rPr>
          <w:rStyle w:val="Emphasis"/>
          <w:rFonts w:ascii="Times New Roman" w:hAnsi="Times New Roman"/>
          <w:i w:val="0"/>
          <w:color w:val="212121"/>
        </w:rPr>
        <w:t>γ</w:t>
      </w:r>
      <w:r w:rsidRPr="00115349">
        <w:rPr>
          <w:rFonts w:ascii="Times New Roman" w:hAnsi="Times New Roman" w:cs="Times New Roman"/>
          <w:color w:val="212121"/>
          <w:lang w:val="mk-MK"/>
        </w:rPr>
        <w:t xml:space="preserve"> и </w:t>
      </w:r>
      <w:r w:rsidRPr="00115349">
        <w:rPr>
          <w:rFonts w:ascii="Times New Roman" w:hAnsi="Times New Roman" w:cs="Times New Roman"/>
          <w:color w:val="212121"/>
        </w:rPr>
        <w:t>TNF</w:t>
      </w:r>
      <w:r w:rsidRPr="00A926CA">
        <w:rPr>
          <w:rFonts w:ascii="Times New Roman" w:hAnsi="Times New Roman" w:cs="Times New Roman"/>
          <w:color w:val="212121"/>
          <w:lang w:val="ru-RU"/>
        </w:rPr>
        <w:t>‐</w:t>
      </w:r>
      <w:r w:rsidRPr="00B9170D">
        <w:rPr>
          <w:rStyle w:val="Emphasis"/>
          <w:rFonts w:ascii="Times New Roman" w:hAnsi="Times New Roman"/>
          <w:i w:val="0"/>
          <w:color w:val="212121"/>
        </w:rPr>
        <w:t>α</w:t>
      </w:r>
      <w:r w:rsidR="008B03C5">
        <w:rPr>
          <w:rFonts w:ascii="Times New Roman" w:hAnsi="Times New Roman" w:cs="Times New Roman"/>
          <w:color w:val="212121"/>
          <w:lang w:val="ru-RU"/>
        </w:rPr>
        <w:t xml:space="preserve">. </w:t>
      </w:r>
      <w:r w:rsidRPr="00115349">
        <w:rPr>
          <w:rFonts w:ascii="Times New Roman" w:hAnsi="Times New Roman" w:cs="Times New Roman"/>
          <w:color w:val="212121"/>
          <w:lang w:val="mk-MK"/>
        </w:rPr>
        <w:t xml:space="preserve">Овие цитокини меѓусебно се поврзани и координирано се ослободуваат од активираните макрофаги и го модулираат имунолошкиот одговор на организмот </w:t>
      </w:r>
      <w:r w:rsidRPr="00115349">
        <w:rPr>
          <w:rFonts w:ascii="Times New Roman" w:hAnsi="Times New Roman" w:cs="Times New Roman"/>
          <w:color w:val="212121"/>
          <w:shd w:val="clear" w:color="auto" w:fill="FFFFFF"/>
          <w:lang w:val="mk-MK"/>
        </w:rPr>
        <w:t>(25).</w:t>
      </w:r>
    </w:p>
    <w:p w:rsidR="005074C2" w:rsidRPr="00115349" w:rsidRDefault="005074C2" w:rsidP="00421E8E">
      <w:pPr>
        <w:shd w:val="clear" w:color="auto" w:fill="FFFFFF"/>
        <w:rPr>
          <w:rFonts w:ascii="Times New Roman" w:hAnsi="Times New Roman" w:cs="Times New Roman"/>
          <w:color w:val="212121"/>
          <w:sz w:val="24"/>
          <w:szCs w:val="24"/>
        </w:rPr>
      </w:pPr>
      <w:r w:rsidRPr="00115349">
        <w:rPr>
          <w:rFonts w:ascii="Times New Roman" w:hAnsi="Times New Roman" w:cs="Times New Roman"/>
          <w:color w:val="212121"/>
          <w:sz w:val="24"/>
          <w:szCs w:val="24"/>
        </w:rPr>
        <w:t xml:space="preserve">Интензивен про-инфламаторен одговор доведува до хронична инфламација и влијае негативно на биолошката хомеостаза и може да резултира со заболувања како што се малигните заболувања </w:t>
      </w:r>
      <w:r w:rsidRPr="00115349">
        <w:rPr>
          <w:rFonts w:ascii="Times New Roman" w:hAnsi="Times New Roman" w:cs="Times New Roman"/>
          <w:color w:val="212121"/>
          <w:sz w:val="24"/>
          <w:szCs w:val="24"/>
          <w:shd w:val="clear" w:color="auto" w:fill="FFFFFF"/>
        </w:rPr>
        <w:t xml:space="preserve">(26), </w:t>
      </w:r>
      <w:r w:rsidRPr="00115349">
        <w:rPr>
          <w:rStyle w:val="nowrap"/>
          <w:rFonts w:ascii="Times New Roman" w:hAnsi="Times New Roman"/>
          <w:color w:val="212121"/>
          <w:sz w:val="24"/>
          <w:szCs w:val="24"/>
          <w:shd w:val="clear" w:color="auto" w:fill="FFFFFF"/>
        </w:rPr>
        <w:t>ди</w:t>
      </w:r>
      <w:r w:rsidR="00B9170D">
        <w:rPr>
          <w:rStyle w:val="nowrap"/>
          <w:rFonts w:ascii="Times New Roman" w:hAnsi="Times New Roman"/>
          <w:color w:val="212121"/>
          <w:sz w:val="24"/>
          <w:szCs w:val="24"/>
          <w:shd w:val="clear" w:color="auto" w:fill="FFFFFF"/>
        </w:rPr>
        <w:t>ј</w:t>
      </w:r>
      <w:r w:rsidRPr="00115349">
        <w:rPr>
          <w:rStyle w:val="nowrap"/>
          <w:rFonts w:ascii="Times New Roman" w:hAnsi="Times New Roman"/>
          <w:color w:val="212121"/>
          <w:sz w:val="24"/>
          <w:szCs w:val="24"/>
          <w:shd w:val="clear" w:color="auto" w:fill="FFFFFF"/>
        </w:rPr>
        <w:t>абет</w:t>
      </w:r>
      <w:r w:rsidRPr="00115349">
        <w:rPr>
          <w:rFonts w:ascii="Times New Roman" w:hAnsi="Times New Roman" w:cs="Times New Roman"/>
          <w:color w:val="212121"/>
          <w:sz w:val="24"/>
          <w:szCs w:val="24"/>
        </w:rPr>
        <w:t xml:space="preserve"> </w:t>
      </w:r>
      <w:r w:rsidRPr="00115349">
        <w:rPr>
          <w:rFonts w:ascii="Times New Roman" w:hAnsi="Times New Roman" w:cs="Times New Roman"/>
          <w:color w:val="212121"/>
          <w:sz w:val="24"/>
          <w:szCs w:val="24"/>
          <w:shd w:val="clear" w:color="auto" w:fill="FFFFFF"/>
        </w:rPr>
        <w:t xml:space="preserve">(27), </w:t>
      </w:r>
      <w:r w:rsidRPr="00115349">
        <w:rPr>
          <w:rStyle w:val="nowrap"/>
          <w:rFonts w:ascii="Times New Roman" w:hAnsi="Times New Roman"/>
          <w:color w:val="212121"/>
          <w:sz w:val="24"/>
          <w:szCs w:val="24"/>
          <w:shd w:val="clear" w:color="auto" w:fill="FFFFFF"/>
        </w:rPr>
        <w:t xml:space="preserve">кардио-васкуларни заболувања </w:t>
      </w:r>
      <w:r w:rsidRPr="00115349">
        <w:rPr>
          <w:rFonts w:ascii="Times New Roman" w:hAnsi="Times New Roman" w:cs="Times New Roman"/>
          <w:color w:val="212121"/>
          <w:sz w:val="24"/>
          <w:szCs w:val="24"/>
          <w:shd w:val="clear" w:color="auto" w:fill="FFFFFF"/>
        </w:rPr>
        <w:t>(28),</w:t>
      </w:r>
      <w:r w:rsidRPr="00115349">
        <w:rPr>
          <w:rStyle w:val="nowrap"/>
          <w:rFonts w:ascii="Times New Roman" w:hAnsi="Times New Roman"/>
          <w:color w:val="212121"/>
          <w:sz w:val="24"/>
          <w:szCs w:val="24"/>
          <w:shd w:val="clear" w:color="auto" w:fill="FFFFFF"/>
        </w:rPr>
        <w:t xml:space="preserve"> гастроинтестинални заболувања (29), Паркинсонова болест</w:t>
      </w:r>
      <w:r w:rsidRPr="00115349">
        <w:rPr>
          <w:rFonts w:ascii="Times New Roman" w:hAnsi="Times New Roman" w:cs="Times New Roman"/>
          <w:color w:val="212121"/>
          <w:sz w:val="24"/>
          <w:szCs w:val="24"/>
        </w:rPr>
        <w:t xml:space="preserve"> (30) </w:t>
      </w:r>
      <w:r w:rsidRPr="00115349">
        <w:rPr>
          <w:rStyle w:val="nowrap"/>
          <w:rFonts w:ascii="Times New Roman" w:hAnsi="Times New Roman"/>
          <w:color w:val="212121"/>
          <w:sz w:val="24"/>
          <w:szCs w:val="24"/>
          <w:shd w:val="clear" w:color="auto" w:fill="FFFFFF"/>
        </w:rPr>
        <w:t>и болести карактеристични за поодмината возраст</w:t>
      </w:r>
      <w:r w:rsidRPr="00115349">
        <w:rPr>
          <w:rFonts w:ascii="Times New Roman" w:hAnsi="Times New Roman" w:cs="Times New Roman"/>
          <w:color w:val="212121"/>
          <w:sz w:val="24"/>
          <w:szCs w:val="24"/>
        </w:rPr>
        <w:t xml:space="preserve"> (31)</w:t>
      </w:r>
      <w:r w:rsidR="001C31FA">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w:t>
      </w:r>
    </w:p>
    <w:p w:rsidR="005074C2" w:rsidRPr="00115349" w:rsidRDefault="005074C2" w:rsidP="00421E8E">
      <w:pPr>
        <w:shd w:val="clear" w:color="auto" w:fill="FFFFFF"/>
        <w:rPr>
          <w:rFonts w:ascii="Times New Roman" w:hAnsi="Times New Roman" w:cs="Times New Roman"/>
          <w:color w:val="212121"/>
          <w:sz w:val="24"/>
          <w:szCs w:val="24"/>
        </w:rPr>
      </w:pPr>
      <w:r w:rsidRPr="00115349">
        <w:rPr>
          <w:rFonts w:ascii="Times New Roman" w:hAnsi="Times New Roman" w:cs="Times New Roman"/>
          <w:color w:val="212121"/>
          <w:sz w:val="24"/>
          <w:szCs w:val="24"/>
        </w:rPr>
        <w:t>Автоимуните заболувања (32,33) претставуваат состојби, во кои имунолошкиот систем ги напаѓа сопствените клетки. Про-инфламаторните интерферони се есенцијални за развиток на автоимуни болести. Докажана е улогата на  IFN‐</w:t>
      </w:r>
      <w:r w:rsidRPr="00B9170D">
        <w:rPr>
          <w:rStyle w:val="Emphasis"/>
          <w:rFonts w:ascii="Times New Roman" w:hAnsi="Times New Roman"/>
          <w:i w:val="0"/>
          <w:color w:val="212121"/>
          <w:sz w:val="24"/>
          <w:szCs w:val="24"/>
        </w:rPr>
        <w:t>γ</w:t>
      </w:r>
      <w:r w:rsidRPr="00115349">
        <w:rPr>
          <w:rFonts w:ascii="Times New Roman" w:hAnsi="Times New Roman" w:cs="Times New Roman"/>
          <w:color w:val="212121"/>
          <w:sz w:val="24"/>
          <w:szCs w:val="24"/>
        </w:rPr>
        <w:t> во патогенезата на автоимуните заболувања и неговото влијание на поврзани со нив коморбидитети и несакани ефекти од терапевтски интервенции со или без присуство на малигнитет</w:t>
      </w:r>
      <w:r w:rsidR="001C31FA">
        <w:rPr>
          <w:rFonts w:ascii="Times New Roman" w:hAnsi="Times New Roman" w:cs="Times New Roman"/>
          <w:color w:val="212121"/>
          <w:sz w:val="24"/>
          <w:szCs w:val="24"/>
        </w:rPr>
        <w:t xml:space="preserve"> </w:t>
      </w:r>
      <w:r w:rsidRPr="00115349">
        <w:rPr>
          <w:rFonts w:ascii="Times New Roman" w:hAnsi="Times New Roman" w:cs="Times New Roman"/>
          <w:color w:val="212121"/>
          <w:sz w:val="24"/>
          <w:szCs w:val="24"/>
          <w:vertAlign w:val="superscript"/>
        </w:rPr>
        <w:t xml:space="preserve"> </w:t>
      </w:r>
      <w:r w:rsidRPr="00115349">
        <w:rPr>
          <w:rFonts w:ascii="Times New Roman" w:hAnsi="Times New Roman" w:cs="Times New Roman"/>
          <w:color w:val="212121"/>
          <w:sz w:val="24"/>
          <w:szCs w:val="24"/>
        </w:rPr>
        <w:t>(34,35). </w:t>
      </w:r>
    </w:p>
    <w:p w:rsidR="005074C2" w:rsidRPr="00115349" w:rsidRDefault="005074C2" w:rsidP="00421E8E">
      <w:pPr>
        <w:shd w:val="clear" w:color="auto" w:fill="FFFFFF"/>
        <w:rPr>
          <w:rStyle w:val="nowrap"/>
          <w:rFonts w:ascii="Times New Roman" w:hAnsi="Times New Roman"/>
          <w:color w:val="212121"/>
          <w:sz w:val="24"/>
          <w:szCs w:val="24"/>
          <w:shd w:val="clear" w:color="auto" w:fill="FFFFFF"/>
        </w:rPr>
      </w:pPr>
      <w:r w:rsidRPr="00115349">
        <w:rPr>
          <w:rFonts w:ascii="Times New Roman" w:hAnsi="Times New Roman" w:cs="Times New Roman"/>
          <w:color w:val="212121"/>
          <w:sz w:val="24"/>
          <w:szCs w:val="24"/>
        </w:rPr>
        <w:t>Анти-инфламаторните цитокини како што се антагонистот на рецепторот на IL‐1, потоа IL‐4, IL‐6, IL‐10, IL‐11, IL‐13</w:t>
      </w:r>
      <w:r w:rsidR="008B03C5">
        <w:rPr>
          <w:rFonts w:ascii="Times New Roman" w:hAnsi="Times New Roman" w:cs="Times New Roman"/>
          <w:color w:val="212121"/>
          <w:sz w:val="24"/>
          <w:szCs w:val="24"/>
        </w:rPr>
        <w:t>,</w:t>
      </w:r>
      <w:r w:rsidR="008B03C5">
        <w:rPr>
          <w:rFonts w:ascii="Times New Roman" w:hAnsi="Times New Roman" w:cs="Times New Roman"/>
          <w:color w:val="212121"/>
          <w:sz w:val="24"/>
          <w:szCs w:val="24"/>
          <w:lang w:val="en-US"/>
        </w:rPr>
        <w:t xml:space="preserve"> IL-35</w:t>
      </w:r>
      <w:r w:rsidRPr="00115349">
        <w:rPr>
          <w:rFonts w:ascii="Times New Roman" w:hAnsi="Times New Roman" w:cs="Times New Roman"/>
          <w:color w:val="212121"/>
          <w:sz w:val="24"/>
          <w:szCs w:val="24"/>
        </w:rPr>
        <w:t xml:space="preserve"> и TGF‐</w:t>
      </w:r>
      <w:r w:rsidRPr="00B9170D">
        <w:rPr>
          <w:rStyle w:val="Emphasis"/>
          <w:rFonts w:ascii="Times New Roman" w:hAnsi="Times New Roman"/>
          <w:i w:val="0"/>
          <w:color w:val="212121"/>
          <w:sz w:val="24"/>
          <w:szCs w:val="24"/>
        </w:rPr>
        <w:t>β</w:t>
      </w:r>
      <w:r w:rsidRPr="00B9170D">
        <w:rPr>
          <w:rFonts w:ascii="Times New Roman" w:hAnsi="Times New Roman" w:cs="Times New Roman"/>
          <w:i/>
          <w:color w:val="212121"/>
          <w:sz w:val="24"/>
          <w:szCs w:val="24"/>
        </w:rPr>
        <w:t> </w:t>
      </w:r>
      <w:r w:rsidRPr="00115349">
        <w:rPr>
          <w:rFonts w:ascii="Times New Roman" w:hAnsi="Times New Roman" w:cs="Times New Roman"/>
          <w:color w:val="212121"/>
          <w:sz w:val="24"/>
          <w:szCs w:val="24"/>
        </w:rPr>
        <w:t>претставуваат имунорегулаторни молекули кои што ги инхибираат интензивните инфламаторни одговори, предизвикани од про-инфламаторните цитокини (36</w:t>
      </w:r>
      <w:r w:rsidR="008B03C5">
        <w:rPr>
          <w:rFonts w:ascii="Times New Roman" w:hAnsi="Times New Roman" w:cs="Times New Roman"/>
          <w:color w:val="212121"/>
          <w:sz w:val="24"/>
          <w:szCs w:val="24"/>
        </w:rPr>
        <w:t>,37</w:t>
      </w:r>
      <w:r w:rsidR="008B03C5">
        <w:rPr>
          <w:rFonts w:ascii="Times New Roman" w:hAnsi="Times New Roman" w:cs="Times New Roman"/>
          <w:color w:val="212121"/>
          <w:sz w:val="24"/>
          <w:szCs w:val="24"/>
          <w:lang w:val="en-US"/>
        </w:rPr>
        <w:t>,38</w:t>
      </w:r>
      <w:r w:rsidRPr="00115349">
        <w:rPr>
          <w:rFonts w:ascii="Times New Roman" w:hAnsi="Times New Roman" w:cs="Times New Roman"/>
          <w:color w:val="212121"/>
          <w:sz w:val="24"/>
          <w:szCs w:val="24"/>
        </w:rPr>
        <w:t>).</w:t>
      </w:r>
      <w:r w:rsidRPr="00115349">
        <w:rPr>
          <w:rStyle w:val="nowrap"/>
          <w:rFonts w:ascii="Times New Roman" w:hAnsi="Times New Roman"/>
          <w:color w:val="212121"/>
          <w:sz w:val="24"/>
          <w:szCs w:val="24"/>
          <w:shd w:val="clear" w:color="auto" w:fill="FFFFFF"/>
        </w:rPr>
        <w:t xml:space="preserve"> </w:t>
      </w:r>
    </w:p>
    <w:p w:rsidR="005074C2" w:rsidRPr="00115349" w:rsidRDefault="005074C2" w:rsidP="00421E8E">
      <w:pPr>
        <w:shd w:val="clear" w:color="auto" w:fill="FFFFFF"/>
        <w:rPr>
          <w:rStyle w:val="nowrap"/>
          <w:rFonts w:ascii="Times New Roman" w:hAnsi="Times New Roman"/>
          <w:color w:val="212121"/>
          <w:sz w:val="24"/>
          <w:szCs w:val="24"/>
          <w:shd w:val="clear" w:color="auto" w:fill="FFFFFF"/>
        </w:rPr>
      </w:pPr>
      <w:r w:rsidRPr="00115349">
        <w:rPr>
          <w:rStyle w:val="nowrap"/>
          <w:rFonts w:ascii="Times New Roman" w:hAnsi="Times New Roman"/>
          <w:color w:val="212121"/>
          <w:sz w:val="24"/>
          <w:szCs w:val="24"/>
          <w:shd w:val="clear" w:color="auto" w:fill="FFFFFF"/>
        </w:rPr>
        <w:t xml:space="preserve">Во физиолошки услови, овие цитокини ги лимитираат потенцијално штетните ефекти, кои можат да се јават при про-инфламаторните реакции. </w:t>
      </w:r>
    </w:p>
    <w:p w:rsidR="005074C2" w:rsidRPr="00115349" w:rsidRDefault="005074C2" w:rsidP="00421E8E">
      <w:pPr>
        <w:shd w:val="clear" w:color="auto" w:fill="FFFFFF"/>
        <w:rPr>
          <w:rStyle w:val="nowrap"/>
          <w:rFonts w:ascii="Times New Roman" w:hAnsi="Times New Roman"/>
          <w:color w:val="212121"/>
          <w:sz w:val="24"/>
          <w:szCs w:val="24"/>
          <w:shd w:val="clear" w:color="auto" w:fill="FFFFFF"/>
        </w:rPr>
      </w:pPr>
      <w:r w:rsidRPr="00115349">
        <w:rPr>
          <w:rStyle w:val="nowrap"/>
          <w:rFonts w:ascii="Times New Roman" w:hAnsi="Times New Roman"/>
          <w:color w:val="212121"/>
          <w:sz w:val="24"/>
          <w:szCs w:val="24"/>
          <w:shd w:val="clear" w:color="auto" w:fill="FFFFFF"/>
        </w:rPr>
        <w:t xml:space="preserve">Од друга страна пак, во патолошки услови, анти-инфламаторните медијатори, </w:t>
      </w:r>
      <w:r w:rsidR="00B9170D">
        <w:rPr>
          <w:rStyle w:val="nowrap"/>
          <w:rFonts w:ascii="Times New Roman" w:hAnsi="Times New Roman"/>
          <w:color w:val="212121"/>
          <w:sz w:val="24"/>
          <w:szCs w:val="24"/>
          <w:shd w:val="clear" w:color="auto" w:fill="FFFFFF"/>
        </w:rPr>
        <w:t xml:space="preserve"> </w:t>
      </w:r>
      <w:r w:rsidRPr="00115349">
        <w:rPr>
          <w:rStyle w:val="nowrap"/>
          <w:rFonts w:ascii="Times New Roman" w:hAnsi="Times New Roman"/>
          <w:color w:val="212121"/>
          <w:sz w:val="24"/>
          <w:szCs w:val="24"/>
          <w:shd w:val="clear" w:color="auto" w:fill="FFFFFF"/>
        </w:rPr>
        <w:t>можат прекумерно да компензираат и да дејствуваат супресивно врз имунолошкиот одговор, создавајќи услови за системска инфекција на организмот (36</w:t>
      </w:r>
      <w:r w:rsidR="0032676E">
        <w:rPr>
          <w:rStyle w:val="nowrap"/>
          <w:rFonts w:ascii="Times New Roman" w:hAnsi="Times New Roman"/>
          <w:color w:val="212121"/>
          <w:sz w:val="24"/>
          <w:szCs w:val="24"/>
          <w:shd w:val="clear" w:color="auto" w:fill="FFFFFF"/>
          <w:lang w:val="en-US"/>
        </w:rPr>
        <w:t>,39</w:t>
      </w:r>
      <w:r w:rsidRPr="00115349">
        <w:rPr>
          <w:rStyle w:val="nowrap"/>
          <w:rFonts w:ascii="Times New Roman" w:hAnsi="Times New Roman"/>
          <w:color w:val="212121"/>
          <w:sz w:val="24"/>
          <w:szCs w:val="24"/>
          <w:shd w:val="clear" w:color="auto" w:fill="FFFFFF"/>
        </w:rPr>
        <w:t>)</w:t>
      </w:r>
      <w:r w:rsidR="001C31FA">
        <w:rPr>
          <w:rStyle w:val="nowrap"/>
          <w:rFonts w:ascii="Times New Roman" w:hAnsi="Times New Roman"/>
          <w:color w:val="212121"/>
          <w:sz w:val="24"/>
          <w:szCs w:val="24"/>
          <w:shd w:val="clear" w:color="auto" w:fill="FFFFFF"/>
        </w:rPr>
        <w:t>.</w:t>
      </w:r>
      <w:r w:rsidRPr="00115349">
        <w:rPr>
          <w:rStyle w:val="nowrap"/>
          <w:rFonts w:ascii="Times New Roman" w:hAnsi="Times New Roman"/>
          <w:color w:val="212121"/>
          <w:sz w:val="24"/>
          <w:szCs w:val="24"/>
          <w:shd w:val="clear" w:color="auto" w:fill="FFFFFF"/>
        </w:rPr>
        <w:t xml:space="preserve"> </w:t>
      </w: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5074C2" w:rsidRPr="00115349" w:rsidRDefault="005074C2" w:rsidP="00421E8E">
      <w:pPr>
        <w:shd w:val="clear" w:color="auto" w:fill="FFFFFF"/>
        <w:rPr>
          <w:rFonts w:ascii="Times New Roman" w:hAnsi="Times New Roman" w:cs="Times New Roman"/>
          <w:color w:val="212121"/>
          <w:sz w:val="24"/>
          <w:szCs w:val="24"/>
        </w:rPr>
      </w:pPr>
      <w:r w:rsidRPr="00115349">
        <w:rPr>
          <w:rStyle w:val="nowrap"/>
          <w:rFonts w:ascii="Times New Roman" w:hAnsi="Times New Roman"/>
          <w:color w:val="212121"/>
          <w:sz w:val="24"/>
          <w:szCs w:val="24"/>
          <w:shd w:val="clear" w:color="auto" w:fill="FFFFFF"/>
        </w:rPr>
        <w:t>Имунолошкиот систем дејствува како ,,меч со две острици” , кој што може или да дејствува протективно или да има штетно влијание, кога станува збор за диференцијација помеѓу сопствено и туѓо, односно да дејствува деструктивно врз она што организмот не го препознава како сопствено.</w:t>
      </w:r>
      <w:r w:rsidR="000107F6">
        <w:rPr>
          <w:rStyle w:val="nowrap"/>
          <w:rFonts w:ascii="Times New Roman" w:hAnsi="Times New Roman"/>
          <w:color w:val="212121"/>
          <w:sz w:val="24"/>
          <w:szCs w:val="24"/>
          <w:shd w:val="clear" w:color="auto" w:fill="FFFFFF"/>
        </w:rPr>
        <w:t xml:space="preserve"> </w:t>
      </w:r>
      <w:r w:rsidRPr="00115349">
        <w:rPr>
          <w:rStyle w:val="nowrap"/>
          <w:rFonts w:ascii="Times New Roman" w:hAnsi="Times New Roman"/>
          <w:color w:val="212121"/>
          <w:sz w:val="24"/>
          <w:szCs w:val="24"/>
          <w:shd w:val="clear" w:color="auto" w:fill="FFFFFF"/>
        </w:rPr>
        <w:t xml:space="preserve"> </w:t>
      </w:r>
      <w:r w:rsidRPr="00115349">
        <w:rPr>
          <w:rFonts w:ascii="Times New Roman" w:hAnsi="Times New Roman" w:cs="Times New Roman"/>
          <w:color w:val="212121"/>
          <w:sz w:val="24"/>
          <w:szCs w:val="24"/>
        </w:rPr>
        <w:t>Инфламацијата претставува комплексен биолошки одговор на организмот, чија што регулација е под влијание на балансот помеѓу инфламаторните активности на цитокините (про и анти-инфламаторни). Нарушениот баланс помеѓу ткивната хомеостаза и инфламаторните цитокини, има негативно влијание врз здравјето (40)</w:t>
      </w:r>
      <w:r w:rsidR="001C31FA">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Со цел</w:t>
      </w:r>
      <w:r w:rsidR="0032676E">
        <w:rPr>
          <w:rFonts w:ascii="Times New Roman" w:hAnsi="Times New Roman" w:cs="Times New Roman"/>
          <w:color w:val="212121"/>
          <w:sz w:val="24"/>
          <w:szCs w:val="24"/>
        </w:rPr>
        <w:t>, да се направи</w:t>
      </w:r>
      <w:r w:rsidRPr="00115349">
        <w:rPr>
          <w:rFonts w:ascii="Times New Roman" w:hAnsi="Times New Roman" w:cs="Times New Roman"/>
          <w:color w:val="212121"/>
          <w:sz w:val="24"/>
          <w:szCs w:val="24"/>
        </w:rPr>
        <w:t xml:space="preserve"> супресија </w:t>
      </w:r>
      <w:r w:rsidR="0032676E">
        <w:rPr>
          <w:rFonts w:ascii="Times New Roman" w:hAnsi="Times New Roman" w:cs="Times New Roman"/>
          <w:color w:val="212121"/>
          <w:sz w:val="24"/>
          <w:szCs w:val="24"/>
        </w:rPr>
        <w:t xml:space="preserve">на </w:t>
      </w:r>
      <w:r w:rsidR="00651DA8">
        <w:rPr>
          <w:rFonts w:ascii="Times New Roman" w:hAnsi="Times New Roman" w:cs="Times New Roman"/>
          <w:color w:val="212121"/>
          <w:sz w:val="24"/>
          <w:szCs w:val="24"/>
        </w:rPr>
        <w:t xml:space="preserve">неповолен имунолошки </w:t>
      </w:r>
      <w:r w:rsidRPr="00115349">
        <w:rPr>
          <w:rFonts w:ascii="Times New Roman" w:hAnsi="Times New Roman" w:cs="Times New Roman"/>
          <w:color w:val="212121"/>
          <w:sz w:val="24"/>
          <w:szCs w:val="24"/>
        </w:rPr>
        <w:t xml:space="preserve">одговор, администрирање на рекомбинирани анти-инфламаторни, односно неутрализација на про-инфламаторни цитокини, може да обезбеди превенција или да делува </w:t>
      </w:r>
      <w:r w:rsidR="0032676E">
        <w:rPr>
          <w:rFonts w:ascii="Times New Roman" w:hAnsi="Times New Roman" w:cs="Times New Roman"/>
          <w:color w:val="212121"/>
          <w:sz w:val="24"/>
          <w:szCs w:val="24"/>
        </w:rPr>
        <w:t xml:space="preserve">конкретно, како терапија </w:t>
      </w:r>
      <w:r w:rsidRPr="00115349">
        <w:rPr>
          <w:rFonts w:ascii="Times New Roman" w:hAnsi="Times New Roman" w:cs="Times New Roman"/>
          <w:color w:val="212121"/>
          <w:sz w:val="24"/>
          <w:szCs w:val="24"/>
        </w:rPr>
        <w:t>(41,42,43,44)</w:t>
      </w:r>
      <w:r w:rsidR="001C31FA">
        <w:rPr>
          <w:rFonts w:ascii="Times New Roman" w:hAnsi="Times New Roman" w:cs="Times New Roman"/>
          <w:color w:val="212121"/>
          <w:sz w:val="24"/>
          <w:szCs w:val="24"/>
        </w:rPr>
        <w:t>.</w:t>
      </w:r>
      <w:r w:rsidRPr="00115349">
        <w:rPr>
          <w:rFonts w:ascii="Times New Roman" w:hAnsi="Times New Roman" w:cs="Times New Roman"/>
          <w:color w:val="212121"/>
          <w:sz w:val="24"/>
          <w:szCs w:val="24"/>
        </w:rPr>
        <w:t> </w:t>
      </w:r>
      <w:r w:rsidRPr="00115349">
        <w:rPr>
          <w:rFonts w:ascii="Times New Roman" w:hAnsi="Times New Roman" w:cs="Times New Roman"/>
          <w:sz w:val="24"/>
          <w:szCs w:val="24"/>
        </w:rPr>
        <w:br/>
      </w:r>
    </w:p>
    <w:p w:rsidR="00221492" w:rsidRDefault="00221492" w:rsidP="00421E8E">
      <w:pPr>
        <w:shd w:val="clear" w:color="auto" w:fill="FFFFFF"/>
        <w:rPr>
          <w:rFonts w:ascii="Times New Roman" w:hAnsi="Times New Roman" w:cs="Times New Roman"/>
          <w:color w:val="212121"/>
          <w:sz w:val="24"/>
          <w:szCs w:val="24"/>
        </w:rPr>
      </w:pPr>
    </w:p>
    <w:p w:rsidR="00221492" w:rsidRDefault="00221492" w:rsidP="00421E8E">
      <w:pPr>
        <w:shd w:val="clear" w:color="auto" w:fill="FFFFFF"/>
        <w:rPr>
          <w:rFonts w:ascii="Times New Roman" w:hAnsi="Times New Roman" w:cs="Times New Roman"/>
          <w:color w:val="212121"/>
          <w:sz w:val="24"/>
          <w:szCs w:val="24"/>
        </w:rPr>
      </w:pPr>
    </w:p>
    <w:p w:rsidR="00221492" w:rsidRDefault="00221492" w:rsidP="00421E8E">
      <w:pPr>
        <w:shd w:val="clear" w:color="auto" w:fill="FFFFFF"/>
        <w:rPr>
          <w:rFonts w:ascii="Times New Roman" w:hAnsi="Times New Roman" w:cs="Times New Roman"/>
          <w:color w:val="212121"/>
          <w:sz w:val="24"/>
          <w:szCs w:val="24"/>
        </w:rPr>
      </w:pPr>
    </w:p>
    <w:p w:rsidR="00221492" w:rsidRDefault="00221492" w:rsidP="00421E8E">
      <w:pPr>
        <w:shd w:val="clear" w:color="auto" w:fill="FFFFFF"/>
        <w:rPr>
          <w:rFonts w:ascii="Times New Roman" w:hAnsi="Times New Roman" w:cs="Times New Roman"/>
          <w:color w:val="212121"/>
          <w:sz w:val="24"/>
          <w:szCs w:val="24"/>
        </w:rPr>
      </w:pPr>
    </w:p>
    <w:p w:rsidR="005074C2" w:rsidRPr="00115349" w:rsidRDefault="005074C2" w:rsidP="00421E8E">
      <w:pPr>
        <w:shd w:val="clear" w:color="auto" w:fill="FFFFFF"/>
        <w:rPr>
          <w:rFonts w:ascii="Times New Roman" w:hAnsi="Times New Roman" w:cs="Times New Roman"/>
          <w:b/>
          <w:color w:val="000000"/>
          <w:sz w:val="24"/>
          <w:szCs w:val="24"/>
          <w:u w:color="FFFFFF"/>
          <w:shd w:val="clear" w:color="auto" w:fill="FFFFFF"/>
        </w:rPr>
      </w:pPr>
      <w:r w:rsidRPr="00115349">
        <w:rPr>
          <w:rFonts w:ascii="Times New Roman" w:hAnsi="Times New Roman" w:cs="Times New Roman"/>
          <w:color w:val="212121"/>
          <w:sz w:val="24"/>
          <w:szCs w:val="24"/>
        </w:rPr>
        <w:t>Абнормална или зголемена продукција на цитокини како на пр. за време на цитокинска бура, доведува до откажување на финкцијата на еден,</w:t>
      </w:r>
      <w:r w:rsidR="001107BF">
        <w:rPr>
          <w:rFonts w:ascii="Times New Roman" w:hAnsi="Times New Roman" w:cs="Times New Roman"/>
          <w:color w:val="212121"/>
          <w:sz w:val="24"/>
          <w:szCs w:val="24"/>
        </w:rPr>
        <w:t xml:space="preserve"> повеќе органи и летален исход (</w:t>
      </w:r>
      <w:r w:rsidRPr="00115349">
        <w:rPr>
          <w:rFonts w:ascii="Times New Roman" w:hAnsi="Times New Roman" w:cs="Times New Roman"/>
          <w:color w:val="212121"/>
          <w:sz w:val="24"/>
          <w:szCs w:val="24"/>
        </w:rPr>
        <w:t>Синдром на цитокинска бура-одговорен за големиот број смртни случаи за време на пандемијата со COVID‐19 (45,46)</w:t>
      </w:r>
      <w:r w:rsidR="001C31FA">
        <w:rPr>
          <w:rFonts w:ascii="Times New Roman" w:hAnsi="Times New Roman" w:cs="Times New Roman"/>
          <w:color w:val="212121"/>
          <w:sz w:val="24"/>
          <w:szCs w:val="24"/>
        </w:rPr>
        <w:t>.</w:t>
      </w:r>
      <w:r w:rsidRPr="00115349">
        <w:rPr>
          <w:rFonts w:ascii="Times New Roman" w:hAnsi="Times New Roman" w:cs="Times New Roman"/>
          <w:b/>
          <w:color w:val="000000"/>
          <w:sz w:val="24"/>
          <w:szCs w:val="24"/>
          <w:u w:color="FFFFFF"/>
          <w:shd w:val="clear" w:color="auto" w:fill="FFFFFF"/>
        </w:rPr>
        <w:t xml:space="preserve"> </w:t>
      </w:r>
    </w:p>
    <w:p w:rsidR="005074C2" w:rsidRPr="00115349" w:rsidRDefault="005074C2" w:rsidP="00421E8E">
      <w:pPr>
        <w:shd w:val="clear" w:color="auto" w:fill="FFFFFF"/>
        <w:rPr>
          <w:rFonts w:ascii="Times New Roman" w:hAnsi="Times New Roman" w:cs="Times New Roman"/>
          <w:color w:val="000000"/>
          <w:sz w:val="24"/>
          <w:szCs w:val="24"/>
          <w:u w:color="FFFFFF"/>
          <w:shd w:val="clear" w:color="auto" w:fill="FFFFFF"/>
        </w:rPr>
      </w:pPr>
      <w:r w:rsidRPr="00115349">
        <w:rPr>
          <w:rFonts w:ascii="Times New Roman" w:hAnsi="Times New Roman" w:cs="Times New Roman"/>
          <w:color w:val="000000"/>
          <w:sz w:val="24"/>
          <w:szCs w:val="24"/>
          <w:u w:color="FFFFFF"/>
          <w:shd w:val="clear" w:color="auto" w:fill="FFFFFF"/>
        </w:rPr>
        <w:t>Цитокините освен што претставуваат медијатори на имунолошкиот и инфламаторен одговор, преку комплексна мрежа на реакции и се потенцијални биомаркери за многу заболувања.</w:t>
      </w:r>
    </w:p>
    <w:p w:rsidR="001107BF" w:rsidRDefault="001107BF" w:rsidP="00421E8E">
      <w:pPr>
        <w:shd w:val="clear" w:color="auto" w:fill="FFFFFF"/>
        <w:rPr>
          <w:rStyle w:val="nowrap"/>
          <w:rFonts w:ascii="Times New Roman" w:hAnsi="Times New Roman"/>
          <w:b/>
          <w:color w:val="212121"/>
          <w:sz w:val="28"/>
          <w:szCs w:val="28"/>
          <w:shd w:val="clear" w:color="auto" w:fill="FFFFFF"/>
        </w:rPr>
      </w:pPr>
    </w:p>
    <w:p w:rsidR="00221492" w:rsidRDefault="00221492" w:rsidP="00421E8E">
      <w:pPr>
        <w:shd w:val="clear" w:color="auto" w:fill="FFFFFF"/>
        <w:rPr>
          <w:rStyle w:val="nowrap"/>
          <w:rFonts w:ascii="Times New Roman" w:hAnsi="Times New Roman"/>
          <w:b/>
          <w:color w:val="212121"/>
          <w:sz w:val="24"/>
          <w:szCs w:val="24"/>
          <w:shd w:val="clear" w:color="auto" w:fill="FFFFFF"/>
        </w:rPr>
      </w:pPr>
    </w:p>
    <w:p w:rsidR="001C31FA" w:rsidRPr="00221492" w:rsidRDefault="00834293" w:rsidP="00421E8E">
      <w:pPr>
        <w:shd w:val="clear" w:color="auto" w:fill="FFFFFF"/>
        <w:rPr>
          <w:rStyle w:val="nowrap"/>
          <w:rFonts w:ascii="Times New Roman" w:hAnsi="Times New Roman"/>
          <w:b/>
          <w:color w:val="212121"/>
          <w:sz w:val="24"/>
          <w:szCs w:val="24"/>
          <w:shd w:val="clear" w:color="auto" w:fill="FFFFFF"/>
        </w:rPr>
      </w:pPr>
      <w:r w:rsidRPr="00221492">
        <w:rPr>
          <w:rStyle w:val="nowrap"/>
          <w:rFonts w:ascii="Times New Roman" w:hAnsi="Times New Roman"/>
          <w:b/>
          <w:color w:val="212121"/>
          <w:sz w:val="24"/>
          <w:szCs w:val="24"/>
          <w:shd w:val="clear" w:color="auto" w:fill="FFFFFF"/>
        </w:rPr>
        <w:t>2</w:t>
      </w:r>
      <w:r w:rsidR="001C31FA" w:rsidRPr="00221492">
        <w:rPr>
          <w:rStyle w:val="nowrap"/>
          <w:rFonts w:ascii="Times New Roman" w:hAnsi="Times New Roman"/>
          <w:b/>
          <w:color w:val="212121"/>
          <w:sz w:val="24"/>
          <w:szCs w:val="24"/>
          <w:shd w:val="clear" w:color="auto" w:fill="FFFFFF"/>
        </w:rPr>
        <w:t>.2 ЦИТОКИНИ-КВАНТИТАТИВНА АНАЛИЗА</w:t>
      </w:r>
    </w:p>
    <w:p w:rsidR="000107F6" w:rsidRDefault="000107F6" w:rsidP="00421E8E">
      <w:pPr>
        <w:shd w:val="clear" w:color="auto" w:fill="FFFFFF"/>
        <w:rPr>
          <w:rFonts w:ascii="Times New Roman" w:hAnsi="Times New Roman" w:cs="Times New Roman"/>
          <w:color w:val="212121"/>
          <w:sz w:val="24"/>
          <w:szCs w:val="24"/>
        </w:rPr>
      </w:pPr>
    </w:p>
    <w:p w:rsidR="00221492" w:rsidRDefault="00221492" w:rsidP="00421E8E">
      <w:pPr>
        <w:shd w:val="clear" w:color="auto" w:fill="FFFFFF"/>
        <w:rPr>
          <w:rFonts w:ascii="Times New Roman" w:hAnsi="Times New Roman" w:cs="Times New Roman"/>
          <w:color w:val="212121"/>
          <w:sz w:val="24"/>
          <w:szCs w:val="24"/>
        </w:rPr>
      </w:pPr>
    </w:p>
    <w:p w:rsidR="000107F6" w:rsidRDefault="000107F6" w:rsidP="00421E8E">
      <w:pPr>
        <w:shd w:val="clear" w:color="auto" w:fill="FFFFFF"/>
        <w:rPr>
          <w:rStyle w:val="nowrap"/>
          <w:rFonts w:ascii="Times New Roman" w:hAnsi="Times New Roman"/>
          <w:color w:val="212121"/>
          <w:sz w:val="24"/>
          <w:szCs w:val="24"/>
          <w:shd w:val="clear" w:color="auto" w:fill="FFFFFF"/>
        </w:rPr>
      </w:pPr>
      <w:r w:rsidRPr="00115349">
        <w:rPr>
          <w:rFonts w:ascii="Times New Roman" w:hAnsi="Times New Roman" w:cs="Times New Roman"/>
          <w:color w:val="212121"/>
          <w:sz w:val="24"/>
          <w:szCs w:val="24"/>
        </w:rPr>
        <w:t>Нивоата на цитокини претставуваат есенцијални индикатори за евалуација на некое клиничко заболување. Нивните варијации во различни телесни течности (серум, салива, пот), обезбедуваат вредна информација во врска со дијагнозата, стадиумот, односно прогнозата на болеста. Точното одредување на нивоата на цитокини претставува важна информација од клинички аспект, за мониторирање на имунолошкиот статус на пациентите, односно прилагодување на терапијата за различни заболувања, како што се астма (47)</w:t>
      </w:r>
      <w:r>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w:t>
      </w:r>
      <w:r w:rsidRPr="00115349">
        <w:rPr>
          <w:rStyle w:val="nowrap"/>
          <w:rFonts w:ascii="Times New Roman" w:hAnsi="Times New Roman"/>
          <w:color w:val="212121"/>
          <w:sz w:val="24"/>
          <w:szCs w:val="24"/>
          <w:shd w:val="clear" w:color="auto" w:fill="FFFFFF"/>
        </w:rPr>
        <w:t>атеросклероза (48)</w:t>
      </w:r>
      <w:r w:rsidRPr="00115349">
        <w:rPr>
          <w:rFonts w:ascii="Times New Roman" w:hAnsi="Times New Roman" w:cs="Times New Roman"/>
          <w:color w:val="212121"/>
          <w:sz w:val="24"/>
          <w:szCs w:val="24"/>
        </w:rPr>
        <w:t xml:space="preserve">, малигни заболувања(49), </w:t>
      </w:r>
      <w:r w:rsidRPr="00115349">
        <w:rPr>
          <w:rStyle w:val="nowrap"/>
          <w:rFonts w:ascii="Times New Roman" w:hAnsi="Times New Roman"/>
          <w:color w:val="212121"/>
          <w:sz w:val="24"/>
          <w:szCs w:val="24"/>
          <w:shd w:val="clear" w:color="auto" w:fill="FFFFFF"/>
        </w:rPr>
        <w:t xml:space="preserve"> депресија (50)</w:t>
      </w:r>
      <w:r>
        <w:rPr>
          <w:rStyle w:val="nowrap"/>
          <w:rFonts w:ascii="Times New Roman" w:hAnsi="Times New Roman"/>
          <w:color w:val="212121"/>
          <w:sz w:val="24"/>
          <w:szCs w:val="24"/>
          <w:shd w:val="clear" w:color="auto" w:fill="FFFFFF"/>
        </w:rPr>
        <w:t>,</w:t>
      </w:r>
      <w:r w:rsidRPr="00115349">
        <w:rPr>
          <w:rStyle w:val="nowrap"/>
          <w:rFonts w:ascii="Times New Roman" w:hAnsi="Times New Roman"/>
          <w:color w:val="212121"/>
          <w:sz w:val="24"/>
          <w:szCs w:val="24"/>
          <w:shd w:val="clear" w:color="auto" w:fill="FFFFFF"/>
        </w:rPr>
        <w:t xml:space="preserve"> </w:t>
      </w:r>
      <w:r w:rsidRPr="00115349">
        <w:rPr>
          <w:rFonts w:ascii="Times New Roman" w:hAnsi="Times New Roman" w:cs="Times New Roman"/>
          <w:color w:val="212121"/>
          <w:sz w:val="24"/>
          <w:szCs w:val="24"/>
        </w:rPr>
        <w:t>кардио-васкуларни заболувања (51)</w:t>
      </w:r>
      <w:r>
        <w:rPr>
          <w:rFonts w:ascii="Times New Roman" w:hAnsi="Times New Roman" w:cs="Times New Roman"/>
          <w:color w:val="212121"/>
          <w:sz w:val="24"/>
          <w:szCs w:val="24"/>
        </w:rPr>
        <w:t>,</w:t>
      </w:r>
      <w:r w:rsidRPr="00115349">
        <w:rPr>
          <w:rFonts w:ascii="Times New Roman" w:hAnsi="Times New Roman" w:cs="Times New Roman"/>
          <w:color w:val="212121"/>
          <w:sz w:val="24"/>
          <w:szCs w:val="24"/>
        </w:rPr>
        <w:t xml:space="preserve"> </w:t>
      </w:r>
      <w:r w:rsidRPr="00115349">
        <w:rPr>
          <w:rStyle w:val="nowrap"/>
          <w:rFonts w:ascii="Times New Roman" w:hAnsi="Times New Roman"/>
          <w:color w:val="212121"/>
          <w:sz w:val="24"/>
          <w:szCs w:val="24"/>
          <w:shd w:val="clear" w:color="auto" w:fill="FFFFFF"/>
        </w:rPr>
        <w:t xml:space="preserve">СИДА (52),бубрежни заболувања (53), </w:t>
      </w:r>
      <w:r w:rsidRPr="00115349">
        <w:rPr>
          <w:rFonts w:ascii="Times New Roman" w:hAnsi="Times New Roman" w:cs="Times New Roman"/>
          <w:color w:val="212121"/>
          <w:sz w:val="24"/>
          <w:szCs w:val="24"/>
        </w:rPr>
        <w:t xml:space="preserve">сепса (54), </w:t>
      </w:r>
      <w:r w:rsidRPr="00115349">
        <w:rPr>
          <w:rStyle w:val="nowrap"/>
          <w:rFonts w:ascii="Times New Roman" w:hAnsi="Times New Roman"/>
          <w:color w:val="212121"/>
          <w:sz w:val="24"/>
          <w:szCs w:val="24"/>
          <w:shd w:val="clear" w:color="auto" w:fill="FFFFFF"/>
        </w:rPr>
        <w:t>реуматоиден артрит (55) и други хронични заболувања (56)</w:t>
      </w:r>
      <w:r>
        <w:rPr>
          <w:rStyle w:val="nowrap"/>
          <w:rFonts w:ascii="Times New Roman" w:hAnsi="Times New Roman"/>
          <w:color w:val="212121"/>
          <w:sz w:val="24"/>
          <w:szCs w:val="24"/>
          <w:shd w:val="clear" w:color="auto" w:fill="FFFFFF"/>
        </w:rPr>
        <w:t>.</w:t>
      </w:r>
      <w:r w:rsidRPr="00115349">
        <w:rPr>
          <w:rStyle w:val="nowrap"/>
          <w:rFonts w:ascii="Times New Roman" w:hAnsi="Times New Roman"/>
          <w:color w:val="212121"/>
          <w:sz w:val="24"/>
          <w:szCs w:val="24"/>
          <w:shd w:val="clear" w:color="auto" w:fill="FFFFFF"/>
        </w:rPr>
        <w:t xml:space="preserve"> </w:t>
      </w:r>
    </w:p>
    <w:p w:rsidR="000107F6" w:rsidRDefault="005074C2" w:rsidP="00421E8E">
      <w:pPr>
        <w:shd w:val="clear" w:color="auto" w:fill="FFFFFF"/>
        <w:rPr>
          <w:rFonts w:ascii="Times New Roman" w:hAnsi="Times New Roman" w:cs="Times New Roman"/>
          <w:color w:val="212121"/>
          <w:sz w:val="24"/>
          <w:szCs w:val="24"/>
          <w:shd w:val="clear" w:color="auto" w:fill="FFFFFF"/>
        </w:rPr>
      </w:pPr>
      <w:r w:rsidRPr="000107F6">
        <w:rPr>
          <w:rFonts w:ascii="Times New Roman" w:hAnsi="Times New Roman" w:cs="Times New Roman"/>
          <w:color w:val="212121"/>
          <w:sz w:val="24"/>
          <w:szCs w:val="24"/>
        </w:rPr>
        <w:t>Во пракса, прецизно одредување на нивото на цитокини претставува предизвик, затоа што нивниот квантитет е исклучително низок, динамиката на нивната секреција не е константна</w:t>
      </w:r>
      <w:r w:rsidR="00AF53EA">
        <w:rPr>
          <w:rFonts w:ascii="Times New Roman" w:hAnsi="Times New Roman" w:cs="Times New Roman"/>
          <w:color w:val="212121"/>
          <w:sz w:val="24"/>
          <w:szCs w:val="24"/>
        </w:rPr>
        <w:t xml:space="preserve"> </w:t>
      </w:r>
      <w:r w:rsidRPr="000107F6">
        <w:rPr>
          <w:rFonts w:ascii="Times New Roman" w:hAnsi="Times New Roman" w:cs="Times New Roman"/>
          <w:color w:val="212121"/>
          <w:sz w:val="24"/>
          <w:szCs w:val="24"/>
        </w:rPr>
        <w:t xml:space="preserve">(57) </w:t>
      </w:r>
      <w:r w:rsidRPr="000107F6">
        <w:rPr>
          <w:rStyle w:val="nowrap"/>
          <w:rFonts w:ascii="Times New Roman" w:hAnsi="Times New Roman"/>
          <w:color w:val="212121"/>
          <w:sz w:val="24"/>
          <w:szCs w:val="24"/>
          <w:shd w:val="clear" w:color="auto" w:fill="FFFFFF"/>
        </w:rPr>
        <w:t xml:space="preserve">и имаат краток полуживот </w:t>
      </w:r>
      <w:r w:rsidRPr="000107F6">
        <w:rPr>
          <w:rFonts w:ascii="Times New Roman" w:hAnsi="Times New Roman" w:cs="Times New Roman"/>
          <w:color w:val="212121"/>
          <w:sz w:val="24"/>
          <w:szCs w:val="24"/>
        </w:rPr>
        <w:t>(58)</w:t>
      </w:r>
      <w:r w:rsidR="001C31FA" w:rsidRPr="000107F6">
        <w:rPr>
          <w:rFonts w:ascii="Times New Roman" w:hAnsi="Times New Roman" w:cs="Times New Roman"/>
          <w:color w:val="212121"/>
          <w:sz w:val="24"/>
          <w:szCs w:val="24"/>
        </w:rPr>
        <w:t>.</w:t>
      </w:r>
      <w:r w:rsidRPr="000107F6">
        <w:rPr>
          <w:rFonts w:ascii="Times New Roman" w:hAnsi="Times New Roman" w:cs="Times New Roman"/>
          <w:color w:val="000000"/>
          <w:sz w:val="24"/>
          <w:szCs w:val="24"/>
          <w:u w:color="FFFFFF"/>
          <w:shd w:val="clear" w:color="auto" w:fill="FFFFFF"/>
        </w:rPr>
        <w:t xml:space="preserve"> </w:t>
      </w:r>
    </w:p>
    <w:p w:rsidR="005074C2" w:rsidRPr="000107F6" w:rsidRDefault="005074C2" w:rsidP="00421E8E">
      <w:pPr>
        <w:shd w:val="clear" w:color="auto" w:fill="FFFFFF"/>
        <w:rPr>
          <w:rFonts w:ascii="Times New Roman" w:hAnsi="Times New Roman" w:cs="Times New Roman"/>
          <w:color w:val="212121"/>
          <w:sz w:val="24"/>
          <w:szCs w:val="24"/>
          <w:shd w:val="clear" w:color="auto" w:fill="FFFFFF"/>
        </w:rPr>
      </w:pPr>
      <w:r w:rsidRPr="00115349">
        <w:rPr>
          <w:rFonts w:ascii="Times New Roman" w:hAnsi="Times New Roman" w:cs="Times New Roman"/>
          <w:color w:val="212121"/>
          <w:sz w:val="24"/>
          <w:szCs w:val="24"/>
        </w:rPr>
        <w:t>Заради исклучителната комплексност на мрежата од реакции во кои земаат учество, одредувањето на квантитетот на цитокините се уште претставува предизвик</w:t>
      </w:r>
      <w:r w:rsidR="001C31FA">
        <w:rPr>
          <w:rFonts w:ascii="Times New Roman" w:hAnsi="Times New Roman" w:cs="Times New Roman"/>
          <w:color w:val="212121"/>
          <w:sz w:val="24"/>
          <w:szCs w:val="24"/>
        </w:rPr>
        <w:t xml:space="preserve"> </w:t>
      </w:r>
      <w:r w:rsidRPr="00115349">
        <w:rPr>
          <w:rFonts w:ascii="Times New Roman" w:hAnsi="Times New Roman" w:cs="Times New Roman"/>
          <w:color w:val="212121"/>
          <w:sz w:val="24"/>
          <w:szCs w:val="24"/>
        </w:rPr>
        <w:t>(59).</w:t>
      </w:r>
    </w:p>
    <w:p w:rsidR="00221492" w:rsidRDefault="005074C2" w:rsidP="00421E8E">
      <w:pPr>
        <w:shd w:val="clear" w:color="auto" w:fill="FFFFFF"/>
        <w:rPr>
          <w:rFonts w:ascii="Times New Roman" w:hAnsi="Times New Roman" w:cs="Times New Roman"/>
          <w:color w:val="000000"/>
          <w:sz w:val="24"/>
          <w:szCs w:val="24"/>
          <w:u w:color="FFFFFF"/>
          <w:shd w:val="clear" w:color="auto" w:fill="FFFFFF"/>
        </w:rPr>
      </w:pPr>
      <w:r w:rsidRPr="00115349">
        <w:rPr>
          <w:rFonts w:ascii="Times New Roman" w:hAnsi="Times New Roman" w:cs="Times New Roman"/>
          <w:color w:val="000000"/>
          <w:sz w:val="24"/>
          <w:szCs w:val="24"/>
          <w:u w:color="FFFFFF"/>
          <w:shd w:val="clear" w:color="auto" w:fill="FFFFFF"/>
        </w:rPr>
        <w:t xml:space="preserve">Одредување на квантитетот на цитокини има сигнификантна вредност и во клиничката медицина и биологија, затоа што нивоата на истите ги квалифицираат физиолошките и патолошки процеси и можат да бидат употребени како за дијагноза, така и за третман на многу заболувања. </w:t>
      </w:r>
    </w:p>
    <w:p w:rsidR="005074C2" w:rsidRPr="00115349" w:rsidRDefault="005074C2" w:rsidP="00421E8E">
      <w:pPr>
        <w:shd w:val="clear" w:color="auto" w:fill="FFFFFF"/>
        <w:rPr>
          <w:rStyle w:val="nowrap"/>
          <w:rFonts w:ascii="Times New Roman" w:hAnsi="Times New Roman"/>
          <w:color w:val="212121"/>
          <w:sz w:val="24"/>
          <w:szCs w:val="24"/>
          <w:shd w:val="clear" w:color="auto" w:fill="FFFFFF"/>
        </w:rPr>
      </w:pPr>
      <w:r w:rsidRPr="00115349">
        <w:rPr>
          <w:rFonts w:ascii="Times New Roman" w:hAnsi="Times New Roman" w:cs="Times New Roman"/>
          <w:color w:val="000000"/>
          <w:sz w:val="24"/>
          <w:szCs w:val="24"/>
          <w:u w:color="FFFFFF"/>
          <w:shd w:val="clear" w:color="auto" w:fill="FFFFFF"/>
        </w:rPr>
        <w:t xml:space="preserve">Каква е улогата на цитокините во клиничката пракса најдобро </w:t>
      </w:r>
      <w:r w:rsidR="000107F6">
        <w:rPr>
          <w:rFonts w:ascii="Times New Roman" w:hAnsi="Times New Roman" w:cs="Times New Roman"/>
          <w:color w:val="000000"/>
          <w:sz w:val="24"/>
          <w:szCs w:val="24"/>
          <w:u w:color="FFFFFF"/>
          <w:shd w:val="clear" w:color="auto" w:fill="FFFFFF"/>
        </w:rPr>
        <w:t>може да се опсервира</w:t>
      </w:r>
      <w:r w:rsidRPr="00115349">
        <w:rPr>
          <w:rFonts w:ascii="Times New Roman" w:hAnsi="Times New Roman" w:cs="Times New Roman"/>
          <w:color w:val="000000"/>
          <w:sz w:val="24"/>
          <w:szCs w:val="24"/>
          <w:u w:color="FFFFFF"/>
          <w:shd w:val="clear" w:color="auto" w:fill="FFFFFF"/>
        </w:rPr>
        <w:t xml:space="preserve"> од перспектива на нивното анти, односно про-инфламаторно влијание (60).</w:t>
      </w:r>
    </w:p>
    <w:p w:rsidR="005074C2" w:rsidRPr="00115349" w:rsidRDefault="005074C2" w:rsidP="00421E8E">
      <w:pPr>
        <w:shd w:val="clear" w:color="auto" w:fill="FFFFFF"/>
        <w:rPr>
          <w:rFonts w:ascii="Times New Roman" w:hAnsi="Times New Roman" w:cs="Times New Roman"/>
          <w:color w:val="212121"/>
          <w:sz w:val="24"/>
          <w:szCs w:val="24"/>
        </w:rPr>
      </w:pPr>
      <w:r w:rsidRPr="00115349">
        <w:rPr>
          <w:rStyle w:val="nowrap"/>
          <w:rFonts w:ascii="Times New Roman" w:hAnsi="Times New Roman"/>
          <w:color w:val="212121"/>
          <w:sz w:val="24"/>
          <w:szCs w:val="24"/>
          <w:shd w:val="clear" w:color="auto" w:fill="FFFFFF"/>
        </w:rPr>
        <w:t>Најчесто користени методи за одре</w:t>
      </w:r>
      <w:r w:rsidR="000107F6">
        <w:rPr>
          <w:rStyle w:val="nowrap"/>
          <w:rFonts w:ascii="Times New Roman" w:hAnsi="Times New Roman"/>
          <w:color w:val="212121"/>
          <w:sz w:val="24"/>
          <w:szCs w:val="24"/>
          <w:shd w:val="clear" w:color="auto" w:fill="FFFFFF"/>
        </w:rPr>
        <w:t>д</w:t>
      </w:r>
      <w:r w:rsidRPr="00115349">
        <w:rPr>
          <w:rStyle w:val="nowrap"/>
          <w:rFonts w:ascii="Times New Roman" w:hAnsi="Times New Roman"/>
          <w:color w:val="212121"/>
          <w:sz w:val="24"/>
          <w:szCs w:val="24"/>
          <w:shd w:val="clear" w:color="auto" w:fill="FFFFFF"/>
        </w:rPr>
        <w:t xml:space="preserve">ување на квантитетот на цитокини се: </w:t>
      </w:r>
      <w:r w:rsidRPr="00115349">
        <w:rPr>
          <w:rFonts w:ascii="Times New Roman" w:hAnsi="Times New Roman" w:cs="Times New Roman"/>
          <w:color w:val="212121"/>
          <w:sz w:val="24"/>
          <w:szCs w:val="24"/>
        </w:rPr>
        <w:t>ELIS</w:t>
      </w:r>
      <w:r w:rsidR="00C86A6D">
        <w:rPr>
          <w:rFonts w:ascii="Times New Roman" w:hAnsi="Times New Roman" w:cs="Times New Roman"/>
          <w:color w:val="212121"/>
          <w:sz w:val="24"/>
          <w:szCs w:val="24"/>
        </w:rPr>
        <w:t>A и</w:t>
      </w:r>
      <w:r w:rsidR="00C86A6D">
        <w:rPr>
          <w:rFonts w:ascii="Times New Roman" w:hAnsi="Times New Roman" w:cs="Times New Roman"/>
          <w:color w:val="212121"/>
          <w:sz w:val="24"/>
          <w:szCs w:val="24"/>
          <w:lang w:val="en-US"/>
        </w:rPr>
        <w:t xml:space="preserve"> </w:t>
      </w:r>
      <w:r w:rsidR="00C86A6D">
        <w:rPr>
          <w:rFonts w:ascii="Times New Roman" w:hAnsi="Times New Roman" w:cs="Times New Roman"/>
          <w:color w:val="212121"/>
          <w:sz w:val="24"/>
          <w:szCs w:val="24"/>
        </w:rPr>
        <w:t>PCR</w:t>
      </w:r>
      <w:r w:rsidRPr="00115349">
        <w:rPr>
          <w:rFonts w:ascii="Times New Roman" w:hAnsi="Times New Roman" w:cs="Times New Roman"/>
          <w:color w:val="212121"/>
          <w:sz w:val="24"/>
          <w:szCs w:val="24"/>
        </w:rPr>
        <w:t>.</w:t>
      </w:r>
      <w:r w:rsidRPr="00115349">
        <w:rPr>
          <w:rFonts w:ascii="Times New Roman" w:hAnsi="Times New Roman" w:cs="Times New Roman"/>
          <w:color w:val="212121"/>
          <w:sz w:val="24"/>
          <w:szCs w:val="24"/>
          <w:vertAlign w:val="superscript"/>
        </w:rPr>
        <w:t xml:space="preserve"> </w:t>
      </w:r>
      <w:r w:rsidRPr="00115349">
        <w:rPr>
          <w:rFonts w:ascii="Times New Roman" w:hAnsi="Times New Roman" w:cs="Times New Roman"/>
          <w:color w:val="212121"/>
          <w:sz w:val="24"/>
          <w:szCs w:val="24"/>
        </w:rPr>
        <w:t>Овие методи се релевантни, но бараат многу време, специфични лабораториски инструменти, обучен персонал, исто така и долго време на подготовка на примерокот (преку шест часа) и</w:t>
      </w:r>
      <w:r w:rsidR="000107F6">
        <w:rPr>
          <w:rFonts w:ascii="Times New Roman" w:hAnsi="Times New Roman" w:cs="Times New Roman"/>
          <w:color w:val="212121"/>
          <w:sz w:val="24"/>
          <w:szCs w:val="24"/>
        </w:rPr>
        <w:t xml:space="preserve"> високо ниво на комплексност при </w:t>
      </w:r>
      <w:r w:rsidRPr="00115349">
        <w:rPr>
          <w:rFonts w:ascii="Times New Roman" w:hAnsi="Times New Roman" w:cs="Times New Roman"/>
          <w:color w:val="212121"/>
          <w:sz w:val="24"/>
          <w:szCs w:val="24"/>
        </w:rPr>
        <w:t>ракување со примерокот. Следствено, постојат неисполнети критериуми за реализација на чувствителни селективни и брзи платформи за квантитативна анализа на цитокини во реално време, неопходна за предвидување на текот на болеста или мониторинг на ефектот на третманот (57). Заради горенаведеното, биосензорите привлекуваат големо внимание и нивната употреба станува се поголема (61,62,63).</w:t>
      </w:r>
      <w:r w:rsidRPr="00115349">
        <w:rPr>
          <w:rFonts w:ascii="Times New Roman" w:hAnsi="Times New Roman" w:cs="Times New Roman"/>
          <w:color w:val="212121"/>
          <w:sz w:val="24"/>
          <w:szCs w:val="24"/>
          <w:vertAlign w:val="superscript"/>
        </w:rPr>
        <w:t xml:space="preserve"> </w:t>
      </w:r>
    </w:p>
    <w:p w:rsidR="00221492" w:rsidRDefault="005074C2" w:rsidP="00421E8E">
      <w:pPr>
        <w:shd w:val="clear" w:color="auto" w:fill="FFFFFF"/>
        <w:rPr>
          <w:rStyle w:val="nowrap"/>
          <w:rFonts w:ascii="Times New Roman" w:hAnsi="Times New Roman"/>
          <w:color w:val="212121"/>
          <w:sz w:val="24"/>
          <w:szCs w:val="24"/>
          <w:shd w:val="clear" w:color="auto" w:fill="FFFFFF"/>
        </w:rPr>
      </w:pPr>
      <w:r w:rsidRPr="00115349">
        <w:rPr>
          <w:rFonts w:ascii="Times New Roman" w:hAnsi="Times New Roman" w:cs="Times New Roman"/>
          <w:color w:val="212121"/>
          <w:sz w:val="24"/>
          <w:szCs w:val="24"/>
        </w:rPr>
        <w:t xml:space="preserve">Тековните истражувања се насочени во правец на откривање имуносензори за детекција на цитокини на интра, односно, екстрацелуларно ниво (57) </w:t>
      </w:r>
      <w:r w:rsidRPr="00115349">
        <w:rPr>
          <w:rStyle w:val="nowrap"/>
          <w:rFonts w:ascii="Times New Roman" w:hAnsi="Times New Roman"/>
          <w:color w:val="212121"/>
          <w:sz w:val="24"/>
          <w:szCs w:val="24"/>
          <w:shd w:val="clear" w:color="auto" w:fill="FFFFFF"/>
        </w:rPr>
        <w:t xml:space="preserve">особено во дијагностиката на инфективни заболувања  и скринингот на лекови (64). </w:t>
      </w: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221492" w:rsidRDefault="00221492" w:rsidP="00421E8E">
      <w:pPr>
        <w:shd w:val="clear" w:color="auto" w:fill="FFFFFF"/>
        <w:rPr>
          <w:rStyle w:val="nowrap"/>
          <w:rFonts w:ascii="Times New Roman" w:hAnsi="Times New Roman"/>
          <w:color w:val="212121"/>
          <w:sz w:val="24"/>
          <w:szCs w:val="24"/>
          <w:shd w:val="clear" w:color="auto" w:fill="FFFFFF"/>
        </w:rPr>
      </w:pPr>
    </w:p>
    <w:p w:rsidR="005074C2" w:rsidRPr="00115349" w:rsidRDefault="005074C2" w:rsidP="00421E8E">
      <w:pPr>
        <w:shd w:val="clear" w:color="auto" w:fill="FFFFFF"/>
        <w:rPr>
          <w:rFonts w:ascii="Times New Roman" w:hAnsi="Times New Roman" w:cs="Times New Roman"/>
          <w:color w:val="212121"/>
          <w:sz w:val="24"/>
          <w:szCs w:val="24"/>
        </w:rPr>
      </w:pPr>
      <w:r w:rsidRPr="00115349">
        <w:rPr>
          <w:rFonts w:ascii="Times New Roman" w:hAnsi="Times New Roman" w:cs="Times New Roman"/>
          <w:color w:val="212121"/>
          <w:sz w:val="24"/>
          <w:szCs w:val="24"/>
        </w:rPr>
        <w:t>Зголемен е исто така и интересот за Аптамери, заради можноста за нивна повторна употреба (63). Освен имуносензори (65,66,67) и аптасензори (68,69),</w:t>
      </w:r>
      <w:r w:rsidRPr="00115349">
        <w:rPr>
          <w:rFonts w:ascii="Times New Roman" w:hAnsi="Times New Roman" w:cs="Times New Roman"/>
          <w:color w:val="212121"/>
          <w:sz w:val="24"/>
          <w:szCs w:val="24"/>
          <w:vertAlign w:val="superscript"/>
        </w:rPr>
        <w:t xml:space="preserve"> </w:t>
      </w:r>
      <w:r w:rsidRPr="00115349">
        <w:rPr>
          <w:rFonts w:ascii="Times New Roman" w:hAnsi="Times New Roman" w:cs="Times New Roman"/>
          <w:color w:val="212121"/>
          <w:sz w:val="24"/>
          <w:szCs w:val="24"/>
        </w:rPr>
        <w:t xml:space="preserve">постојат и други платформи за квантификација на цитокини,како што се наносензори (70,71), медицински апарати кои што </w:t>
      </w:r>
      <w:r w:rsidR="00C86A6D">
        <w:rPr>
          <w:rFonts w:ascii="Times New Roman" w:hAnsi="Times New Roman" w:cs="Times New Roman"/>
          <w:color w:val="212121"/>
          <w:sz w:val="24"/>
          <w:szCs w:val="24"/>
        </w:rPr>
        <w:t xml:space="preserve">се имплантираат (67,72,63,73), </w:t>
      </w:r>
      <w:r w:rsidR="00C86A6D">
        <w:rPr>
          <w:rFonts w:ascii="Times New Roman" w:hAnsi="Times New Roman" w:cs="Times New Roman"/>
          <w:color w:val="212121"/>
          <w:sz w:val="24"/>
          <w:szCs w:val="24"/>
          <w:lang w:val="en-US"/>
        </w:rPr>
        <w:t>P</w:t>
      </w:r>
      <w:r w:rsidRPr="00115349">
        <w:rPr>
          <w:rFonts w:ascii="Times New Roman" w:hAnsi="Times New Roman" w:cs="Times New Roman"/>
          <w:color w:val="212121"/>
          <w:sz w:val="24"/>
          <w:szCs w:val="24"/>
        </w:rPr>
        <w:t>oint‐of‐care дијагностика (68),</w:t>
      </w:r>
      <w:r w:rsidRPr="00115349">
        <w:rPr>
          <w:rStyle w:val="nowrap"/>
          <w:rFonts w:ascii="Times New Roman" w:hAnsi="Times New Roman"/>
          <w:color w:val="212121"/>
          <w:sz w:val="24"/>
          <w:szCs w:val="24"/>
          <w:shd w:val="clear" w:color="auto" w:fill="FFFFFF"/>
        </w:rPr>
        <w:t xml:space="preserve"> ин виво мониторинг во реално време (74), </w:t>
      </w:r>
      <w:r w:rsidRPr="00115349">
        <w:rPr>
          <w:rFonts w:ascii="Times New Roman" w:hAnsi="Times New Roman" w:cs="Times New Roman"/>
          <w:color w:val="212121"/>
          <w:sz w:val="24"/>
          <w:szCs w:val="24"/>
        </w:rPr>
        <w:t xml:space="preserve">интрацелуларен биоимиџинг (75) </w:t>
      </w:r>
      <w:r w:rsidRPr="00115349">
        <w:rPr>
          <w:rStyle w:val="nowrap"/>
          <w:rFonts w:ascii="Times New Roman" w:hAnsi="Times New Roman"/>
          <w:color w:val="212121"/>
          <w:sz w:val="24"/>
          <w:szCs w:val="24"/>
          <w:shd w:val="clear" w:color="auto" w:fill="FFFFFF"/>
        </w:rPr>
        <w:t>како и екстрацелуларна детекција (76).</w:t>
      </w:r>
    </w:p>
    <w:p w:rsidR="00221492" w:rsidRDefault="005074C2" w:rsidP="00421E8E">
      <w:pPr>
        <w:pStyle w:val="p"/>
        <w:shd w:val="clear" w:color="auto" w:fill="FFFFFF"/>
        <w:spacing w:before="400" w:beforeAutospacing="0" w:after="400" w:afterAutospacing="0"/>
        <w:rPr>
          <w:color w:val="212121"/>
          <w:lang w:val="ru-RU"/>
        </w:rPr>
      </w:pPr>
      <w:r w:rsidRPr="00115349">
        <w:rPr>
          <w:color w:val="212121"/>
          <w:lang w:val="mk-MK"/>
        </w:rPr>
        <w:t xml:space="preserve">Според </w:t>
      </w:r>
      <w:r w:rsidRPr="00115349">
        <w:rPr>
          <w:color w:val="212121"/>
        </w:rPr>
        <w:t>Heney</w:t>
      </w:r>
      <w:r w:rsidRPr="00A926CA">
        <w:rPr>
          <w:color w:val="212121"/>
          <w:lang w:val="ru-RU"/>
        </w:rPr>
        <w:t xml:space="preserve"> </w:t>
      </w:r>
      <w:r w:rsidRPr="00115349">
        <w:rPr>
          <w:color w:val="212121"/>
          <w:lang w:val="mk-MK"/>
        </w:rPr>
        <w:t xml:space="preserve">и </w:t>
      </w:r>
      <w:r w:rsidRPr="00115349">
        <w:rPr>
          <w:color w:val="212121"/>
        </w:rPr>
        <w:t>Whicher</w:t>
      </w:r>
      <w:r w:rsidRPr="00A926CA">
        <w:rPr>
          <w:color w:val="212121"/>
          <w:lang w:val="ru-RU"/>
        </w:rPr>
        <w:t xml:space="preserve"> </w:t>
      </w:r>
      <w:r w:rsidR="000107F6">
        <w:rPr>
          <w:color w:val="212121"/>
          <w:lang w:val="mk-MK"/>
        </w:rPr>
        <w:t xml:space="preserve"> многу фактори </w:t>
      </w:r>
      <w:r w:rsidRPr="00115349">
        <w:rPr>
          <w:color w:val="212121"/>
          <w:lang w:val="mk-MK"/>
        </w:rPr>
        <w:t xml:space="preserve">влијаат врз квантификација на цитокините во биолошките течности: квалитетот на анализирање, однесување на цитокините во биолошки услови, во смисла на протеини што се врзуваат за истите, инхибитори или нивни растворливи рецептори, интерференции во матриксот на биолошките примероци кои можат да бидат причина за лажно позитивни резултати, стандардизирање на анализите, што претставува главен проблем во постапката на анализирање на протеините воопшто (77). Дополнително, </w:t>
      </w:r>
      <w:r w:rsidR="000107F6">
        <w:rPr>
          <w:color w:val="212121"/>
          <w:lang w:val="mk-MK"/>
        </w:rPr>
        <w:t xml:space="preserve"> </w:t>
      </w:r>
      <w:r w:rsidRPr="00115349">
        <w:rPr>
          <w:color w:val="212121"/>
          <w:lang w:val="mk-MK"/>
        </w:rPr>
        <w:t xml:space="preserve">ракувањето со биолошките примероци исто така влијае врз детекција на цитокините при мерењата, од моментот на собирање на примерокот до моментот на анализа во лабораторија (78). </w:t>
      </w:r>
      <w:r w:rsidRPr="00115349">
        <w:rPr>
          <w:rStyle w:val="nowrap"/>
          <w:color w:val="212121"/>
          <w:shd w:val="clear" w:color="auto" w:fill="FFFFFF"/>
          <w:lang w:val="mk-MK"/>
        </w:rPr>
        <w:t xml:space="preserve">Понатаму, краткиот полу-живот на цитокините, нивното врзување за солубилни рецептори, како и нивното можно разградување, влијае н прецизноста на мерењата, анализи и интерпретација (79). </w:t>
      </w:r>
    </w:p>
    <w:p w:rsidR="005074C2" w:rsidRPr="00221492" w:rsidRDefault="005074C2" w:rsidP="00421E8E">
      <w:pPr>
        <w:pStyle w:val="p"/>
        <w:shd w:val="clear" w:color="auto" w:fill="FFFFFF"/>
        <w:spacing w:before="400" w:beforeAutospacing="0" w:after="400" w:afterAutospacing="0"/>
        <w:rPr>
          <w:color w:val="212121"/>
          <w:lang w:val="mk-MK"/>
        </w:rPr>
      </w:pPr>
      <w:r w:rsidRPr="00115349">
        <w:rPr>
          <w:color w:val="212121"/>
          <w:lang w:val="mk-MK"/>
        </w:rPr>
        <w:t>Цитокините се мерливи во различни телесни течности, како што се крв, салива, солзи, урина и столица. Крвта како медиум претставува рефлексија на состојбата на клетките,ткивата, органите и телото како целина. Анализа на нивоата на цитокини во плазма и</w:t>
      </w:r>
      <w:r w:rsidR="000107F6">
        <w:rPr>
          <w:color w:val="212121"/>
          <w:lang w:val="mk-MK"/>
        </w:rPr>
        <w:t xml:space="preserve">ли серум е од големо значење </w:t>
      </w:r>
      <w:r w:rsidRPr="00115349">
        <w:rPr>
          <w:color w:val="212121"/>
          <w:lang w:val="mk-MK"/>
        </w:rPr>
        <w:t xml:space="preserve">за дијагноза на болеста, затоа што и суптилни промени во квантитетот, имаат влијание врз состојбата на имунолошкиот систем (80). </w:t>
      </w:r>
      <w:r w:rsidRPr="00115349">
        <w:rPr>
          <w:rStyle w:val="nowrap"/>
          <w:color w:val="212121"/>
          <w:shd w:val="clear" w:color="auto" w:fill="FFFFFF"/>
          <w:lang w:val="mk-MK"/>
        </w:rPr>
        <w:t xml:space="preserve">Како и </w:t>
      </w:r>
      <w:r w:rsidR="000107F6">
        <w:rPr>
          <w:rStyle w:val="nowrap"/>
          <w:color w:val="212121"/>
          <w:shd w:val="clear" w:color="auto" w:fill="FFFFFF"/>
          <w:lang w:val="mk-MK"/>
        </w:rPr>
        <w:t xml:space="preserve">да </w:t>
      </w:r>
      <w:r w:rsidRPr="00115349">
        <w:rPr>
          <w:rStyle w:val="nowrap"/>
          <w:color w:val="212121"/>
          <w:shd w:val="clear" w:color="auto" w:fill="FFFFFF"/>
          <w:lang w:val="mk-MK"/>
        </w:rPr>
        <w:t>е, познато е дека повеќето цитоки</w:t>
      </w:r>
      <w:r w:rsidR="000107F6">
        <w:rPr>
          <w:rStyle w:val="nowrap"/>
          <w:color w:val="212121"/>
          <w:shd w:val="clear" w:color="auto" w:fill="FFFFFF"/>
          <w:lang w:val="mk-MK"/>
        </w:rPr>
        <w:t>н</w:t>
      </w:r>
      <w:r w:rsidRPr="00115349">
        <w:rPr>
          <w:rStyle w:val="nowrap"/>
          <w:color w:val="212121"/>
          <w:shd w:val="clear" w:color="auto" w:fill="FFFFFF"/>
          <w:lang w:val="mk-MK"/>
        </w:rPr>
        <w:t>и имаат краток полу-живот ин виво и се подложни на брза деградација за време на собирање примерокот и негова подготовка. Тоа би можело да резултира со лажно негативни резултати, доколку не е применет адекватен пристап при собирање на примерокот (81).</w:t>
      </w:r>
    </w:p>
    <w:p w:rsidR="00221492" w:rsidRDefault="005074C2" w:rsidP="00421E8E">
      <w:pPr>
        <w:shd w:val="clear" w:color="auto" w:fill="FFFFFF"/>
        <w:rPr>
          <w:rFonts w:ascii="Times New Roman" w:hAnsi="Times New Roman" w:cs="Times New Roman"/>
          <w:color w:val="212121"/>
          <w:sz w:val="24"/>
          <w:szCs w:val="24"/>
          <w:vertAlign w:val="superscript"/>
        </w:rPr>
      </w:pPr>
      <w:r w:rsidRPr="00115349">
        <w:rPr>
          <w:rFonts w:ascii="Times New Roman" w:hAnsi="Times New Roman" w:cs="Times New Roman"/>
          <w:color w:val="212121"/>
          <w:sz w:val="24"/>
          <w:szCs w:val="24"/>
        </w:rPr>
        <w:t>Серумот и плазмата се третираат различно по собирање на примерокт. Серумот претставува растворлив дел од коагулираната крв и се изолира по коагулација на крвта. Во тек на процесот на коагулација, во серумот може да бидат ослободени IL‐1 и IL‐6, како резултат на</w:t>
      </w:r>
      <w:r w:rsidR="00AF53EA">
        <w:rPr>
          <w:rFonts w:ascii="Times New Roman" w:hAnsi="Times New Roman" w:cs="Times New Roman"/>
          <w:color w:val="212121"/>
          <w:sz w:val="24"/>
          <w:szCs w:val="24"/>
        </w:rPr>
        <w:t xml:space="preserve"> активација на тромбоцитите</w:t>
      </w:r>
      <w:r w:rsidRPr="00115349">
        <w:rPr>
          <w:rFonts w:ascii="Times New Roman" w:hAnsi="Times New Roman" w:cs="Times New Roman"/>
          <w:color w:val="212121"/>
          <w:sz w:val="24"/>
          <w:szCs w:val="24"/>
        </w:rPr>
        <w:t xml:space="preserve">. </w:t>
      </w:r>
      <w:r w:rsidRPr="00115349">
        <w:rPr>
          <w:rStyle w:val="nowrap"/>
          <w:rFonts w:ascii="Times New Roman" w:hAnsi="Times New Roman"/>
          <w:color w:val="212121"/>
          <w:sz w:val="24"/>
          <w:szCs w:val="24"/>
          <w:shd w:val="clear" w:color="auto" w:fill="FFFFFF"/>
        </w:rPr>
        <w:t>Плазмата пак, претствува растворлив дел од некоагулираната крв (82)</w:t>
      </w:r>
      <w:r w:rsidRPr="00115349">
        <w:rPr>
          <w:rFonts w:ascii="Times New Roman" w:hAnsi="Times New Roman" w:cs="Times New Roman"/>
          <w:color w:val="212121"/>
          <w:sz w:val="24"/>
          <w:szCs w:val="24"/>
        </w:rPr>
        <w:t>.</w:t>
      </w:r>
      <w:r w:rsidRPr="00115349">
        <w:rPr>
          <w:rStyle w:val="nowrap"/>
          <w:rFonts w:ascii="Times New Roman" w:hAnsi="Times New Roman"/>
          <w:color w:val="212121"/>
          <w:sz w:val="24"/>
          <w:szCs w:val="24"/>
          <w:shd w:val="clear" w:color="auto" w:fill="FFFFFF"/>
        </w:rPr>
        <w:t xml:space="preserve"> Пред да биде изолирана плазмата од крвта, можна</w:t>
      </w:r>
      <w:r w:rsidR="000107F6">
        <w:rPr>
          <w:rStyle w:val="nowrap"/>
          <w:rFonts w:ascii="Times New Roman" w:hAnsi="Times New Roman"/>
          <w:color w:val="212121"/>
          <w:sz w:val="24"/>
          <w:szCs w:val="24"/>
          <w:shd w:val="clear" w:color="auto" w:fill="FFFFFF"/>
        </w:rPr>
        <w:t xml:space="preserve"> е секреција на цитокини од стра</w:t>
      </w:r>
      <w:r w:rsidRPr="00115349">
        <w:rPr>
          <w:rStyle w:val="nowrap"/>
          <w:rFonts w:ascii="Times New Roman" w:hAnsi="Times New Roman"/>
          <w:color w:val="212121"/>
          <w:sz w:val="24"/>
          <w:szCs w:val="24"/>
          <w:shd w:val="clear" w:color="auto" w:fill="FFFFFF"/>
        </w:rPr>
        <w:t xml:space="preserve">на на леукоцити </w:t>
      </w:r>
      <w:r w:rsidRPr="00115349">
        <w:rPr>
          <w:rFonts w:ascii="Times New Roman" w:hAnsi="Times New Roman" w:cs="Times New Roman"/>
          <w:color w:val="212121"/>
          <w:sz w:val="24"/>
          <w:szCs w:val="24"/>
        </w:rPr>
        <w:t xml:space="preserve"> in vitro, процес кој што го менува нивото на цитокини во плазмата (83). За да биде изолирана плазмата од крвните клетки, се користат различни антикоагуланти како на пр.</w:t>
      </w:r>
      <w:r w:rsidR="0076360B">
        <w:rPr>
          <w:rFonts w:ascii="Times New Roman" w:hAnsi="Times New Roman" w:cs="Times New Roman"/>
          <w:color w:val="212121"/>
          <w:sz w:val="24"/>
          <w:szCs w:val="24"/>
          <w:lang w:val="en-US"/>
        </w:rPr>
        <w:t>,</w:t>
      </w:r>
      <w:r w:rsidRPr="00115349">
        <w:rPr>
          <w:rFonts w:ascii="Times New Roman" w:hAnsi="Times New Roman" w:cs="Times New Roman"/>
          <w:color w:val="212121"/>
          <w:sz w:val="24"/>
          <w:szCs w:val="24"/>
        </w:rPr>
        <w:t xml:space="preserve"> </w:t>
      </w:r>
      <w:r w:rsidR="0076360B">
        <w:rPr>
          <w:rFonts w:ascii="Times New Roman" w:hAnsi="Times New Roman" w:cs="Times New Roman"/>
          <w:color w:val="212121"/>
          <w:sz w:val="24"/>
          <w:szCs w:val="24"/>
        </w:rPr>
        <w:t xml:space="preserve">EDTA и Литиум/натриум  </w:t>
      </w:r>
      <w:r w:rsidRPr="00115349">
        <w:rPr>
          <w:rFonts w:ascii="Times New Roman" w:hAnsi="Times New Roman" w:cs="Times New Roman"/>
          <w:color w:val="212121"/>
          <w:sz w:val="24"/>
          <w:szCs w:val="24"/>
        </w:rPr>
        <w:t>хепарин, што резултира со инхибиција на коагулацијата и активација на комплемент системот. Истражувањата сугерираат дека употребата на разни видови антикоагуланти, контаминацијата на инструментите со ендотоксини, може да има најголемо влијание на концентрацијата на цитокини во плазма или серум и да резултира со лажно позитивни или негативни резултати (84).</w:t>
      </w:r>
      <w:r w:rsidRPr="00115349">
        <w:rPr>
          <w:rFonts w:ascii="Times New Roman" w:hAnsi="Times New Roman" w:cs="Times New Roman"/>
          <w:color w:val="212121"/>
          <w:sz w:val="24"/>
          <w:szCs w:val="24"/>
          <w:vertAlign w:val="superscript"/>
        </w:rPr>
        <w:t xml:space="preserve"> </w:t>
      </w:r>
    </w:p>
    <w:p w:rsidR="00221492" w:rsidRDefault="00221492" w:rsidP="00421E8E">
      <w:pPr>
        <w:shd w:val="clear" w:color="auto" w:fill="FFFFFF"/>
        <w:rPr>
          <w:rFonts w:ascii="Times New Roman" w:hAnsi="Times New Roman" w:cs="Times New Roman"/>
          <w:color w:val="212121"/>
          <w:sz w:val="24"/>
          <w:szCs w:val="24"/>
          <w:vertAlign w:val="superscript"/>
        </w:rPr>
      </w:pPr>
    </w:p>
    <w:p w:rsidR="00221492" w:rsidRDefault="00221492" w:rsidP="00421E8E">
      <w:pPr>
        <w:shd w:val="clear" w:color="auto" w:fill="FFFFFF"/>
        <w:rPr>
          <w:rFonts w:ascii="Times New Roman" w:hAnsi="Times New Roman" w:cs="Times New Roman"/>
          <w:color w:val="212121"/>
          <w:sz w:val="24"/>
          <w:szCs w:val="24"/>
          <w:vertAlign w:val="superscript"/>
        </w:rPr>
      </w:pPr>
    </w:p>
    <w:p w:rsidR="00221492" w:rsidRDefault="00221492" w:rsidP="00421E8E">
      <w:pPr>
        <w:shd w:val="clear" w:color="auto" w:fill="FFFFFF"/>
        <w:rPr>
          <w:rFonts w:ascii="Times New Roman" w:hAnsi="Times New Roman" w:cs="Times New Roman"/>
          <w:color w:val="212121"/>
          <w:sz w:val="24"/>
          <w:szCs w:val="24"/>
          <w:vertAlign w:val="superscript"/>
        </w:rPr>
      </w:pPr>
    </w:p>
    <w:p w:rsidR="00221492" w:rsidRDefault="00221492" w:rsidP="00421E8E">
      <w:pPr>
        <w:shd w:val="clear" w:color="auto" w:fill="FFFFFF"/>
        <w:rPr>
          <w:rFonts w:ascii="Times New Roman" w:hAnsi="Times New Roman" w:cs="Times New Roman"/>
          <w:color w:val="212121"/>
          <w:sz w:val="24"/>
          <w:szCs w:val="24"/>
          <w:vertAlign w:val="superscript"/>
        </w:rPr>
      </w:pPr>
    </w:p>
    <w:p w:rsidR="00221492" w:rsidRDefault="00221492" w:rsidP="00421E8E">
      <w:pPr>
        <w:shd w:val="clear" w:color="auto" w:fill="FFFFFF"/>
        <w:rPr>
          <w:rFonts w:ascii="Times New Roman" w:hAnsi="Times New Roman" w:cs="Times New Roman"/>
          <w:color w:val="212121"/>
          <w:sz w:val="24"/>
          <w:szCs w:val="24"/>
          <w:vertAlign w:val="superscript"/>
        </w:rPr>
      </w:pPr>
    </w:p>
    <w:p w:rsidR="005074C2" w:rsidRPr="00115349" w:rsidRDefault="005074C2" w:rsidP="00421E8E">
      <w:pPr>
        <w:shd w:val="clear" w:color="auto" w:fill="FFFFFF"/>
        <w:rPr>
          <w:rFonts w:ascii="Times New Roman" w:hAnsi="Times New Roman" w:cs="Times New Roman"/>
          <w:color w:val="212121"/>
          <w:sz w:val="24"/>
          <w:szCs w:val="24"/>
        </w:rPr>
      </w:pPr>
      <w:r w:rsidRPr="00115349">
        <w:rPr>
          <w:rStyle w:val="nowrap"/>
          <w:rFonts w:ascii="Times New Roman" w:hAnsi="Times New Roman"/>
          <w:color w:val="212121"/>
          <w:sz w:val="24"/>
          <w:szCs w:val="24"/>
          <w:shd w:val="clear" w:color="auto" w:fill="FFFFFF"/>
        </w:rPr>
        <w:t xml:space="preserve">На пример, хепаринот, може да индуцира ослободување на цитокини од моноцитите. Литиум хепаринот и натриум цитратот се покажало дека влијаат на нивоата на  </w:t>
      </w:r>
      <w:r w:rsidRPr="00115349">
        <w:rPr>
          <w:rFonts w:ascii="Times New Roman" w:hAnsi="Times New Roman" w:cs="Times New Roman"/>
          <w:color w:val="212121"/>
          <w:sz w:val="24"/>
          <w:szCs w:val="24"/>
        </w:rPr>
        <w:t>IL‐6 и TNF‐</w:t>
      </w:r>
      <w:r w:rsidRPr="000107F6">
        <w:rPr>
          <w:rStyle w:val="Emphasis"/>
          <w:rFonts w:ascii="Times New Roman" w:hAnsi="Times New Roman"/>
          <w:i w:val="0"/>
          <w:color w:val="212121"/>
          <w:sz w:val="24"/>
          <w:szCs w:val="24"/>
        </w:rPr>
        <w:t>α</w:t>
      </w:r>
      <w:r w:rsidRPr="00115349">
        <w:rPr>
          <w:rFonts w:ascii="Times New Roman" w:hAnsi="Times New Roman" w:cs="Times New Roman"/>
          <w:color w:val="212121"/>
          <w:sz w:val="24"/>
          <w:szCs w:val="24"/>
        </w:rPr>
        <w:t>, (85) како резултат на ослободување на цитокини од страна на антикоагулантот , особено кога станува збор за плазма третирана со хепарин, но не и кај плазма третирана со EDTA. Friebe и Volk укажуваат дека нивоата на TNF‐</w:t>
      </w:r>
      <w:r w:rsidRPr="000107F6">
        <w:rPr>
          <w:rStyle w:val="Emphasis"/>
          <w:rFonts w:ascii="Times New Roman" w:hAnsi="Times New Roman"/>
          <w:i w:val="0"/>
          <w:color w:val="212121"/>
          <w:sz w:val="24"/>
          <w:szCs w:val="24"/>
        </w:rPr>
        <w:t>α</w:t>
      </w:r>
      <w:r w:rsidRPr="000107F6">
        <w:rPr>
          <w:rFonts w:ascii="Times New Roman" w:hAnsi="Times New Roman" w:cs="Times New Roman"/>
          <w:i/>
          <w:color w:val="212121"/>
          <w:sz w:val="24"/>
          <w:szCs w:val="24"/>
        </w:rPr>
        <w:t> </w:t>
      </w:r>
      <w:r w:rsidRPr="00115349">
        <w:rPr>
          <w:rFonts w:ascii="Times New Roman" w:hAnsi="Times New Roman" w:cs="Times New Roman"/>
          <w:color w:val="212121"/>
          <w:sz w:val="24"/>
          <w:szCs w:val="24"/>
        </w:rPr>
        <w:t>и IL‐8 остануваат стабилни во EDTA плазма, а се покачуваат во плазма третирана со хепарин (86). Нивоата пак на IL‐6 остануваат константни во тек на осум часа при употреба и на двата вида на антикогуланти. Повисоки вредности на цитокините во серум во споредба со вредностите во плазма, укажуваат на тоа дека процесот на коагулација индуцира ослободување на цитокини (87,88).</w:t>
      </w:r>
    </w:p>
    <w:p w:rsidR="005074C2" w:rsidRPr="00A926CA" w:rsidRDefault="005074C2" w:rsidP="00421E8E">
      <w:pPr>
        <w:pStyle w:val="p"/>
        <w:shd w:val="clear" w:color="auto" w:fill="FFFFFF"/>
        <w:spacing w:before="400" w:beforeAutospacing="0" w:after="400" w:afterAutospacing="0"/>
        <w:rPr>
          <w:color w:val="212121"/>
          <w:lang w:val="ru-RU"/>
        </w:rPr>
      </w:pPr>
      <w:r w:rsidRPr="00115349">
        <w:rPr>
          <w:color w:val="212121"/>
          <w:lang w:val="mk-MK"/>
        </w:rPr>
        <w:t>Колекција на плазма со употреба на</w:t>
      </w:r>
      <w:r w:rsidRPr="00A926CA">
        <w:rPr>
          <w:color w:val="212121"/>
          <w:lang w:val="ru-RU"/>
        </w:rPr>
        <w:t xml:space="preserve"> </w:t>
      </w:r>
      <w:r w:rsidRPr="00115349">
        <w:rPr>
          <w:color w:val="212121"/>
        </w:rPr>
        <w:t>EDTA</w:t>
      </w:r>
      <w:r w:rsidRPr="00115349">
        <w:rPr>
          <w:color w:val="212121"/>
          <w:lang w:val="mk-MK"/>
        </w:rPr>
        <w:t xml:space="preserve"> резултира со постојаност во конечните резултати, најблиска до резултатите добиени со обработка на серум. Всушност плазмата третирана со </w:t>
      </w:r>
      <w:r w:rsidRPr="00115349">
        <w:rPr>
          <w:color w:val="212121"/>
        </w:rPr>
        <w:t>EDTA</w:t>
      </w:r>
      <w:r w:rsidRPr="00A926CA">
        <w:rPr>
          <w:color w:val="212121"/>
          <w:lang w:val="ru-RU"/>
        </w:rPr>
        <w:t xml:space="preserve"> </w:t>
      </w:r>
      <w:r w:rsidRPr="00115349">
        <w:rPr>
          <w:color w:val="212121"/>
          <w:lang w:val="mk-MK"/>
        </w:rPr>
        <w:t>дава најмеродавни резултати во смисла на стабилноста (86)</w:t>
      </w:r>
      <w:r w:rsidRPr="00A926CA">
        <w:rPr>
          <w:color w:val="212121"/>
          <w:shd w:val="clear" w:color="auto" w:fill="FFFFFF"/>
          <w:lang w:val="ru-RU"/>
        </w:rPr>
        <w:t>.</w:t>
      </w:r>
      <w:r w:rsidRPr="00115349">
        <w:rPr>
          <w:rStyle w:val="nowrap"/>
          <w:color w:val="212121"/>
          <w:shd w:val="clear" w:color="auto" w:fill="FFFFFF"/>
          <w:lang w:val="mk-MK"/>
        </w:rPr>
        <w:t xml:space="preserve"> Дополнително, брзата подготовка на примерокот секогаш се препорачува, иако секогаш постои временска разлика помеѓу собирањето примерок и анализата.</w:t>
      </w:r>
    </w:p>
    <w:p w:rsidR="005074C2" w:rsidRPr="00115349" w:rsidRDefault="005074C2" w:rsidP="00421E8E">
      <w:pPr>
        <w:pStyle w:val="p"/>
        <w:shd w:val="clear" w:color="auto" w:fill="FFFFFF"/>
        <w:spacing w:before="400" w:beforeAutospacing="0" w:after="400" w:afterAutospacing="0"/>
        <w:rPr>
          <w:color w:val="212121"/>
          <w:lang w:val="mk-MK"/>
        </w:rPr>
      </w:pPr>
      <w:r w:rsidRPr="00115349">
        <w:rPr>
          <w:color w:val="212121"/>
          <w:lang w:val="mk-MK"/>
        </w:rPr>
        <w:t>Со цел стандардизирање на постапката, многу студии го имааат истражувано начинот  на чување на земениот примерокот и влијанието на истото врз концентрацијата на цитокините.</w:t>
      </w:r>
      <w:r w:rsidRPr="00A926CA">
        <w:rPr>
          <w:color w:val="212121"/>
          <w:lang w:val="ru-RU"/>
        </w:rPr>
        <w:t xml:space="preserve"> </w:t>
      </w:r>
      <w:r w:rsidRPr="00115349">
        <w:rPr>
          <w:color w:val="212121"/>
        </w:rPr>
        <w:t>Cohen</w:t>
      </w:r>
      <w:r w:rsidRPr="00A926CA">
        <w:rPr>
          <w:color w:val="212121"/>
          <w:lang w:val="ru-RU"/>
        </w:rPr>
        <w:t xml:space="preserve"> </w:t>
      </w:r>
      <w:r w:rsidRPr="00115349">
        <w:rPr>
          <w:color w:val="212121"/>
          <w:lang w:val="mk-MK"/>
        </w:rPr>
        <w:t>и соработниците (83)</w:t>
      </w:r>
      <w:r w:rsidRPr="00115349">
        <w:rPr>
          <w:rStyle w:val="nowrap"/>
          <w:color w:val="212121"/>
          <w:shd w:val="clear" w:color="auto" w:fill="FFFFFF"/>
          <w:lang w:val="mk-MK"/>
        </w:rPr>
        <w:t xml:space="preserve"> го имаат евалуирано влијанието на конзервирање на примерокот врз концентрацијата на </w:t>
      </w:r>
      <w:r w:rsidRPr="00115349">
        <w:rPr>
          <w:color w:val="212121"/>
        </w:rPr>
        <w:t>IL</w:t>
      </w:r>
      <w:r w:rsidRPr="00A926CA">
        <w:rPr>
          <w:color w:val="212121"/>
          <w:lang w:val="ru-RU"/>
        </w:rPr>
        <w:t xml:space="preserve">‐6, </w:t>
      </w:r>
      <w:r w:rsidRPr="00115349">
        <w:rPr>
          <w:color w:val="212121"/>
        </w:rPr>
        <w:t>IL</w:t>
      </w:r>
      <w:r w:rsidRPr="00A926CA">
        <w:rPr>
          <w:color w:val="212121"/>
          <w:lang w:val="ru-RU"/>
        </w:rPr>
        <w:t xml:space="preserve">‐10, </w:t>
      </w:r>
      <w:r w:rsidRPr="00115349">
        <w:rPr>
          <w:color w:val="212121"/>
        </w:rPr>
        <w:t>IFN</w:t>
      </w:r>
      <w:r w:rsidRPr="00A926CA">
        <w:rPr>
          <w:color w:val="212121"/>
          <w:lang w:val="ru-RU"/>
        </w:rPr>
        <w:t>‐</w:t>
      </w:r>
      <w:r w:rsidRPr="00115349">
        <w:rPr>
          <w:rStyle w:val="Emphasis"/>
          <w:color w:val="212121"/>
        </w:rPr>
        <w:t>γ</w:t>
      </w:r>
      <w:r w:rsidRPr="00115349">
        <w:rPr>
          <w:color w:val="212121"/>
          <w:lang w:val="mk-MK"/>
        </w:rPr>
        <w:t xml:space="preserve"> и </w:t>
      </w:r>
      <w:r w:rsidRPr="00115349">
        <w:rPr>
          <w:color w:val="212121"/>
        </w:rPr>
        <w:t>IL</w:t>
      </w:r>
      <w:r w:rsidRPr="00A926CA">
        <w:rPr>
          <w:color w:val="212121"/>
          <w:lang w:val="ru-RU"/>
        </w:rPr>
        <w:t>‐2</w:t>
      </w:r>
      <w:r w:rsidRPr="00115349">
        <w:rPr>
          <w:color w:val="212121"/>
          <w:lang w:val="mk-MK"/>
        </w:rPr>
        <w:t xml:space="preserve"> во плазма</w:t>
      </w:r>
      <w:r w:rsidRPr="00A926CA">
        <w:rPr>
          <w:color w:val="212121"/>
          <w:lang w:val="ru-RU"/>
        </w:rPr>
        <w:t xml:space="preserve">. </w:t>
      </w:r>
      <w:r w:rsidRPr="00115349">
        <w:rPr>
          <w:color w:val="212121"/>
          <w:lang w:val="mk-MK"/>
        </w:rPr>
        <w:t xml:space="preserve">Нивните истражувања резултирале со намалена концентрација на цитокини кога примерокот се чува на собна температура во споредба со температура од 4 степени Целзиусови. Студија на </w:t>
      </w:r>
      <w:r w:rsidRPr="00115349">
        <w:rPr>
          <w:color w:val="212121"/>
        </w:rPr>
        <w:t>Vincent</w:t>
      </w:r>
      <w:r w:rsidRPr="00A926CA">
        <w:rPr>
          <w:color w:val="212121"/>
          <w:lang w:val="ru-RU"/>
        </w:rPr>
        <w:t xml:space="preserve"> </w:t>
      </w:r>
      <w:r w:rsidRPr="00115349">
        <w:rPr>
          <w:color w:val="212121"/>
          <w:lang w:val="mk-MK"/>
        </w:rPr>
        <w:t xml:space="preserve">и соработниците го евалуирала ефектот на стабилност на цитокините во однос на времето пред замрзнување на серумот и резултатот е компариран со резултатот од примероци на плазма земени од пациенти со Системски лупус (90). </w:t>
      </w:r>
      <w:r w:rsidRPr="00115349">
        <w:rPr>
          <w:rStyle w:val="nowrap"/>
          <w:color w:val="212121"/>
          <w:shd w:val="clear" w:color="auto" w:fill="FFFFFF"/>
          <w:lang w:val="mk-MK"/>
        </w:rPr>
        <w:t xml:space="preserve">Во оваа студија, примероците на плазма и серум биле чувани на температура од 4 степени Целзиусови, пред да бидат замрзнати.  Единаесет од дванаесет примероци, биле стабилни во период од 0 до 30 дена пред замрзнување, со исклучок на </w:t>
      </w:r>
      <w:r w:rsidRPr="00115349">
        <w:rPr>
          <w:color w:val="212121"/>
        </w:rPr>
        <w:t>CCL</w:t>
      </w:r>
      <w:r w:rsidR="0076360B">
        <w:rPr>
          <w:color w:val="212121"/>
          <w:lang w:val="ru-RU"/>
        </w:rPr>
        <w:t>19</w:t>
      </w:r>
      <w:r w:rsidRPr="00A926CA">
        <w:rPr>
          <w:color w:val="212121"/>
          <w:lang w:val="ru-RU"/>
        </w:rPr>
        <w:t xml:space="preserve"> </w:t>
      </w:r>
      <w:r w:rsidRPr="00115349">
        <w:rPr>
          <w:color w:val="212121"/>
          <w:lang w:val="mk-MK"/>
        </w:rPr>
        <w:t xml:space="preserve">кој има покажано висок степен на распаѓање веќе од четвртиот ден по земањето на примерокот на температура од четири степени Целзиусови. Нивоата на цитокини биле постабилни во несепариран серум, споредбено со оние во плазма за повеќето аналити со исклучок на </w:t>
      </w:r>
      <w:r w:rsidRPr="00115349">
        <w:rPr>
          <w:color w:val="212121"/>
        </w:rPr>
        <w:t>IL</w:t>
      </w:r>
      <w:r w:rsidRPr="00A926CA">
        <w:rPr>
          <w:color w:val="212121"/>
          <w:lang w:val="ru-RU"/>
        </w:rPr>
        <w:t xml:space="preserve">‐37 </w:t>
      </w:r>
      <w:r w:rsidRPr="00115349">
        <w:rPr>
          <w:color w:val="212121"/>
          <w:lang w:val="mk-MK"/>
        </w:rPr>
        <w:t>кој покажал поголема стабилност во плазма. Според тоа, оваа студија сугерира максимум 3 дена чување на примерокот на несепариран серум на температура од 4 степени Целзиусови.</w:t>
      </w:r>
      <w:r w:rsidRPr="00A926CA">
        <w:rPr>
          <w:color w:val="212121"/>
          <w:lang w:val="ru-RU"/>
        </w:rPr>
        <w:t xml:space="preserve"> </w:t>
      </w:r>
      <w:r w:rsidRPr="00115349">
        <w:rPr>
          <w:color w:val="212121"/>
        </w:rPr>
        <w:t>Valaperti</w:t>
      </w:r>
      <w:r w:rsidRPr="00A926CA">
        <w:rPr>
          <w:color w:val="212121"/>
          <w:lang w:val="ru-RU"/>
        </w:rPr>
        <w:t xml:space="preserve"> </w:t>
      </w:r>
      <w:r w:rsidRPr="00115349">
        <w:rPr>
          <w:color w:val="212121"/>
          <w:lang w:val="mk-MK"/>
        </w:rPr>
        <w:t>и соработниците, ја анализирале варијабилноста на нивоата на цитокини во крв пред и по сепарација на крвните клетки, со цел да се воспостави протокол за конзервирање на примероците кој најповолно би влијаел на конечниот резултат (91)</w:t>
      </w:r>
      <w:r w:rsidRPr="00A926CA">
        <w:rPr>
          <w:color w:val="212121"/>
          <w:lang w:val="ru-RU"/>
        </w:rPr>
        <w:t>.</w:t>
      </w:r>
      <w:r w:rsidRPr="00115349">
        <w:rPr>
          <w:color w:val="212121"/>
          <w:lang w:val="mk-MK"/>
        </w:rPr>
        <w:t xml:space="preserve"> Ова истражување покажало дека повеќето цитокини се стабилни некое време на собна температура по земањето на примерок. Се препорачува да соберената крв веднаш да се процесира и замрзне за да се избегне добивање на лажно позитивни резултати, податок кој го докажале и </w:t>
      </w:r>
      <w:r w:rsidRPr="00115349">
        <w:rPr>
          <w:color w:val="212121"/>
        </w:rPr>
        <w:t>Panicker</w:t>
      </w:r>
      <w:r w:rsidRPr="00A926CA">
        <w:rPr>
          <w:color w:val="212121"/>
          <w:lang w:val="ru-RU"/>
        </w:rPr>
        <w:t xml:space="preserve"> </w:t>
      </w:r>
      <w:r w:rsidRPr="00115349">
        <w:rPr>
          <w:color w:val="212121"/>
          <w:lang w:val="mk-MK"/>
        </w:rPr>
        <w:t>и соработниците кои го проучувале ефектот на имедијантно замрзнување на примероци од цервикален мукус (81).</w:t>
      </w:r>
      <w:r w:rsidRPr="00A926CA">
        <w:rPr>
          <w:lang w:val="ru-RU"/>
        </w:rPr>
        <w:t xml:space="preserve"> </w:t>
      </w:r>
    </w:p>
    <w:p w:rsidR="00221492" w:rsidRDefault="00221492" w:rsidP="00421E8E">
      <w:pPr>
        <w:pStyle w:val="p"/>
        <w:shd w:val="clear" w:color="auto" w:fill="FFFFFF"/>
        <w:spacing w:before="400" w:beforeAutospacing="0" w:after="400" w:afterAutospacing="0"/>
        <w:rPr>
          <w:color w:val="212121"/>
          <w:lang w:val="mk-MK"/>
        </w:rPr>
      </w:pPr>
    </w:p>
    <w:p w:rsidR="00221492" w:rsidRDefault="00221492" w:rsidP="00421E8E">
      <w:pPr>
        <w:pStyle w:val="p"/>
        <w:shd w:val="clear" w:color="auto" w:fill="FFFFFF"/>
        <w:spacing w:before="400" w:beforeAutospacing="0" w:after="400" w:afterAutospacing="0"/>
        <w:rPr>
          <w:color w:val="212121"/>
          <w:lang w:val="mk-MK"/>
        </w:rPr>
      </w:pPr>
    </w:p>
    <w:p w:rsidR="005074C2" w:rsidRPr="00AF53EA" w:rsidRDefault="005074C2" w:rsidP="00421E8E">
      <w:pPr>
        <w:pStyle w:val="p"/>
        <w:shd w:val="clear" w:color="auto" w:fill="FFFFFF"/>
        <w:spacing w:before="400" w:beforeAutospacing="0" w:after="400" w:afterAutospacing="0"/>
        <w:rPr>
          <w:color w:val="212121"/>
          <w:lang w:val="mk-MK"/>
        </w:rPr>
      </w:pPr>
      <w:r w:rsidRPr="00115349">
        <w:rPr>
          <w:color w:val="212121"/>
        </w:rPr>
        <w:t>Simpson</w:t>
      </w:r>
      <w:r w:rsidRPr="00A926CA">
        <w:rPr>
          <w:color w:val="212121"/>
          <w:lang w:val="ru-RU"/>
        </w:rPr>
        <w:t xml:space="preserve"> </w:t>
      </w:r>
      <w:r w:rsidRPr="00115349">
        <w:rPr>
          <w:color w:val="212121"/>
          <w:lang w:val="mk-MK"/>
        </w:rPr>
        <w:t>и соработниците ја проучувале стабилноста на 33 цитокини, кога примероците биле чувани на различни температури, односно биле подложени на повторувачки циклуси на замрзнување и одмрзнување (92)</w:t>
      </w:r>
      <w:r w:rsidR="001C31FA">
        <w:rPr>
          <w:color w:val="212121"/>
          <w:lang w:val="mk-MK"/>
        </w:rPr>
        <w:t>.</w:t>
      </w:r>
      <w:r w:rsidRPr="00115349">
        <w:rPr>
          <w:color w:val="212121"/>
          <w:lang w:val="mk-MK"/>
        </w:rPr>
        <w:t xml:space="preserve"> </w:t>
      </w:r>
      <w:r w:rsidRPr="00115349">
        <w:rPr>
          <w:rStyle w:val="nowrap"/>
          <w:color w:val="212121"/>
          <w:shd w:val="clear" w:color="auto" w:fill="FFFFFF"/>
          <w:lang w:val="mk-MK"/>
        </w:rPr>
        <w:t xml:space="preserve">Проценка на стабилноста при криопрезервација  е од големо значење, заради честата употреба на претходно замрзнувани примероци.  </w:t>
      </w:r>
      <w:r w:rsidRPr="00115349">
        <w:rPr>
          <w:color w:val="212121"/>
          <w:lang w:val="mk-MK"/>
        </w:rPr>
        <w:t>Нивоата на цитокини, можат да бидат стабилни, покачени или намалени, по повеќекратно замрзнување и одмрзнување (93).</w:t>
      </w:r>
      <w:r w:rsidRPr="00115349">
        <w:rPr>
          <w:rStyle w:val="nowrap"/>
          <w:color w:val="212121"/>
          <w:shd w:val="clear" w:color="auto" w:fill="FFFFFF"/>
          <w:lang w:val="mk-MK"/>
        </w:rPr>
        <w:t xml:space="preserve"> Генерално, повеќето цитокини се стабилни до најмногу три циклуси на криопезервација.</w:t>
      </w:r>
      <w:r w:rsidRPr="00115349">
        <w:rPr>
          <w:color w:val="212121"/>
          <w:vertAlign w:val="superscript"/>
          <w:lang w:val="mk-MK"/>
        </w:rPr>
        <w:t xml:space="preserve"> </w:t>
      </w:r>
      <w:r w:rsidRPr="00115349">
        <w:rPr>
          <w:color w:val="212121"/>
        </w:rPr>
        <w:t> Jae</w:t>
      </w:r>
      <w:r w:rsidRPr="00A926CA">
        <w:rPr>
          <w:color w:val="212121"/>
          <w:lang w:val="ru-RU"/>
        </w:rPr>
        <w:t xml:space="preserve"> </w:t>
      </w:r>
      <w:r w:rsidRPr="00115349">
        <w:rPr>
          <w:color w:val="212121"/>
          <w:lang w:val="mk-MK"/>
        </w:rPr>
        <w:t xml:space="preserve">и соработниците го проучувале влијанието на повеќекратно замрзнување и одмрзнување врз концентрацијата на различни цитокини во плазма и серум, односно докажале дека концентрациите на </w:t>
      </w:r>
      <w:r w:rsidRPr="00115349">
        <w:rPr>
          <w:color w:val="212121"/>
        </w:rPr>
        <w:t>IFN</w:t>
      </w:r>
      <w:r w:rsidRPr="00A926CA">
        <w:rPr>
          <w:color w:val="212121"/>
          <w:lang w:val="ru-RU"/>
        </w:rPr>
        <w:t>‐</w:t>
      </w:r>
      <w:r w:rsidRPr="000107F6">
        <w:rPr>
          <w:rStyle w:val="Emphasis"/>
          <w:i w:val="0"/>
          <w:color w:val="212121"/>
        </w:rPr>
        <w:t>γ</w:t>
      </w:r>
      <w:r w:rsidRPr="000107F6">
        <w:rPr>
          <w:i/>
          <w:color w:val="212121"/>
        </w:rPr>
        <w:t> </w:t>
      </w:r>
      <w:r w:rsidRPr="00115349">
        <w:rPr>
          <w:color w:val="212121"/>
          <w:lang w:val="mk-MK"/>
        </w:rPr>
        <w:t xml:space="preserve">и </w:t>
      </w:r>
      <w:r w:rsidRPr="00115349">
        <w:rPr>
          <w:color w:val="212121"/>
        </w:rPr>
        <w:t>IL</w:t>
      </w:r>
      <w:r w:rsidRPr="00A926CA">
        <w:rPr>
          <w:color w:val="212121"/>
          <w:lang w:val="ru-RU"/>
        </w:rPr>
        <w:t xml:space="preserve">‐8 </w:t>
      </w:r>
      <w:r w:rsidRPr="00115349">
        <w:rPr>
          <w:color w:val="212121"/>
          <w:lang w:val="mk-MK"/>
        </w:rPr>
        <w:t>се стабилни во плазма и серум (94).</w:t>
      </w:r>
      <w:r w:rsidRPr="00A926CA">
        <w:rPr>
          <w:lang w:val="ru-RU"/>
        </w:rPr>
        <w:t xml:space="preserve"> </w:t>
      </w:r>
      <w:r w:rsidRPr="00115349">
        <w:rPr>
          <w:rStyle w:val="nowrap"/>
          <w:color w:val="212121"/>
          <w:shd w:val="clear" w:color="auto" w:fill="FFFFFF"/>
          <w:lang w:val="mk-MK"/>
        </w:rPr>
        <w:t xml:space="preserve">Како и да е по повеќе од три циклуси, концентрациите на некои цитокини значително се менуваат (95). По анализа на ефектот на замрзнување и повторно одмрзнување на со </w:t>
      </w:r>
      <w:r w:rsidRPr="00115349">
        <w:rPr>
          <w:rStyle w:val="nowrap"/>
          <w:color w:val="212121"/>
          <w:shd w:val="clear" w:color="auto" w:fill="FFFFFF"/>
        </w:rPr>
        <w:t>EDTA</w:t>
      </w:r>
      <w:r w:rsidRPr="00A926CA">
        <w:rPr>
          <w:rStyle w:val="nowrap"/>
          <w:color w:val="212121"/>
          <w:shd w:val="clear" w:color="auto" w:fill="FFFFFF"/>
          <w:lang w:val="ru-RU"/>
        </w:rPr>
        <w:t xml:space="preserve"> </w:t>
      </w:r>
      <w:r w:rsidRPr="00115349">
        <w:rPr>
          <w:rStyle w:val="nowrap"/>
          <w:color w:val="212121"/>
          <w:shd w:val="clear" w:color="auto" w:fill="FFFFFF"/>
          <w:lang w:val="mk-MK"/>
        </w:rPr>
        <w:t xml:space="preserve">и плазма третирана со цитрат, </w:t>
      </w:r>
      <w:r w:rsidRPr="00115349">
        <w:rPr>
          <w:color w:val="212121"/>
        </w:rPr>
        <w:t>Henno</w:t>
      </w:r>
      <w:r w:rsidRPr="00A926CA">
        <w:rPr>
          <w:color w:val="212121"/>
          <w:lang w:val="ru-RU"/>
        </w:rPr>
        <w:t xml:space="preserve"> </w:t>
      </w:r>
      <w:r w:rsidRPr="00115349">
        <w:rPr>
          <w:color w:val="212121"/>
          <w:lang w:val="mk-MK"/>
        </w:rPr>
        <w:t xml:space="preserve">и соработниците даваат податок дека нема сигнификантна промена во нивоата на цитокини, до три циклуси на замрзнување, односно одмрзнување (96). По шест такви повторувања пак било евидентирано мало намалување на концентрацијата на </w:t>
      </w:r>
      <w:r w:rsidRPr="00115349">
        <w:rPr>
          <w:color w:val="212121"/>
        </w:rPr>
        <w:t>IL</w:t>
      </w:r>
      <w:r w:rsidRPr="00A926CA">
        <w:rPr>
          <w:color w:val="212121"/>
          <w:lang w:val="ru-RU"/>
        </w:rPr>
        <w:t>‐1</w:t>
      </w:r>
      <w:r w:rsidRPr="000107F6">
        <w:rPr>
          <w:rStyle w:val="Emphasis"/>
          <w:i w:val="0"/>
          <w:color w:val="212121"/>
        </w:rPr>
        <w:t>β</w:t>
      </w:r>
      <w:r w:rsidRPr="00115349">
        <w:rPr>
          <w:rStyle w:val="Emphasis"/>
          <w:color w:val="212121"/>
          <w:lang w:val="mk-MK"/>
        </w:rPr>
        <w:t xml:space="preserve">,  </w:t>
      </w:r>
      <w:r w:rsidRPr="00F415BB">
        <w:rPr>
          <w:rStyle w:val="Emphasis"/>
          <w:i w:val="0"/>
          <w:color w:val="212121"/>
          <w:lang w:val="mk-MK"/>
        </w:rPr>
        <w:t>односно покачување на концентарцијата на</w:t>
      </w:r>
      <w:r w:rsidRPr="00115349">
        <w:rPr>
          <w:rStyle w:val="Emphasis"/>
          <w:color w:val="212121"/>
          <w:lang w:val="mk-MK"/>
        </w:rPr>
        <w:t xml:space="preserve"> </w:t>
      </w:r>
      <w:r w:rsidRPr="00115349">
        <w:rPr>
          <w:color w:val="212121"/>
        </w:rPr>
        <w:t>CCL</w:t>
      </w:r>
      <w:r w:rsidRPr="00A926CA">
        <w:rPr>
          <w:color w:val="212121"/>
          <w:lang w:val="ru-RU"/>
        </w:rPr>
        <w:t xml:space="preserve">5 </w:t>
      </w:r>
      <w:r w:rsidRPr="00115349">
        <w:rPr>
          <w:color w:val="212121"/>
          <w:lang w:val="mk-MK"/>
        </w:rPr>
        <w:t>во плазма третирана со</w:t>
      </w:r>
      <w:r w:rsidRPr="00A926CA">
        <w:rPr>
          <w:color w:val="212121"/>
          <w:lang w:val="ru-RU"/>
        </w:rPr>
        <w:t xml:space="preserve"> </w:t>
      </w:r>
      <w:r w:rsidRPr="00115349">
        <w:rPr>
          <w:color w:val="212121"/>
        </w:rPr>
        <w:t>EDTA</w:t>
      </w:r>
      <w:r w:rsidRPr="00115349">
        <w:rPr>
          <w:color w:val="212121"/>
          <w:lang w:val="mk-MK"/>
        </w:rPr>
        <w:t>.</w:t>
      </w:r>
      <w:r w:rsidRPr="00A926CA">
        <w:rPr>
          <w:color w:val="212121"/>
          <w:lang w:val="ru-RU"/>
        </w:rPr>
        <w:t xml:space="preserve"> </w:t>
      </w:r>
      <w:r w:rsidRPr="00115349">
        <w:rPr>
          <w:color w:val="212121"/>
          <w:lang w:val="mk-MK"/>
        </w:rPr>
        <w:t xml:space="preserve">Колку е помал бројот на повторувања на замрзнување и одмрзнување, толку е поголема стабилноста на концентрацијата на цитокини во примероците. </w:t>
      </w: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b/>
          <w:color w:val="212121"/>
          <w:sz w:val="28"/>
          <w:szCs w:val="28"/>
          <w:lang w:val="mk-MK"/>
        </w:rPr>
      </w:pPr>
    </w:p>
    <w:p w:rsidR="000107F6" w:rsidRDefault="000107F6" w:rsidP="00421E8E">
      <w:pPr>
        <w:pStyle w:val="NormalWeb"/>
        <w:spacing w:before="200" w:beforeAutospacing="0" w:after="0" w:afterAutospacing="0"/>
        <w:rPr>
          <w:rFonts w:ascii="Times New Roman" w:hAnsi="Times New Roman" w:cs="Times New Roman"/>
          <w:b/>
          <w:color w:val="212121"/>
          <w:lang w:val="mk-MK"/>
        </w:rPr>
      </w:pPr>
    </w:p>
    <w:p w:rsidR="00910BD3" w:rsidRDefault="00910BD3" w:rsidP="00421E8E">
      <w:pPr>
        <w:pStyle w:val="NormalWeb"/>
        <w:spacing w:before="200" w:beforeAutospacing="0" w:after="0" w:afterAutospacing="0"/>
        <w:rPr>
          <w:rFonts w:ascii="Times New Roman" w:hAnsi="Times New Roman" w:cs="Times New Roman"/>
          <w:b/>
          <w:color w:val="212121"/>
          <w:lang w:val="mk-MK"/>
        </w:rPr>
      </w:pPr>
    </w:p>
    <w:p w:rsidR="00910BD3" w:rsidRDefault="00910BD3" w:rsidP="00421E8E">
      <w:pPr>
        <w:pStyle w:val="NormalWeb"/>
        <w:spacing w:before="200" w:beforeAutospacing="0" w:after="0" w:afterAutospacing="0"/>
        <w:rPr>
          <w:rFonts w:ascii="Times New Roman" w:hAnsi="Times New Roman" w:cs="Times New Roman"/>
          <w:b/>
          <w:color w:val="212121"/>
          <w:lang w:val="mk-MK"/>
        </w:rPr>
      </w:pPr>
    </w:p>
    <w:p w:rsidR="00910BD3" w:rsidRDefault="00910BD3" w:rsidP="00421E8E">
      <w:pPr>
        <w:pStyle w:val="NormalWeb"/>
        <w:spacing w:before="200" w:beforeAutospacing="0" w:after="0" w:afterAutospacing="0"/>
        <w:rPr>
          <w:rFonts w:ascii="Times New Roman" w:hAnsi="Times New Roman" w:cs="Times New Roman"/>
          <w:b/>
          <w:color w:val="212121"/>
          <w:lang w:val="mk-MK"/>
        </w:rPr>
      </w:pPr>
    </w:p>
    <w:p w:rsidR="00221492" w:rsidRDefault="00221492" w:rsidP="00421E8E">
      <w:pPr>
        <w:pStyle w:val="NormalWeb"/>
        <w:spacing w:before="200" w:beforeAutospacing="0" w:after="0" w:afterAutospacing="0"/>
        <w:rPr>
          <w:rFonts w:ascii="Times New Roman" w:hAnsi="Times New Roman" w:cs="Times New Roman"/>
          <w:b/>
          <w:color w:val="212121"/>
          <w:lang w:val="mk-MK"/>
        </w:rPr>
      </w:pPr>
    </w:p>
    <w:p w:rsidR="00221492" w:rsidRDefault="00221492" w:rsidP="00421E8E">
      <w:pPr>
        <w:pStyle w:val="NormalWeb"/>
        <w:spacing w:before="200" w:beforeAutospacing="0" w:after="0" w:afterAutospacing="0"/>
        <w:rPr>
          <w:rFonts w:ascii="Times New Roman" w:hAnsi="Times New Roman" w:cs="Times New Roman"/>
          <w:b/>
          <w:color w:val="212121"/>
          <w:lang w:val="mk-MK"/>
        </w:rPr>
      </w:pPr>
    </w:p>
    <w:p w:rsidR="00221492" w:rsidRDefault="00221492" w:rsidP="00421E8E">
      <w:pPr>
        <w:pStyle w:val="NormalWeb"/>
        <w:spacing w:before="200" w:beforeAutospacing="0" w:after="0" w:afterAutospacing="0"/>
        <w:rPr>
          <w:rFonts w:ascii="Times New Roman" w:hAnsi="Times New Roman" w:cs="Times New Roman"/>
          <w:b/>
          <w:color w:val="212121"/>
          <w:lang w:val="mk-MK"/>
        </w:rPr>
      </w:pPr>
    </w:p>
    <w:p w:rsidR="00221492" w:rsidRDefault="00221492" w:rsidP="00421E8E">
      <w:pPr>
        <w:pStyle w:val="NormalWeb"/>
        <w:spacing w:before="200" w:beforeAutospacing="0" w:after="0" w:afterAutospacing="0"/>
        <w:rPr>
          <w:rFonts w:ascii="Times New Roman" w:hAnsi="Times New Roman" w:cs="Times New Roman"/>
          <w:b/>
          <w:color w:val="212121"/>
          <w:lang w:val="mk-MK"/>
        </w:rPr>
      </w:pPr>
    </w:p>
    <w:p w:rsidR="0026510E" w:rsidRPr="000107F6" w:rsidRDefault="0010111A" w:rsidP="00421E8E">
      <w:pPr>
        <w:pStyle w:val="NormalWeb"/>
        <w:spacing w:before="200" w:beforeAutospacing="0" w:after="0" w:afterAutospacing="0"/>
        <w:rPr>
          <w:rFonts w:ascii="Times New Roman" w:hAnsi="Times New Roman" w:cs="Times New Roman"/>
          <w:color w:val="000000"/>
          <w:kern w:val="24"/>
          <w:lang w:val="mk-MK"/>
        </w:rPr>
      </w:pPr>
      <w:r w:rsidRPr="000107F6">
        <w:rPr>
          <w:rFonts w:ascii="Times New Roman" w:hAnsi="Times New Roman" w:cs="Times New Roman"/>
          <w:b/>
          <w:color w:val="212121"/>
          <w:lang w:val="mk-MK"/>
        </w:rPr>
        <w:t xml:space="preserve">2.3. </w:t>
      </w:r>
      <w:r w:rsidR="0026510E" w:rsidRPr="00A926CA">
        <w:rPr>
          <w:rFonts w:ascii="Times New Roman" w:hAnsi="Times New Roman" w:cs="Times New Roman"/>
          <w:b/>
          <w:color w:val="212121"/>
          <w:lang w:val="mk-MK"/>
        </w:rPr>
        <w:t>I</w:t>
      </w:r>
      <w:r w:rsidR="00584601">
        <w:rPr>
          <w:rFonts w:ascii="Times New Roman" w:hAnsi="Times New Roman" w:cs="Times New Roman"/>
          <w:b/>
          <w:color w:val="212121"/>
        </w:rPr>
        <w:t>L</w:t>
      </w:r>
      <w:r w:rsidR="0026510E" w:rsidRPr="00A926CA">
        <w:rPr>
          <w:rFonts w:ascii="Times New Roman" w:hAnsi="Times New Roman" w:cs="Times New Roman"/>
          <w:b/>
          <w:color w:val="212121"/>
          <w:lang w:val="mk-MK"/>
        </w:rPr>
        <w:t xml:space="preserve">-33 </w:t>
      </w:r>
    </w:p>
    <w:p w:rsidR="0026510E" w:rsidRPr="00A926CA" w:rsidRDefault="0026510E" w:rsidP="00421E8E">
      <w:pPr>
        <w:rPr>
          <w:sz w:val="24"/>
          <w:szCs w:val="24"/>
        </w:rPr>
      </w:pPr>
    </w:p>
    <w:p w:rsidR="00AB0154" w:rsidRDefault="00AB0154" w:rsidP="00421E8E">
      <w:pPr>
        <w:rPr>
          <w:rFonts w:ascii="Times New Roman" w:hAnsi="Times New Roman" w:cs="Times New Roman"/>
          <w:color w:val="000000"/>
          <w:kern w:val="24"/>
          <w:sz w:val="24"/>
          <w:szCs w:val="24"/>
        </w:rPr>
      </w:pPr>
    </w:p>
    <w:p w:rsidR="0026510E" w:rsidRPr="0026510E" w:rsidRDefault="00584601" w:rsidP="00421E8E">
      <w:pPr>
        <w:rPr>
          <w:rFonts w:ascii="Times New Roman" w:hAnsi="Times New Roman" w:cs="Times New Roman"/>
          <w:sz w:val="24"/>
          <w:szCs w:val="24"/>
        </w:rPr>
      </w:pPr>
      <w:r>
        <w:rPr>
          <w:rFonts w:ascii="Times New Roman" w:hAnsi="Times New Roman" w:cs="Times New Roman"/>
          <w:color w:val="000000"/>
          <w:kern w:val="24"/>
          <w:sz w:val="24"/>
          <w:szCs w:val="24"/>
        </w:rPr>
        <w:t>IL-33</w:t>
      </w:r>
      <w:r>
        <w:rPr>
          <w:rFonts w:ascii="Times New Roman" w:hAnsi="Times New Roman" w:cs="Times New Roman"/>
          <w:color w:val="000000"/>
          <w:kern w:val="24"/>
          <w:sz w:val="24"/>
          <w:szCs w:val="24"/>
          <w:lang w:val="en-US"/>
        </w:rPr>
        <w:t xml:space="preserve"> </w:t>
      </w:r>
      <w:r w:rsidR="0026510E" w:rsidRPr="0026510E">
        <w:rPr>
          <w:rFonts w:ascii="Times New Roman" w:hAnsi="Times New Roman" w:cs="Times New Roman"/>
          <w:color w:val="000000"/>
          <w:kern w:val="24"/>
          <w:sz w:val="24"/>
          <w:szCs w:val="24"/>
        </w:rPr>
        <w:t>припаѓа на гру</w:t>
      </w:r>
      <w:r>
        <w:rPr>
          <w:rFonts w:ascii="Times New Roman" w:hAnsi="Times New Roman" w:cs="Times New Roman"/>
          <w:color w:val="000000"/>
          <w:kern w:val="24"/>
          <w:sz w:val="24"/>
          <w:szCs w:val="24"/>
        </w:rPr>
        <w:t>пата цитокини од IL-1</w:t>
      </w:r>
      <w:r>
        <w:rPr>
          <w:rFonts w:ascii="Times New Roman" w:hAnsi="Times New Roman" w:cs="Times New Roman"/>
          <w:color w:val="000000"/>
          <w:kern w:val="24"/>
          <w:sz w:val="24"/>
          <w:szCs w:val="24"/>
          <w:lang w:val="en-US"/>
        </w:rPr>
        <w:t xml:space="preserve"> </w:t>
      </w:r>
      <w:r w:rsidR="0026510E" w:rsidRPr="0026510E">
        <w:rPr>
          <w:rFonts w:ascii="Times New Roman" w:hAnsi="Times New Roman" w:cs="Times New Roman"/>
          <w:color w:val="000000"/>
          <w:kern w:val="24"/>
          <w:sz w:val="24"/>
          <w:szCs w:val="24"/>
        </w:rPr>
        <w:t xml:space="preserve">фамилијата. Сите припадници на оваа фамилија цитокини се важни регулатори на вродениот и стекнат имунитет, играат клучни улоги во одбрана на организмот од инфекции, повреда, инфламации и стрес.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 xml:space="preserve">Прв пат, </w:t>
      </w:r>
      <w:r w:rsidR="00AF53EA">
        <w:rPr>
          <w:rFonts w:ascii="Times New Roman" w:hAnsi="Times New Roman" w:cs="Times New Roman"/>
          <w:sz w:val="24"/>
          <w:szCs w:val="24"/>
        </w:rPr>
        <w:t>IL-33</w:t>
      </w:r>
      <w:r w:rsidRPr="007736CE">
        <w:rPr>
          <w:rFonts w:ascii="Times New Roman" w:hAnsi="Times New Roman" w:cs="Times New Roman"/>
          <w:sz w:val="24"/>
          <w:szCs w:val="24"/>
        </w:rPr>
        <w:t xml:space="preserve"> бил наречен “DVS27,” ген препознаен кај вазоспастични мозочни артерии по субарахноидално крварење (97), односно како нуклеарен фактор кај венули бо</w:t>
      </w:r>
      <w:r w:rsidR="00634C8F">
        <w:rPr>
          <w:rFonts w:ascii="Times New Roman" w:hAnsi="Times New Roman" w:cs="Times New Roman"/>
          <w:sz w:val="24"/>
          <w:szCs w:val="24"/>
        </w:rPr>
        <w:t>гати со ендотел-NF-HEV</w:t>
      </w:r>
      <w:r w:rsidRPr="007736CE">
        <w:rPr>
          <w:rFonts w:ascii="Times New Roman" w:hAnsi="Times New Roman" w:cs="Times New Roman"/>
          <w:sz w:val="24"/>
          <w:szCs w:val="24"/>
        </w:rPr>
        <w:t xml:space="preserve">, кој бележи експресија во нуклеусите на ендотелните клетки (98). Во 2005 година, DVS27 е преименуван во IL-33 откако е докажана β-детелинка структурата во некои негови секвенци, структура </w:t>
      </w:r>
      <w:r w:rsidR="00D606AF">
        <w:rPr>
          <w:rFonts w:ascii="Times New Roman" w:hAnsi="Times New Roman" w:cs="Times New Roman"/>
          <w:sz w:val="24"/>
          <w:szCs w:val="24"/>
        </w:rPr>
        <w:t xml:space="preserve">карактеристична за IL-1 и </w:t>
      </w:r>
      <w:r w:rsidR="00634C8F">
        <w:rPr>
          <w:rFonts w:ascii="Times New Roman" w:hAnsi="Times New Roman" w:cs="Times New Roman"/>
          <w:sz w:val="24"/>
          <w:szCs w:val="24"/>
          <w:lang w:val="en-US"/>
        </w:rPr>
        <w:t>FGFL</w:t>
      </w:r>
      <w:r w:rsidRPr="007736CE">
        <w:rPr>
          <w:rFonts w:ascii="Times New Roman" w:hAnsi="Times New Roman" w:cs="Times New Roman"/>
          <w:sz w:val="24"/>
          <w:szCs w:val="24"/>
        </w:rPr>
        <w:t xml:space="preserve"> протеини, односно, т</w:t>
      </w:r>
      <w:r w:rsidRPr="007736CE">
        <w:rPr>
          <w:rFonts w:ascii="Times New Roman" w:hAnsi="Times New Roman" w:cs="Times New Roman"/>
          <w:color w:val="000000"/>
          <w:kern w:val="24"/>
          <w:sz w:val="24"/>
          <w:szCs w:val="24"/>
        </w:rPr>
        <w:t>родимензионалната структура на IL-1 налик доменот на човечки IL-33 ја има идентичната Beta-детелинка структура, карактеристична за IL-1alfa, IL-1 beta и IL-18 (99,100)</w:t>
      </w:r>
      <w:r w:rsidRPr="007736CE">
        <w:rPr>
          <w:rFonts w:ascii="Times New Roman" w:hAnsi="Times New Roman" w:cs="Times New Roman"/>
          <w:sz w:val="24"/>
          <w:szCs w:val="24"/>
        </w:rPr>
        <w:t>.</w:t>
      </w:r>
    </w:p>
    <w:p w:rsidR="0026510E" w:rsidRPr="00A926CA" w:rsidRDefault="0026510E" w:rsidP="00421E8E">
      <w:pPr>
        <w:pStyle w:val="NormalWeb"/>
        <w:spacing w:before="200" w:beforeAutospacing="0" w:after="0" w:afterAutospacing="0"/>
        <w:rPr>
          <w:rFonts w:ascii="Times New Roman" w:hAnsi="Times New Roman" w:cs="Times New Roman"/>
          <w:lang w:val="ru-RU"/>
        </w:rPr>
      </w:pPr>
      <w:r w:rsidRPr="007736CE">
        <w:rPr>
          <w:rFonts w:ascii="Times New Roman" w:hAnsi="Times New Roman" w:cs="Times New Roman"/>
          <w:color w:val="000000"/>
          <w:kern w:val="24"/>
          <w:lang w:val="mk-MK"/>
        </w:rPr>
        <w:t>Во рамки на истат</w:t>
      </w:r>
      <w:r w:rsidR="00847713">
        <w:rPr>
          <w:rFonts w:ascii="Times New Roman" w:hAnsi="Times New Roman" w:cs="Times New Roman"/>
          <w:color w:val="000000"/>
          <w:kern w:val="24"/>
        </w:rPr>
        <w:t>a</w:t>
      </w:r>
      <w:r w:rsidRPr="007736CE">
        <w:rPr>
          <w:rFonts w:ascii="Times New Roman" w:hAnsi="Times New Roman" w:cs="Times New Roman"/>
          <w:color w:val="000000"/>
          <w:kern w:val="24"/>
          <w:lang w:val="mk-MK"/>
        </w:rPr>
        <w:t xml:space="preserve">, дванаесетте </w:t>
      </w:r>
      <w:r w:rsidRPr="007736CE">
        <w:rPr>
          <w:rFonts w:ascii="Times New Roman" w:hAnsi="Times New Roman" w:cs="Times New Roman"/>
          <w:color w:val="000000"/>
          <w:kern w:val="24"/>
        </w:rPr>
        <w:t>Beta</w:t>
      </w:r>
      <w:r w:rsidRPr="00A926CA">
        <w:rPr>
          <w:rFonts w:ascii="Times New Roman" w:hAnsi="Times New Roman" w:cs="Times New Roman"/>
          <w:color w:val="000000"/>
          <w:kern w:val="24"/>
          <w:lang w:val="ru-RU"/>
        </w:rPr>
        <w:t xml:space="preserve"> </w:t>
      </w:r>
      <w:r w:rsidRPr="007736CE">
        <w:rPr>
          <w:rFonts w:ascii="Times New Roman" w:hAnsi="Times New Roman" w:cs="Times New Roman"/>
          <w:color w:val="000000"/>
          <w:kern w:val="24"/>
          <w:lang w:val="mk-MK"/>
        </w:rPr>
        <w:t>нишки се аранжирани во по три псевдо повторувања (</w:t>
      </w:r>
      <w:r w:rsidRPr="00A926CA">
        <w:rPr>
          <w:rFonts w:ascii="Times New Roman" w:hAnsi="Times New Roman" w:cs="Times New Roman"/>
          <w:color w:val="000000"/>
          <w:kern w:val="24"/>
          <w:lang w:val="ru-RU"/>
        </w:rPr>
        <w:t xml:space="preserve">99). </w:t>
      </w:r>
      <w:r w:rsidRPr="007736CE">
        <w:rPr>
          <w:rFonts w:ascii="Times New Roman" w:hAnsi="Times New Roman" w:cs="Times New Roman"/>
          <w:lang w:val="mk-MK"/>
        </w:rPr>
        <w:t>Истата година, докажано е и дека</w:t>
      </w:r>
      <w:r w:rsidRPr="00A926CA">
        <w:rPr>
          <w:rFonts w:ascii="Times New Roman" w:hAnsi="Times New Roman" w:cs="Times New Roman"/>
          <w:lang w:val="ru-RU"/>
        </w:rPr>
        <w:t xml:space="preserve"> </w:t>
      </w:r>
      <w:r w:rsidRPr="007736CE">
        <w:rPr>
          <w:rFonts w:ascii="Times New Roman" w:hAnsi="Times New Roman" w:cs="Times New Roman"/>
          <w:color w:val="000000"/>
          <w:kern w:val="24"/>
          <w:lang w:val="mk-MK"/>
        </w:rPr>
        <w:t xml:space="preserve">карбокси терминалниот дел од човечки </w:t>
      </w:r>
      <w:r w:rsidRPr="007736CE">
        <w:rPr>
          <w:rFonts w:ascii="Times New Roman" w:hAnsi="Times New Roman" w:cs="Times New Roman"/>
          <w:color w:val="000000"/>
          <w:kern w:val="24"/>
        </w:rPr>
        <w:t>NF</w:t>
      </w:r>
      <w:r w:rsidRPr="00A926CA">
        <w:rPr>
          <w:rFonts w:ascii="Times New Roman" w:hAnsi="Times New Roman" w:cs="Times New Roman"/>
          <w:color w:val="000000"/>
          <w:kern w:val="24"/>
          <w:lang w:val="ru-RU"/>
        </w:rPr>
        <w:t>-</w:t>
      </w:r>
      <w:r w:rsidRPr="007736CE">
        <w:rPr>
          <w:rFonts w:ascii="Times New Roman" w:hAnsi="Times New Roman" w:cs="Times New Roman"/>
          <w:color w:val="000000"/>
          <w:kern w:val="24"/>
        </w:rPr>
        <w:t>HEV</w:t>
      </w:r>
      <w:r w:rsidRPr="00A926CA">
        <w:rPr>
          <w:rFonts w:ascii="Times New Roman" w:hAnsi="Times New Roman" w:cs="Times New Roman"/>
          <w:color w:val="000000"/>
          <w:kern w:val="24"/>
          <w:lang w:val="ru-RU"/>
        </w:rPr>
        <w:t xml:space="preserve"> </w:t>
      </w:r>
      <w:r w:rsidRPr="007736CE">
        <w:rPr>
          <w:rFonts w:ascii="Times New Roman" w:hAnsi="Times New Roman" w:cs="Times New Roman"/>
          <w:color w:val="000000"/>
          <w:kern w:val="24"/>
          <w:lang w:val="mk-MK"/>
        </w:rPr>
        <w:t xml:space="preserve">протеин (амино киселини 112 до 270), покажува тридимензионална структура налик на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 xml:space="preserve">-1 </w:t>
      </w:r>
      <w:r w:rsidRPr="007736CE">
        <w:rPr>
          <w:rFonts w:ascii="Times New Roman" w:hAnsi="Times New Roman" w:cs="Times New Roman"/>
          <w:color w:val="000000"/>
          <w:kern w:val="24"/>
          <w:lang w:val="mk-MK"/>
        </w:rPr>
        <w:t xml:space="preserve">фамилијата цитокини и функционира како цитокин кој иницира Тип 2 имуно реакција преку активација на </w:t>
      </w:r>
      <w:r w:rsidR="00847713">
        <w:rPr>
          <w:rFonts w:ascii="Times New Roman" w:hAnsi="Times New Roman" w:cs="Times New Roman"/>
          <w:color w:val="000000"/>
          <w:kern w:val="24"/>
        </w:rPr>
        <w:t>ST</w:t>
      </w:r>
      <w:r w:rsidR="00847713" w:rsidRPr="00A926CA">
        <w:rPr>
          <w:rFonts w:ascii="Times New Roman" w:hAnsi="Times New Roman" w:cs="Times New Roman"/>
          <w:color w:val="000000"/>
          <w:kern w:val="24"/>
          <w:lang w:val="ru-RU"/>
        </w:rPr>
        <w:t>2 (</w:t>
      </w:r>
      <w:r w:rsidR="00847713">
        <w:rPr>
          <w:rFonts w:ascii="Times New Roman" w:hAnsi="Times New Roman" w:cs="Times New Roman"/>
          <w:color w:val="000000"/>
          <w:kern w:val="24"/>
        </w:rPr>
        <w:t>IL</w:t>
      </w:r>
      <w:r w:rsidR="00847713" w:rsidRPr="00A926CA">
        <w:rPr>
          <w:rFonts w:ascii="Times New Roman" w:hAnsi="Times New Roman" w:cs="Times New Roman"/>
          <w:color w:val="000000"/>
          <w:kern w:val="24"/>
          <w:lang w:val="ru-RU"/>
        </w:rPr>
        <w:t xml:space="preserve">-1 </w:t>
      </w:r>
      <w:r w:rsidR="00847713">
        <w:rPr>
          <w:rFonts w:ascii="Times New Roman" w:hAnsi="Times New Roman" w:cs="Times New Roman"/>
          <w:color w:val="000000"/>
          <w:kern w:val="24"/>
        </w:rPr>
        <w:t>receptor</w:t>
      </w:r>
      <w:r w:rsidR="00847713" w:rsidRPr="00A926CA">
        <w:rPr>
          <w:rFonts w:ascii="Times New Roman" w:hAnsi="Times New Roman" w:cs="Times New Roman"/>
          <w:color w:val="000000"/>
          <w:kern w:val="24"/>
          <w:lang w:val="ru-RU"/>
        </w:rPr>
        <w:t>-</w:t>
      </w:r>
      <w:r w:rsidR="00847713">
        <w:rPr>
          <w:rFonts w:ascii="Times New Roman" w:hAnsi="Times New Roman" w:cs="Times New Roman"/>
          <w:color w:val="000000"/>
          <w:kern w:val="24"/>
        </w:rPr>
        <w:t>like</w:t>
      </w:r>
      <w:r w:rsidR="00847713" w:rsidRPr="00A926CA">
        <w:rPr>
          <w:rFonts w:ascii="Times New Roman" w:hAnsi="Times New Roman" w:cs="Times New Roman"/>
          <w:color w:val="000000"/>
          <w:kern w:val="24"/>
          <w:lang w:val="ru-RU"/>
        </w:rPr>
        <w:t>-1</w:t>
      </w:r>
      <w:r w:rsidRPr="00A926CA">
        <w:rPr>
          <w:rFonts w:ascii="Times New Roman" w:hAnsi="Times New Roman" w:cs="Times New Roman"/>
          <w:color w:val="000000"/>
          <w:kern w:val="24"/>
          <w:lang w:val="ru-RU"/>
        </w:rPr>
        <w:t xml:space="preserve">), </w:t>
      </w:r>
      <w:r w:rsidRPr="007736CE">
        <w:rPr>
          <w:rFonts w:ascii="Times New Roman" w:hAnsi="Times New Roman" w:cs="Times New Roman"/>
          <w:color w:val="000000"/>
          <w:kern w:val="24"/>
          <w:lang w:val="mk-MK"/>
        </w:rPr>
        <w:t xml:space="preserve">орфан рецептор за цитокините од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 xml:space="preserve">-1 </w:t>
      </w:r>
      <w:r w:rsidRPr="007736CE">
        <w:rPr>
          <w:rFonts w:ascii="Times New Roman" w:hAnsi="Times New Roman" w:cs="Times New Roman"/>
          <w:color w:val="000000"/>
          <w:kern w:val="24"/>
          <w:lang w:val="mk-MK"/>
        </w:rPr>
        <w:t xml:space="preserve">фамилијата. </w:t>
      </w:r>
      <w:r w:rsidRPr="007736CE">
        <w:rPr>
          <w:rFonts w:ascii="Times New Roman" w:hAnsi="Times New Roman" w:cs="Times New Roman"/>
        </w:rPr>
        <w:t>IL</w:t>
      </w:r>
      <w:r w:rsidRPr="00A926CA">
        <w:rPr>
          <w:rFonts w:ascii="Times New Roman" w:hAnsi="Times New Roman" w:cs="Times New Roman"/>
          <w:lang w:val="ru-RU"/>
        </w:rPr>
        <w:t>-33</w:t>
      </w:r>
      <w:r w:rsidRPr="007736CE">
        <w:rPr>
          <w:rFonts w:ascii="Times New Roman" w:hAnsi="Times New Roman" w:cs="Times New Roman"/>
          <w:lang w:val="mk-MK"/>
        </w:rPr>
        <w:t xml:space="preserve">, денес веќе е јасно дека е 11-ти член на </w:t>
      </w:r>
      <w:r w:rsidRPr="007736CE">
        <w:rPr>
          <w:rFonts w:ascii="Times New Roman" w:hAnsi="Times New Roman" w:cs="Times New Roman"/>
        </w:rPr>
        <w:t>IL</w:t>
      </w:r>
      <w:r w:rsidRPr="00A926CA">
        <w:rPr>
          <w:rFonts w:ascii="Times New Roman" w:hAnsi="Times New Roman" w:cs="Times New Roman"/>
          <w:lang w:val="ru-RU"/>
        </w:rPr>
        <w:t xml:space="preserve">-1 </w:t>
      </w:r>
      <w:r w:rsidRPr="007736CE">
        <w:rPr>
          <w:rFonts w:ascii="Times New Roman" w:hAnsi="Times New Roman" w:cs="Times New Roman"/>
          <w:lang w:val="mk-MK"/>
        </w:rPr>
        <w:t>фамилијата на цитокини</w:t>
      </w:r>
      <w:r w:rsidRPr="00A926CA">
        <w:rPr>
          <w:rFonts w:ascii="Times New Roman" w:hAnsi="Times New Roman" w:cs="Times New Roman"/>
          <w:lang w:val="ru-RU"/>
        </w:rPr>
        <w:t xml:space="preserve"> (101) </w:t>
      </w:r>
      <w:r w:rsidRPr="007736CE">
        <w:rPr>
          <w:rFonts w:ascii="Times New Roman" w:hAnsi="Times New Roman" w:cs="Times New Roman"/>
          <w:color w:val="000000"/>
          <w:kern w:val="24"/>
          <w:lang w:val="mk-MK"/>
        </w:rPr>
        <w:t xml:space="preserve">во чиј состав влегуваат и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-1,</w:t>
      </w:r>
      <w:r w:rsidRPr="007736CE">
        <w:rPr>
          <w:rFonts w:ascii="Times New Roman" w:hAnsi="Times New Roman" w:cs="Times New Roman"/>
          <w:color w:val="000000"/>
          <w:kern w:val="24"/>
          <w:lang w:val="mk-MK"/>
        </w:rPr>
        <w:t xml:space="preserve">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-18</w:t>
      </w:r>
      <w:r w:rsidRPr="007736CE">
        <w:rPr>
          <w:rFonts w:ascii="Times New Roman" w:hAnsi="Times New Roman" w:cs="Times New Roman"/>
          <w:color w:val="000000"/>
          <w:kern w:val="24"/>
          <w:lang w:val="mk-MK"/>
        </w:rPr>
        <w:t xml:space="preserve">, а од неодамна и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 xml:space="preserve">-36 </w:t>
      </w:r>
      <w:r w:rsidRPr="007736CE">
        <w:rPr>
          <w:rFonts w:ascii="Times New Roman" w:hAnsi="Times New Roman" w:cs="Times New Roman"/>
          <w:color w:val="000000"/>
          <w:kern w:val="24"/>
          <w:lang w:val="mk-MK"/>
        </w:rPr>
        <w:t xml:space="preserve">и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-37</w:t>
      </w:r>
      <w:r w:rsidRPr="007736CE">
        <w:rPr>
          <w:rFonts w:ascii="Times New Roman" w:hAnsi="Times New Roman" w:cs="Times New Roman"/>
          <w:color w:val="000000"/>
          <w:kern w:val="24"/>
          <w:lang w:val="mk-MK"/>
        </w:rPr>
        <w:t xml:space="preserve"> (</w:t>
      </w:r>
      <w:r w:rsidRPr="00A926CA">
        <w:rPr>
          <w:rFonts w:ascii="Times New Roman" w:hAnsi="Times New Roman" w:cs="Times New Roman"/>
          <w:color w:val="000000"/>
          <w:kern w:val="24"/>
          <w:lang w:val="ru-RU"/>
        </w:rPr>
        <w:t>10</w:t>
      </w:r>
      <w:r w:rsidRPr="007736CE">
        <w:rPr>
          <w:rFonts w:ascii="Times New Roman" w:hAnsi="Times New Roman" w:cs="Times New Roman"/>
          <w:color w:val="000000"/>
          <w:kern w:val="24"/>
          <w:lang w:val="mk-MK"/>
        </w:rPr>
        <w:t>2).</w:t>
      </w:r>
      <w:r w:rsidRPr="00A926CA">
        <w:rPr>
          <w:rFonts w:ascii="Times New Roman" w:hAnsi="Times New Roman" w:cs="Times New Roman"/>
          <w:lang w:val="ru-RU"/>
        </w:rPr>
        <w:t xml:space="preserve"> </w:t>
      </w:r>
    </w:p>
    <w:p w:rsidR="0026510E" w:rsidRPr="00A926CA" w:rsidRDefault="0026510E" w:rsidP="00421E8E">
      <w:pPr>
        <w:pStyle w:val="NormalWeb"/>
        <w:spacing w:before="200" w:beforeAutospacing="0" w:after="0" w:afterAutospacing="0"/>
        <w:rPr>
          <w:rFonts w:ascii="Times New Roman" w:hAnsi="Times New Roman" w:cs="Times New Roman"/>
          <w:lang w:val="ru-RU"/>
        </w:rPr>
      </w:pPr>
      <w:r w:rsidRPr="007736CE">
        <w:rPr>
          <w:rFonts w:ascii="Times New Roman" w:hAnsi="Times New Roman" w:cs="Times New Roman"/>
          <w:color w:val="000000"/>
          <w:kern w:val="24"/>
          <w:lang w:val="mk-MK"/>
        </w:rPr>
        <w:t xml:space="preserve">Човечкиот </w:t>
      </w:r>
      <w:r w:rsidRPr="007736CE">
        <w:rPr>
          <w:rFonts w:ascii="Times New Roman" w:hAnsi="Times New Roman" w:cs="Times New Roman"/>
          <w:color w:val="000000"/>
          <w:kern w:val="24"/>
        </w:rPr>
        <w:t>IL</w:t>
      </w:r>
      <w:r w:rsidRPr="00A926CA">
        <w:rPr>
          <w:rFonts w:ascii="Times New Roman" w:hAnsi="Times New Roman" w:cs="Times New Roman"/>
          <w:color w:val="000000"/>
          <w:kern w:val="24"/>
          <w:lang w:val="ru-RU"/>
        </w:rPr>
        <w:t xml:space="preserve">-33 </w:t>
      </w:r>
      <w:r w:rsidRPr="007736CE">
        <w:rPr>
          <w:rFonts w:ascii="Times New Roman" w:hAnsi="Times New Roman" w:cs="Times New Roman"/>
          <w:color w:val="000000"/>
          <w:kern w:val="24"/>
          <w:lang w:val="mk-MK"/>
        </w:rPr>
        <w:t xml:space="preserve">ген бележи распон </w:t>
      </w:r>
      <w:r w:rsidRPr="00A926CA">
        <w:rPr>
          <w:rFonts w:ascii="Times New Roman" w:hAnsi="Times New Roman" w:cs="Times New Roman"/>
          <w:color w:val="000000"/>
          <w:kern w:val="24"/>
          <w:lang w:val="ru-RU"/>
        </w:rPr>
        <w:t>&gt; 42</w:t>
      </w:r>
      <w:r w:rsidRPr="007736CE">
        <w:rPr>
          <w:rFonts w:ascii="Times New Roman" w:hAnsi="Times New Roman" w:cs="Times New Roman"/>
          <w:color w:val="000000"/>
          <w:kern w:val="24"/>
        </w:rPr>
        <w:t>kb</w:t>
      </w:r>
      <w:r w:rsidRPr="00A926CA">
        <w:rPr>
          <w:rFonts w:ascii="Times New Roman" w:hAnsi="Times New Roman" w:cs="Times New Roman"/>
          <w:color w:val="000000"/>
          <w:kern w:val="24"/>
          <w:lang w:val="ru-RU"/>
        </w:rPr>
        <w:t xml:space="preserve">, </w:t>
      </w:r>
      <w:r w:rsidRPr="007736CE">
        <w:rPr>
          <w:rFonts w:ascii="Times New Roman" w:hAnsi="Times New Roman" w:cs="Times New Roman"/>
          <w:color w:val="000000"/>
          <w:kern w:val="24"/>
          <w:lang w:val="mk-MK"/>
        </w:rPr>
        <w:t xml:space="preserve">содржи 8 егзони и е лоциран на деветтиот хромозом ( </w:t>
      </w:r>
      <w:r w:rsidRPr="00A926CA">
        <w:rPr>
          <w:rFonts w:ascii="Times New Roman" w:hAnsi="Times New Roman" w:cs="Times New Roman"/>
          <w:color w:val="000000"/>
          <w:kern w:val="24"/>
          <w:lang w:val="ru-RU"/>
        </w:rPr>
        <w:t>9</w:t>
      </w:r>
      <w:r w:rsidRPr="007736CE">
        <w:rPr>
          <w:rFonts w:ascii="Times New Roman" w:hAnsi="Times New Roman" w:cs="Times New Roman"/>
          <w:color w:val="000000"/>
          <w:kern w:val="24"/>
        </w:rPr>
        <w:t>p</w:t>
      </w:r>
      <w:r w:rsidRPr="00A926CA">
        <w:rPr>
          <w:rFonts w:ascii="Times New Roman" w:hAnsi="Times New Roman" w:cs="Times New Roman"/>
          <w:color w:val="000000"/>
          <w:kern w:val="24"/>
          <w:lang w:val="ru-RU"/>
        </w:rPr>
        <w:t>24.1)</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lang w:val="ru-RU"/>
        </w:rPr>
        <w:t xml:space="preserve">Промотор за главната човечка IL-33 mRNA-форма (NM_033439; 2718 нуклеотиди) се наоѓа </w:t>
      </w:r>
      <w:r w:rsidRPr="007736CE">
        <w:rPr>
          <w:rFonts w:ascii="Times New Roman" w:hAnsi="Times New Roman" w:cs="Times New Roman"/>
          <w:color w:val="000000"/>
          <w:kern w:val="24"/>
          <w:sz w:val="24"/>
          <w:szCs w:val="24"/>
        </w:rPr>
        <w:t xml:space="preserve">нагорно во однос </w:t>
      </w:r>
      <w:r w:rsidRPr="007736CE">
        <w:rPr>
          <w:rFonts w:ascii="Times New Roman" w:hAnsi="Times New Roman" w:cs="Times New Roman"/>
          <w:color w:val="000000"/>
          <w:kern w:val="24"/>
          <w:sz w:val="24"/>
          <w:szCs w:val="24"/>
          <w:lang w:val="ru-RU"/>
        </w:rPr>
        <w:t>на неконвертираниот егзон (ег</w:t>
      </w:r>
      <w:r w:rsidRPr="007736CE">
        <w:rPr>
          <w:rFonts w:ascii="Times New Roman" w:hAnsi="Times New Roman" w:cs="Times New Roman"/>
          <w:color w:val="000000"/>
          <w:kern w:val="24"/>
          <w:sz w:val="24"/>
          <w:szCs w:val="24"/>
        </w:rPr>
        <w:t>з</w:t>
      </w:r>
      <w:r w:rsidRPr="007736CE">
        <w:rPr>
          <w:rFonts w:ascii="Times New Roman" w:hAnsi="Times New Roman" w:cs="Times New Roman"/>
          <w:color w:val="000000"/>
          <w:kern w:val="24"/>
          <w:sz w:val="24"/>
          <w:szCs w:val="24"/>
          <w:lang w:val="ru-RU"/>
        </w:rPr>
        <w:t>он 1 или 1а), односно 20 kb нагорно на егзон 2 кој што го содржи кодонот за иницијација AUG (</w:t>
      </w:r>
      <w:r w:rsidRPr="007736CE">
        <w:rPr>
          <w:rFonts w:ascii="Times New Roman" w:hAnsi="Times New Roman" w:cs="Times New Roman"/>
          <w:color w:val="000000"/>
          <w:kern w:val="24"/>
          <w:sz w:val="24"/>
          <w:szCs w:val="24"/>
        </w:rPr>
        <w:t>103,104</w:t>
      </w:r>
      <w:r w:rsidRPr="007736CE">
        <w:rPr>
          <w:rFonts w:ascii="Times New Roman" w:hAnsi="Times New Roman" w:cs="Times New Roman"/>
          <w:color w:val="000000"/>
          <w:kern w:val="24"/>
          <w:sz w:val="24"/>
          <w:szCs w:val="24"/>
          <w:lang w:val="ru-RU"/>
        </w:rPr>
        <w:t>).</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Впечатливо е дека за разлика од останатите цитокини во IL-1 фамилијата, IL-33 е локализиран во нуклеусот на човечки епителни и ендотелни клетки (98) и култивирани мастоцити добиени од коскена срцевина кај глувци (105)</w:t>
      </w:r>
      <w:r w:rsidR="00847713" w:rsidRPr="00A926CA">
        <w:rPr>
          <w:rFonts w:ascii="Times New Roman" w:hAnsi="Times New Roman" w:cs="Times New Roman"/>
          <w:sz w:val="24"/>
          <w:szCs w:val="24"/>
        </w:rPr>
        <w:t>.</w:t>
      </w:r>
      <w:r w:rsidRPr="007736CE">
        <w:rPr>
          <w:rFonts w:ascii="Times New Roman" w:hAnsi="Times New Roman" w:cs="Times New Roman"/>
          <w:sz w:val="24"/>
          <w:szCs w:val="24"/>
        </w:rPr>
        <w:t xml:space="preserve"> Локализиран е во јадрото благодарение на неговата терминална амино секвенца, односно, поврзан е со хроматинот преку хомеодоменот, односно helix-turn-helix-like motif-от (106,107).</w:t>
      </w:r>
      <w:r w:rsidR="001739CA">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lang w:val="ru-RU"/>
        </w:rPr>
        <w:t>Тој е активен во нормални човечки кератиноцити, ендотелни клетки и фибробласти и содржи елемент кој одговара на стимулација со интерферон (ISRE) и неколку места за активирање на гама интерферон (GAS) (1</w:t>
      </w:r>
      <w:r w:rsidRPr="007736CE">
        <w:rPr>
          <w:rFonts w:ascii="Times New Roman" w:hAnsi="Times New Roman" w:cs="Times New Roman"/>
          <w:color w:val="000000"/>
          <w:kern w:val="24"/>
          <w:sz w:val="24"/>
          <w:szCs w:val="24"/>
        </w:rPr>
        <w:t>04</w:t>
      </w:r>
      <w:r w:rsidRPr="007736CE">
        <w:rPr>
          <w:rFonts w:ascii="Times New Roman" w:hAnsi="Times New Roman" w:cs="Times New Roman"/>
          <w:color w:val="000000"/>
          <w:kern w:val="24"/>
          <w:sz w:val="24"/>
          <w:szCs w:val="24"/>
          <w:lang w:val="ru-RU"/>
        </w:rPr>
        <w:t>)</w:t>
      </w:r>
      <w:r w:rsidRPr="007736CE">
        <w:rPr>
          <w:rFonts w:ascii="Times New Roman" w:hAnsi="Times New Roman" w:cs="Times New Roman"/>
          <w:sz w:val="24"/>
          <w:szCs w:val="24"/>
        </w:rPr>
        <w:t>.</w:t>
      </w:r>
    </w:p>
    <w:p w:rsidR="0026510E" w:rsidRPr="007736CE" w:rsidRDefault="0026510E" w:rsidP="00421E8E">
      <w:pPr>
        <w:rPr>
          <w:rFonts w:ascii="Times New Roman" w:hAnsi="Times New Roman" w:cs="Times New Roman"/>
          <w:color w:val="000000"/>
          <w:kern w:val="24"/>
          <w:sz w:val="24"/>
          <w:szCs w:val="24"/>
        </w:rPr>
      </w:pPr>
      <w:r w:rsidRPr="007736CE">
        <w:rPr>
          <w:rFonts w:ascii="Times New Roman" w:hAnsi="Times New Roman" w:cs="Times New Roman"/>
          <w:color w:val="000000"/>
          <w:kern w:val="24"/>
          <w:sz w:val="24"/>
          <w:szCs w:val="24"/>
          <w:lang w:val="ru-RU"/>
        </w:rPr>
        <w:t xml:space="preserve">Алтернативна егзон 1 секвенца (егзон 1б), лоцирана 4,6 kb нагорно од егзон 2, која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lang w:val="ru-RU"/>
        </w:rPr>
        <w:t>кореспондира на алтернативен промотор е опишана како кај луѓето така и кај глувците (1</w:t>
      </w:r>
      <w:r w:rsidRPr="007736CE">
        <w:rPr>
          <w:rFonts w:ascii="Times New Roman" w:hAnsi="Times New Roman" w:cs="Times New Roman"/>
          <w:color w:val="000000"/>
          <w:kern w:val="24"/>
          <w:sz w:val="24"/>
          <w:szCs w:val="24"/>
        </w:rPr>
        <w:t>04,108</w:t>
      </w:r>
      <w:r w:rsidRPr="007736CE">
        <w:rPr>
          <w:rFonts w:ascii="Times New Roman" w:hAnsi="Times New Roman" w:cs="Times New Roman"/>
          <w:color w:val="000000"/>
          <w:kern w:val="24"/>
          <w:sz w:val="24"/>
          <w:szCs w:val="24"/>
          <w:lang w:val="ru-RU"/>
        </w:rPr>
        <w:t>)</w:t>
      </w:r>
      <w:r w:rsidR="00847713" w:rsidRPr="00A926CA">
        <w:rPr>
          <w:rFonts w:ascii="Times New Roman" w:hAnsi="Times New Roman" w:cs="Times New Roman"/>
          <w:color w:val="000000"/>
          <w:kern w:val="24"/>
          <w:sz w:val="24"/>
          <w:szCs w:val="24"/>
          <w:lang w:val="ru-RU"/>
        </w:rPr>
        <w:t>.</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lang w:val="ru-RU"/>
        </w:rPr>
        <w:t xml:space="preserve">Секвенците за старт на транскрипција се лоцирани подолу од </w:t>
      </w:r>
      <w:r w:rsidRPr="007736CE">
        <w:rPr>
          <w:rFonts w:ascii="Times New Roman" w:hAnsi="Times New Roman" w:cs="Times New Roman"/>
          <w:color w:val="000000"/>
          <w:kern w:val="24"/>
          <w:sz w:val="24"/>
          <w:szCs w:val="24"/>
        </w:rPr>
        <w:t>TATA box секвенците и кај двата промотори (108)</w:t>
      </w:r>
      <w:r w:rsidR="00847713" w:rsidRPr="00A926CA">
        <w:rPr>
          <w:rFonts w:ascii="Times New Roman" w:hAnsi="Times New Roman" w:cs="Times New Roman"/>
          <w:color w:val="000000"/>
          <w:kern w:val="24"/>
          <w:sz w:val="24"/>
          <w:szCs w:val="24"/>
          <w:lang w:val="ru-RU"/>
        </w:rPr>
        <w:t>.</w:t>
      </w:r>
      <w:r w:rsidRPr="007736CE">
        <w:rPr>
          <w:rFonts w:ascii="Times New Roman" w:hAnsi="Times New Roman" w:cs="Times New Roman"/>
          <w:sz w:val="24"/>
          <w:szCs w:val="24"/>
        </w:rPr>
        <w:t xml:space="preserve"> </w:t>
      </w:r>
    </w:p>
    <w:p w:rsidR="001107BF"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Секвенцата со амино киселини на IL-33 е најблиска до IL-18 во споредба со останатите членови на IL-1 фамилијата на цитокини (101).</w:t>
      </w:r>
    </w:p>
    <w:p w:rsidR="001107BF" w:rsidRDefault="001107BF" w:rsidP="00421E8E">
      <w:pPr>
        <w:rPr>
          <w:rFonts w:ascii="Times New Roman" w:hAnsi="Times New Roman" w:cs="Times New Roman"/>
          <w:sz w:val="24"/>
          <w:szCs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21492" w:rsidRDefault="00221492" w:rsidP="00421E8E">
      <w:pPr>
        <w:rPr>
          <w:rFonts w:ascii="Times New Roman" w:hAnsi="Times New Roman" w:cs="Times New Roman"/>
          <w:b/>
          <w:color w:val="000000"/>
          <w:kern w:val="24"/>
        </w:rPr>
      </w:pPr>
    </w:p>
    <w:p w:rsidR="0026510E" w:rsidRPr="001107BF" w:rsidRDefault="00582C64" w:rsidP="00421E8E">
      <w:pPr>
        <w:rPr>
          <w:rFonts w:ascii="Times New Roman" w:hAnsi="Times New Roman" w:cs="Times New Roman"/>
          <w:sz w:val="24"/>
          <w:szCs w:val="24"/>
        </w:rPr>
      </w:pPr>
      <w:r w:rsidRPr="001739CA">
        <w:rPr>
          <w:rFonts w:ascii="Times New Roman" w:hAnsi="Times New Roman" w:cs="Times New Roman"/>
          <w:b/>
          <w:color w:val="000000"/>
          <w:kern w:val="24"/>
        </w:rPr>
        <w:t>2</w:t>
      </w:r>
      <w:r w:rsidR="00847713" w:rsidRPr="001739CA">
        <w:rPr>
          <w:rFonts w:ascii="Times New Roman" w:hAnsi="Times New Roman" w:cs="Times New Roman"/>
          <w:b/>
          <w:color w:val="000000"/>
          <w:kern w:val="24"/>
        </w:rPr>
        <w:t>.</w:t>
      </w:r>
      <w:r w:rsidR="0010111A" w:rsidRPr="001739CA">
        <w:rPr>
          <w:rFonts w:ascii="Times New Roman" w:hAnsi="Times New Roman" w:cs="Times New Roman"/>
          <w:b/>
          <w:color w:val="000000"/>
          <w:kern w:val="24"/>
        </w:rPr>
        <w:t>3.</w:t>
      </w:r>
      <w:r w:rsidR="00847713" w:rsidRPr="001739CA">
        <w:rPr>
          <w:rFonts w:ascii="Times New Roman" w:hAnsi="Times New Roman" w:cs="Times New Roman"/>
          <w:b/>
          <w:color w:val="000000"/>
          <w:kern w:val="24"/>
        </w:rPr>
        <w:t>1</w:t>
      </w:r>
      <w:r w:rsidRPr="001739CA">
        <w:rPr>
          <w:rFonts w:ascii="Times New Roman" w:hAnsi="Times New Roman" w:cs="Times New Roman"/>
          <w:b/>
          <w:color w:val="000000"/>
          <w:kern w:val="24"/>
        </w:rPr>
        <w:t xml:space="preserve"> </w:t>
      </w:r>
      <w:r w:rsidR="0026510E" w:rsidRPr="001739CA">
        <w:rPr>
          <w:rFonts w:ascii="Times New Roman" w:hAnsi="Times New Roman" w:cs="Times New Roman"/>
          <w:b/>
          <w:color w:val="000000"/>
          <w:kern w:val="24"/>
        </w:rPr>
        <w:t xml:space="preserve">IL-33 </w:t>
      </w:r>
      <w:r w:rsidR="001739CA">
        <w:rPr>
          <w:rFonts w:ascii="Times New Roman" w:hAnsi="Times New Roman" w:cs="Times New Roman"/>
          <w:b/>
          <w:color w:val="000000"/>
          <w:kern w:val="24"/>
        </w:rPr>
        <w:t>ПРОТЕИН</w:t>
      </w:r>
    </w:p>
    <w:p w:rsidR="00ED3FF6" w:rsidRPr="00847713" w:rsidRDefault="00ED3FF6" w:rsidP="00421E8E">
      <w:pPr>
        <w:pStyle w:val="NormalWeb"/>
        <w:spacing w:before="200" w:beforeAutospacing="0" w:after="0" w:afterAutospacing="0"/>
        <w:rPr>
          <w:rFonts w:ascii="Times New Roman" w:hAnsi="Times New Roman" w:cs="Times New Roman"/>
          <w:b/>
          <w:sz w:val="28"/>
          <w:szCs w:val="28"/>
        </w:rPr>
      </w:pPr>
    </w:p>
    <w:p w:rsidR="00847713" w:rsidRDefault="00446A60" w:rsidP="00421E8E">
      <w:pPr>
        <w:rPr>
          <w:rFonts w:ascii="Times New Roman" w:hAnsi="Times New Roman" w:cs="Times New Roman"/>
          <w:color w:val="000000"/>
          <w:kern w:val="24"/>
          <w:sz w:val="24"/>
          <w:szCs w:val="24"/>
          <w:lang w:val="en-US"/>
        </w:rPr>
      </w:pPr>
      <w:r>
        <w:rPr>
          <w:rFonts w:ascii="Times New Roman" w:hAnsi="Times New Roman" w:cs="Times New Roman"/>
          <w:noProof/>
          <w:color w:val="000000"/>
          <w:kern w:val="24"/>
          <w:sz w:val="24"/>
          <w:szCs w:val="24"/>
          <w:lang w:val="en-US"/>
        </w:rPr>
        <w:drawing>
          <wp:inline distT="0" distB="0" distL="0" distR="0">
            <wp:extent cx="3314700" cy="1250950"/>
            <wp:effectExtent l="19050" t="0" r="0" b="0"/>
            <wp:docPr id="1" name="Picture 1" descr="il33,protein,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33,protein,slika"/>
                    <pic:cNvPicPr>
                      <a:picLocks noChangeAspect="1" noChangeArrowheads="1"/>
                    </pic:cNvPicPr>
                  </pic:nvPicPr>
                  <pic:blipFill>
                    <a:blip r:embed="rId12" cstate="print"/>
                    <a:srcRect/>
                    <a:stretch>
                      <a:fillRect/>
                    </a:stretch>
                  </pic:blipFill>
                  <pic:spPr bwMode="auto">
                    <a:xfrm>
                      <a:off x="0" y="0"/>
                      <a:ext cx="3314700" cy="1250950"/>
                    </a:xfrm>
                    <a:prstGeom prst="rect">
                      <a:avLst/>
                    </a:prstGeom>
                    <a:noFill/>
                    <a:ln w="9525">
                      <a:noFill/>
                      <a:miter lim="800000"/>
                      <a:headEnd/>
                      <a:tailEnd/>
                    </a:ln>
                  </pic:spPr>
                </pic:pic>
              </a:graphicData>
            </a:graphic>
          </wp:inline>
        </w:drawing>
      </w:r>
    </w:p>
    <w:p w:rsidR="00745101" w:rsidRPr="00745101" w:rsidRDefault="00820AB4" w:rsidP="00421E8E">
      <w:pPr>
        <w:rPr>
          <w:rFonts w:ascii="Times New Roman" w:hAnsi="Times New Roman" w:cs="Times New Roman"/>
          <w:color w:val="000000"/>
          <w:kern w:val="24"/>
          <w:sz w:val="18"/>
          <w:szCs w:val="18"/>
          <w:lang w:val="ru-RU"/>
        </w:rPr>
      </w:pPr>
      <w:r w:rsidRPr="008F7E61">
        <w:rPr>
          <w:rFonts w:ascii="Times New Roman" w:hAnsi="Times New Roman" w:cs="Times New Roman"/>
          <w:b/>
          <w:color w:val="000000"/>
          <w:kern w:val="24"/>
          <w:sz w:val="18"/>
          <w:szCs w:val="18"/>
        </w:rPr>
        <w:t>Слика</w:t>
      </w:r>
      <w:r w:rsidR="008F7E61" w:rsidRPr="008F7E61">
        <w:rPr>
          <w:rFonts w:ascii="Times New Roman" w:hAnsi="Times New Roman" w:cs="Times New Roman"/>
          <w:b/>
          <w:color w:val="000000"/>
          <w:kern w:val="24"/>
          <w:sz w:val="18"/>
          <w:szCs w:val="18"/>
        </w:rPr>
        <w:t xml:space="preserve"> 2</w:t>
      </w:r>
      <w:r w:rsidR="008F7E61">
        <w:rPr>
          <w:rFonts w:ascii="Times New Roman" w:hAnsi="Times New Roman" w:cs="Times New Roman"/>
          <w:color w:val="000000"/>
          <w:kern w:val="24"/>
          <w:sz w:val="18"/>
          <w:szCs w:val="18"/>
        </w:rPr>
        <w:t>.</w:t>
      </w:r>
      <w:r w:rsidR="00ED3FF6" w:rsidRPr="00745101">
        <w:rPr>
          <w:rFonts w:ascii="Times New Roman" w:hAnsi="Times New Roman" w:cs="Times New Roman"/>
          <w:color w:val="000000"/>
          <w:kern w:val="24"/>
          <w:sz w:val="18"/>
          <w:szCs w:val="18"/>
        </w:rPr>
        <w:t xml:space="preserve"> </w:t>
      </w:r>
      <w:r w:rsidR="00745101" w:rsidRPr="00745101">
        <w:rPr>
          <w:rFonts w:ascii="Times New Roman" w:hAnsi="Times New Roman" w:cs="Times New Roman"/>
          <w:color w:val="000000"/>
          <w:kern w:val="24"/>
          <w:sz w:val="18"/>
          <w:szCs w:val="18"/>
        </w:rPr>
        <w:t>Човечки IL</w:t>
      </w:r>
      <w:r w:rsidR="00745101">
        <w:rPr>
          <w:rFonts w:ascii="Times New Roman" w:hAnsi="Times New Roman" w:cs="Times New Roman"/>
          <w:color w:val="000000"/>
          <w:kern w:val="24"/>
          <w:sz w:val="18"/>
          <w:szCs w:val="18"/>
          <w:lang w:val="ru-RU"/>
        </w:rPr>
        <w:t>‐3</w:t>
      </w:r>
      <w:r w:rsidR="00745101" w:rsidRPr="00745101">
        <w:rPr>
          <w:rFonts w:ascii="Times New Roman" w:hAnsi="Times New Roman" w:cs="Times New Roman"/>
          <w:color w:val="000000"/>
          <w:kern w:val="24"/>
          <w:sz w:val="18"/>
          <w:szCs w:val="18"/>
          <w:lang w:val="ru-RU"/>
        </w:rPr>
        <w:t>3 протеин</w:t>
      </w:r>
    </w:p>
    <w:p w:rsidR="00745101" w:rsidRDefault="00745101" w:rsidP="00421E8E">
      <w:pPr>
        <w:rPr>
          <w:rFonts w:ascii="Times New Roman" w:hAnsi="Times New Roman" w:cs="Times New Roman"/>
          <w:color w:val="000000"/>
          <w:kern w:val="24"/>
          <w:sz w:val="24"/>
          <w:szCs w:val="24"/>
          <w:lang w:val="ru-RU"/>
        </w:rPr>
      </w:pP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IL</w:t>
      </w:r>
      <w:r w:rsidR="00745101">
        <w:rPr>
          <w:rFonts w:ascii="Times New Roman" w:hAnsi="Times New Roman" w:cs="Times New Roman"/>
          <w:color w:val="000000"/>
          <w:kern w:val="24"/>
          <w:sz w:val="24"/>
          <w:szCs w:val="24"/>
          <w:lang w:val="ru-RU"/>
        </w:rPr>
        <w:t>‐</w:t>
      </w:r>
      <w:r w:rsidRPr="007736CE">
        <w:rPr>
          <w:rFonts w:ascii="Times New Roman" w:hAnsi="Times New Roman" w:cs="Times New Roman"/>
          <w:color w:val="000000"/>
          <w:kern w:val="24"/>
          <w:sz w:val="24"/>
          <w:szCs w:val="24"/>
          <w:lang w:val="ru-RU"/>
        </w:rPr>
        <w:t>33 протеинот е составен од два еволутивн</w:t>
      </w:r>
      <w:r w:rsidRPr="007736CE">
        <w:rPr>
          <w:rFonts w:ascii="Times New Roman" w:hAnsi="Times New Roman" w:cs="Times New Roman"/>
          <w:color w:val="000000"/>
          <w:kern w:val="24"/>
          <w:sz w:val="24"/>
          <w:szCs w:val="24"/>
        </w:rPr>
        <w:t>o</w:t>
      </w:r>
      <w:r w:rsidRPr="007736CE">
        <w:rPr>
          <w:rFonts w:ascii="Times New Roman" w:hAnsi="Times New Roman" w:cs="Times New Roman"/>
          <w:color w:val="000000"/>
          <w:kern w:val="24"/>
          <w:sz w:val="24"/>
          <w:szCs w:val="24"/>
          <w:lang w:val="ru-RU"/>
        </w:rPr>
        <w:t xml:space="preserve"> сочувани домени, N ‐ терминален нуклеарен домен и C ‐ терминал</w:t>
      </w:r>
      <w:r w:rsidRPr="007736CE">
        <w:rPr>
          <w:rFonts w:ascii="Times New Roman" w:hAnsi="Times New Roman" w:cs="Times New Roman"/>
          <w:color w:val="000000"/>
          <w:kern w:val="24"/>
          <w:sz w:val="24"/>
          <w:szCs w:val="24"/>
        </w:rPr>
        <w:t xml:space="preserve">ен налик на </w:t>
      </w:r>
      <w:r w:rsidRPr="007736CE">
        <w:rPr>
          <w:rFonts w:ascii="Times New Roman" w:hAnsi="Times New Roman" w:cs="Times New Roman"/>
          <w:color w:val="000000"/>
          <w:kern w:val="24"/>
          <w:sz w:val="24"/>
          <w:szCs w:val="24"/>
          <w:lang w:val="ru-RU"/>
        </w:rPr>
        <w:t xml:space="preserve"> IL ‐ 1 домен, одделени меѓусебно со дивергентен централен дел . Човечки</w:t>
      </w:r>
      <w:r w:rsidRPr="007736CE">
        <w:rPr>
          <w:rFonts w:ascii="Times New Roman" w:hAnsi="Times New Roman" w:cs="Times New Roman"/>
          <w:color w:val="000000"/>
          <w:kern w:val="24"/>
          <w:sz w:val="24"/>
          <w:szCs w:val="24"/>
        </w:rPr>
        <w:t>от протеин IL</w:t>
      </w:r>
      <w:r w:rsidRPr="007736CE">
        <w:rPr>
          <w:rFonts w:ascii="Times New Roman" w:hAnsi="Times New Roman" w:cs="Times New Roman"/>
          <w:color w:val="000000"/>
          <w:kern w:val="24"/>
          <w:sz w:val="24"/>
          <w:szCs w:val="24"/>
          <w:lang w:val="ru-RU"/>
        </w:rPr>
        <w:t xml:space="preserve">‐ 33 покажува 58%, односно 52% идентичност со над 270 резидуи со соодветните кучешки,односно глувчешки ортолози </w:t>
      </w:r>
      <w:r w:rsidRPr="007736CE">
        <w:rPr>
          <w:rFonts w:ascii="Times New Roman" w:hAnsi="Times New Roman" w:cs="Times New Roman"/>
          <w:color w:val="000000"/>
          <w:kern w:val="24"/>
          <w:sz w:val="24"/>
          <w:szCs w:val="24"/>
        </w:rPr>
        <w:t>(98).</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Теоретски, молекуларната тежина (MW) на прекурсорот на човечки  IL‐33 е 30759 Da и неговата изоелектрична точка (pI) е 8,89. Доменот, налик на IL-1 цитокин домен е многу кисел (аа 112a270, MW = 17 994 Da, pI = 4,80) сличен на IL ‐ 1</w:t>
      </w:r>
      <w:r w:rsidRPr="007736CE">
        <w:rPr>
          <w:rFonts w:ascii="Times New Roman" w:hAnsi="Times New Roman" w:cs="Times New Roman"/>
          <w:color w:val="000000"/>
          <w:kern w:val="24"/>
          <w:sz w:val="24"/>
          <w:szCs w:val="24"/>
          <w:lang w:val="el-GR"/>
        </w:rPr>
        <w:t>α (</w:t>
      </w:r>
      <w:r w:rsidRPr="007736CE">
        <w:rPr>
          <w:rFonts w:ascii="Times New Roman" w:hAnsi="Times New Roman" w:cs="Times New Roman"/>
          <w:color w:val="000000"/>
          <w:kern w:val="24"/>
          <w:sz w:val="24"/>
          <w:szCs w:val="24"/>
        </w:rPr>
        <w:t>pI = 5,3), додека терминалниот дел N  е базичен (аа 1‐111, MW = 12783 Da, pI = 10,28).</w:t>
      </w:r>
      <w:r w:rsidRPr="007736CE">
        <w:rPr>
          <w:rFonts w:ascii="Times New Roman" w:hAnsi="Times New Roman" w:cs="Times New Roman"/>
          <w:color w:val="000000"/>
          <w:kern w:val="24"/>
          <w:sz w:val="24"/>
          <w:szCs w:val="24"/>
        </w:rPr>
        <w:br/>
        <w:t>N ‐ крајниот дел од IL ‐ 33 содржи мотив за врзување на хроматин (CBM, аа 40a58) (107)</w:t>
      </w:r>
      <w:r w:rsidRPr="007736CE">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lang w:val="ru-RU"/>
        </w:rPr>
        <w:t>и предвидена бипартитна  секвенца за нуклеарна локализација (</w:t>
      </w:r>
      <w:r w:rsidRPr="007736CE">
        <w:rPr>
          <w:rFonts w:ascii="Times New Roman" w:hAnsi="Times New Roman" w:cs="Times New Roman"/>
          <w:color w:val="000000"/>
          <w:kern w:val="24"/>
          <w:sz w:val="24"/>
          <w:szCs w:val="24"/>
        </w:rPr>
        <w:t>NLS,</w:t>
      </w:r>
      <w:r w:rsidRPr="007736CE">
        <w:rPr>
          <w:rFonts w:ascii="Times New Roman" w:hAnsi="Times New Roman" w:cs="Times New Roman"/>
          <w:color w:val="000000"/>
          <w:kern w:val="24"/>
          <w:sz w:val="24"/>
          <w:szCs w:val="24"/>
          <w:lang w:val="ru-RU"/>
        </w:rPr>
        <w:t xml:space="preserve"> аа 61-78</w:t>
      </w:r>
      <w:r w:rsidRPr="007736CE">
        <w:rPr>
          <w:rFonts w:ascii="Times New Roman" w:hAnsi="Times New Roman" w:cs="Times New Roman"/>
          <w:color w:val="000000"/>
          <w:kern w:val="24"/>
          <w:sz w:val="24"/>
          <w:szCs w:val="24"/>
        </w:rPr>
        <w:t>) (98)</w:t>
      </w:r>
      <w:r w:rsidRPr="007736CE">
        <w:rPr>
          <w:rFonts w:ascii="Times New Roman" w:hAnsi="Times New Roman" w:cs="Times New Roman"/>
          <w:sz w:val="24"/>
          <w:szCs w:val="24"/>
        </w:rPr>
        <w:t>.</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lang w:val="ru-RU"/>
        </w:rPr>
        <w:t>N ‐ терминалниот домен (аа 1‐65), кој содржи IL ‐ 33 CBM, е неопходен и доволен за нуклеарно тарге</w:t>
      </w:r>
      <w:r w:rsidR="009F59EC">
        <w:rPr>
          <w:rFonts w:ascii="Times New Roman" w:hAnsi="Times New Roman" w:cs="Times New Roman"/>
          <w:color w:val="000000"/>
          <w:kern w:val="24"/>
          <w:sz w:val="24"/>
          <w:szCs w:val="24"/>
          <w:lang w:val="ru-RU"/>
        </w:rPr>
        <w:t xml:space="preserve">тирање на со епитоп-означениот </w:t>
      </w:r>
      <w:r w:rsidRPr="007736CE">
        <w:rPr>
          <w:rFonts w:ascii="Times New Roman" w:hAnsi="Times New Roman" w:cs="Times New Roman"/>
          <w:color w:val="000000"/>
          <w:kern w:val="24"/>
          <w:sz w:val="24"/>
          <w:szCs w:val="24"/>
          <w:lang w:val="ru-RU"/>
        </w:rPr>
        <w:t>(GFP-фузиран) IL‐33 во човечки клетки (1</w:t>
      </w:r>
      <w:r w:rsidRPr="007736CE">
        <w:rPr>
          <w:rFonts w:ascii="Times New Roman" w:hAnsi="Times New Roman" w:cs="Times New Roman"/>
          <w:color w:val="000000"/>
          <w:kern w:val="24"/>
          <w:sz w:val="24"/>
          <w:szCs w:val="24"/>
        </w:rPr>
        <w:t>0</w:t>
      </w:r>
      <w:r w:rsidRPr="007736CE">
        <w:rPr>
          <w:rFonts w:ascii="Times New Roman" w:hAnsi="Times New Roman" w:cs="Times New Roman"/>
          <w:color w:val="000000"/>
          <w:kern w:val="24"/>
          <w:sz w:val="24"/>
          <w:szCs w:val="24"/>
          <w:lang w:val="ru-RU"/>
        </w:rPr>
        <w:t>6)</w:t>
      </w:r>
      <w:r w:rsidRPr="007736CE">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lang w:val="ru-RU"/>
        </w:rPr>
        <w:t xml:space="preserve">но не е исклучена и можноста, бипартитната </w:t>
      </w:r>
      <w:r w:rsidRPr="007736CE">
        <w:rPr>
          <w:rFonts w:ascii="Times New Roman" w:hAnsi="Times New Roman" w:cs="Times New Roman"/>
          <w:color w:val="000000"/>
          <w:kern w:val="24"/>
          <w:sz w:val="24"/>
          <w:szCs w:val="24"/>
        </w:rPr>
        <w:t>NLS да е исто така потребна за таргетирање на нуклеусот. Само заради структурните сличности, иницијално се сметало дека N-терминалниот домен се состои од helix-turn- helix DNA- binding домен (98)</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Но, подоцнежните студии покажуваат дека IL-33 се поврзува со нуклеарниот хроматин преку CBM- протеин-протеин интеракција (107)</w:t>
      </w:r>
      <w:r w:rsidRPr="007736CE">
        <w:rPr>
          <w:rFonts w:ascii="Times New Roman" w:hAnsi="Times New Roman" w:cs="Times New Roman"/>
          <w:sz w:val="24"/>
          <w:szCs w:val="24"/>
        </w:rPr>
        <w:t>.</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IL-33 претставува лиганд за ST2 рецепторот, исто така познат и како Interleukin 1 receptor-like 1</w:t>
      </w:r>
      <w:r w:rsidR="00847713" w:rsidRPr="00A926CA">
        <w:rPr>
          <w:rFonts w:ascii="Times New Roman" w:hAnsi="Times New Roman" w:cs="Times New Roman"/>
          <w:color w:val="000000"/>
          <w:kern w:val="24"/>
          <w:sz w:val="24"/>
          <w:szCs w:val="24"/>
          <w:lang w:val="ru-RU"/>
        </w:rPr>
        <w:t>.</w:t>
      </w:r>
      <w:r w:rsidRPr="007736CE">
        <w:rPr>
          <w:rFonts w:ascii="Times New Roman" w:hAnsi="Times New Roman" w:cs="Times New Roman"/>
          <w:color w:val="000000"/>
          <w:kern w:val="24"/>
          <w:sz w:val="24"/>
          <w:szCs w:val="24"/>
          <w:lang w:val="ru-RU"/>
        </w:rPr>
        <w:t xml:space="preserve"> Постојат четири изоформи на ST2 - sST2, ST2L, ST2V и ST2LV. Растворлив</w:t>
      </w:r>
      <w:r w:rsidRPr="007736CE">
        <w:rPr>
          <w:rFonts w:ascii="Times New Roman" w:hAnsi="Times New Roman" w:cs="Times New Roman"/>
          <w:color w:val="000000"/>
          <w:kern w:val="24"/>
          <w:sz w:val="24"/>
          <w:szCs w:val="24"/>
        </w:rPr>
        <w:t>aта</w:t>
      </w:r>
      <w:r w:rsidRPr="007736CE">
        <w:rPr>
          <w:rFonts w:ascii="Times New Roman" w:hAnsi="Times New Roman" w:cs="Times New Roman"/>
          <w:color w:val="000000"/>
          <w:kern w:val="24"/>
          <w:sz w:val="24"/>
          <w:szCs w:val="24"/>
          <w:lang w:val="ru-RU"/>
        </w:rPr>
        <w:t xml:space="preserve"> (sST2, позната и како IL1RL1-a) и трансмембран</w:t>
      </w:r>
      <w:r w:rsidRPr="007736CE">
        <w:rPr>
          <w:rFonts w:ascii="Times New Roman" w:hAnsi="Times New Roman" w:cs="Times New Roman"/>
          <w:color w:val="000000"/>
          <w:kern w:val="24"/>
          <w:sz w:val="24"/>
          <w:szCs w:val="24"/>
        </w:rPr>
        <w:t>ската</w:t>
      </w:r>
      <w:r w:rsidRPr="007736CE">
        <w:rPr>
          <w:rFonts w:ascii="Times New Roman" w:hAnsi="Times New Roman" w:cs="Times New Roman"/>
          <w:color w:val="000000"/>
          <w:kern w:val="24"/>
          <w:sz w:val="24"/>
          <w:szCs w:val="24"/>
          <w:lang w:val="ru-RU"/>
        </w:rPr>
        <w:t xml:space="preserve"> (ST2L, исто така позната како IL1RL1-b) форма произлегуваат од двоен промотор систем ,заради што имаат различна mRNA експресија (1</w:t>
      </w:r>
      <w:r w:rsidRPr="007736CE">
        <w:rPr>
          <w:rFonts w:ascii="Times New Roman" w:hAnsi="Times New Roman" w:cs="Times New Roman"/>
          <w:color w:val="000000"/>
          <w:kern w:val="24"/>
          <w:sz w:val="24"/>
          <w:szCs w:val="24"/>
        </w:rPr>
        <w:t>0</w:t>
      </w:r>
      <w:r w:rsidRPr="007736CE">
        <w:rPr>
          <w:rFonts w:ascii="Times New Roman" w:hAnsi="Times New Roman" w:cs="Times New Roman"/>
          <w:color w:val="000000"/>
          <w:kern w:val="24"/>
          <w:sz w:val="24"/>
          <w:szCs w:val="24"/>
          <w:lang w:val="ru-RU"/>
        </w:rPr>
        <w:t>9,</w:t>
      </w:r>
      <w:r w:rsidRPr="007736CE">
        <w:rPr>
          <w:rFonts w:ascii="Times New Roman" w:hAnsi="Times New Roman" w:cs="Times New Roman"/>
          <w:color w:val="000000"/>
          <w:kern w:val="24"/>
          <w:sz w:val="24"/>
          <w:szCs w:val="24"/>
        </w:rPr>
        <w:t>11</w:t>
      </w:r>
      <w:r w:rsidRPr="007736CE">
        <w:rPr>
          <w:rFonts w:ascii="Times New Roman" w:hAnsi="Times New Roman" w:cs="Times New Roman"/>
          <w:color w:val="000000"/>
          <w:kern w:val="24"/>
          <w:sz w:val="24"/>
          <w:szCs w:val="24"/>
          <w:lang w:val="ru-RU"/>
        </w:rPr>
        <w:t>0,</w:t>
      </w:r>
      <w:r w:rsidRPr="007736CE">
        <w:rPr>
          <w:rFonts w:ascii="Times New Roman" w:hAnsi="Times New Roman" w:cs="Times New Roman"/>
          <w:color w:val="000000"/>
          <w:kern w:val="24"/>
          <w:sz w:val="24"/>
          <w:szCs w:val="24"/>
        </w:rPr>
        <w:t>11</w:t>
      </w:r>
      <w:r w:rsidRPr="007736CE">
        <w:rPr>
          <w:rFonts w:ascii="Times New Roman" w:hAnsi="Times New Roman" w:cs="Times New Roman"/>
          <w:color w:val="000000"/>
          <w:kern w:val="24"/>
          <w:sz w:val="24"/>
          <w:szCs w:val="24"/>
          <w:lang w:val="ru-RU"/>
        </w:rPr>
        <w:t>1)</w:t>
      </w:r>
      <w:r w:rsidRPr="007736CE">
        <w:rPr>
          <w:rFonts w:ascii="Times New Roman" w:hAnsi="Times New Roman" w:cs="Times New Roman"/>
          <w:color w:val="000000"/>
          <w:kern w:val="24"/>
          <w:sz w:val="24"/>
          <w:szCs w:val="24"/>
        </w:rPr>
        <w:t>.</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Kaj sST2 недостига трансмембранскиот, односно цитосоличниот домен, карактеристични за ST2L, а вклучува, уникатна за себе С-терминална секвенца од девет амино киселини (112)</w:t>
      </w:r>
      <w:r w:rsidRPr="007736CE">
        <w:rPr>
          <w:rFonts w:ascii="Times New Roman" w:hAnsi="Times New Roman" w:cs="Times New Roman"/>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Структурата на ST2L е идентична на IL-1 рецепторите. ST2V и ST2LV се две варијанти на ЅТ2, односно губењето на третиот Ig-мотиф и aлтернативното спојување за С-терминалниот домен на ST2, резултира со уникатен, хидрофобен терминален дел, кој што е во суштина карактеристичен за ЅТ2V (113)</w:t>
      </w:r>
      <w:r w:rsidR="00847713" w:rsidRPr="00A926CA">
        <w:rPr>
          <w:rFonts w:ascii="Times New Roman" w:hAnsi="Times New Roman" w:cs="Times New Roman"/>
          <w:color w:val="000000"/>
          <w:kern w:val="24"/>
          <w:sz w:val="24"/>
          <w:szCs w:val="24"/>
          <w:lang w:val="ru-RU"/>
        </w:rPr>
        <w:t>,</w:t>
      </w:r>
      <w:r w:rsidRPr="007736CE">
        <w:rPr>
          <w:rFonts w:ascii="Times New Roman" w:hAnsi="Times New Roman" w:cs="Times New Roman"/>
          <w:color w:val="000000"/>
          <w:kern w:val="24"/>
          <w:sz w:val="24"/>
          <w:szCs w:val="24"/>
        </w:rPr>
        <w:t xml:space="preserve"> додека со губење на трансмембранскиот домен на ST2L, настанува ST2LV (109)</w:t>
      </w:r>
      <w:r w:rsidRPr="007736CE">
        <w:rPr>
          <w:rFonts w:ascii="Times New Roman" w:hAnsi="Times New Roman" w:cs="Times New Roman"/>
          <w:sz w:val="24"/>
          <w:szCs w:val="24"/>
        </w:rPr>
        <w:t>.</w:t>
      </w: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26510E" w:rsidRPr="00A926CA" w:rsidRDefault="0026510E" w:rsidP="00421E8E">
      <w:pPr>
        <w:rPr>
          <w:rFonts w:ascii="Times New Roman" w:hAnsi="Times New Roman" w:cs="Times New Roman"/>
          <w:sz w:val="24"/>
          <w:szCs w:val="24"/>
          <w:lang w:val="ru-RU"/>
        </w:rPr>
      </w:pPr>
      <w:r w:rsidRPr="007736CE">
        <w:rPr>
          <w:rFonts w:ascii="Times New Roman" w:hAnsi="Times New Roman" w:cs="Times New Roman"/>
          <w:color w:val="000000"/>
          <w:kern w:val="24"/>
          <w:sz w:val="24"/>
          <w:szCs w:val="24"/>
        </w:rPr>
        <w:t xml:space="preserve">Eкспресија на ST2L е постојана и карактеристична за хематопоетските клетки, додека клетките на интегументот, (фибробласти, ретина, мамалното и остеогено ткиво) покажуваат експресија на ѕЅТ2 (110,114). </w:t>
      </w:r>
      <w:r w:rsidRPr="007736CE">
        <w:rPr>
          <w:rFonts w:ascii="Times New Roman" w:hAnsi="Times New Roman" w:cs="Times New Roman"/>
          <w:sz w:val="24"/>
          <w:szCs w:val="24"/>
        </w:rPr>
        <w:t>ST2 покажува постојана експресија кај ILC2 клетките, согласно со неговата улог</w:t>
      </w:r>
      <w:r w:rsidR="00847713">
        <w:rPr>
          <w:rFonts w:ascii="Times New Roman" w:hAnsi="Times New Roman" w:cs="Times New Roman"/>
          <w:sz w:val="24"/>
          <w:szCs w:val="24"/>
        </w:rPr>
        <w:t>а во тип 2 имунолошкиот одговор</w:t>
      </w:r>
      <w:r w:rsidR="00847713" w:rsidRPr="00A926CA">
        <w:rPr>
          <w:rFonts w:ascii="Times New Roman" w:hAnsi="Times New Roman" w:cs="Times New Roman"/>
          <w:sz w:val="24"/>
          <w:szCs w:val="24"/>
          <w:lang w:val="ru-RU"/>
        </w:rPr>
        <w:t xml:space="preserve"> (</w:t>
      </w:r>
      <w:r w:rsidRPr="007736CE">
        <w:rPr>
          <w:rFonts w:ascii="Times New Roman" w:hAnsi="Times New Roman" w:cs="Times New Roman"/>
          <w:sz w:val="24"/>
          <w:szCs w:val="24"/>
        </w:rPr>
        <w:t>115,116,117</w:t>
      </w:r>
      <w:r w:rsidR="00847713" w:rsidRPr="00A926CA">
        <w:rPr>
          <w:rFonts w:ascii="Times New Roman" w:hAnsi="Times New Roman" w:cs="Times New Roman"/>
          <w:sz w:val="24"/>
          <w:szCs w:val="24"/>
          <w:lang w:val="ru-RU"/>
        </w:rPr>
        <w:t>).</w:t>
      </w:r>
      <w:r w:rsidRPr="007736CE">
        <w:rPr>
          <w:rFonts w:ascii="Times New Roman" w:hAnsi="Times New Roman" w:cs="Times New Roman"/>
          <w:sz w:val="24"/>
          <w:szCs w:val="24"/>
        </w:rPr>
        <w:t xml:space="preserve"> Исто така, ST2 покажува висока експресија и кај маст клетките и AAM</w:t>
      </w:r>
      <w:r w:rsidR="00847713" w:rsidRPr="00A926CA">
        <w:rPr>
          <w:rFonts w:ascii="Times New Roman" w:hAnsi="Times New Roman" w:cs="Times New Roman"/>
          <w:sz w:val="24"/>
          <w:szCs w:val="24"/>
          <w:lang w:val="ru-RU"/>
        </w:rPr>
        <w:t>.</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По стимулација со UV радијација, односно проинфламаторни цитокини (TNF, I-1 alfa, IL-1 beta), на дермално ткиво кај глувци, истото покажува експресија на ѕЅТ2. За разлика од глувците, кај човечки ткива, експресијата на ѕЅт2 е постојана и вообичаена (118)</w:t>
      </w:r>
      <w:r w:rsidRPr="007736CE">
        <w:rPr>
          <w:rFonts w:ascii="Times New Roman" w:hAnsi="Times New Roman" w:cs="Times New Roman"/>
          <w:sz w:val="24"/>
          <w:szCs w:val="24"/>
        </w:rPr>
        <w:t>.</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 xml:space="preserve">ST2V покажува експресија на клетките на </w:t>
      </w:r>
      <w:r w:rsidR="00AF53EA">
        <w:rPr>
          <w:rFonts w:ascii="Times New Roman" w:hAnsi="Times New Roman" w:cs="Times New Roman"/>
          <w:color w:val="000000"/>
          <w:kern w:val="24"/>
          <w:sz w:val="24"/>
          <w:szCs w:val="24"/>
        </w:rPr>
        <w:t>гастроинтестинлниот тракт</w:t>
      </w:r>
      <w:r w:rsidRPr="007736CE">
        <w:rPr>
          <w:rFonts w:ascii="Times New Roman" w:hAnsi="Times New Roman" w:cs="Times New Roman"/>
          <w:color w:val="000000"/>
          <w:kern w:val="24"/>
          <w:sz w:val="24"/>
          <w:szCs w:val="24"/>
        </w:rPr>
        <w:t xml:space="preserve"> (нема експресија на ST2V на ткивата на црниот дроб и срцето, односно конфокална микроскопија покажува негова редуцирана локализација во плазма мембраната (119)</w:t>
      </w:r>
      <w:r w:rsidRPr="007736CE">
        <w:rPr>
          <w:rFonts w:ascii="Times New Roman" w:hAnsi="Times New Roman" w:cs="Times New Roman"/>
          <w:sz w:val="24"/>
          <w:szCs w:val="24"/>
        </w:rPr>
        <w:t>.</w:t>
      </w:r>
    </w:p>
    <w:p w:rsidR="0026510E" w:rsidRPr="007736CE" w:rsidRDefault="00AF53EA" w:rsidP="00421E8E">
      <w:pPr>
        <w:rPr>
          <w:rFonts w:ascii="Times New Roman" w:hAnsi="Times New Roman" w:cs="Times New Roman"/>
          <w:sz w:val="24"/>
          <w:szCs w:val="24"/>
        </w:rPr>
      </w:pPr>
      <w:r>
        <w:rPr>
          <w:rFonts w:ascii="Times New Roman" w:hAnsi="Times New Roman" w:cs="Times New Roman"/>
          <w:color w:val="000000"/>
          <w:kern w:val="24"/>
          <w:sz w:val="24"/>
          <w:szCs w:val="24"/>
        </w:rPr>
        <w:t>Е</w:t>
      </w:r>
      <w:r w:rsidR="0026510E" w:rsidRPr="007736CE">
        <w:rPr>
          <w:rFonts w:ascii="Times New Roman" w:hAnsi="Times New Roman" w:cs="Times New Roman"/>
          <w:color w:val="000000"/>
          <w:kern w:val="24"/>
          <w:sz w:val="24"/>
          <w:szCs w:val="24"/>
        </w:rPr>
        <w:t xml:space="preserve">кспресија на ST2LV се уште не е </w:t>
      </w:r>
      <w:r>
        <w:rPr>
          <w:rFonts w:ascii="Times New Roman" w:hAnsi="Times New Roman" w:cs="Times New Roman"/>
          <w:color w:val="000000"/>
          <w:kern w:val="24"/>
          <w:sz w:val="24"/>
          <w:szCs w:val="24"/>
        </w:rPr>
        <w:t>потврдена кај човекот</w:t>
      </w:r>
      <w:r w:rsidR="0026510E" w:rsidRPr="007736CE">
        <w:rPr>
          <w:rFonts w:ascii="Times New Roman" w:hAnsi="Times New Roman" w:cs="Times New Roman"/>
          <w:color w:val="000000"/>
          <w:kern w:val="24"/>
          <w:sz w:val="24"/>
          <w:szCs w:val="24"/>
        </w:rPr>
        <w:t xml:space="preserve">. </w:t>
      </w: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 xml:space="preserve">Екстрацелуларниот дел од рецепторот се состои од три т.н. Ig-like домени. </w:t>
      </w:r>
      <w:r w:rsidRPr="007736CE">
        <w:rPr>
          <w:rFonts w:ascii="Times New Roman" w:hAnsi="Times New Roman" w:cs="Times New Roman"/>
          <w:color w:val="000000"/>
          <w:kern w:val="24"/>
          <w:sz w:val="24"/>
          <w:szCs w:val="24"/>
          <w:lang w:val="ru-RU"/>
        </w:rPr>
        <w:t xml:space="preserve">Интрацелуларниот дел се карактеризира со TIR домен неопходен за сигнализација преку адаптерот MyD88. TIR доменот присутен во сигналните рецептори на семејството IL-1 е идентичен со </w:t>
      </w:r>
      <w:r w:rsidRPr="007736CE">
        <w:rPr>
          <w:rFonts w:ascii="Times New Roman" w:hAnsi="Times New Roman" w:cs="Times New Roman"/>
          <w:color w:val="000000"/>
          <w:kern w:val="24"/>
          <w:sz w:val="24"/>
          <w:szCs w:val="24"/>
        </w:rPr>
        <w:t>TIR доменот на сите т.н. Toll-like рецептори</w:t>
      </w:r>
      <w:r w:rsidRPr="007736CE">
        <w:rPr>
          <w:rFonts w:ascii="Times New Roman" w:hAnsi="Times New Roman" w:cs="Times New Roman"/>
          <w:color w:val="000000"/>
          <w:kern w:val="24"/>
          <w:sz w:val="24"/>
          <w:szCs w:val="24"/>
          <w:lang w:val="ru-RU"/>
        </w:rPr>
        <w:t>. Т</w:t>
      </w:r>
      <w:r w:rsidRPr="007736CE">
        <w:rPr>
          <w:rFonts w:ascii="Times New Roman" w:hAnsi="Times New Roman" w:cs="Times New Roman"/>
          <w:color w:val="000000"/>
          <w:kern w:val="24"/>
          <w:sz w:val="24"/>
          <w:szCs w:val="24"/>
        </w:rPr>
        <w:t>IR</w:t>
      </w:r>
      <w:r w:rsidRPr="007736CE">
        <w:rPr>
          <w:rFonts w:ascii="Times New Roman" w:hAnsi="Times New Roman" w:cs="Times New Roman"/>
          <w:color w:val="000000"/>
          <w:kern w:val="24"/>
          <w:sz w:val="24"/>
          <w:szCs w:val="24"/>
          <w:lang w:val="ru-RU"/>
        </w:rPr>
        <w:t xml:space="preserve"> доменот има клучна улога во борбата против микроби, ткивни повреди, претставува акцелератор на вродениот имунитет и воспаленија. </w:t>
      </w:r>
      <w:r w:rsidRPr="007736CE">
        <w:rPr>
          <w:rFonts w:ascii="Times New Roman" w:hAnsi="Times New Roman" w:cs="Times New Roman"/>
          <w:color w:val="000000"/>
          <w:kern w:val="24"/>
          <w:sz w:val="24"/>
          <w:szCs w:val="24"/>
        </w:rPr>
        <w:t>Откако IL‐33 ќе се врзе за трансмембранскиот ST</w:t>
      </w:r>
      <w:r w:rsidR="00AF53EA">
        <w:rPr>
          <w:rFonts w:ascii="Times New Roman" w:hAnsi="Times New Roman" w:cs="Times New Roman"/>
          <w:color w:val="000000"/>
          <w:kern w:val="24"/>
          <w:sz w:val="24"/>
          <w:szCs w:val="24"/>
        </w:rPr>
        <w:t>2 (ST2L), истиот корелира со IL‐</w:t>
      </w:r>
      <w:r w:rsidRPr="007736CE">
        <w:rPr>
          <w:rFonts w:ascii="Times New Roman" w:hAnsi="Times New Roman" w:cs="Times New Roman"/>
          <w:color w:val="000000"/>
          <w:kern w:val="24"/>
          <w:sz w:val="24"/>
          <w:szCs w:val="24"/>
        </w:rPr>
        <w:t>1RAcP, ко-рецептор идентичен и за останати</w:t>
      </w:r>
      <w:r w:rsidR="00AF53EA">
        <w:rPr>
          <w:rFonts w:ascii="Times New Roman" w:hAnsi="Times New Roman" w:cs="Times New Roman"/>
          <w:color w:val="000000"/>
          <w:kern w:val="24"/>
          <w:sz w:val="24"/>
          <w:szCs w:val="24"/>
        </w:rPr>
        <w:t xml:space="preserve">те членови на IL-1 семејството. </w:t>
      </w:r>
      <w:r w:rsidRPr="007736CE">
        <w:rPr>
          <w:rFonts w:ascii="Times New Roman" w:hAnsi="Times New Roman" w:cs="Times New Roman"/>
          <w:color w:val="000000"/>
          <w:kern w:val="24"/>
          <w:sz w:val="24"/>
          <w:szCs w:val="24"/>
        </w:rPr>
        <w:t>Комплексот IL‐33/ST2/IL1RAcP потоа предизвикува сигнализација преку MyD88, IRAK1 и IRAK4 кинази и TRAF6, што кулминира со активирање на MAP кинази и NF</w:t>
      </w:r>
      <w:r w:rsidRPr="007736CE">
        <w:rPr>
          <w:rFonts w:ascii="Times New Roman" w:hAnsi="Times New Roman" w:cs="Times New Roman"/>
          <w:color w:val="000000"/>
          <w:kern w:val="24"/>
          <w:sz w:val="24"/>
          <w:szCs w:val="24"/>
          <w:lang w:val="el-GR"/>
        </w:rPr>
        <w:t>κ</w:t>
      </w:r>
      <w:r w:rsidRPr="007736CE">
        <w:rPr>
          <w:rFonts w:ascii="Times New Roman" w:hAnsi="Times New Roman" w:cs="Times New Roman"/>
          <w:color w:val="000000"/>
          <w:kern w:val="24"/>
          <w:sz w:val="24"/>
          <w:szCs w:val="24"/>
        </w:rPr>
        <w:t>B фактор за транскрипција.Трансдукција на сигналот по врзувањето на IL-33 за ST2L рецепторот е идентична со трансдукција на сигналот предизвикана од IL-1 и IL-18. Различната експресија на ST2, IL‐1R и IL‐18R на целните клетки е клучна за да се објаснат уникатните биолошки ефекти на IL‐33.</w:t>
      </w:r>
      <w:r w:rsidRPr="007736CE">
        <w:rPr>
          <w:rFonts w:ascii="Times New Roman" w:hAnsi="Times New Roman" w:cs="Times New Roman"/>
          <w:sz w:val="24"/>
          <w:szCs w:val="24"/>
        </w:rPr>
        <w:t xml:space="preserve"> ST2 всушност претставува функционална компонента клучна за биоактивноста на IL-33, додека sST2 претставува т.н. “decoy” рецептор за</w:t>
      </w:r>
      <w:r w:rsidR="00AF53EA">
        <w:rPr>
          <w:rFonts w:ascii="Times New Roman" w:hAnsi="Times New Roman" w:cs="Times New Roman"/>
          <w:sz w:val="24"/>
          <w:szCs w:val="24"/>
        </w:rPr>
        <w:t xml:space="preserve"> IL-33, налик на IL-1Rs за IL-1 </w:t>
      </w:r>
      <w:r w:rsidRPr="007736CE">
        <w:rPr>
          <w:rFonts w:ascii="Times New Roman" w:hAnsi="Times New Roman" w:cs="Times New Roman"/>
          <w:sz w:val="24"/>
          <w:szCs w:val="24"/>
        </w:rPr>
        <w:t xml:space="preserve">(120, 121, 102). </w:t>
      </w:r>
      <w:r w:rsidRPr="007736CE">
        <w:rPr>
          <w:rFonts w:ascii="Times New Roman" w:hAnsi="Times New Roman" w:cs="Times New Roman"/>
          <w:color w:val="212121"/>
          <w:sz w:val="24"/>
          <w:szCs w:val="24"/>
          <w:shd w:val="clear" w:color="auto" w:fill="FFFFFF"/>
        </w:rPr>
        <w:t>Кај некои видови клетки можна е трансмисија на сигнали и преку активација на ERK</w:t>
      </w:r>
      <w:r w:rsidR="00AF53EA">
        <w:rPr>
          <w:rFonts w:ascii="Times New Roman" w:hAnsi="Times New Roman" w:cs="Times New Roman"/>
          <w:color w:val="575757"/>
          <w:sz w:val="24"/>
          <w:szCs w:val="24"/>
          <w:shd w:val="clear" w:color="auto" w:fill="FFFFFF"/>
        </w:rPr>
        <w:t>.</w:t>
      </w:r>
      <w:r w:rsidRPr="007736CE">
        <w:rPr>
          <w:rFonts w:ascii="Times New Roman" w:hAnsi="Times New Roman" w:cs="Times New Roman"/>
          <w:color w:val="212121"/>
          <w:sz w:val="24"/>
          <w:szCs w:val="24"/>
          <w:shd w:val="clear" w:color="auto" w:fill="FFFFFF"/>
        </w:rPr>
        <w:t xml:space="preserve"> Интересно на пример, кај TRAF6-дефициентни ембрионални клетки кај глувци, ERK трансмисијата на сигнали е активна независно од сигнализирањето (122).</w:t>
      </w:r>
      <w:r w:rsidRPr="007736CE">
        <w:rPr>
          <w:rFonts w:ascii="Times New Roman" w:hAnsi="Times New Roman" w:cs="Times New Roman"/>
          <w:color w:val="212121"/>
          <w:sz w:val="24"/>
          <w:szCs w:val="24"/>
        </w:rPr>
        <w:t xml:space="preserve"> IL-33 претставува медијатор во трансмисијата на сигнали и на други модули, кои најверојатно се специфични за поединечни клетки. Продукцијата на IL-6 и IL-13 под влијание на IL-33, на пример е под директно влијание на  ERK1/2 и PI3K трансмисија на сигнали (123). </w:t>
      </w:r>
      <w:r w:rsidRPr="007736CE">
        <w:rPr>
          <w:rFonts w:ascii="Times New Roman" w:hAnsi="Times New Roman" w:cs="Times New Roman"/>
          <w:sz w:val="24"/>
          <w:szCs w:val="24"/>
        </w:rPr>
        <w:t xml:space="preserve">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Во човечки ендотелни клетки од умбиликус, IL-33 преку модулот ST2/TRAF6/PI3K/Akt/eN</w:t>
      </w:r>
      <w:r w:rsidR="00AF53EA">
        <w:rPr>
          <w:rFonts w:ascii="Times New Roman" w:hAnsi="Times New Roman" w:cs="Times New Roman"/>
          <w:color w:val="212121"/>
          <w:sz w:val="24"/>
          <w:szCs w:val="24"/>
        </w:rPr>
        <w:t>OS индуцира продукција на азот моно</w:t>
      </w:r>
      <w:r w:rsidRPr="007736CE">
        <w:rPr>
          <w:rFonts w:ascii="Times New Roman" w:hAnsi="Times New Roman" w:cs="Times New Roman"/>
          <w:color w:val="212121"/>
          <w:sz w:val="24"/>
          <w:szCs w:val="24"/>
        </w:rPr>
        <w:t xml:space="preserve">оксид што резултира со зголемена васкуларна пермеабилност и ангиогенеза (124).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 xml:space="preserve">IL-33 исто така има улога и врз животниот век на остокластите, односно стимулира остеокластогенеза од CD14(+) моноцити на тој начин што индуцира фосфорилација на SYK, PLCγ и GAB2, а воедно ја зголемува и експресијата на факторите за диференцијација на остеокласти, вклучувајќи ги тука TRAF6, c-Fos, NFATc1, помеѓу другите неопходни за развиток на остеокласти (125).  </w:t>
      </w:r>
    </w:p>
    <w:p w:rsidR="00AB0154" w:rsidRDefault="00AB0154" w:rsidP="00421E8E">
      <w:pPr>
        <w:shd w:val="clear" w:color="auto" w:fill="FFFFFF"/>
        <w:spacing w:before="200"/>
        <w:rPr>
          <w:rFonts w:ascii="Times New Roman" w:hAnsi="Times New Roman" w:cs="Times New Roman"/>
          <w:color w:val="212121"/>
          <w:sz w:val="24"/>
          <w:szCs w:val="24"/>
        </w:rPr>
      </w:pPr>
    </w:p>
    <w:p w:rsidR="00AB0154" w:rsidRDefault="00AB0154" w:rsidP="00421E8E">
      <w:pPr>
        <w:shd w:val="clear" w:color="auto" w:fill="FFFFFF"/>
        <w:spacing w:before="200"/>
        <w:rPr>
          <w:rFonts w:ascii="Times New Roman" w:hAnsi="Times New Roman" w:cs="Times New Roman"/>
          <w:color w:val="212121"/>
          <w:sz w:val="24"/>
          <w:szCs w:val="24"/>
        </w:rPr>
      </w:pPr>
    </w:p>
    <w:p w:rsidR="00AB0154" w:rsidRDefault="00AB0154" w:rsidP="00421E8E">
      <w:pPr>
        <w:shd w:val="clear" w:color="auto" w:fill="FFFFFF"/>
        <w:spacing w:before="200"/>
        <w:rPr>
          <w:rFonts w:ascii="Times New Roman" w:hAnsi="Times New Roman" w:cs="Times New Roman"/>
          <w:color w:val="212121"/>
          <w:sz w:val="24"/>
          <w:szCs w:val="24"/>
        </w:rPr>
      </w:pP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Од друга страна пак, две други студии пак даваат податоци за анти-остеокластогенетскиот ефект IL-33/ST2 оската, каде што IL-33 ја зголемува експресијата на про-апоптотичните молекули во клетките на коскената срцевина (126)</w:t>
      </w:r>
      <w:r w:rsidRPr="007736CE">
        <w:rPr>
          <w:rStyle w:val="nowrap"/>
          <w:rFonts w:ascii="Times New Roman" w:hAnsi="Times New Roman"/>
          <w:color w:val="212121"/>
          <w:sz w:val="24"/>
          <w:szCs w:val="24"/>
        </w:rPr>
        <w:t xml:space="preserve"> и врши репресија на факторите за диференцијација на остеокласти како што е</w:t>
      </w:r>
      <w:r w:rsidRPr="007736CE">
        <w:rPr>
          <w:rFonts w:ascii="Times New Roman" w:hAnsi="Times New Roman" w:cs="Times New Roman"/>
          <w:color w:val="212121"/>
          <w:sz w:val="24"/>
          <w:szCs w:val="24"/>
        </w:rPr>
        <w:t xml:space="preserve"> </w:t>
      </w:r>
      <w:r w:rsidRPr="009F59EC">
        <w:rPr>
          <w:rFonts w:ascii="Times New Roman" w:hAnsi="Times New Roman" w:cs="Times New Roman"/>
          <w:color w:val="000000" w:themeColor="text1"/>
          <w:sz w:val="24"/>
          <w:szCs w:val="24"/>
        </w:rPr>
        <w:t>NFATc1</w:t>
      </w:r>
      <w:r w:rsidRPr="007736CE">
        <w:rPr>
          <w:rFonts w:ascii="Times New Roman" w:hAnsi="Times New Roman" w:cs="Times New Roman"/>
          <w:color w:val="212121"/>
          <w:sz w:val="24"/>
          <w:szCs w:val="24"/>
        </w:rPr>
        <w:t>(127)</w:t>
      </w:r>
      <w:r w:rsidR="00847713" w:rsidRPr="00A926CA">
        <w:rPr>
          <w:rFonts w:ascii="Times New Roman" w:hAnsi="Times New Roman" w:cs="Times New Roman"/>
          <w:color w:val="212121"/>
          <w:sz w:val="24"/>
          <w:szCs w:val="24"/>
          <w:lang w:val="ru-RU"/>
        </w:rPr>
        <w:t>.</w:t>
      </w:r>
      <w:r w:rsidRPr="007736CE">
        <w:rPr>
          <w:rFonts w:ascii="Times New Roman" w:hAnsi="Times New Roman" w:cs="Times New Roman"/>
          <w:color w:val="212121"/>
          <w:sz w:val="24"/>
          <w:szCs w:val="24"/>
        </w:rPr>
        <w:t xml:space="preserve">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Кај ембрионални фибробласти IL-33 ја активира JAK2, која пак индуцира NF-κB активација;</w:t>
      </w:r>
      <w:r w:rsidR="00AF53EA">
        <w:rPr>
          <w:rFonts w:ascii="Times New Roman" w:hAnsi="Times New Roman" w:cs="Times New Roman"/>
          <w:color w:val="212121"/>
          <w:sz w:val="24"/>
          <w:szCs w:val="24"/>
        </w:rPr>
        <w:t xml:space="preserve"> </w:t>
      </w:r>
      <w:r w:rsidRPr="007736CE">
        <w:rPr>
          <w:rFonts w:ascii="Times New Roman" w:hAnsi="Times New Roman" w:cs="Times New Roman"/>
          <w:color w:val="212121"/>
          <w:sz w:val="24"/>
          <w:szCs w:val="24"/>
        </w:rPr>
        <w:t>како и да е MAPK</w:t>
      </w:r>
      <w:r w:rsidR="00AF53EA">
        <w:rPr>
          <w:rFonts w:ascii="Times New Roman" w:hAnsi="Times New Roman" w:cs="Times New Roman"/>
          <w:color w:val="212121"/>
          <w:sz w:val="24"/>
          <w:szCs w:val="24"/>
        </w:rPr>
        <w:t xml:space="preserve"> </w:t>
      </w:r>
      <w:r w:rsidRPr="007736CE">
        <w:rPr>
          <w:rFonts w:ascii="Times New Roman" w:hAnsi="Times New Roman" w:cs="Times New Roman"/>
          <w:color w:val="212121"/>
          <w:sz w:val="24"/>
          <w:szCs w:val="24"/>
        </w:rPr>
        <w:t xml:space="preserve">модулот за трансмисија на сигнали, вклучувајќи ги ERK, JNK и p38 остануваат интактни (128). </w:t>
      </w:r>
    </w:p>
    <w:p w:rsidR="0026510E" w:rsidRPr="00A926CA" w:rsidRDefault="0026510E" w:rsidP="00421E8E">
      <w:pPr>
        <w:shd w:val="clear" w:color="auto" w:fill="FFFFFF"/>
        <w:spacing w:before="200"/>
        <w:rPr>
          <w:rFonts w:ascii="Times New Roman" w:hAnsi="Times New Roman" w:cs="Times New Roman"/>
          <w:color w:val="212121"/>
          <w:sz w:val="24"/>
          <w:szCs w:val="24"/>
          <w:lang w:val="ru-RU"/>
        </w:rPr>
      </w:pPr>
      <w:r w:rsidRPr="007736CE">
        <w:rPr>
          <w:rFonts w:ascii="Times New Roman" w:hAnsi="Times New Roman" w:cs="Times New Roman"/>
          <w:color w:val="212121"/>
          <w:sz w:val="24"/>
          <w:szCs w:val="24"/>
        </w:rPr>
        <w:t>Во маст клетките, вкрстено активирање на c-Kit</w:t>
      </w:r>
      <w:r w:rsidRPr="007736CE">
        <w:rPr>
          <w:rFonts w:ascii="Times New Roman" w:hAnsi="Times New Roman" w:cs="Times New Roman"/>
          <w:color w:val="212121"/>
          <w:sz w:val="24"/>
          <w:szCs w:val="24"/>
          <w:shd w:val="clear" w:color="auto" w:fill="FFFFFF"/>
        </w:rPr>
        <w:t xml:space="preserve"> </w:t>
      </w:r>
      <w:r w:rsidRPr="007736CE">
        <w:rPr>
          <w:rFonts w:ascii="Times New Roman" w:hAnsi="Times New Roman" w:cs="Times New Roman"/>
          <w:color w:val="212121"/>
          <w:sz w:val="24"/>
          <w:szCs w:val="24"/>
        </w:rPr>
        <w:t>од страна на IL-33R резултира со фофорилација на c-Kit во Y721, како и фосфорилација на ERK1/2, JNK1, PKB и STAT3</w:t>
      </w:r>
      <w:r w:rsidR="001739CA">
        <w:rPr>
          <w:rFonts w:ascii="Times New Roman" w:hAnsi="Times New Roman" w:cs="Times New Roman"/>
          <w:color w:val="202124"/>
          <w:sz w:val="24"/>
          <w:szCs w:val="24"/>
          <w:shd w:val="clear" w:color="auto" w:fill="FFFFFF"/>
        </w:rPr>
        <w:t xml:space="preserve">. </w:t>
      </w:r>
      <w:r w:rsidRPr="007736CE">
        <w:rPr>
          <w:rFonts w:ascii="Times New Roman" w:hAnsi="Times New Roman" w:cs="Times New Roman"/>
          <w:color w:val="212121"/>
          <w:sz w:val="24"/>
          <w:szCs w:val="24"/>
        </w:rPr>
        <w:t>Инхибиција на  c-Kit во маст клетките резултира со пореметена трансмисија на сигнали од страна на JNK1/2 и ERK1/2 модулите, што сугерира дека регулацијата е под директно влијание на c-Kit (129)</w:t>
      </w:r>
      <w:r w:rsidR="00BF43AE" w:rsidRPr="00A926CA">
        <w:rPr>
          <w:rFonts w:ascii="Times New Roman" w:hAnsi="Times New Roman" w:cs="Times New Roman"/>
          <w:color w:val="212121"/>
          <w:sz w:val="24"/>
          <w:szCs w:val="24"/>
          <w:lang w:val="ru-RU"/>
        </w:rPr>
        <w:t>.</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 xml:space="preserve">Во нормални епителни клетки и оние на карцином на дојка, JB6 Cl41, MDA-MB231 и MCF7 клетки,  IL-33 временски и зависно од дозата ја зголемува фосфорилацијата на </w:t>
      </w:r>
      <w:r w:rsidR="007C1C95">
        <w:rPr>
          <w:rFonts w:ascii="Times New Roman" w:hAnsi="Times New Roman" w:cs="Times New Roman"/>
          <w:color w:val="212121"/>
          <w:sz w:val="24"/>
          <w:szCs w:val="24"/>
        </w:rPr>
        <w:t>MAP3K8</w:t>
      </w:r>
      <w:r w:rsidRPr="007736CE">
        <w:rPr>
          <w:rFonts w:ascii="Times New Roman" w:hAnsi="Times New Roman" w:cs="Times New Roman"/>
          <w:color w:val="212121"/>
          <w:sz w:val="24"/>
          <w:szCs w:val="24"/>
        </w:rPr>
        <w:t xml:space="preserve"> во S400 преку ST2-COT (MAP3K8) интеракција</w:t>
      </w:r>
      <w:r w:rsidR="00BF43AE" w:rsidRPr="00A926CA">
        <w:rPr>
          <w:rFonts w:ascii="Times New Roman" w:hAnsi="Times New Roman" w:cs="Times New Roman"/>
          <w:color w:val="212121"/>
          <w:sz w:val="24"/>
          <w:szCs w:val="24"/>
          <w:lang w:val="ru-RU"/>
        </w:rPr>
        <w:t xml:space="preserve"> </w:t>
      </w:r>
      <w:r w:rsidRPr="007736CE">
        <w:rPr>
          <w:rFonts w:ascii="Times New Roman" w:hAnsi="Times New Roman" w:cs="Times New Roman"/>
          <w:color w:val="212121"/>
          <w:sz w:val="24"/>
          <w:szCs w:val="24"/>
        </w:rPr>
        <w:t xml:space="preserve">(130). </w:t>
      </w:r>
      <w:r w:rsidRPr="007736CE">
        <w:rPr>
          <w:rStyle w:val="element-citation"/>
          <w:rFonts w:ascii="Times New Roman" w:hAnsi="Times New Roman"/>
          <w:color w:val="212121"/>
          <w:sz w:val="24"/>
          <w:szCs w:val="24"/>
        </w:rPr>
        <w:t xml:space="preserve"> </w:t>
      </w:r>
    </w:p>
    <w:p w:rsidR="0026510E" w:rsidRPr="007736CE" w:rsidRDefault="0026510E" w:rsidP="00421E8E">
      <w:pPr>
        <w:shd w:val="clear" w:color="auto" w:fill="FFFFFF"/>
        <w:spacing w:before="200"/>
        <w:rPr>
          <w:rStyle w:val="nowrap"/>
          <w:rFonts w:ascii="Times New Roman" w:hAnsi="Times New Roman"/>
          <w:color w:val="212121"/>
          <w:sz w:val="24"/>
          <w:szCs w:val="24"/>
        </w:rPr>
      </w:pPr>
      <w:r w:rsidRPr="007736CE">
        <w:rPr>
          <w:rFonts w:ascii="Times New Roman" w:hAnsi="Times New Roman" w:cs="Times New Roman"/>
          <w:color w:val="212121"/>
          <w:sz w:val="24"/>
          <w:szCs w:val="24"/>
        </w:rPr>
        <w:t>Во суштина, IL-33 индуцира промени во фосорилацијата на молекулите инволвирани во трансмисија на сигнали под медијаторство на Rho (131)</w:t>
      </w:r>
      <w:r w:rsidRPr="007736CE">
        <w:rPr>
          <w:rFonts w:ascii="Times New Roman" w:hAnsi="Times New Roman" w:cs="Times New Roman"/>
          <w:color w:val="202124"/>
          <w:sz w:val="24"/>
          <w:szCs w:val="24"/>
          <w:shd w:val="clear" w:color="auto" w:fill="FFFFFF"/>
        </w:rPr>
        <w:t xml:space="preserve">.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IL-33 индуцира активација и нуклеарна транслокација на цитоплазмитичниот NFκB1 протеин во ендотелните клетки и срцеви фибробласти што резултира со продукција и ослободување на IL-6 и MCP-1 (132,133).</w:t>
      </w:r>
      <w:r w:rsidRPr="007736CE">
        <w:rPr>
          <w:rStyle w:val="element-citation"/>
          <w:rFonts w:ascii="Times New Roman" w:hAnsi="Times New Roman"/>
          <w:color w:val="212121"/>
          <w:sz w:val="24"/>
          <w:szCs w:val="24"/>
        </w:rPr>
        <w:t xml:space="preserve">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color w:val="212121"/>
          <w:sz w:val="24"/>
          <w:szCs w:val="24"/>
        </w:rPr>
        <w:t>Во миофибробласти на панкреас и ембрионални фибробласти кај глувци, IL-33 стимулира експресија IL-6, IL-8, MCP-1 и MCP-3, додека во Th2 cells, IL-33 стимулира експресија на IL-4, IL-5 и  IL-13 (122).</w:t>
      </w:r>
    </w:p>
    <w:p w:rsidR="0026510E" w:rsidRPr="007736CE" w:rsidRDefault="0026510E" w:rsidP="00421E8E">
      <w:pPr>
        <w:shd w:val="clear" w:color="auto" w:fill="FFFFFF"/>
        <w:spacing w:before="200"/>
        <w:rPr>
          <w:rFonts w:ascii="Times New Roman" w:hAnsi="Times New Roman" w:cs="Times New Roman"/>
          <w:sz w:val="24"/>
          <w:szCs w:val="24"/>
        </w:rPr>
      </w:pPr>
      <w:r w:rsidRPr="007736CE">
        <w:rPr>
          <w:rFonts w:ascii="Times New Roman" w:hAnsi="Times New Roman" w:cs="Times New Roman"/>
          <w:color w:val="212121"/>
          <w:sz w:val="24"/>
          <w:szCs w:val="24"/>
        </w:rPr>
        <w:t xml:space="preserve">Во макрофаги и човечки моноцити, IL-33 преку ERK1/2, JNK и PI3K-AKT модулите за трансмисија на сигнали, ја редуцира експресијата на ADAMTS фамилијата на металопротеази (134). </w:t>
      </w:r>
    </w:p>
    <w:p w:rsidR="0026510E" w:rsidRPr="007736CE" w:rsidRDefault="0026510E" w:rsidP="00421E8E">
      <w:pPr>
        <w:shd w:val="clear" w:color="auto" w:fill="FFFFFF"/>
        <w:spacing w:before="200"/>
        <w:rPr>
          <w:rFonts w:ascii="Times New Roman" w:hAnsi="Times New Roman" w:cs="Times New Roman"/>
          <w:color w:val="212121"/>
          <w:sz w:val="24"/>
          <w:szCs w:val="24"/>
        </w:rPr>
      </w:pPr>
      <w:r w:rsidRPr="007736CE">
        <w:rPr>
          <w:rFonts w:ascii="Times New Roman" w:hAnsi="Times New Roman" w:cs="Times New Roman"/>
          <w:sz w:val="24"/>
          <w:szCs w:val="24"/>
        </w:rPr>
        <w:t xml:space="preserve">ST2 рецепторот  е идентификуван како инзвонреден маркер за ризик од стероид-резистентно </w:t>
      </w:r>
      <w:r w:rsidR="009F59EC">
        <w:rPr>
          <w:rFonts w:ascii="Times New Roman" w:hAnsi="Times New Roman" w:cs="Times New Roman"/>
          <w:sz w:val="24"/>
          <w:szCs w:val="24"/>
        </w:rPr>
        <w:t>GVH заболување</w:t>
      </w:r>
      <w:r w:rsidR="009F59EC">
        <w:rPr>
          <w:rFonts w:ascii="Times New Roman" w:hAnsi="Times New Roman" w:cs="Times New Roman"/>
          <w:sz w:val="24"/>
          <w:szCs w:val="24"/>
          <w:lang w:val="en-US"/>
        </w:rPr>
        <w:t xml:space="preserve"> </w:t>
      </w:r>
      <w:r w:rsidRPr="007736CE">
        <w:rPr>
          <w:rFonts w:ascii="Times New Roman" w:hAnsi="Times New Roman" w:cs="Times New Roman"/>
          <w:sz w:val="24"/>
          <w:szCs w:val="24"/>
        </w:rPr>
        <w:t xml:space="preserve">и морталитет по трансплантација на алогени хематопоетски стем клетки (135). ST2 покажува изразена експресија кај алореактивни T клетки, така што, донор Т клетки дефицитарни на ST2 бележат редуцирана продукција на IFN-γ, зголемен леталитет како резултат на </w:t>
      </w:r>
      <w:r w:rsidR="007C1C95">
        <w:rPr>
          <w:rFonts w:ascii="Times New Roman" w:hAnsi="Times New Roman" w:cs="Times New Roman"/>
          <w:sz w:val="24"/>
          <w:szCs w:val="24"/>
        </w:rPr>
        <w:t>GVH</w:t>
      </w:r>
      <w:r w:rsidR="007C1C95">
        <w:rPr>
          <w:rFonts w:ascii="Times New Roman" w:hAnsi="Times New Roman" w:cs="Times New Roman"/>
          <w:sz w:val="24"/>
          <w:szCs w:val="24"/>
          <w:lang w:val="en-US"/>
        </w:rPr>
        <w:t xml:space="preserve"> </w:t>
      </w:r>
      <w:r w:rsidRPr="007736CE">
        <w:rPr>
          <w:rFonts w:ascii="Times New Roman" w:hAnsi="Times New Roman" w:cs="Times New Roman"/>
          <w:sz w:val="24"/>
          <w:szCs w:val="24"/>
        </w:rPr>
        <w:t xml:space="preserve">заболување и изразени патолошки промени во гастроинтестиналниот тракт (136). </w:t>
      </w:r>
    </w:p>
    <w:p w:rsidR="00AB0154" w:rsidRDefault="0026510E" w:rsidP="00421E8E">
      <w:pPr>
        <w:shd w:val="clear" w:color="auto" w:fill="FFFFFF"/>
        <w:spacing w:before="200"/>
        <w:rPr>
          <w:rFonts w:ascii="Times New Roman" w:hAnsi="Times New Roman" w:cs="Times New Roman"/>
          <w:sz w:val="24"/>
          <w:szCs w:val="24"/>
        </w:rPr>
      </w:pPr>
      <w:r w:rsidRPr="007736CE">
        <w:rPr>
          <w:rFonts w:ascii="Times New Roman" w:hAnsi="Times New Roman" w:cs="Times New Roman"/>
          <w:sz w:val="24"/>
          <w:szCs w:val="24"/>
        </w:rPr>
        <w:t xml:space="preserve">IL-33 стимулира активација на факторите за транскрипција во туморските клетки, кои пак од друга страна се одговорни за квалитетот и квантитетот на инфламаторното микроопкружување на туморот(137). </w:t>
      </w:r>
    </w:p>
    <w:p w:rsidR="00AB0154" w:rsidRDefault="00AB0154" w:rsidP="00421E8E">
      <w:pPr>
        <w:shd w:val="clear" w:color="auto" w:fill="FFFFFF"/>
        <w:spacing w:before="200"/>
        <w:rPr>
          <w:rFonts w:ascii="Times New Roman" w:hAnsi="Times New Roman" w:cs="Times New Roman"/>
          <w:sz w:val="24"/>
          <w:szCs w:val="24"/>
        </w:rPr>
      </w:pPr>
    </w:p>
    <w:p w:rsidR="00AB0154" w:rsidRDefault="00AB0154" w:rsidP="00421E8E">
      <w:pPr>
        <w:shd w:val="clear" w:color="auto" w:fill="FFFFFF"/>
        <w:spacing w:before="200"/>
        <w:rPr>
          <w:rFonts w:ascii="Times New Roman" w:hAnsi="Times New Roman" w:cs="Times New Roman"/>
          <w:sz w:val="24"/>
          <w:szCs w:val="24"/>
        </w:rPr>
      </w:pPr>
    </w:p>
    <w:p w:rsidR="00AB0154" w:rsidRDefault="00AB0154" w:rsidP="00421E8E">
      <w:pPr>
        <w:shd w:val="clear" w:color="auto" w:fill="FFFFFF"/>
        <w:spacing w:before="200"/>
        <w:rPr>
          <w:rFonts w:ascii="Times New Roman" w:hAnsi="Times New Roman" w:cs="Times New Roman"/>
          <w:sz w:val="24"/>
          <w:szCs w:val="24"/>
        </w:rPr>
      </w:pPr>
    </w:p>
    <w:p w:rsidR="0026510E" w:rsidRPr="007736CE" w:rsidRDefault="0026510E" w:rsidP="00421E8E">
      <w:pPr>
        <w:shd w:val="clear" w:color="auto" w:fill="FFFFFF"/>
        <w:spacing w:before="200"/>
        <w:rPr>
          <w:rFonts w:ascii="Times New Roman" w:hAnsi="Times New Roman" w:cs="Times New Roman"/>
          <w:sz w:val="24"/>
          <w:szCs w:val="24"/>
        </w:rPr>
      </w:pPr>
      <w:r w:rsidRPr="007736CE">
        <w:rPr>
          <w:rFonts w:ascii="Times New Roman" w:hAnsi="Times New Roman" w:cs="Times New Roman"/>
          <w:sz w:val="24"/>
          <w:szCs w:val="24"/>
        </w:rPr>
        <w:t xml:space="preserve">Врската помеѓу лигандот IL-33 со неговиот рецептор, индуцира секреција на разни хемокини и про-инфламаторни цитокини, неопходни за регулација на локалниот и системски имунитет (138). </w:t>
      </w:r>
    </w:p>
    <w:p w:rsidR="0026510E" w:rsidRPr="007736CE" w:rsidRDefault="0064457C" w:rsidP="00421E8E">
      <w:pPr>
        <w:shd w:val="clear" w:color="auto" w:fill="FFFFFF"/>
        <w:spacing w:before="200"/>
        <w:rPr>
          <w:rStyle w:val="nowrap"/>
          <w:rFonts w:ascii="Times New Roman" w:hAnsi="Times New Roman"/>
          <w:color w:val="212121"/>
          <w:sz w:val="24"/>
          <w:szCs w:val="24"/>
        </w:rPr>
      </w:pPr>
      <w:r>
        <w:rPr>
          <w:rFonts w:ascii="Times New Roman" w:hAnsi="Times New Roman" w:cs="Times New Roman"/>
          <w:sz w:val="24"/>
          <w:szCs w:val="24"/>
        </w:rPr>
        <w:t>Дополнително</w:t>
      </w:r>
      <w:r w:rsidR="0026510E" w:rsidRPr="007736CE">
        <w:rPr>
          <w:rFonts w:ascii="Times New Roman" w:hAnsi="Times New Roman" w:cs="Times New Roman"/>
          <w:sz w:val="24"/>
          <w:szCs w:val="24"/>
        </w:rPr>
        <w:t>, ST2 формира комплекс со друга молекула од IL-1 фамилијата на рецептори т.н. “si</w:t>
      </w:r>
      <w:r w:rsidR="007C1C95">
        <w:rPr>
          <w:rFonts w:ascii="Times New Roman" w:hAnsi="Times New Roman" w:cs="Times New Roman"/>
          <w:sz w:val="24"/>
          <w:szCs w:val="24"/>
        </w:rPr>
        <w:t xml:space="preserve">ngle Ig IL-1R-related molecule </w:t>
      </w:r>
      <w:r w:rsidR="007C1C95">
        <w:rPr>
          <w:rFonts w:ascii="Times New Roman" w:hAnsi="Times New Roman" w:cs="Times New Roman"/>
          <w:sz w:val="24"/>
          <w:szCs w:val="24"/>
          <w:lang w:val="en-US"/>
        </w:rPr>
        <w:t>–</w:t>
      </w:r>
      <w:r w:rsidR="007C1C95">
        <w:rPr>
          <w:rFonts w:ascii="Times New Roman" w:hAnsi="Times New Roman" w:cs="Times New Roman"/>
          <w:sz w:val="24"/>
          <w:szCs w:val="24"/>
        </w:rPr>
        <w:t>SIGIRR</w:t>
      </w:r>
      <w:r w:rsidR="007C1C95">
        <w:rPr>
          <w:rFonts w:ascii="Times New Roman" w:hAnsi="Times New Roman" w:cs="Times New Roman"/>
          <w:sz w:val="24"/>
          <w:szCs w:val="24"/>
          <w:lang w:val="en-US"/>
        </w:rPr>
        <w:t xml:space="preserve"> </w:t>
      </w:r>
      <w:r w:rsidR="0026510E" w:rsidRPr="007736CE">
        <w:rPr>
          <w:rFonts w:ascii="Times New Roman" w:hAnsi="Times New Roman" w:cs="Times New Roman"/>
          <w:sz w:val="24"/>
          <w:szCs w:val="24"/>
        </w:rPr>
        <w:t xml:space="preserve">(односно Toll IL-1R8 [TIR8])” (139). TIR8 претставува негативен регулатор на имунолошки одговори чии што медијатори се IL-1R и Toll-like receptor (TLR) </w:t>
      </w:r>
      <w:r w:rsidR="00BF43AE">
        <w:rPr>
          <w:rFonts w:ascii="Times New Roman" w:hAnsi="Times New Roman" w:cs="Times New Roman"/>
          <w:sz w:val="24"/>
          <w:szCs w:val="24"/>
        </w:rPr>
        <w:t>(140)</w:t>
      </w:r>
      <w:r w:rsidR="0026510E" w:rsidRPr="007736CE">
        <w:rPr>
          <w:rFonts w:ascii="Times New Roman" w:hAnsi="Times New Roman" w:cs="Times New Roman"/>
          <w:sz w:val="24"/>
          <w:szCs w:val="24"/>
        </w:rPr>
        <w:t xml:space="preserve">. Дендритски клетки дефицитарни со TIR8 манифестираат поинтензивен одговор по стимулација со IL-1, IL-18 и агонисти на TLR (141). Исто така, дефициентни со TIR8 Th2 клетки,манифетираат зголемена продукција на Th2 тип на цитокини, како одговор на стимулација со IL-33 (139). </w:t>
      </w:r>
      <w:r w:rsidR="0026510E" w:rsidRPr="007736CE">
        <w:rPr>
          <w:rFonts w:ascii="Times New Roman" w:hAnsi="Times New Roman" w:cs="Times New Roman"/>
          <w:color w:val="212121"/>
          <w:sz w:val="24"/>
          <w:szCs w:val="24"/>
        </w:rPr>
        <w:t xml:space="preserve">По стимулација на IL-33, екстрацелуларната и интрацелуларна TIR секвенца од SIGIRR формира комплекс со ST2 во HEK293 клетки кои што подлегнале на трансфекција со hST2, по што SIGIRR (TIR секвенцата) го инхибира процесот на сигнализација под влијание на IL-33, токму преку неговата интеракција со новоформираниот комплекс од рецептори (139). </w:t>
      </w:r>
    </w:p>
    <w:p w:rsidR="0026510E" w:rsidRPr="007736CE" w:rsidRDefault="0064457C" w:rsidP="00421E8E">
      <w:pPr>
        <w:rPr>
          <w:rFonts w:ascii="Times New Roman" w:hAnsi="Times New Roman" w:cs="Times New Roman"/>
          <w:sz w:val="24"/>
          <w:szCs w:val="24"/>
        </w:rPr>
      </w:pPr>
      <w:r>
        <w:rPr>
          <w:rFonts w:ascii="Times New Roman" w:hAnsi="Times New Roman" w:cs="Times New Roman"/>
          <w:sz w:val="24"/>
          <w:szCs w:val="24"/>
        </w:rPr>
        <w:t xml:space="preserve">За разлика од IL-33R1, </w:t>
      </w:r>
      <w:r w:rsidR="0026510E" w:rsidRPr="007736CE">
        <w:rPr>
          <w:rFonts w:ascii="Times New Roman" w:hAnsi="Times New Roman" w:cs="Times New Roman"/>
          <w:sz w:val="24"/>
          <w:szCs w:val="24"/>
        </w:rPr>
        <w:t xml:space="preserve">IL-33R2 дејствува како негативен регулатор на IL-33. </w:t>
      </w:r>
    </w:p>
    <w:p w:rsidR="0064457C" w:rsidRDefault="0064457C" w:rsidP="00421E8E">
      <w:pPr>
        <w:rPr>
          <w:rFonts w:ascii="Times New Roman" w:hAnsi="Times New Roman" w:cs="Times New Roman"/>
          <w:color w:val="000000"/>
          <w:kern w:val="24"/>
          <w:sz w:val="24"/>
          <w:szCs w:val="24"/>
        </w:rPr>
      </w:pPr>
    </w:p>
    <w:p w:rsidR="0026510E" w:rsidRPr="007736CE" w:rsidRDefault="0026510E" w:rsidP="00421E8E">
      <w:pPr>
        <w:rPr>
          <w:rFonts w:ascii="Times New Roman" w:hAnsi="Times New Roman" w:cs="Times New Roman"/>
          <w:sz w:val="24"/>
          <w:szCs w:val="24"/>
        </w:rPr>
      </w:pPr>
      <w:r w:rsidRPr="007736CE">
        <w:rPr>
          <w:rFonts w:ascii="Times New Roman" w:hAnsi="Times New Roman" w:cs="Times New Roman"/>
          <w:color w:val="000000"/>
          <w:kern w:val="24"/>
          <w:sz w:val="24"/>
          <w:szCs w:val="24"/>
        </w:rPr>
        <w:t>Ендотелот претставува главен клеточен извор на IL-33, во човековото тело во нормални услови (106,119,142).</w:t>
      </w:r>
    </w:p>
    <w:p w:rsidR="00AB0154" w:rsidRDefault="00AB0154" w:rsidP="00421E8E">
      <w:pPr>
        <w:rPr>
          <w:rFonts w:ascii="Times New Roman" w:hAnsi="Times New Roman" w:cs="Times New Roman"/>
          <w:color w:val="000000"/>
          <w:kern w:val="24"/>
          <w:sz w:val="24"/>
          <w:szCs w:val="24"/>
        </w:rPr>
      </w:pPr>
    </w:p>
    <w:p w:rsidR="00AB0154" w:rsidRDefault="0026510E" w:rsidP="00421E8E">
      <w:pPr>
        <w:rPr>
          <w:rFonts w:ascii="Times New Roman" w:hAnsi="Times New Roman" w:cs="Times New Roman"/>
          <w:color w:val="000000"/>
          <w:kern w:val="24"/>
          <w:sz w:val="24"/>
          <w:szCs w:val="24"/>
        </w:rPr>
      </w:pPr>
      <w:r w:rsidRPr="007736CE">
        <w:rPr>
          <w:rFonts w:ascii="Times New Roman" w:hAnsi="Times New Roman" w:cs="Times New Roman"/>
          <w:color w:val="000000"/>
          <w:kern w:val="24"/>
          <w:sz w:val="24"/>
          <w:szCs w:val="24"/>
        </w:rPr>
        <w:t>Кај повеќе од 50 анализирани (здрави) човечки ткива, IL-33 покажува постојана и богата експресија во нуклеусите на ендотелните клетки на поголеми и помали крвни садови (142)</w:t>
      </w:r>
      <w:r w:rsidR="001739CA">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rPr>
        <w:t>дури и вон услови на хомеостаза. Не само во ендотелните, нотирани се високи вредности на IL-33 во нуклеусите на епителните клетки. Станува збор за епителни клетки во мукозата на респираторниот, дигестивниот тракт, кожата и женскиот репродуктивен систем, како кај глувци, така и кај луѓе (142,143,144,145,146).</w:t>
      </w:r>
      <w:r w:rsidRPr="007736CE">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rPr>
        <w:t>IL-33 бележи богата експресија и во нуклеусите на FRC клеткитe во лимфоидни органи кај луѓето (142)</w:t>
      </w:r>
      <w:r w:rsidRPr="007736CE">
        <w:rPr>
          <w:rFonts w:ascii="Times New Roman" w:hAnsi="Times New Roman" w:cs="Times New Roman"/>
          <w:sz w:val="24"/>
          <w:szCs w:val="24"/>
        </w:rPr>
        <w:t xml:space="preserve"> </w:t>
      </w:r>
      <w:r w:rsidRPr="007736CE">
        <w:rPr>
          <w:rFonts w:ascii="Times New Roman" w:hAnsi="Times New Roman" w:cs="Times New Roman"/>
          <w:color w:val="000000"/>
          <w:kern w:val="24"/>
          <w:sz w:val="24"/>
          <w:szCs w:val="24"/>
        </w:rPr>
        <w:t xml:space="preserve">како и кај т.н fibroblast-like клетките во масно ткиво (147) и alfa-SMA + субепителијални миофибробласти </w:t>
      </w:r>
      <w:r w:rsidR="007C1C95">
        <w:rPr>
          <w:rFonts w:ascii="Times New Roman" w:hAnsi="Times New Roman" w:cs="Times New Roman"/>
          <w:color w:val="000000"/>
          <w:kern w:val="24"/>
          <w:sz w:val="24"/>
          <w:szCs w:val="24"/>
        </w:rPr>
        <w:t xml:space="preserve">или перикриптални фибробласти </w:t>
      </w:r>
      <w:r w:rsidRPr="007736CE">
        <w:rPr>
          <w:rFonts w:ascii="Times New Roman" w:hAnsi="Times New Roman" w:cs="Times New Roman"/>
          <w:color w:val="000000"/>
          <w:kern w:val="24"/>
          <w:sz w:val="24"/>
          <w:szCs w:val="24"/>
        </w:rPr>
        <w:t xml:space="preserve">во тенкото и дебело црево (148,149,150) во состојба на хомеостаза. </w:t>
      </w:r>
      <w:r w:rsidRPr="007736CE">
        <w:rPr>
          <w:rFonts w:ascii="Times New Roman" w:hAnsi="Times New Roman" w:cs="Times New Roman"/>
          <w:sz w:val="24"/>
          <w:szCs w:val="24"/>
        </w:rPr>
        <w:t xml:space="preserve">Во литературата, IL-33 mRNA бележи високи нивоа на експресија во мозокот и рбетниот мозок кај глувци (101). </w:t>
      </w:r>
      <w:r w:rsidRPr="007736CE">
        <w:rPr>
          <w:rFonts w:ascii="Times New Roman" w:hAnsi="Times New Roman" w:cs="Times New Roman"/>
          <w:color w:val="000000"/>
          <w:kern w:val="24"/>
          <w:sz w:val="24"/>
          <w:szCs w:val="24"/>
        </w:rPr>
        <w:t xml:space="preserve">Како и да е, за време на инфламација, активирани фибробласти, fibroblast-like клетки и миофибробласти се важен извор на IL-33 протеин, посебно кај болести поврзани со ткивна фиброза. По повреда на клетките или некроза, IL-33 се ослободува од нивните нуклеуси како IL-33 fl, односно full-length протеин, кој што ектрацелуларно се обработува од протеази, ослободени од инфламаторни клетки, како што се неутрофили и маст клетки. Иако и IL-33fl формата покажува биолошка активност, неговата активна форма бележи 10 до 30 пати поголема активност. Активноста на IL-33 е регулирана од страна на неколку механизми: секвестрација во нуклеусите на кл. кои го произведуваат, инактивација со апоптотични каспази, инактивација со оксидација на цистеинските резидуи и секвестрација со помош на неговиот т.н decoy рецептор, ѕЅТ2. </w:t>
      </w:r>
      <w:r w:rsidRPr="007736CE">
        <w:rPr>
          <w:rFonts w:ascii="Times New Roman" w:hAnsi="Times New Roman" w:cs="Times New Roman"/>
          <w:sz w:val="24"/>
          <w:szCs w:val="24"/>
        </w:rPr>
        <w:t xml:space="preserve">Во принцип, </w:t>
      </w:r>
      <w:r w:rsidRPr="007736CE">
        <w:rPr>
          <w:rFonts w:ascii="Times New Roman" w:hAnsi="Times New Roman" w:cs="Times New Roman"/>
          <w:color w:val="000000"/>
          <w:kern w:val="24"/>
          <w:sz w:val="24"/>
          <w:szCs w:val="24"/>
        </w:rPr>
        <w:t xml:space="preserve">IL-33, претставува медијатор на Th-2 имуни реакции како што се астма, инфламација предизвикана од алергии и инфекции предизвикани од паразити. </w:t>
      </w: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AB0154" w:rsidRDefault="00AB0154" w:rsidP="00421E8E">
      <w:pPr>
        <w:rPr>
          <w:rFonts w:ascii="Times New Roman" w:hAnsi="Times New Roman" w:cs="Times New Roman"/>
          <w:color w:val="000000"/>
          <w:kern w:val="24"/>
          <w:sz w:val="24"/>
          <w:szCs w:val="24"/>
        </w:rPr>
      </w:pPr>
    </w:p>
    <w:p w:rsidR="0026510E" w:rsidRPr="00AB0154" w:rsidRDefault="0026510E" w:rsidP="00421E8E">
      <w:pPr>
        <w:rPr>
          <w:rFonts w:ascii="Times New Roman" w:hAnsi="Times New Roman" w:cs="Times New Roman"/>
          <w:sz w:val="24"/>
          <w:szCs w:val="24"/>
        </w:rPr>
      </w:pPr>
      <w:r w:rsidRPr="00AB0154">
        <w:rPr>
          <w:rFonts w:ascii="Times New Roman" w:hAnsi="Times New Roman" w:cs="Times New Roman"/>
          <w:color w:val="000000"/>
          <w:kern w:val="24"/>
          <w:sz w:val="24"/>
          <w:szCs w:val="24"/>
        </w:rPr>
        <w:t>IL-33 активира клетки од Тип 2 имуните реакции и инфламации од алергиска природа: ILC клетки, маст клетки, Th2 клетки, еозинофили, базофили, дендритични клетки и АА</w:t>
      </w:r>
      <w:r w:rsidR="007C1C95" w:rsidRPr="00AB0154">
        <w:rPr>
          <w:rFonts w:ascii="Times New Roman" w:hAnsi="Times New Roman" w:cs="Times New Roman"/>
          <w:color w:val="000000"/>
          <w:kern w:val="24"/>
          <w:sz w:val="24"/>
          <w:szCs w:val="24"/>
        </w:rPr>
        <w:t>M</w:t>
      </w:r>
      <w:r w:rsidRPr="00AB0154">
        <w:rPr>
          <w:rFonts w:ascii="Times New Roman" w:hAnsi="Times New Roman" w:cs="Times New Roman"/>
          <w:color w:val="000000"/>
          <w:kern w:val="24"/>
          <w:sz w:val="24"/>
          <w:szCs w:val="24"/>
        </w:rPr>
        <w:t xml:space="preserve"> (151,152,153)</w:t>
      </w:r>
      <w:r w:rsidR="00BF43AE" w:rsidRPr="00AB0154">
        <w:rPr>
          <w:rFonts w:ascii="Times New Roman" w:hAnsi="Times New Roman" w:cs="Times New Roman"/>
          <w:color w:val="000000"/>
          <w:kern w:val="24"/>
          <w:sz w:val="24"/>
          <w:szCs w:val="24"/>
        </w:rPr>
        <w:t>.</w:t>
      </w:r>
      <w:r w:rsidRPr="00AB0154">
        <w:rPr>
          <w:rFonts w:ascii="Times New Roman" w:hAnsi="Times New Roman" w:cs="Times New Roman"/>
          <w:sz w:val="24"/>
          <w:szCs w:val="24"/>
          <w:lang w:val="ru-RU"/>
        </w:rPr>
        <w:t xml:space="preserve"> </w:t>
      </w:r>
    </w:p>
    <w:p w:rsidR="0026510E" w:rsidRPr="00AB0154" w:rsidRDefault="0064457C" w:rsidP="00421E8E">
      <w:pPr>
        <w:rPr>
          <w:rFonts w:ascii="Times New Roman" w:hAnsi="Times New Roman" w:cs="Times New Roman"/>
          <w:sz w:val="24"/>
          <w:szCs w:val="24"/>
        </w:rPr>
      </w:pPr>
      <w:r w:rsidRPr="00AB0154">
        <w:rPr>
          <w:rFonts w:ascii="Times New Roman" w:hAnsi="Times New Roman" w:cs="Times New Roman"/>
          <w:color w:val="000000"/>
          <w:kern w:val="24"/>
          <w:sz w:val="24"/>
          <w:szCs w:val="24"/>
        </w:rPr>
        <w:t>ILC</w:t>
      </w:r>
      <w:r w:rsidRPr="00AB0154">
        <w:rPr>
          <w:rFonts w:ascii="Times New Roman" w:hAnsi="Times New Roman" w:cs="Times New Roman"/>
          <w:color w:val="000000"/>
          <w:kern w:val="24"/>
          <w:sz w:val="24"/>
          <w:szCs w:val="24"/>
          <w:lang w:val="en-US"/>
        </w:rPr>
        <w:t xml:space="preserve"> </w:t>
      </w:r>
      <w:r w:rsidR="0026510E" w:rsidRPr="00AB0154">
        <w:rPr>
          <w:rFonts w:ascii="Times New Roman" w:hAnsi="Times New Roman" w:cs="Times New Roman"/>
          <w:color w:val="000000"/>
          <w:kern w:val="24"/>
          <w:sz w:val="24"/>
          <w:szCs w:val="24"/>
        </w:rPr>
        <w:t>се GATA-3 зависни, Lin- негативни, вродени лимфоидни клетки, кои продуцираат големи количества на Th2 цитокини-IL-5, IL-13, како одговор на IL-33 (154,155,156,157)</w:t>
      </w:r>
      <w:r w:rsidR="0026510E" w:rsidRPr="00AB0154">
        <w:rPr>
          <w:rFonts w:ascii="Times New Roman" w:hAnsi="Times New Roman" w:cs="Times New Roman"/>
          <w:sz w:val="24"/>
          <w:szCs w:val="24"/>
        </w:rPr>
        <w:t>.</w:t>
      </w:r>
    </w:p>
    <w:p w:rsidR="00AB0154" w:rsidRDefault="00AB0154" w:rsidP="00421E8E">
      <w:pPr>
        <w:rPr>
          <w:rFonts w:ascii="Times New Roman" w:hAnsi="Times New Roman" w:cs="Times New Roman"/>
          <w:sz w:val="24"/>
          <w:szCs w:val="24"/>
        </w:rPr>
      </w:pPr>
    </w:p>
    <w:p w:rsidR="00AB0154"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 xml:space="preserve">Значи, IL-33 игра важна улога во одржувањето на ткивна хомеостаза преку Treg клетките и ILC2. </w:t>
      </w:r>
    </w:p>
    <w:p w:rsidR="00AB0154" w:rsidRDefault="00AB0154" w:rsidP="00421E8E">
      <w:pPr>
        <w:rPr>
          <w:rFonts w:ascii="Times New Roman" w:hAnsi="Times New Roman" w:cs="Times New Roman"/>
          <w:sz w:val="24"/>
          <w:szCs w:val="24"/>
        </w:rPr>
      </w:pPr>
    </w:p>
    <w:p w:rsidR="0026510E" w:rsidRPr="007736CE" w:rsidRDefault="0026510E" w:rsidP="00AB0154">
      <w:pPr>
        <w:rPr>
          <w:rFonts w:ascii="Times New Roman" w:hAnsi="Times New Roman" w:cs="Times New Roman"/>
          <w:sz w:val="24"/>
          <w:szCs w:val="24"/>
        </w:rPr>
      </w:pPr>
      <w:r w:rsidRPr="007736CE">
        <w:rPr>
          <w:rFonts w:ascii="Times New Roman" w:hAnsi="Times New Roman" w:cs="Times New Roman"/>
          <w:sz w:val="24"/>
          <w:szCs w:val="24"/>
        </w:rPr>
        <w:t xml:space="preserve">IL-33 дејствува стимулативно врз клеточниот имунитет преку ефекторните Т клетки, вродените лимфоцити и миелоидните клетки, односно влијае врз клеточниот имунитет во тек на инфекција, односно хиперсензитивност. Иако патохистолошката улога на IL-33 се уште не е дооволно позната, она што се знае е дека, ин витро, IL-33 се врзува за ацидната компонента на димеричниот хистон, H2A-H2B, на површината  на нуклеозомите (158). </w:t>
      </w:r>
    </w:p>
    <w:p w:rsidR="00BF43AE" w:rsidRPr="00BF43AE" w:rsidRDefault="00BF43AE" w:rsidP="00421E8E">
      <w:pPr>
        <w:rPr>
          <w:rFonts w:ascii="Times New Roman" w:hAnsi="Times New Roman" w:cs="Times New Roman"/>
          <w:b/>
          <w:sz w:val="28"/>
          <w:szCs w:val="28"/>
        </w:rPr>
      </w:pPr>
    </w:p>
    <w:p w:rsidR="00AB0154" w:rsidRDefault="00AB0154" w:rsidP="00421E8E">
      <w:pPr>
        <w:rPr>
          <w:rFonts w:ascii="Times New Roman" w:hAnsi="Times New Roman" w:cs="Times New Roman"/>
          <w:b/>
          <w:sz w:val="24"/>
          <w:szCs w:val="24"/>
        </w:rPr>
      </w:pPr>
    </w:p>
    <w:p w:rsidR="00AB0154" w:rsidRDefault="00AB0154" w:rsidP="00421E8E">
      <w:pPr>
        <w:rPr>
          <w:rFonts w:ascii="Times New Roman" w:hAnsi="Times New Roman" w:cs="Times New Roman"/>
          <w:b/>
          <w:sz w:val="24"/>
          <w:szCs w:val="24"/>
        </w:rPr>
      </w:pPr>
    </w:p>
    <w:p w:rsidR="00BF43AE" w:rsidRPr="001107BF" w:rsidRDefault="0010111A" w:rsidP="00421E8E">
      <w:pPr>
        <w:rPr>
          <w:rFonts w:ascii="Times New Roman" w:hAnsi="Times New Roman" w:cs="Times New Roman"/>
          <w:b/>
          <w:sz w:val="24"/>
          <w:szCs w:val="24"/>
        </w:rPr>
      </w:pPr>
      <w:r w:rsidRPr="001107BF">
        <w:rPr>
          <w:rFonts w:ascii="Times New Roman" w:hAnsi="Times New Roman" w:cs="Times New Roman"/>
          <w:b/>
          <w:sz w:val="24"/>
          <w:szCs w:val="24"/>
        </w:rPr>
        <w:t>2.3.2</w:t>
      </w:r>
      <w:r w:rsidR="0026510E" w:rsidRPr="001107BF">
        <w:rPr>
          <w:rFonts w:ascii="Times New Roman" w:hAnsi="Times New Roman" w:cs="Times New Roman"/>
          <w:b/>
          <w:sz w:val="24"/>
          <w:szCs w:val="24"/>
        </w:rPr>
        <w:t xml:space="preserve"> IL-33 </w:t>
      </w:r>
      <w:r w:rsidR="00BF43AE" w:rsidRPr="001107BF">
        <w:rPr>
          <w:rFonts w:ascii="Times New Roman" w:hAnsi="Times New Roman" w:cs="Times New Roman"/>
          <w:b/>
          <w:sz w:val="24"/>
          <w:szCs w:val="24"/>
        </w:rPr>
        <w:t xml:space="preserve">КАКО </w:t>
      </w:r>
      <w:r w:rsidR="00BF43AE" w:rsidRPr="00A926CA">
        <w:rPr>
          <w:rFonts w:ascii="Times New Roman" w:hAnsi="Times New Roman" w:cs="Times New Roman"/>
          <w:b/>
          <w:sz w:val="24"/>
          <w:szCs w:val="24"/>
        </w:rPr>
        <w:t>“</w:t>
      </w:r>
      <w:r w:rsidR="00BF43AE" w:rsidRPr="001107BF">
        <w:rPr>
          <w:rFonts w:ascii="Times New Roman" w:hAnsi="Times New Roman" w:cs="Times New Roman"/>
          <w:b/>
          <w:sz w:val="24"/>
          <w:szCs w:val="24"/>
        </w:rPr>
        <w:t>АЛАРМИН</w:t>
      </w:r>
      <w:r w:rsidR="00BF43AE" w:rsidRPr="00A926CA">
        <w:rPr>
          <w:rFonts w:ascii="Times New Roman" w:hAnsi="Times New Roman" w:cs="Times New Roman"/>
          <w:b/>
          <w:sz w:val="24"/>
          <w:szCs w:val="24"/>
        </w:rPr>
        <w:t>”</w:t>
      </w:r>
    </w:p>
    <w:p w:rsidR="00BF43AE" w:rsidRDefault="00BF43AE" w:rsidP="00421E8E">
      <w:pPr>
        <w:rPr>
          <w:rFonts w:ascii="Times New Roman" w:hAnsi="Times New Roman" w:cs="Times New Roman"/>
          <w:sz w:val="24"/>
          <w:szCs w:val="24"/>
        </w:rPr>
      </w:pPr>
    </w:p>
    <w:p w:rsidR="00AB0154" w:rsidRDefault="00AB0154" w:rsidP="00421E8E">
      <w:pPr>
        <w:rPr>
          <w:rFonts w:ascii="Times New Roman" w:hAnsi="Times New Roman" w:cs="Times New Roman"/>
          <w:sz w:val="24"/>
          <w:szCs w:val="24"/>
        </w:rPr>
      </w:pPr>
    </w:p>
    <w:p w:rsidR="00AB0154"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 xml:space="preserve">За време на одбраната на организмот од патогени, клетките специфични за вродениот имунитет ги препознаваат </w:t>
      </w:r>
      <w:r w:rsidR="007C1C95">
        <w:rPr>
          <w:rFonts w:ascii="Times New Roman" w:hAnsi="Times New Roman" w:cs="Times New Roman"/>
          <w:sz w:val="24"/>
          <w:szCs w:val="24"/>
        </w:rPr>
        <w:t>PAMPs</w:t>
      </w:r>
      <w:r w:rsidR="007C1C95">
        <w:rPr>
          <w:rFonts w:ascii="Times New Roman" w:hAnsi="Times New Roman" w:cs="Times New Roman"/>
          <w:sz w:val="24"/>
          <w:szCs w:val="24"/>
          <w:lang w:val="en-US"/>
        </w:rPr>
        <w:t xml:space="preserve"> </w:t>
      </w:r>
      <w:r w:rsidRPr="007736CE">
        <w:rPr>
          <w:rFonts w:ascii="Times New Roman" w:hAnsi="Times New Roman" w:cs="Times New Roman"/>
          <w:sz w:val="24"/>
          <w:szCs w:val="24"/>
        </w:rPr>
        <w:t xml:space="preserve">директно преку Toll-like рецепторите, што резултира со индукција на локална и/или системска инфламација. Дополнително, ендогените проинфламаторни фактори, </w:t>
      </w:r>
      <w:r w:rsidR="007C1C95">
        <w:rPr>
          <w:rFonts w:ascii="Times New Roman" w:hAnsi="Times New Roman" w:cs="Times New Roman"/>
          <w:sz w:val="24"/>
          <w:szCs w:val="24"/>
        </w:rPr>
        <w:t>DAMPs</w:t>
      </w:r>
      <w:r w:rsidR="007C1C95">
        <w:rPr>
          <w:rFonts w:ascii="Times New Roman" w:hAnsi="Times New Roman" w:cs="Times New Roman"/>
          <w:sz w:val="24"/>
          <w:szCs w:val="24"/>
          <w:lang w:val="en-US"/>
        </w:rPr>
        <w:t>,</w:t>
      </w:r>
      <w:r w:rsidR="007C1C95">
        <w:rPr>
          <w:rFonts w:ascii="Times New Roman" w:hAnsi="Times New Roman" w:cs="Times New Roman"/>
          <w:sz w:val="24"/>
          <w:szCs w:val="24"/>
        </w:rPr>
        <w:t xml:space="preserve"> </w:t>
      </w:r>
      <w:r w:rsidRPr="007736CE">
        <w:rPr>
          <w:rFonts w:ascii="Times New Roman" w:hAnsi="Times New Roman" w:cs="Times New Roman"/>
          <w:sz w:val="24"/>
          <w:szCs w:val="24"/>
        </w:rPr>
        <w:t xml:space="preserve">кои што се ослободуваат од некротичните клетки, при траума или инфекција, исто така предизвикуваат локална и/или системска инфламација, реагирајќи како ендоген сигнал за опасност, односно предвесник на соодветен имнуолошки одговор (159). На пример, </w:t>
      </w:r>
      <w:r w:rsidR="007C1C95">
        <w:rPr>
          <w:rFonts w:ascii="Times New Roman" w:hAnsi="Times New Roman" w:cs="Times New Roman"/>
          <w:sz w:val="24"/>
          <w:szCs w:val="24"/>
        </w:rPr>
        <w:t>HMGB1</w:t>
      </w:r>
      <w:r w:rsidRPr="007736CE">
        <w:rPr>
          <w:rFonts w:ascii="Times New Roman" w:hAnsi="Times New Roman" w:cs="Times New Roman"/>
          <w:sz w:val="24"/>
          <w:szCs w:val="24"/>
        </w:rPr>
        <w:t xml:space="preserve">, кој што иницијално бил дефиниран како нуклеарен фактор, регулатор на транскрипција, се ослободува од макрофагите под влијание на липополисахариди, што резултира со индукција на инфламација. Исто како </w:t>
      </w:r>
      <w:r w:rsidR="007C1C95">
        <w:rPr>
          <w:rFonts w:ascii="Times New Roman" w:hAnsi="Times New Roman" w:cs="Times New Roman"/>
          <w:sz w:val="24"/>
          <w:szCs w:val="24"/>
        </w:rPr>
        <w:t>HMGB1</w:t>
      </w:r>
      <w:r w:rsidRPr="007736CE">
        <w:rPr>
          <w:rFonts w:ascii="Times New Roman" w:hAnsi="Times New Roman" w:cs="Times New Roman"/>
          <w:sz w:val="24"/>
          <w:szCs w:val="24"/>
        </w:rPr>
        <w:t>, кој што претставува репрезентативен DAMP</w:t>
      </w:r>
      <w:r w:rsidR="007C1C95">
        <w:rPr>
          <w:rFonts w:ascii="Times New Roman" w:hAnsi="Times New Roman" w:cs="Times New Roman"/>
          <w:sz w:val="24"/>
          <w:szCs w:val="24"/>
          <w:lang w:val="en-US"/>
        </w:rPr>
        <w:t xml:space="preserve"> </w:t>
      </w:r>
      <w:r w:rsidRPr="007736CE">
        <w:rPr>
          <w:rFonts w:ascii="Times New Roman" w:hAnsi="Times New Roman" w:cs="Times New Roman"/>
          <w:sz w:val="24"/>
          <w:szCs w:val="24"/>
        </w:rPr>
        <w:t>алармин, неодамнешните сознанија укажуваат на тоа дека IL-33, кој што исто така е локализиран во нуклеусот на клетките, може да ја има истата функција (160). Кај IL-33 не е неопходен процесот на матурација, за манифестирање на неговата биолошка активност, спротивно на досегашните сознанија,  обработката со каспаза-1 резултира со инактивација на IL-33,  а не со негова активација</w:t>
      </w:r>
      <w:r w:rsidR="00BF43AE">
        <w:rPr>
          <w:rFonts w:ascii="Times New Roman" w:hAnsi="Times New Roman" w:cs="Times New Roman"/>
          <w:sz w:val="24"/>
          <w:szCs w:val="24"/>
        </w:rPr>
        <w:t xml:space="preserve"> (161)</w:t>
      </w:r>
      <w:r w:rsidRPr="007736CE">
        <w:rPr>
          <w:rFonts w:ascii="Times New Roman" w:hAnsi="Times New Roman" w:cs="Times New Roman"/>
          <w:sz w:val="24"/>
          <w:szCs w:val="24"/>
        </w:rPr>
        <w:t>. IL-33 ефикасно се процесира под влијание на за апоптоза специфични каспази (каспаза-3 и -7), но не и под влијание на каспази специфични за инфламација (каспаза-1, -4 или -5).</w:t>
      </w:r>
      <w:r w:rsidR="001739CA">
        <w:rPr>
          <w:rFonts w:ascii="Times New Roman" w:hAnsi="Times New Roman" w:cs="Times New Roman"/>
          <w:sz w:val="24"/>
          <w:szCs w:val="24"/>
        </w:rPr>
        <w:t xml:space="preserve"> </w:t>
      </w:r>
      <w:r w:rsidRPr="007736CE">
        <w:rPr>
          <w:rFonts w:ascii="Times New Roman" w:hAnsi="Times New Roman" w:cs="Times New Roman"/>
          <w:sz w:val="24"/>
          <w:szCs w:val="24"/>
        </w:rPr>
        <w:t>Бидејќи каспазите се активираат за време на апоптозата, но не и при некроза, полуживотот на IL-33 се намалува за време на апоптозата. Доследно на ова, IL-33 не подлегнува на протеолитичка обработка во некротични клетки, односно истата се манифестира само при апоптотични процеси. Од друга страна пак, познато е дека про-IL-33 се ослободува од страна на некротичните клетки без влијание на протеази како што се каспаза 1, 3, 7 и 8 и/или калпаин</w:t>
      </w:r>
      <w:r w:rsidR="00BF43AE">
        <w:rPr>
          <w:rFonts w:ascii="Times New Roman" w:hAnsi="Times New Roman" w:cs="Times New Roman"/>
          <w:sz w:val="24"/>
          <w:szCs w:val="24"/>
        </w:rPr>
        <w:t xml:space="preserve"> (105,160,161,</w:t>
      </w:r>
      <w:r w:rsidRPr="007736CE">
        <w:rPr>
          <w:rFonts w:ascii="Times New Roman" w:hAnsi="Times New Roman" w:cs="Times New Roman"/>
          <w:sz w:val="24"/>
          <w:szCs w:val="24"/>
        </w:rPr>
        <w:t xml:space="preserve">162). </w:t>
      </w:r>
    </w:p>
    <w:p w:rsidR="00AB0154" w:rsidRDefault="00AB0154" w:rsidP="00421E8E">
      <w:pPr>
        <w:rPr>
          <w:rFonts w:ascii="Times New Roman" w:hAnsi="Times New Roman" w:cs="Times New Roman"/>
          <w:sz w:val="24"/>
          <w:szCs w:val="24"/>
        </w:rPr>
      </w:pPr>
    </w:p>
    <w:p w:rsidR="00AB0154" w:rsidRDefault="00AB0154" w:rsidP="00421E8E">
      <w:pPr>
        <w:rPr>
          <w:rFonts w:ascii="Times New Roman" w:hAnsi="Times New Roman" w:cs="Times New Roman"/>
          <w:sz w:val="24"/>
          <w:szCs w:val="24"/>
        </w:rPr>
      </w:pPr>
    </w:p>
    <w:p w:rsidR="00AB0154" w:rsidRDefault="00AB0154" w:rsidP="00421E8E">
      <w:pPr>
        <w:rPr>
          <w:rFonts w:ascii="Times New Roman" w:hAnsi="Times New Roman" w:cs="Times New Roman"/>
          <w:sz w:val="24"/>
          <w:szCs w:val="24"/>
        </w:rPr>
      </w:pPr>
    </w:p>
    <w:p w:rsidR="00AB0154" w:rsidRDefault="00AB0154" w:rsidP="00421E8E">
      <w:pPr>
        <w:rPr>
          <w:rFonts w:ascii="Times New Roman" w:hAnsi="Times New Roman" w:cs="Times New Roman"/>
          <w:sz w:val="24"/>
          <w:szCs w:val="24"/>
        </w:rPr>
      </w:pPr>
    </w:p>
    <w:p w:rsidR="00AB0154" w:rsidRDefault="00AB0154" w:rsidP="00421E8E">
      <w:pPr>
        <w:rPr>
          <w:rFonts w:ascii="Times New Roman" w:hAnsi="Times New Roman" w:cs="Times New Roman"/>
          <w:sz w:val="24"/>
          <w:szCs w:val="24"/>
        </w:rPr>
      </w:pPr>
    </w:p>
    <w:p w:rsidR="001107BF" w:rsidRDefault="0026510E" w:rsidP="00421E8E">
      <w:pPr>
        <w:rPr>
          <w:rFonts w:ascii="Times New Roman" w:hAnsi="Times New Roman" w:cs="Times New Roman"/>
          <w:sz w:val="24"/>
          <w:szCs w:val="24"/>
        </w:rPr>
      </w:pPr>
      <w:r w:rsidRPr="007736CE">
        <w:rPr>
          <w:rFonts w:ascii="Times New Roman" w:hAnsi="Times New Roman" w:cs="Times New Roman"/>
          <w:sz w:val="24"/>
          <w:szCs w:val="24"/>
        </w:rPr>
        <w:t>И истиот може да индуцира активација на маст клетки, кои понатаму ќе продуцираат цитокини преку IL-33R1 (162). Слично на IL-1a и IL-1b, IL-33 не поседува класична секреторна секвенца и затоа е малку веројатно да се ослободува од клетките преку класичниот пат на секреција, односно со посретство на Голџиевиоп апарат и Ендоплазматскиот ретикулум</w:t>
      </w:r>
      <w:r w:rsidR="00BF43AE">
        <w:rPr>
          <w:rFonts w:ascii="Times New Roman" w:hAnsi="Times New Roman" w:cs="Times New Roman"/>
          <w:sz w:val="24"/>
          <w:szCs w:val="24"/>
        </w:rPr>
        <w:t xml:space="preserve"> </w:t>
      </w:r>
      <w:r w:rsidRPr="007736CE">
        <w:rPr>
          <w:rFonts w:ascii="Times New Roman" w:hAnsi="Times New Roman" w:cs="Times New Roman"/>
          <w:sz w:val="24"/>
          <w:szCs w:val="24"/>
        </w:rPr>
        <w:t>(160). Тоа значи дека, про-IL-33 ослободен од некротичните клетки при траума на ткиво, може да игра улога на DAMP алармин, во индукција на инфламацијата. Сепак останува непознато, дали и IL-33 игра улога на потентен адјувант кој би стимулирал имунолошки одговор карактеристичен за стекнатиот имунитет, заедно со другите т.н алармин адјуванти кои што се ослободуваат за време на некроза.Овие механизми обезбедуваат имунотолерантност за време на апоптоза, односно спречуваат ослободување на IL-33 во неговата активна форма. Молекуларниот механизам со кој IL-33 се ослободува од клетките во неговата активна форма се уште не е доволно проучен. Ин виво, некроптозата се карактеризира со високи вредности на IL-33. Но, клетките кои подлегнуваат на некроптоза не продуцираат IL-33. Тие всушност индуцираат негова продукција од страна на други клетки (163,164). Фактот кој говори дека интактна неуклеарна секвенца е неопходна за инфламација индуцирана од страна на IL-33, сугерира на тоа дека промени кои настануваат на ниво на хроматинот, всушност претставуваат причина за ослободување на IL-33 од клетките (165).</w:t>
      </w:r>
    </w:p>
    <w:p w:rsidR="001107BF" w:rsidRDefault="001107BF" w:rsidP="00421E8E">
      <w:pPr>
        <w:rPr>
          <w:rFonts w:ascii="Times New Roman" w:hAnsi="Times New Roman" w:cs="Times New Roman"/>
          <w:sz w:val="24"/>
          <w:szCs w:val="24"/>
        </w:rPr>
      </w:pPr>
    </w:p>
    <w:p w:rsidR="00AB0154" w:rsidRDefault="00AB0154" w:rsidP="00421E8E">
      <w:pPr>
        <w:rPr>
          <w:rStyle w:val="nowrap"/>
          <w:rFonts w:ascii="Times New Roman" w:hAnsi="Times New Roman"/>
          <w:b/>
          <w:color w:val="212121"/>
          <w:sz w:val="24"/>
          <w:szCs w:val="24"/>
        </w:rPr>
      </w:pPr>
    </w:p>
    <w:p w:rsidR="00AB0154" w:rsidRDefault="00AB0154" w:rsidP="00421E8E">
      <w:pPr>
        <w:rPr>
          <w:rStyle w:val="nowrap"/>
          <w:rFonts w:ascii="Times New Roman" w:hAnsi="Times New Roman"/>
          <w:b/>
          <w:color w:val="212121"/>
          <w:sz w:val="24"/>
          <w:szCs w:val="24"/>
        </w:rPr>
      </w:pPr>
    </w:p>
    <w:p w:rsidR="00BF43AE" w:rsidRPr="001107BF" w:rsidRDefault="00582C64" w:rsidP="00421E8E">
      <w:pPr>
        <w:rPr>
          <w:rFonts w:ascii="Times New Roman" w:hAnsi="Times New Roman" w:cs="Times New Roman"/>
          <w:sz w:val="24"/>
          <w:szCs w:val="24"/>
        </w:rPr>
      </w:pPr>
      <w:r w:rsidRPr="001739CA">
        <w:rPr>
          <w:rStyle w:val="nowrap"/>
          <w:rFonts w:ascii="Times New Roman" w:hAnsi="Times New Roman"/>
          <w:b/>
          <w:color w:val="212121"/>
          <w:sz w:val="24"/>
          <w:szCs w:val="24"/>
        </w:rPr>
        <w:t>2.3</w:t>
      </w:r>
      <w:r w:rsidR="0010111A" w:rsidRPr="001739CA">
        <w:rPr>
          <w:rStyle w:val="nowrap"/>
          <w:rFonts w:ascii="Times New Roman" w:hAnsi="Times New Roman"/>
          <w:b/>
          <w:color w:val="212121"/>
          <w:sz w:val="24"/>
          <w:szCs w:val="24"/>
        </w:rPr>
        <w:t>.3</w:t>
      </w:r>
      <w:r w:rsidR="00BF43AE" w:rsidRPr="001739CA">
        <w:rPr>
          <w:rStyle w:val="nowrap"/>
          <w:rFonts w:ascii="Times New Roman" w:hAnsi="Times New Roman"/>
          <w:b/>
          <w:color w:val="212121"/>
          <w:sz w:val="24"/>
          <w:szCs w:val="24"/>
        </w:rPr>
        <w:t xml:space="preserve"> ТАРГЕТ КЛЕТКИ НА</w:t>
      </w:r>
      <w:r w:rsidR="0026510E" w:rsidRPr="001739CA">
        <w:rPr>
          <w:rStyle w:val="nowrap"/>
          <w:rFonts w:ascii="Times New Roman" w:hAnsi="Times New Roman"/>
          <w:b/>
          <w:color w:val="212121"/>
          <w:sz w:val="24"/>
          <w:szCs w:val="24"/>
        </w:rPr>
        <w:t xml:space="preserve"> </w:t>
      </w:r>
      <w:r w:rsidR="0026510E" w:rsidRPr="001739CA">
        <w:rPr>
          <w:rFonts w:ascii="Times New Roman" w:hAnsi="Times New Roman" w:cs="Times New Roman"/>
          <w:b/>
          <w:color w:val="212121"/>
          <w:sz w:val="24"/>
          <w:szCs w:val="24"/>
        </w:rPr>
        <w:t>IL-33</w:t>
      </w:r>
      <w:r w:rsidR="0026510E" w:rsidRPr="001739CA">
        <w:rPr>
          <w:rFonts w:ascii="Times New Roman" w:hAnsi="Times New Roman" w:cs="Times New Roman"/>
          <w:b/>
          <w:sz w:val="24"/>
          <w:szCs w:val="24"/>
        </w:rPr>
        <w:t xml:space="preserve"> </w:t>
      </w:r>
    </w:p>
    <w:p w:rsidR="00AB0154" w:rsidRDefault="001739CA" w:rsidP="00421E8E">
      <w:pPr>
        <w:shd w:val="clear" w:color="auto" w:fill="FFFFFF"/>
        <w:spacing w:before="400"/>
        <w:outlineLvl w:val="0"/>
        <w:rPr>
          <w:rFonts w:ascii="Times New Roman" w:hAnsi="Times New Roman" w:cs="Times New Roman"/>
          <w:sz w:val="24"/>
          <w:szCs w:val="24"/>
        </w:rPr>
      </w:pPr>
      <w:r>
        <w:rPr>
          <w:rFonts w:ascii="Times New Roman" w:hAnsi="Times New Roman" w:cs="Times New Roman"/>
          <w:sz w:val="24"/>
          <w:szCs w:val="24"/>
        </w:rPr>
        <w:t xml:space="preserve">Т </w:t>
      </w:r>
      <w:r w:rsidR="0064457C">
        <w:rPr>
          <w:rFonts w:ascii="Times New Roman" w:hAnsi="Times New Roman" w:cs="Times New Roman"/>
          <w:sz w:val="24"/>
          <w:szCs w:val="24"/>
        </w:rPr>
        <w:t>регулаторни клетки</w:t>
      </w:r>
      <w:r w:rsidRPr="001739CA">
        <w:rPr>
          <w:rFonts w:ascii="Times New Roman" w:hAnsi="Times New Roman" w:cs="Times New Roman"/>
          <w:sz w:val="24"/>
          <w:szCs w:val="24"/>
        </w:rPr>
        <w:t xml:space="preserve"> </w:t>
      </w:r>
      <w:r>
        <w:rPr>
          <w:rFonts w:ascii="Times New Roman" w:hAnsi="Times New Roman" w:cs="Times New Roman"/>
          <w:sz w:val="24"/>
          <w:szCs w:val="24"/>
        </w:rPr>
        <w:t>(</w:t>
      </w:r>
      <w:r w:rsidRPr="007736CE">
        <w:rPr>
          <w:rFonts w:ascii="Times New Roman" w:hAnsi="Times New Roman" w:cs="Times New Roman"/>
          <w:sz w:val="24"/>
          <w:szCs w:val="24"/>
        </w:rPr>
        <w:t>Treg</w:t>
      </w:r>
      <w:r>
        <w:rPr>
          <w:rFonts w:ascii="Times New Roman" w:hAnsi="Times New Roman" w:cs="Times New Roman"/>
          <w:sz w:val="24"/>
          <w:szCs w:val="24"/>
        </w:rPr>
        <w:t xml:space="preserve"> </w:t>
      </w:r>
      <w:r w:rsidRPr="00A926CA">
        <w:rPr>
          <w:rFonts w:ascii="Times New Roman" w:hAnsi="Times New Roman" w:cs="Times New Roman"/>
          <w:sz w:val="24"/>
          <w:szCs w:val="24"/>
        </w:rPr>
        <w:t>cells</w:t>
      </w:r>
      <w:r>
        <w:rPr>
          <w:rFonts w:ascii="Times New Roman" w:hAnsi="Times New Roman" w:cs="Times New Roman"/>
          <w:sz w:val="24"/>
          <w:szCs w:val="24"/>
        </w:rPr>
        <w:t>)-</w:t>
      </w:r>
      <w:r w:rsidRPr="007736CE">
        <w:rPr>
          <w:rFonts w:ascii="Times New Roman" w:hAnsi="Times New Roman" w:cs="Times New Roman"/>
          <w:sz w:val="24"/>
          <w:szCs w:val="24"/>
        </w:rPr>
        <w:t>IL-33 ја регулира инфламацијата која што настанува како резултат на оштетување на ткивото и дејствува позитивно врз обновување на ткивото преку Treg, ILC2, фибробластите и миелоидните клетки. Treg клетките покажуваат висока експресија на ST2 (166, 167). IL-33 е важен за акумулација и животниот век на Treg клетките во дебелото црево и масното ткиво и не влијае на нивната активност како супресивни клетки (167). IL-33 индиректно влијае врз пролиферацијата на Treg клетките преку дендритич</w:t>
      </w:r>
      <w:r w:rsidR="00187E1D">
        <w:rPr>
          <w:rFonts w:ascii="Times New Roman" w:hAnsi="Times New Roman" w:cs="Times New Roman"/>
          <w:sz w:val="24"/>
          <w:szCs w:val="24"/>
        </w:rPr>
        <w:t>ните клетки и ILC2 клетките (168,169</w:t>
      </w:r>
      <w:r w:rsidRPr="007736CE">
        <w:rPr>
          <w:rFonts w:ascii="Times New Roman" w:hAnsi="Times New Roman" w:cs="Times New Roman"/>
          <w:sz w:val="24"/>
          <w:szCs w:val="24"/>
        </w:rPr>
        <w:t xml:space="preserve">). Сигнализацијата преку ST2 рецепторот, е од големо значење за функционирањето на Treg </w:t>
      </w:r>
      <w:r w:rsidR="003F2294">
        <w:rPr>
          <w:rFonts w:ascii="Times New Roman" w:hAnsi="Times New Roman" w:cs="Times New Roman"/>
          <w:sz w:val="24"/>
          <w:szCs w:val="24"/>
        </w:rPr>
        <w:t xml:space="preserve">клетките </w:t>
      </w:r>
      <w:r w:rsidRPr="007736CE">
        <w:rPr>
          <w:rFonts w:ascii="Times New Roman" w:hAnsi="Times New Roman" w:cs="Times New Roman"/>
          <w:sz w:val="24"/>
          <w:szCs w:val="24"/>
        </w:rPr>
        <w:t xml:space="preserve">ин виво, имајќи во предвид дека SТ2 негативни Treg клетки, покажуваат намалена способност за инхибиција на инфламацијата на дебелото црево (166). </w:t>
      </w:r>
    </w:p>
    <w:p w:rsidR="00AB0154" w:rsidRDefault="001739CA" w:rsidP="00421E8E">
      <w:pPr>
        <w:shd w:val="clear" w:color="auto" w:fill="FFFFFF"/>
        <w:spacing w:before="400"/>
        <w:outlineLvl w:val="0"/>
        <w:rPr>
          <w:rFonts w:ascii="Times New Roman" w:hAnsi="Times New Roman" w:cs="Times New Roman"/>
          <w:sz w:val="24"/>
          <w:szCs w:val="24"/>
        </w:rPr>
      </w:pPr>
      <w:r w:rsidRPr="007736CE">
        <w:rPr>
          <w:rFonts w:ascii="Times New Roman" w:hAnsi="Times New Roman" w:cs="Times New Roman"/>
          <w:sz w:val="24"/>
          <w:szCs w:val="24"/>
        </w:rPr>
        <w:t>Недостаток на IL-33 кај глувци, може да претставува предиспозиција за обезност, резистенција на инсулин и интолеранција на глукоза, кога не се мобилизираат ткивните Treg клетки и ILC2 (167). Администрација на IL-33 го спречува отфрлањето на алографт и оштетување на ткивото при инфекција, преку експанзија на T</w:t>
      </w:r>
      <w:r w:rsidR="00187E1D">
        <w:rPr>
          <w:rFonts w:ascii="Times New Roman" w:hAnsi="Times New Roman" w:cs="Times New Roman"/>
          <w:sz w:val="24"/>
          <w:szCs w:val="24"/>
        </w:rPr>
        <w:t>reg клетки, AAM и ILC2 (163, 169,170,171,172</w:t>
      </w:r>
      <w:r w:rsidRPr="007736CE">
        <w:rPr>
          <w:rFonts w:ascii="Times New Roman" w:hAnsi="Times New Roman" w:cs="Times New Roman"/>
          <w:sz w:val="24"/>
          <w:szCs w:val="24"/>
        </w:rPr>
        <w:t xml:space="preserve">). </w:t>
      </w:r>
      <w:r w:rsidR="003F2294">
        <w:rPr>
          <w:rFonts w:ascii="Times New Roman" w:hAnsi="Times New Roman" w:cs="Times New Roman"/>
          <w:sz w:val="24"/>
          <w:szCs w:val="24"/>
        </w:rPr>
        <w:t xml:space="preserve"> </w:t>
      </w:r>
      <w:r w:rsidRPr="007736CE">
        <w:rPr>
          <w:rFonts w:ascii="Times New Roman" w:hAnsi="Times New Roman" w:cs="Times New Roman"/>
          <w:sz w:val="24"/>
          <w:szCs w:val="24"/>
        </w:rPr>
        <w:t>IL-33 го забрзува задравувањето на раната (на кожа) прек</w:t>
      </w:r>
      <w:r w:rsidR="00187E1D">
        <w:rPr>
          <w:rFonts w:ascii="Times New Roman" w:hAnsi="Times New Roman" w:cs="Times New Roman"/>
          <w:sz w:val="24"/>
          <w:szCs w:val="24"/>
        </w:rPr>
        <w:t>у активирање AAM и ILC2 (172</w:t>
      </w:r>
      <w:r>
        <w:rPr>
          <w:rFonts w:ascii="Times New Roman" w:hAnsi="Times New Roman" w:cs="Times New Roman"/>
          <w:sz w:val="24"/>
          <w:szCs w:val="24"/>
        </w:rPr>
        <w:t>,</w:t>
      </w:r>
      <w:r w:rsidR="00187E1D">
        <w:rPr>
          <w:rFonts w:ascii="Times New Roman" w:hAnsi="Times New Roman" w:cs="Times New Roman"/>
          <w:sz w:val="24"/>
          <w:szCs w:val="24"/>
        </w:rPr>
        <w:t>173</w:t>
      </w:r>
      <w:r w:rsidRPr="007736CE">
        <w:rPr>
          <w:rFonts w:ascii="Times New Roman" w:hAnsi="Times New Roman" w:cs="Times New Roman"/>
          <w:sz w:val="24"/>
          <w:szCs w:val="24"/>
        </w:rPr>
        <w:t>).</w:t>
      </w:r>
      <w:r w:rsidR="00BF43AE" w:rsidRPr="003F2294">
        <w:rPr>
          <w:rFonts w:ascii="Times New Roman" w:hAnsi="Times New Roman" w:cs="Times New Roman"/>
          <w:sz w:val="24"/>
          <w:szCs w:val="24"/>
        </w:rPr>
        <w:t>Th2-</w:t>
      </w:r>
      <w:r w:rsidR="0064457C">
        <w:rPr>
          <w:rFonts w:ascii="Times New Roman" w:hAnsi="Times New Roman" w:cs="Times New Roman"/>
          <w:sz w:val="24"/>
          <w:szCs w:val="24"/>
        </w:rPr>
        <w:t>клетки</w:t>
      </w:r>
      <w:r w:rsidR="003F2294">
        <w:rPr>
          <w:rFonts w:ascii="Times New Roman" w:hAnsi="Times New Roman" w:cs="Times New Roman"/>
          <w:sz w:val="24"/>
          <w:szCs w:val="24"/>
        </w:rPr>
        <w:t xml:space="preserve">- </w:t>
      </w:r>
      <w:r w:rsidR="0026510E" w:rsidRPr="007736CE">
        <w:rPr>
          <w:rFonts w:ascii="Times New Roman" w:hAnsi="Times New Roman" w:cs="Times New Roman"/>
          <w:sz w:val="24"/>
          <w:szCs w:val="24"/>
        </w:rPr>
        <w:t>ST2 бележи предоминантна експресија кај Th2 клетките, но не и кај naïve T, Th1, Th17, од</w:t>
      </w:r>
      <w:r w:rsidR="00EE20E9">
        <w:rPr>
          <w:rFonts w:ascii="Times New Roman" w:hAnsi="Times New Roman" w:cs="Times New Roman"/>
          <w:sz w:val="24"/>
          <w:szCs w:val="24"/>
        </w:rPr>
        <w:t xml:space="preserve">носно </w:t>
      </w:r>
      <w:r w:rsidR="00871037">
        <w:rPr>
          <w:rFonts w:ascii="Times New Roman" w:hAnsi="Times New Roman" w:cs="Times New Roman"/>
          <w:sz w:val="24"/>
          <w:szCs w:val="24"/>
        </w:rPr>
        <w:t xml:space="preserve">Т </w:t>
      </w:r>
      <w:r w:rsidR="00EE20E9">
        <w:rPr>
          <w:rFonts w:ascii="Times New Roman" w:hAnsi="Times New Roman" w:cs="Times New Roman"/>
          <w:sz w:val="24"/>
          <w:szCs w:val="24"/>
        </w:rPr>
        <w:t>регулаторни</w:t>
      </w:r>
      <w:r w:rsidR="00871037">
        <w:rPr>
          <w:rFonts w:ascii="Times New Roman" w:hAnsi="Times New Roman" w:cs="Times New Roman"/>
          <w:sz w:val="24"/>
          <w:szCs w:val="24"/>
        </w:rPr>
        <w:t>те</w:t>
      </w:r>
      <w:r w:rsidR="00EE20E9">
        <w:rPr>
          <w:rFonts w:ascii="Times New Roman" w:hAnsi="Times New Roman" w:cs="Times New Roman"/>
          <w:sz w:val="24"/>
          <w:szCs w:val="24"/>
        </w:rPr>
        <w:t xml:space="preserve"> T клетки (</w:t>
      </w:r>
      <w:r w:rsidR="00187E1D">
        <w:rPr>
          <w:rFonts w:ascii="Times New Roman" w:hAnsi="Times New Roman" w:cs="Times New Roman"/>
          <w:sz w:val="24"/>
          <w:szCs w:val="24"/>
        </w:rPr>
        <w:t>174,175</w:t>
      </w:r>
      <w:r w:rsidR="0026510E" w:rsidRPr="007736CE">
        <w:rPr>
          <w:rFonts w:ascii="Times New Roman" w:hAnsi="Times New Roman" w:cs="Times New Roman"/>
          <w:sz w:val="24"/>
          <w:szCs w:val="24"/>
        </w:rPr>
        <w:t xml:space="preserve">). </w:t>
      </w:r>
    </w:p>
    <w:p w:rsidR="00AB0154" w:rsidRDefault="00AB0154" w:rsidP="00421E8E">
      <w:pPr>
        <w:shd w:val="clear" w:color="auto" w:fill="FFFFFF"/>
        <w:spacing w:before="400"/>
        <w:outlineLvl w:val="0"/>
        <w:rPr>
          <w:rFonts w:ascii="Times New Roman" w:hAnsi="Times New Roman" w:cs="Times New Roman"/>
          <w:sz w:val="24"/>
          <w:szCs w:val="24"/>
        </w:rPr>
      </w:pPr>
    </w:p>
    <w:p w:rsidR="00AB0154" w:rsidRDefault="00AB0154" w:rsidP="00421E8E">
      <w:pPr>
        <w:shd w:val="clear" w:color="auto" w:fill="FFFFFF"/>
        <w:spacing w:before="400"/>
        <w:outlineLvl w:val="0"/>
        <w:rPr>
          <w:rFonts w:ascii="Times New Roman" w:hAnsi="Times New Roman" w:cs="Times New Roman"/>
          <w:sz w:val="24"/>
          <w:szCs w:val="24"/>
        </w:rPr>
      </w:pPr>
    </w:p>
    <w:p w:rsidR="0026510E" w:rsidRPr="00AB0154" w:rsidRDefault="0026510E" w:rsidP="00421E8E">
      <w:pPr>
        <w:shd w:val="clear" w:color="auto" w:fill="FFFFFF"/>
        <w:spacing w:before="400"/>
        <w:outlineLvl w:val="0"/>
        <w:rPr>
          <w:rFonts w:ascii="Times New Roman" w:hAnsi="Times New Roman" w:cs="Times New Roman"/>
          <w:b/>
          <w:sz w:val="28"/>
          <w:szCs w:val="28"/>
        </w:rPr>
      </w:pPr>
      <w:r w:rsidRPr="007736CE">
        <w:rPr>
          <w:rFonts w:ascii="Times New Roman" w:hAnsi="Times New Roman" w:cs="Times New Roman"/>
          <w:sz w:val="24"/>
          <w:szCs w:val="24"/>
        </w:rPr>
        <w:t>Од друга страна пак, ST2 не е неопходен за д</w:t>
      </w:r>
      <w:r w:rsidR="003F2294">
        <w:rPr>
          <w:rFonts w:ascii="Times New Roman" w:hAnsi="Times New Roman" w:cs="Times New Roman"/>
          <w:sz w:val="24"/>
          <w:szCs w:val="24"/>
        </w:rPr>
        <w:t>иференцијација на Th2 клетките</w:t>
      </w:r>
      <w:r w:rsidRPr="007736CE">
        <w:rPr>
          <w:rFonts w:ascii="Times New Roman" w:hAnsi="Times New Roman" w:cs="Times New Roman"/>
          <w:sz w:val="24"/>
          <w:szCs w:val="24"/>
        </w:rPr>
        <w:t xml:space="preserve"> </w:t>
      </w:r>
      <w:r w:rsidR="003F2294">
        <w:rPr>
          <w:rFonts w:ascii="Times New Roman" w:hAnsi="Times New Roman" w:cs="Times New Roman"/>
          <w:sz w:val="24"/>
          <w:szCs w:val="24"/>
        </w:rPr>
        <w:t>(</w:t>
      </w:r>
      <w:r w:rsidRPr="007736CE">
        <w:rPr>
          <w:rFonts w:ascii="Times New Roman" w:hAnsi="Times New Roman" w:cs="Times New Roman"/>
          <w:sz w:val="24"/>
          <w:szCs w:val="24"/>
        </w:rPr>
        <w:t>утврдено во истражувања кај глувци со дефицит на ST2, кај истите не се забележани промени во продукцијата на Th2 клетки) (</w:t>
      </w:r>
      <w:r w:rsidR="0080528C">
        <w:rPr>
          <w:rFonts w:ascii="Times New Roman" w:hAnsi="Times New Roman" w:cs="Times New Roman"/>
          <w:sz w:val="24"/>
          <w:szCs w:val="24"/>
        </w:rPr>
        <w:t>176,177</w:t>
      </w:r>
      <w:r w:rsidRPr="007736CE">
        <w:rPr>
          <w:rFonts w:ascii="Times New Roman" w:hAnsi="Times New Roman" w:cs="Times New Roman"/>
          <w:sz w:val="24"/>
          <w:szCs w:val="24"/>
        </w:rPr>
        <w:t xml:space="preserve">). </w:t>
      </w:r>
      <w:r w:rsidR="00871037">
        <w:rPr>
          <w:rFonts w:ascii="Times New Roman" w:hAnsi="Times New Roman" w:cs="Times New Roman"/>
          <w:sz w:val="24"/>
          <w:szCs w:val="24"/>
        </w:rPr>
        <w:t>И</w:t>
      </w:r>
      <w:r w:rsidRPr="007736CE">
        <w:rPr>
          <w:rFonts w:ascii="Times New Roman" w:hAnsi="Times New Roman" w:cs="Times New Roman"/>
          <w:sz w:val="24"/>
          <w:szCs w:val="24"/>
        </w:rPr>
        <w:t xml:space="preserve">н витро IL-33 не ја индуцира диференцијацијата на Th2 клетки од naïve CD4+ </w:t>
      </w:r>
      <w:r w:rsidR="00871037">
        <w:rPr>
          <w:rFonts w:ascii="Times New Roman" w:hAnsi="Times New Roman" w:cs="Times New Roman"/>
          <w:sz w:val="24"/>
          <w:szCs w:val="24"/>
        </w:rPr>
        <w:t>T клетки (</w:t>
      </w:r>
      <w:r w:rsidR="0080528C">
        <w:rPr>
          <w:rFonts w:ascii="Times New Roman" w:hAnsi="Times New Roman" w:cs="Times New Roman"/>
          <w:sz w:val="24"/>
          <w:szCs w:val="24"/>
        </w:rPr>
        <w:t>178,179</w:t>
      </w:r>
      <w:r w:rsidR="00871037">
        <w:rPr>
          <w:rFonts w:ascii="Times New Roman" w:hAnsi="Times New Roman" w:cs="Times New Roman"/>
          <w:sz w:val="24"/>
          <w:szCs w:val="24"/>
        </w:rPr>
        <w:t xml:space="preserve">). </w:t>
      </w:r>
      <w:r w:rsidRPr="007736CE">
        <w:rPr>
          <w:rFonts w:ascii="Times New Roman" w:hAnsi="Times New Roman" w:cs="Times New Roman"/>
          <w:sz w:val="24"/>
          <w:szCs w:val="24"/>
        </w:rPr>
        <w:t>Дополнително, IL-33 има улога и на хемоатрактант за Th2, но не и за Th1</w:t>
      </w:r>
      <w:r w:rsidR="0080528C">
        <w:rPr>
          <w:rFonts w:ascii="Times New Roman" w:hAnsi="Times New Roman" w:cs="Times New Roman"/>
          <w:sz w:val="24"/>
          <w:szCs w:val="24"/>
        </w:rPr>
        <w:t xml:space="preserve"> клетки и кај луѓе и глувци (180</w:t>
      </w:r>
      <w:r w:rsidRPr="007736CE">
        <w:rPr>
          <w:rFonts w:ascii="Times New Roman" w:hAnsi="Times New Roman" w:cs="Times New Roman"/>
          <w:sz w:val="24"/>
          <w:szCs w:val="24"/>
        </w:rPr>
        <w:t>). IL-33 исто така индуцира диференцијација на IL-5 позитивни</w:t>
      </w:r>
      <w:r w:rsidR="0064457C">
        <w:rPr>
          <w:rFonts w:ascii="Times New Roman" w:hAnsi="Times New Roman" w:cs="Times New Roman"/>
          <w:sz w:val="24"/>
          <w:szCs w:val="24"/>
        </w:rPr>
        <w:t xml:space="preserve">, IL-4 негативни CD4+ T клетки </w:t>
      </w:r>
      <w:r w:rsidRPr="007736CE">
        <w:rPr>
          <w:rFonts w:ascii="Times New Roman" w:hAnsi="Times New Roman" w:cs="Times New Roman"/>
          <w:sz w:val="24"/>
          <w:szCs w:val="24"/>
        </w:rPr>
        <w:t>од naïve CD4+ T</w:t>
      </w:r>
      <w:r w:rsidR="00871037">
        <w:rPr>
          <w:rFonts w:ascii="Times New Roman" w:hAnsi="Times New Roman" w:cs="Times New Roman"/>
          <w:sz w:val="24"/>
          <w:szCs w:val="24"/>
        </w:rPr>
        <w:t xml:space="preserve"> клетки</w:t>
      </w:r>
      <w:r w:rsidRPr="007736CE">
        <w:rPr>
          <w:rFonts w:ascii="Times New Roman" w:hAnsi="Times New Roman" w:cs="Times New Roman"/>
          <w:sz w:val="24"/>
          <w:szCs w:val="24"/>
        </w:rPr>
        <w:t xml:space="preserve"> (</w:t>
      </w:r>
      <w:r w:rsidR="0080528C">
        <w:rPr>
          <w:rFonts w:ascii="Times New Roman" w:hAnsi="Times New Roman" w:cs="Times New Roman"/>
          <w:sz w:val="24"/>
          <w:szCs w:val="24"/>
        </w:rPr>
        <w:t>179</w:t>
      </w:r>
      <w:r w:rsidRPr="007736CE">
        <w:rPr>
          <w:rFonts w:ascii="Times New Roman" w:hAnsi="Times New Roman" w:cs="Times New Roman"/>
          <w:sz w:val="24"/>
          <w:szCs w:val="24"/>
        </w:rPr>
        <w:t xml:space="preserve">). Сепак, неопходни се дополнителни истражувања за конкретно дефинирање на улогата на IL-33 во диференцијацијата на типични и атипични Th2 клетки особено тоа се однесува на молекуларните механизми кај заболувања регулирани од страна на цитокини кои потекнуваат од Th2 клетките (како што е астма која се јавува како резултат на алергија). </w:t>
      </w:r>
    </w:p>
    <w:p w:rsidR="0026510E" w:rsidRPr="007736CE" w:rsidRDefault="00BF43AE" w:rsidP="00421E8E">
      <w:pPr>
        <w:shd w:val="clear" w:color="auto" w:fill="FFFFFF"/>
        <w:spacing w:before="400"/>
        <w:outlineLvl w:val="0"/>
        <w:rPr>
          <w:rFonts w:ascii="Times New Roman" w:hAnsi="Times New Roman" w:cs="Times New Roman"/>
          <w:sz w:val="24"/>
          <w:szCs w:val="24"/>
        </w:rPr>
      </w:pPr>
      <w:r w:rsidRPr="003F2294">
        <w:rPr>
          <w:rFonts w:ascii="Times New Roman" w:hAnsi="Times New Roman" w:cs="Times New Roman"/>
          <w:sz w:val="24"/>
          <w:szCs w:val="24"/>
        </w:rPr>
        <w:t>МАСТ КЛЕТКИ</w:t>
      </w:r>
      <w:r w:rsidR="003F2294">
        <w:rPr>
          <w:rFonts w:ascii="Times New Roman" w:hAnsi="Times New Roman" w:cs="Times New Roman"/>
          <w:sz w:val="24"/>
          <w:szCs w:val="24"/>
        </w:rPr>
        <w:t xml:space="preserve">- </w:t>
      </w:r>
      <w:r w:rsidR="0026510E" w:rsidRPr="007736CE">
        <w:rPr>
          <w:rFonts w:ascii="Times New Roman" w:hAnsi="Times New Roman" w:cs="Times New Roman"/>
          <w:sz w:val="24"/>
          <w:szCs w:val="24"/>
        </w:rPr>
        <w:t xml:space="preserve">Маст клетките имаат најважна улога во индукцијата на имунолошки одговор под медијаторство </w:t>
      </w:r>
      <w:r w:rsidR="007C1C95">
        <w:rPr>
          <w:rFonts w:ascii="Times New Roman" w:hAnsi="Times New Roman" w:cs="Times New Roman"/>
          <w:sz w:val="24"/>
          <w:szCs w:val="24"/>
        </w:rPr>
        <w:t xml:space="preserve">на IgE. Маст клетки кај глувци </w:t>
      </w:r>
      <w:r w:rsidR="0026510E" w:rsidRPr="007736CE">
        <w:rPr>
          <w:rFonts w:ascii="Times New Roman" w:hAnsi="Times New Roman" w:cs="Times New Roman"/>
          <w:sz w:val="24"/>
          <w:szCs w:val="24"/>
        </w:rPr>
        <w:t>на пример, BMCM клетки и маст клетки од сврзно ткиво на перитонеумот) и маст клетки/базофили прекурсор</w:t>
      </w:r>
      <w:r w:rsidR="003F2294">
        <w:rPr>
          <w:rFonts w:ascii="Times New Roman" w:hAnsi="Times New Roman" w:cs="Times New Roman"/>
          <w:sz w:val="24"/>
          <w:szCs w:val="24"/>
        </w:rPr>
        <w:t xml:space="preserve"> клетки и човечки маст клетки (</w:t>
      </w:r>
      <w:r w:rsidR="0026510E" w:rsidRPr="007736CE">
        <w:rPr>
          <w:rFonts w:ascii="Times New Roman" w:hAnsi="Times New Roman" w:cs="Times New Roman"/>
          <w:sz w:val="24"/>
          <w:szCs w:val="24"/>
        </w:rPr>
        <w:t>клетки од папочна врвка и култивирани маст клетки добиени од матични клетки од периферната циркулација) бележат постојана експресија на ST2 (</w:t>
      </w:r>
      <w:r w:rsidR="0080528C">
        <w:rPr>
          <w:rFonts w:ascii="Times New Roman" w:hAnsi="Times New Roman" w:cs="Times New Roman"/>
          <w:sz w:val="24"/>
          <w:szCs w:val="24"/>
        </w:rPr>
        <w:t>181,182,183,184).</w:t>
      </w:r>
      <w:r w:rsidR="0026510E" w:rsidRPr="007736CE">
        <w:rPr>
          <w:rFonts w:ascii="Times New Roman" w:hAnsi="Times New Roman" w:cs="Times New Roman"/>
          <w:sz w:val="24"/>
          <w:szCs w:val="24"/>
        </w:rPr>
        <w:t xml:space="preserve"> IL-33 е едниствениот цитокин помеѓу 45-те различни видови цитокини кои директно индуцираат секреција на цитоки и хемокини (IL-1β, IL-6, IL-13, TNF и MCP-</w:t>
      </w:r>
      <w:r w:rsidR="007C1C95">
        <w:rPr>
          <w:rFonts w:ascii="Times New Roman" w:hAnsi="Times New Roman" w:cs="Times New Roman"/>
          <w:sz w:val="24"/>
          <w:szCs w:val="24"/>
        </w:rPr>
        <w:t>1</w:t>
      </w:r>
      <w:r w:rsidR="007C1C95">
        <w:rPr>
          <w:rFonts w:ascii="Times New Roman" w:hAnsi="Times New Roman" w:cs="Times New Roman"/>
          <w:sz w:val="24"/>
          <w:szCs w:val="24"/>
          <w:lang w:val="en-US"/>
        </w:rPr>
        <w:t xml:space="preserve"> </w:t>
      </w:r>
      <w:r w:rsidR="0026510E" w:rsidRPr="007736CE">
        <w:rPr>
          <w:rFonts w:ascii="Times New Roman" w:hAnsi="Times New Roman" w:cs="Times New Roman"/>
          <w:sz w:val="24"/>
          <w:szCs w:val="24"/>
        </w:rPr>
        <w:t>од страна на BMCM клетки кај глувци без нивна дегранулација (</w:t>
      </w:r>
      <w:r w:rsidR="0080528C">
        <w:rPr>
          <w:rFonts w:ascii="Times New Roman" w:hAnsi="Times New Roman" w:cs="Times New Roman"/>
          <w:sz w:val="24"/>
          <w:szCs w:val="24"/>
        </w:rPr>
        <w:t>185,186</w:t>
      </w:r>
      <w:r w:rsidR="0026510E" w:rsidRPr="007736CE">
        <w:rPr>
          <w:rFonts w:ascii="Times New Roman" w:hAnsi="Times New Roman" w:cs="Times New Roman"/>
          <w:sz w:val="24"/>
          <w:szCs w:val="24"/>
        </w:rPr>
        <w:t>). Кај хумани примероци, IL-33 може да ја стимулира цитокинската и продукцијата на хемокини, да го продолжи преживувањето и клеточна адхезија кај култивирани маст клетки добиени од матични клетки од папочна врвка (</w:t>
      </w:r>
      <w:r w:rsidR="0080528C">
        <w:rPr>
          <w:rFonts w:ascii="Times New Roman" w:hAnsi="Times New Roman" w:cs="Times New Roman"/>
          <w:sz w:val="24"/>
          <w:szCs w:val="24"/>
        </w:rPr>
        <w:t>183,184</w:t>
      </w:r>
      <w:r w:rsidR="0026510E" w:rsidRPr="007736CE">
        <w:rPr>
          <w:rFonts w:ascii="Times New Roman" w:hAnsi="Times New Roman" w:cs="Times New Roman"/>
          <w:sz w:val="24"/>
          <w:szCs w:val="24"/>
        </w:rPr>
        <w:t xml:space="preserve">). </w:t>
      </w:r>
    </w:p>
    <w:p w:rsidR="0026510E" w:rsidRPr="007736CE" w:rsidRDefault="00BF43AE" w:rsidP="00421E8E">
      <w:pPr>
        <w:shd w:val="clear" w:color="auto" w:fill="FFFFFF"/>
        <w:spacing w:before="400"/>
        <w:outlineLvl w:val="0"/>
        <w:rPr>
          <w:rFonts w:ascii="Times New Roman" w:hAnsi="Times New Roman" w:cs="Times New Roman"/>
          <w:sz w:val="24"/>
          <w:szCs w:val="24"/>
        </w:rPr>
      </w:pPr>
      <w:r w:rsidRPr="003F2294">
        <w:rPr>
          <w:rFonts w:ascii="Times New Roman" w:hAnsi="Times New Roman" w:cs="Times New Roman"/>
          <w:sz w:val="24"/>
          <w:szCs w:val="24"/>
        </w:rPr>
        <w:t>БАЗОФИЛИ</w:t>
      </w:r>
      <w:r w:rsidR="003F2294">
        <w:rPr>
          <w:rFonts w:ascii="Times New Roman" w:hAnsi="Times New Roman" w:cs="Times New Roman"/>
          <w:sz w:val="24"/>
          <w:szCs w:val="24"/>
        </w:rPr>
        <w:t xml:space="preserve">- </w:t>
      </w:r>
      <w:r w:rsidR="0026510E" w:rsidRPr="007736CE">
        <w:rPr>
          <w:rFonts w:ascii="Times New Roman" w:hAnsi="Times New Roman" w:cs="Times New Roman"/>
          <w:sz w:val="24"/>
          <w:szCs w:val="24"/>
        </w:rPr>
        <w:t>Во споредба со Th2 и маст клетките, човечки и базофили кај глувци, покажуваат значително помала експресија на ST2 на нивната површина (</w:t>
      </w:r>
      <w:r w:rsidR="0080528C">
        <w:rPr>
          <w:rFonts w:ascii="Times New Roman" w:hAnsi="Times New Roman" w:cs="Times New Roman"/>
          <w:sz w:val="24"/>
          <w:szCs w:val="24"/>
        </w:rPr>
        <w:t>187,188</w:t>
      </w:r>
      <w:r w:rsidR="0026510E" w:rsidRPr="007736CE">
        <w:rPr>
          <w:rFonts w:ascii="Times New Roman" w:hAnsi="Times New Roman" w:cs="Times New Roman"/>
          <w:sz w:val="24"/>
          <w:szCs w:val="24"/>
        </w:rPr>
        <w:t xml:space="preserve">). </w:t>
      </w:r>
      <w:r w:rsidR="00BA7C05">
        <w:rPr>
          <w:rFonts w:ascii="Times New Roman" w:hAnsi="Times New Roman" w:cs="Times New Roman"/>
          <w:sz w:val="24"/>
          <w:szCs w:val="24"/>
        </w:rPr>
        <w:t xml:space="preserve">Под влијание на </w:t>
      </w:r>
      <w:r w:rsidR="0026510E" w:rsidRPr="007736CE">
        <w:rPr>
          <w:rFonts w:ascii="Times New Roman" w:hAnsi="Times New Roman" w:cs="Times New Roman"/>
          <w:sz w:val="24"/>
          <w:szCs w:val="24"/>
        </w:rPr>
        <w:t xml:space="preserve">IL-33 </w:t>
      </w:r>
      <w:r w:rsidR="00BA7C05">
        <w:rPr>
          <w:rFonts w:ascii="Times New Roman" w:hAnsi="Times New Roman" w:cs="Times New Roman"/>
          <w:sz w:val="24"/>
          <w:szCs w:val="24"/>
        </w:rPr>
        <w:t>базофилите, продуцираат</w:t>
      </w:r>
      <w:r w:rsidR="0026510E" w:rsidRPr="007736CE">
        <w:rPr>
          <w:rFonts w:ascii="Times New Roman" w:hAnsi="Times New Roman" w:cs="Times New Roman"/>
          <w:sz w:val="24"/>
          <w:szCs w:val="24"/>
        </w:rPr>
        <w:t xml:space="preserve"> цитокини, меѓу кои и</w:t>
      </w:r>
      <w:r w:rsidR="00BA7C05">
        <w:rPr>
          <w:rFonts w:ascii="Times New Roman" w:hAnsi="Times New Roman" w:cs="Times New Roman"/>
          <w:sz w:val="24"/>
          <w:szCs w:val="24"/>
        </w:rPr>
        <w:t xml:space="preserve"> Th2 тип на цитокини и хемокини, односно, ја </w:t>
      </w:r>
      <w:r w:rsidR="0026510E" w:rsidRPr="007736CE">
        <w:rPr>
          <w:rFonts w:ascii="Times New Roman" w:hAnsi="Times New Roman" w:cs="Times New Roman"/>
          <w:sz w:val="24"/>
          <w:szCs w:val="24"/>
        </w:rPr>
        <w:t>олеснува адхезијата на клетките и екпресијата на CD11b (</w:t>
      </w:r>
      <w:r w:rsidR="0080528C">
        <w:rPr>
          <w:rFonts w:ascii="Times New Roman" w:hAnsi="Times New Roman" w:cs="Times New Roman"/>
          <w:sz w:val="24"/>
          <w:szCs w:val="24"/>
        </w:rPr>
        <w:t>187,188</w:t>
      </w:r>
      <w:r w:rsidR="0026510E" w:rsidRPr="007736CE">
        <w:rPr>
          <w:rFonts w:ascii="Times New Roman" w:hAnsi="Times New Roman" w:cs="Times New Roman"/>
          <w:sz w:val="24"/>
          <w:szCs w:val="24"/>
        </w:rPr>
        <w:t>). IL-33 во синергија со IgE индуци</w:t>
      </w:r>
      <w:r w:rsidR="00BA7C05">
        <w:rPr>
          <w:rFonts w:ascii="Times New Roman" w:hAnsi="Times New Roman" w:cs="Times New Roman"/>
          <w:sz w:val="24"/>
          <w:szCs w:val="24"/>
        </w:rPr>
        <w:t xml:space="preserve">ра дегранулација на базофилите и </w:t>
      </w:r>
      <w:r w:rsidR="0026510E" w:rsidRPr="007736CE">
        <w:rPr>
          <w:rFonts w:ascii="Times New Roman" w:hAnsi="Times New Roman" w:cs="Times New Roman"/>
          <w:sz w:val="24"/>
          <w:szCs w:val="24"/>
        </w:rPr>
        <w:t xml:space="preserve">овозможува секреција на цитокини и поизразен имунолошки одговор од </w:t>
      </w:r>
      <w:r w:rsidR="00BA7C05">
        <w:rPr>
          <w:rFonts w:ascii="Times New Roman" w:hAnsi="Times New Roman" w:cs="Times New Roman"/>
          <w:sz w:val="24"/>
          <w:szCs w:val="24"/>
        </w:rPr>
        <w:t xml:space="preserve">нивна </w:t>
      </w:r>
      <w:r w:rsidR="0026510E" w:rsidRPr="007736CE">
        <w:rPr>
          <w:rFonts w:ascii="Times New Roman" w:hAnsi="Times New Roman" w:cs="Times New Roman"/>
          <w:sz w:val="24"/>
          <w:szCs w:val="24"/>
        </w:rPr>
        <w:t>страна и кај глувци и кај човечки примероци: миграц</w:t>
      </w:r>
      <w:r w:rsidR="0080528C">
        <w:rPr>
          <w:rFonts w:ascii="Times New Roman" w:hAnsi="Times New Roman" w:cs="Times New Roman"/>
          <w:sz w:val="24"/>
          <w:szCs w:val="24"/>
        </w:rPr>
        <w:t>ија под влијание на eotaxin (187</w:t>
      </w:r>
      <w:r w:rsidR="0026510E" w:rsidRPr="007736CE">
        <w:rPr>
          <w:rFonts w:ascii="Times New Roman" w:hAnsi="Times New Roman" w:cs="Times New Roman"/>
          <w:sz w:val="24"/>
          <w:szCs w:val="24"/>
        </w:rPr>
        <w:t xml:space="preserve">). </w:t>
      </w:r>
    </w:p>
    <w:p w:rsidR="00AB0154" w:rsidRDefault="00BF43AE" w:rsidP="00421E8E">
      <w:pPr>
        <w:shd w:val="clear" w:color="auto" w:fill="FFFFFF"/>
        <w:spacing w:before="400"/>
        <w:outlineLvl w:val="0"/>
        <w:rPr>
          <w:rFonts w:ascii="Times New Roman" w:hAnsi="Times New Roman" w:cs="Times New Roman"/>
          <w:sz w:val="24"/>
          <w:szCs w:val="24"/>
        </w:rPr>
      </w:pPr>
      <w:r>
        <w:rPr>
          <w:rFonts w:ascii="Times New Roman" w:hAnsi="Times New Roman" w:cs="Times New Roman"/>
          <w:sz w:val="24"/>
          <w:szCs w:val="24"/>
        </w:rPr>
        <w:t>ЕОЗИНОФИЛИ</w:t>
      </w:r>
      <w:r w:rsidR="003F2294" w:rsidRPr="00A926CA">
        <w:rPr>
          <w:rFonts w:ascii="Times New Roman" w:hAnsi="Times New Roman" w:cs="Times New Roman"/>
          <w:sz w:val="24"/>
          <w:szCs w:val="24"/>
          <w:lang w:val="ru-RU"/>
        </w:rPr>
        <w:t>-</w:t>
      </w:r>
      <w:r w:rsidR="0026510E" w:rsidRPr="007736CE">
        <w:rPr>
          <w:rFonts w:ascii="Times New Roman" w:hAnsi="Times New Roman" w:cs="Times New Roman"/>
          <w:sz w:val="24"/>
          <w:szCs w:val="24"/>
        </w:rPr>
        <w:t>Иако ST2 бележи незначителна експресија на клеточната површина на еозинофилите од периферната крв, интрацелуларно се детектираат ST2 mRNA и ST2 протеин</w:t>
      </w:r>
      <w:r w:rsidR="0080528C">
        <w:rPr>
          <w:rFonts w:ascii="Times New Roman" w:hAnsi="Times New Roman" w:cs="Times New Roman"/>
          <w:sz w:val="24"/>
          <w:szCs w:val="24"/>
        </w:rPr>
        <w:t xml:space="preserve"> (187</w:t>
      </w:r>
      <w:r>
        <w:rPr>
          <w:rFonts w:ascii="Times New Roman" w:hAnsi="Times New Roman" w:cs="Times New Roman"/>
          <w:sz w:val="24"/>
          <w:szCs w:val="24"/>
        </w:rPr>
        <w:t>,</w:t>
      </w:r>
      <w:r w:rsidR="0080528C">
        <w:rPr>
          <w:rFonts w:ascii="Times New Roman" w:hAnsi="Times New Roman" w:cs="Times New Roman"/>
          <w:sz w:val="24"/>
          <w:szCs w:val="24"/>
        </w:rPr>
        <w:t>189</w:t>
      </w:r>
      <w:r w:rsidR="0026510E" w:rsidRPr="007736CE">
        <w:rPr>
          <w:rFonts w:ascii="Times New Roman" w:hAnsi="Times New Roman" w:cs="Times New Roman"/>
          <w:sz w:val="24"/>
          <w:szCs w:val="24"/>
        </w:rPr>
        <w:t>). IL-33 директно индуцира продукција на супероксид и IL-8 и ја зголемува продукцијата на IL-8, под влијание на IL-3, IL-5 или GM-CSF од страна на хума</w:t>
      </w:r>
      <w:r w:rsidR="0083442C">
        <w:rPr>
          <w:rFonts w:ascii="Times New Roman" w:hAnsi="Times New Roman" w:cs="Times New Roman"/>
          <w:sz w:val="24"/>
          <w:szCs w:val="24"/>
        </w:rPr>
        <w:t>ни еозинофили (</w:t>
      </w:r>
      <w:r w:rsidR="0080528C">
        <w:rPr>
          <w:rFonts w:ascii="Times New Roman" w:hAnsi="Times New Roman" w:cs="Times New Roman"/>
          <w:sz w:val="24"/>
          <w:szCs w:val="24"/>
        </w:rPr>
        <w:t>189</w:t>
      </w:r>
      <w:r w:rsidR="0026510E" w:rsidRPr="007736CE">
        <w:rPr>
          <w:rFonts w:ascii="Times New Roman" w:hAnsi="Times New Roman" w:cs="Times New Roman"/>
          <w:sz w:val="24"/>
          <w:szCs w:val="24"/>
        </w:rPr>
        <w:t xml:space="preserve">). </w:t>
      </w:r>
    </w:p>
    <w:p w:rsidR="0026510E" w:rsidRPr="007736CE" w:rsidRDefault="0026510E" w:rsidP="00421E8E">
      <w:pPr>
        <w:shd w:val="clear" w:color="auto" w:fill="FFFFFF"/>
        <w:spacing w:before="400"/>
        <w:outlineLvl w:val="0"/>
        <w:rPr>
          <w:rFonts w:ascii="Times New Roman" w:hAnsi="Times New Roman" w:cs="Times New Roman"/>
          <w:sz w:val="24"/>
          <w:szCs w:val="24"/>
        </w:rPr>
      </w:pPr>
      <w:r w:rsidRPr="007736CE">
        <w:rPr>
          <w:rFonts w:ascii="Times New Roman" w:hAnsi="Times New Roman" w:cs="Times New Roman"/>
          <w:sz w:val="24"/>
          <w:szCs w:val="24"/>
        </w:rPr>
        <w:t>Како што е случај со маст клетките и базофилите, така, IL-33 ја засилува адхезијата на еозинофили со зголемување на експреси</w:t>
      </w:r>
      <w:r w:rsidR="0080528C">
        <w:rPr>
          <w:rFonts w:ascii="Times New Roman" w:hAnsi="Times New Roman" w:cs="Times New Roman"/>
          <w:sz w:val="24"/>
          <w:szCs w:val="24"/>
        </w:rPr>
        <w:t>јата на CD11b (187</w:t>
      </w:r>
      <w:r w:rsidRPr="007736CE">
        <w:rPr>
          <w:rFonts w:ascii="Times New Roman" w:hAnsi="Times New Roman" w:cs="Times New Roman"/>
          <w:sz w:val="24"/>
          <w:szCs w:val="24"/>
        </w:rPr>
        <w:t>). За разлика пак од базофилите, IL-33 нема влијание врз миграцијата на еозинофили под влијание на еотаксин (</w:t>
      </w:r>
      <w:r w:rsidR="0080528C">
        <w:rPr>
          <w:rFonts w:ascii="Times New Roman" w:hAnsi="Times New Roman" w:cs="Times New Roman"/>
          <w:sz w:val="24"/>
          <w:szCs w:val="24"/>
        </w:rPr>
        <w:t>187</w:t>
      </w:r>
      <w:r w:rsidRPr="007736CE">
        <w:rPr>
          <w:rFonts w:ascii="Times New Roman" w:hAnsi="Times New Roman" w:cs="Times New Roman"/>
          <w:sz w:val="24"/>
          <w:szCs w:val="24"/>
        </w:rPr>
        <w:t>). Улогата на IL-33 во дегранулација на еозинофилите останува контроверзна, односно двојна (</w:t>
      </w:r>
      <w:r w:rsidR="0080528C">
        <w:rPr>
          <w:rFonts w:ascii="Times New Roman" w:hAnsi="Times New Roman" w:cs="Times New Roman"/>
          <w:sz w:val="24"/>
          <w:szCs w:val="24"/>
        </w:rPr>
        <w:t>187,189</w:t>
      </w:r>
      <w:r w:rsidRPr="007736CE">
        <w:rPr>
          <w:rFonts w:ascii="Times New Roman" w:hAnsi="Times New Roman" w:cs="Times New Roman"/>
          <w:sz w:val="24"/>
          <w:szCs w:val="24"/>
        </w:rPr>
        <w:t xml:space="preserve">). </w:t>
      </w:r>
    </w:p>
    <w:p w:rsidR="00AB0154" w:rsidRDefault="00AB0154" w:rsidP="00421E8E">
      <w:pPr>
        <w:shd w:val="clear" w:color="auto" w:fill="FFFFFF"/>
        <w:spacing w:before="400"/>
        <w:outlineLvl w:val="0"/>
        <w:rPr>
          <w:rFonts w:ascii="Times New Roman" w:hAnsi="Times New Roman" w:cs="Times New Roman"/>
          <w:sz w:val="24"/>
          <w:szCs w:val="24"/>
        </w:rPr>
      </w:pPr>
    </w:p>
    <w:p w:rsidR="00AB0154" w:rsidRDefault="00AB0154" w:rsidP="00421E8E">
      <w:pPr>
        <w:shd w:val="clear" w:color="auto" w:fill="FFFFFF"/>
        <w:spacing w:before="400"/>
        <w:outlineLvl w:val="0"/>
        <w:rPr>
          <w:rFonts w:ascii="Times New Roman" w:hAnsi="Times New Roman" w:cs="Times New Roman"/>
          <w:sz w:val="24"/>
          <w:szCs w:val="24"/>
        </w:rPr>
      </w:pPr>
    </w:p>
    <w:p w:rsidR="0026510E" w:rsidRPr="007736CE" w:rsidRDefault="003F2294" w:rsidP="00421E8E">
      <w:pPr>
        <w:shd w:val="clear" w:color="auto" w:fill="FFFFFF"/>
        <w:spacing w:before="400"/>
        <w:outlineLvl w:val="0"/>
        <w:rPr>
          <w:rFonts w:ascii="Times New Roman" w:hAnsi="Times New Roman" w:cs="Times New Roman"/>
          <w:sz w:val="24"/>
          <w:szCs w:val="24"/>
        </w:rPr>
      </w:pPr>
      <w:r w:rsidRPr="003F2294">
        <w:rPr>
          <w:rFonts w:ascii="Times New Roman" w:hAnsi="Times New Roman" w:cs="Times New Roman"/>
          <w:sz w:val="24"/>
          <w:szCs w:val="24"/>
        </w:rPr>
        <w:t xml:space="preserve">НАТУРАЛ КИЛЕР(NK) </w:t>
      </w:r>
      <w:r w:rsidR="0083442C">
        <w:rPr>
          <w:rFonts w:ascii="Times New Roman" w:hAnsi="Times New Roman" w:cs="Times New Roman"/>
          <w:sz w:val="24"/>
          <w:szCs w:val="24"/>
        </w:rPr>
        <w:t>КЛЕТКИ</w:t>
      </w:r>
      <w:r>
        <w:rPr>
          <w:rFonts w:ascii="Times New Roman" w:hAnsi="Times New Roman" w:cs="Times New Roman"/>
          <w:sz w:val="24"/>
          <w:szCs w:val="24"/>
        </w:rPr>
        <w:t xml:space="preserve">- </w:t>
      </w:r>
      <w:r w:rsidR="0026510E" w:rsidRPr="007736CE">
        <w:rPr>
          <w:rFonts w:ascii="Times New Roman" w:hAnsi="Times New Roman" w:cs="Times New Roman"/>
          <w:sz w:val="24"/>
          <w:szCs w:val="24"/>
        </w:rPr>
        <w:t xml:space="preserve">ST2 покажува екпресија на клеточната површина на NK клетките кои што продуцираат IL-4 (NK2 клетки), но не и на површината на NK клетките кои што продуцираат IFN-γ (NK1 клетки), добиени ин витро од свежо изолирана популација на NK клетки од човечки PBM </w:t>
      </w:r>
      <w:r w:rsidR="0026510E" w:rsidRPr="00B7049C">
        <w:rPr>
          <w:rFonts w:ascii="Times New Roman" w:hAnsi="Times New Roman" w:cs="Times New Roman"/>
          <w:color w:val="000000"/>
          <w:sz w:val="24"/>
          <w:szCs w:val="24"/>
          <w:shd w:val="clear" w:color="auto" w:fill="FFFFFF"/>
        </w:rPr>
        <w:t>(peripheral blood mononuclear </w:t>
      </w:r>
      <w:r w:rsidR="0026510E" w:rsidRPr="00B7049C">
        <w:rPr>
          <w:rStyle w:val="Emphasis"/>
          <w:rFonts w:ascii="Times New Roman" w:hAnsi="Times New Roman"/>
          <w:bCs/>
          <w:i w:val="0"/>
          <w:color w:val="000000"/>
          <w:sz w:val="24"/>
          <w:szCs w:val="24"/>
          <w:shd w:val="clear" w:color="auto" w:fill="FFFFFF"/>
        </w:rPr>
        <w:t>cell</w:t>
      </w:r>
      <w:r w:rsidR="0026510E" w:rsidRPr="00B7049C">
        <w:rPr>
          <w:rFonts w:ascii="Times New Roman" w:hAnsi="Times New Roman" w:cs="Times New Roman"/>
          <w:color w:val="000000"/>
          <w:sz w:val="24"/>
          <w:szCs w:val="24"/>
          <w:shd w:val="clear" w:color="auto" w:fill="FFFFFF"/>
        </w:rPr>
        <w:t>)</w:t>
      </w:r>
      <w:r w:rsidR="0026510E" w:rsidRPr="007736CE">
        <w:rPr>
          <w:rFonts w:ascii="Times New Roman" w:hAnsi="Times New Roman" w:cs="Times New Roman"/>
          <w:color w:val="4D5156"/>
          <w:sz w:val="24"/>
          <w:szCs w:val="24"/>
          <w:shd w:val="clear" w:color="auto" w:fill="FFFFFF"/>
        </w:rPr>
        <w:t xml:space="preserve"> </w:t>
      </w:r>
      <w:r w:rsidR="0026510E" w:rsidRPr="007736CE">
        <w:rPr>
          <w:rFonts w:ascii="Times New Roman" w:hAnsi="Times New Roman" w:cs="Times New Roman"/>
          <w:sz w:val="24"/>
          <w:szCs w:val="24"/>
        </w:rPr>
        <w:t>клетки (</w:t>
      </w:r>
      <w:r w:rsidR="0080528C">
        <w:rPr>
          <w:rFonts w:ascii="Times New Roman" w:hAnsi="Times New Roman" w:cs="Times New Roman"/>
          <w:sz w:val="24"/>
          <w:szCs w:val="24"/>
        </w:rPr>
        <w:t>190</w:t>
      </w:r>
      <w:r w:rsidR="0026510E" w:rsidRPr="007736CE">
        <w:rPr>
          <w:rFonts w:ascii="Times New Roman" w:hAnsi="Times New Roman" w:cs="Times New Roman"/>
          <w:sz w:val="24"/>
          <w:szCs w:val="24"/>
        </w:rPr>
        <w:t>). Свежо изолирани NK клетки од човечки PBM клетки</w:t>
      </w:r>
      <w:r w:rsidR="0026510E" w:rsidRPr="007736CE">
        <w:rPr>
          <w:rFonts w:ascii="Times New Roman" w:hAnsi="Times New Roman" w:cs="Times New Roman"/>
          <w:color w:val="4D5156"/>
          <w:sz w:val="24"/>
          <w:szCs w:val="24"/>
          <w:shd w:val="clear" w:color="auto" w:fill="FFFFFF"/>
        </w:rPr>
        <w:t xml:space="preserve"> (</w:t>
      </w:r>
      <w:r w:rsidR="0026510E" w:rsidRPr="007736CE">
        <w:rPr>
          <w:rFonts w:ascii="Times New Roman" w:hAnsi="Times New Roman" w:cs="Times New Roman"/>
          <w:sz w:val="24"/>
          <w:szCs w:val="24"/>
        </w:rPr>
        <w:t>peripheral blood mononuclear cell ) може да продуцираат IFN-γ како одговор на IL-33 само во присуство на IL-12 или IL-23, затоа што IL-12 и/или IL-23 ја зголемуваат експресијата</w:t>
      </w:r>
      <w:r w:rsidR="00A6119A">
        <w:rPr>
          <w:rFonts w:ascii="Times New Roman" w:hAnsi="Times New Roman" w:cs="Times New Roman"/>
          <w:sz w:val="24"/>
          <w:szCs w:val="24"/>
        </w:rPr>
        <w:t xml:space="preserve"> на ST2 mRNA во NK клетките (191</w:t>
      </w:r>
      <w:r w:rsidR="0026510E" w:rsidRPr="007736CE">
        <w:rPr>
          <w:rFonts w:ascii="Times New Roman" w:hAnsi="Times New Roman" w:cs="Times New Roman"/>
          <w:sz w:val="24"/>
          <w:szCs w:val="24"/>
        </w:rPr>
        <w:t xml:space="preserve">). Како и да е се уште не е доволно позната улогата на IL-33 во секрецијата на Th2 тип на цитокини од страна на NK клетките. </w:t>
      </w:r>
    </w:p>
    <w:p w:rsidR="0026510E" w:rsidRPr="00776D15" w:rsidRDefault="00B7049C" w:rsidP="00421E8E">
      <w:pPr>
        <w:shd w:val="clear" w:color="auto" w:fill="FFFFFF"/>
        <w:spacing w:before="400"/>
        <w:outlineLvl w:val="0"/>
        <w:rPr>
          <w:rFonts w:ascii="Times New Roman" w:hAnsi="Times New Roman" w:cs="Times New Roman"/>
          <w:sz w:val="24"/>
          <w:szCs w:val="24"/>
        </w:rPr>
      </w:pPr>
      <w:r w:rsidRPr="00776D15">
        <w:rPr>
          <w:rFonts w:ascii="Times New Roman" w:hAnsi="Times New Roman" w:cs="Times New Roman"/>
          <w:sz w:val="24"/>
          <w:szCs w:val="24"/>
        </w:rPr>
        <w:t>ДЕНДРИТИЧНИ КЛЕТКИ</w:t>
      </w:r>
      <w:r w:rsidR="00776D15" w:rsidRPr="00A926CA">
        <w:rPr>
          <w:rFonts w:ascii="Times New Roman" w:hAnsi="Times New Roman" w:cs="Times New Roman"/>
          <w:sz w:val="24"/>
          <w:szCs w:val="24"/>
          <w:lang w:val="ru-RU"/>
        </w:rPr>
        <w:t>-</w:t>
      </w:r>
      <w:r w:rsidR="0026510E" w:rsidRPr="007736CE">
        <w:rPr>
          <w:rFonts w:ascii="Times New Roman" w:hAnsi="Times New Roman" w:cs="Times New Roman"/>
          <w:sz w:val="24"/>
          <w:szCs w:val="24"/>
        </w:rPr>
        <w:t xml:space="preserve"> IL-33 се смета дека го поттикнува развитокот на дендритски к</w:t>
      </w:r>
      <w:r w:rsidR="00A6119A">
        <w:rPr>
          <w:rFonts w:ascii="Times New Roman" w:hAnsi="Times New Roman" w:cs="Times New Roman"/>
          <w:sz w:val="24"/>
          <w:szCs w:val="24"/>
        </w:rPr>
        <w:t>летки од коскената срцевина (192</w:t>
      </w:r>
      <w:r w:rsidR="0026510E" w:rsidRPr="007736CE">
        <w:rPr>
          <w:rFonts w:ascii="Times New Roman" w:hAnsi="Times New Roman" w:cs="Times New Roman"/>
          <w:sz w:val="24"/>
          <w:szCs w:val="24"/>
        </w:rPr>
        <w:t>). Докажано е дека дендритични клетки добиени со култивација на клетки од коскена срцевина (bone marrow-derived DCs; BMDCs) кај глувци, во присуство на GM-CSF и IL-4 п</w:t>
      </w:r>
      <w:r w:rsidR="00A6119A">
        <w:rPr>
          <w:rFonts w:ascii="Times New Roman" w:hAnsi="Times New Roman" w:cs="Times New Roman"/>
          <w:sz w:val="24"/>
          <w:szCs w:val="24"/>
        </w:rPr>
        <w:t>окажуваат експресија на ST2 (193</w:t>
      </w:r>
      <w:r w:rsidR="0026510E" w:rsidRPr="007736CE">
        <w:rPr>
          <w:rFonts w:ascii="Times New Roman" w:hAnsi="Times New Roman" w:cs="Times New Roman"/>
          <w:sz w:val="24"/>
          <w:szCs w:val="24"/>
        </w:rPr>
        <w:t>). IL-33 ја зголемува продукцијата на IL-6, но е и на IL-12, од страна на BMD клетки и ја зголемува експресијата на MHC-II и CD86, на клеточна</w:t>
      </w:r>
      <w:r w:rsidR="00A6119A">
        <w:rPr>
          <w:rFonts w:ascii="Times New Roman" w:hAnsi="Times New Roman" w:cs="Times New Roman"/>
          <w:sz w:val="24"/>
          <w:szCs w:val="24"/>
        </w:rPr>
        <w:t>та површина на BMD клетките (193</w:t>
      </w:r>
      <w:r w:rsidR="0026510E" w:rsidRPr="007736CE">
        <w:rPr>
          <w:rFonts w:ascii="Times New Roman" w:hAnsi="Times New Roman" w:cs="Times New Roman"/>
          <w:sz w:val="24"/>
          <w:szCs w:val="24"/>
        </w:rPr>
        <w:t xml:space="preserve">). </w:t>
      </w:r>
    </w:p>
    <w:p w:rsidR="00DE63D0" w:rsidRDefault="00B7049C" w:rsidP="00421E8E">
      <w:pPr>
        <w:shd w:val="clear" w:color="auto" w:fill="FFFFFF"/>
        <w:spacing w:before="400"/>
        <w:outlineLvl w:val="0"/>
        <w:rPr>
          <w:rFonts w:ascii="Times New Roman" w:hAnsi="Times New Roman" w:cs="Times New Roman"/>
          <w:sz w:val="24"/>
          <w:szCs w:val="24"/>
        </w:rPr>
      </w:pPr>
      <w:r w:rsidRPr="00776D15">
        <w:rPr>
          <w:rFonts w:ascii="Times New Roman" w:hAnsi="Times New Roman" w:cs="Times New Roman"/>
          <w:sz w:val="24"/>
          <w:szCs w:val="24"/>
        </w:rPr>
        <w:t>МАКРОФАГИ</w:t>
      </w:r>
      <w:r w:rsidR="00776D15" w:rsidRPr="00A926CA">
        <w:rPr>
          <w:rFonts w:ascii="Times New Roman" w:hAnsi="Times New Roman" w:cs="Times New Roman"/>
          <w:sz w:val="24"/>
          <w:szCs w:val="24"/>
          <w:lang w:val="ru-RU"/>
        </w:rPr>
        <w:t xml:space="preserve">- </w:t>
      </w:r>
      <w:r w:rsidR="0026510E" w:rsidRPr="007736CE">
        <w:rPr>
          <w:rFonts w:ascii="Times New Roman" w:hAnsi="Times New Roman" w:cs="Times New Roman"/>
          <w:sz w:val="24"/>
          <w:szCs w:val="24"/>
        </w:rPr>
        <w:t>Конститутивна експресија на ST2 mRNA протеин е детектирана кај макрофаги од коскена срцевина и алвеоларни макрофаги кај глувци (</w:t>
      </w:r>
      <w:r w:rsidR="00A6119A">
        <w:rPr>
          <w:rFonts w:ascii="Times New Roman" w:hAnsi="Times New Roman" w:cs="Times New Roman"/>
          <w:sz w:val="24"/>
          <w:szCs w:val="24"/>
        </w:rPr>
        <w:t>194,195</w:t>
      </w:r>
      <w:r w:rsidR="0026510E" w:rsidRPr="007736CE">
        <w:rPr>
          <w:rFonts w:ascii="Times New Roman" w:hAnsi="Times New Roman" w:cs="Times New Roman"/>
          <w:sz w:val="24"/>
          <w:szCs w:val="24"/>
        </w:rPr>
        <w:t>). Растворливата форма на ST2 (sST2) пак, бележи зголемена експресија како одговор на липополисахариди и проинфламаторни цитокини како што се TNF, IL-1 и IL-6 (</w:t>
      </w:r>
      <w:r w:rsidR="00A6119A">
        <w:rPr>
          <w:rFonts w:ascii="Times New Roman" w:hAnsi="Times New Roman" w:cs="Times New Roman"/>
          <w:sz w:val="24"/>
          <w:szCs w:val="24"/>
        </w:rPr>
        <w:t>195,196,197</w:t>
      </w:r>
      <w:r w:rsidR="0026510E" w:rsidRPr="007736CE">
        <w:rPr>
          <w:rFonts w:ascii="Times New Roman" w:hAnsi="Times New Roman" w:cs="Times New Roman"/>
          <w:sz w:val="24"/>
          <w:szCs w:val="24"/>
        </w:rPr>
        <w:t xml:space="preserve">). IL-33 претставува потенцијален активатор на макрофаги за време на бактериски инфекции. </w:t>
      </w: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AB0154" w:rsidRDefault="00AB0154" w:rsidP="00421E8E">
      <w:pPr>
        <w:shd w:val="clear" w:color="auto" w:fill="FFFFFF"/>
        <w:spacing w:before="400"/>
        <w:outlineLvl w:val="0"/>
        <w:rPr>
          <w:rFonts w:ascii="Times New Roman" w:hAnsi="Times New Roman" w:cs="Times New Roman"/>
          <w:b/>
          <w:color w:val="212121"/>
          <w:sz w:val="24"/>
          <w:szCs w:val="24"/>
          <w:shd w:val="clear" w:color="auto" w:fill="FFFFFF"/>
        </w:rPr>
      </w:pPr>
    </w:p>
    <w:p w:rsidR="00B9792F" w:rsidRDefault="0010111A" w:rsidP="00421E8E">
      <w:pPr>
        <w:shd w:val="clear" w:color="auto" w:fill="FFFFFF"/>
        <w:spacing w:before="400"/>
        <w:outlineLvl w:val="0"/>
        <w:rPr>
          <w:rFonts w:ascii="Times New Roman" w:hAnsi="Times New Roman" w:cs="Times New Roman"/>
          <w:b/>
          <w:sz w:val="24"/>
          <w:szCs w:val="24"/>
        </w:rPr>
      </w:pPr>
      <w:r w:rsidRPr="00776D15">
        <w:rPr>
          <w:rFonts w:ascii="Times New Roman" w:hAnsi="Times New Roman" w:cs="Times New Roman"/>
          <w:b/>
          <w:color w:val="212121"/>
          <w:sz w:val="24"/>
          <w:szCs w:val="24"/>
          <w:shd w:val="clear" w:color="auto" w:fill="FFFFFF"/>
        </w:rPr>
        <w:t>2</w:t>
      </w:r>
      <w:r w:rsidR="00582C64" w:rsidRPr="00776D15">
        <w:rPr>
          <w:rFonts w:ascii="Times New Roman" w:hAnsi="Times New Roman" w:cs="Times New Roman"/>
          <w:b/>
          <w:color w:val="212121"/>
          <w:sz w:val="24"/>
          <w:szCs w:val="24"/>
          <w:shd w:val="clear" w:color="auto" w:fill="FFFFFF"/>
        </w:rPr>
        <w:t>.</w:t>
      </w:r>
      <w:r w:rsidR="00B2014B">
        <w:rPr>
          <w:rFonts w:ascii="Times New Roman" w:hAnsi="Times New Roman" w:cs="Times New Roman"/>
          <w:b/>
          <w:color w:val="212121"/>
          <w:sz w:val="24"/>
          <w:szCs w:val="24"/>
          <w:shd w:val="clear" w:color="auto" w:fill="FFFFFF"/>
        </w:rPr>
        <w:t xml:space="preserve">4 </w:t>
      </w:r>
      <w:r w:rsidR="00B9792F" w:rsidRPr="00776D15">
        <w:rPr>
          <w:rFonts w:ascii="Times New Roman" w:hAnsi="Times New Roman" w:cs="Times New Roman"/>
          <w:b/>
          <w:color w:val="212121"/>
          <w:sz w:val="24"/>
          <w:szCs w:val="24"/>
          <w:shd w:val="clear" w:color="auto" w:fill="FFFFFF"/>
        </w:rPr>
        <w:t>IL-33-</w:t>
      </w:r>
      <w:r w:rsidR="00B2014B">
        <w:rPr>
          <w:rFonts w:ascii="Times New Roman" w:hAnsi="Times New Roman" w:cs="Times New Roman"/>
          <w:b/>
          <w:sz w:val="24"/>
          <w:szCs w:val="24"/>
        </w:rPr>
        <w:t xml:space="preserve">ВОСПАЛЕНИЈА, </w:t>
      </w:r>
      <w:r w:rsidR="00B9792F" w:rsidRPr="00776D15">
        <w:rPr>
          <w:rFonts w:ascii="Times New Roman" w:hAnsi="Times New Roman" w:cs="Times New Roman"/>
          <w:b/>
          <w:sz w:val="24"/>
          <w:szCs w:val="24"/>
        </w:rPr>
        <w:t>БЕНИГНИ ЗАБОЛУВАЊА</w:t>
      </w:r>
      <w:r w:rsidR="00B2014B">
        <w:rPr>
          <w:rFonts w:ascii="Times New Roman" w:hAnsi="Times New Roman" w:cs="Times New Roman"/>
          <w:b/>
          <w:sz w:val="24"/>
          <w:szCs w:val="24"/>
        </w:rPr>
        <w:t xml:space="preserve"> И МАЛИГНИТЕТИ</w:t>
      </w:r>
    </w:p>
    <w:p w:rsidR="00B2014B" w:rsidRPr="00776D15" w:rsidRDefault="00B2014B" w:rsidP="00421E8E">
      <w:pPr>
        <w:shd w:val="clear" w:color="auto" w:fill="FFFFFF"/>
        <w:spacing w:before="400"/>
        <w:outlineLvl w:val="0"/>
        <w:rPr>
          <w:rFonts w:ascii="Times New Roman" w:hAnsi="Times New Roman" w:cs="Times New Roman"/>
          <w:b/>
          <w:sz w:val="24"/>
          <w:szCs w:val="24"/>
        </w:rPr>
      </w:pPr>
      <w:r w:rsidRPr="00776D15">
        <w:rPr>
          <w:rFonts w:ascii="Times New Roman" w:hAnsi="Times New Roman" w:cs="Times New Roman"/>
          <w:b/>
          <w:color w:val="212121"/>
          <w:sz w:val="24"/>
          <w:szCs w:val="24"/>
          <w:shd w:val="clear" w:color="auto" w:fill="FFFFFF"/>
        </w:rPr>
        <w:t>2.</w:t>
      </w:r>
      <w:r>
        <w:rPr>
          <w:rFonts w:ascii="Times New Roman" w:hAnsi="Times New Roman" w:cs="Times New Roman"/>
          <w:b/>
          <w:color w:val="212121"/>
          <w:sz w:val="24"/>
          <w:szCs w:val="24"/>
          <w:shd w:val="clear" w:color="auto" w:fill="FFFFFF"/>
        </w:rPr>
        <w:t xml:space="preserve">4.1 </w:t>
      </w:r>
      <w:r w:rsidRPr="00776D15">
        <w:rPr>
          <w:rFonts w:ascii="Times New Roman" w:hAnsi="Times New Roman" w:cs="Times New Roman"/>
          <w:b/>
          <w:color w:val="212121"/>
          <w:sz w:val="24"/>
          <w:szCs w:val="24"/>
          <w:shd w:val="clear" w:color="auto" w:fill="FFFFFF"/>
        </w:rPr>
        <w:t>IL-33-</w:t>
      </w:r>
      <w:r>
        <w:rPr>
          <w:rFonts w:ascii="Times New Roman" w:hAnsi="Times New Roman" w:cs="Times New Roman"/>
          <w:b/>
          <w:sz w:val="24"/>
          <w:szCs w:val="24"/>
        </w:rPr>
        <w:t xml:space="preserve">ВОСПАЛЕНИЈА И </w:t>
      </w:r>
      <w:r w:rsidRPr="00776D15">
        <w:rPr>
          <w:rFonts w:ascii="Times New Roman" w:hAnsi="Times New Roman" w:cs="Times New Roman"/>
          <w:b/>
          <w:sz w:val="24"/>
          <w:szCs w:val="24"/>
        </w:rPr>
        <w:t>БЕНИГНИ ЗАБОЛУВАЊА</w:t>
      </w:r>
    </w:p>
    <w:p w:rsidR="00AB0154" w:rsidRDefault="00AB0154" w:rsidP="00421E8E">
      <w:pPr>
        <w:shd w:val="clear" w:color="auto" w:fill="FFFFFF"/>
        <w:spacing w:before="200"/>
        <w:rPr>
          <w:rFonts w:ascii="Times New Roman" w:hAnsi="Times New Roman" w:cs="Times New Roman"/>
          <w:color w:val="212121"/>
          <w:sz w:val="24"/>
          <w:szCs w:val="24"/>
          <w:shd w:val="clear" w:color="auto" w:fill="FFFFFF"/>
        </w:rPr>
      </w:pPr>
    </w:p>
    <w:p w:rsidR="00B9792F" w:rsidRPr="001F2BB6" w:rsidRDefault="00B9792F" w:rsidP="00421E8E">
      <w:pPr>
        <w:shd w:val="clear" w:color="auto" w:fill="FFFFFF"/>
        <w:spacing w:before="200"/>
        <w:rPr>
          <w:rFonts w:ascii="Times New Roman" w:hAnsi="Times New Roman" w:cs="Times New Roman"/>
          <w:sz w:val="24"/>
          <w:szCs w:val="24"/>
        </w:rPr>
      </w:pPr>
      <w:r w:rsidRPr="001F2BB6">
        <w:rPr>
          <w:rFonts w:ascii="Times New Roman" w:hAnsi="Times New Roman" w:cs="Times New Roman"/>
          <w:color w:val="212121"/>
          <w:sz w:val="24"/>
          <w:szCs w:val="24"/>
          <w:shd w:val="clear" w:color="auto" w:fill="FFFFFF"/>
        </w:rPr>
        <w:t>IL-33/ST2 врската игра и патолошка и протективна улога, односно  влијае про и анти-инфламаторно, во различни патолошки процеси</w:t>
      </w:r>
      <w:r w:rsidRPr="001F2BB6">
        <w:rPr>
          <w:rFonts w:ascii="Times New Roman" w:hAnsi="Times New Roman" w:cs="Times New Roman"/>
          <w:color w:val="000000"/>
          <w:kern w:val="24"/>
          <w:sz w:val="24"/>
          <w:szCs w:val="24"/>
        </w:rPr>
        <w:t xml:space="preserve">. </w:t>
      </w:r>
      <w:r w:rsidRPr="001F2BB6">
        <w:rPr>
          <w:rFonts w:ascii="Times New Roman" w:hAnsi="Times New Roman" w:cs="Times New Roman"/>
          <w:sz w:val="24"/>
          <w:szCs w:val="24"/>
        </w:rPr>
        <w:t>Врската помеѓу лигандот IL-33 и неговиот рецептор, индуцира секреција на хемокини и про-инфламаторни цитокини, неопходни за регулација на лок</w:t>
      </w:r>
      <w:r w:rsidR="00A6119A">
        <w:rPr>
          <w:rFonts w:ascii="Times New Roman" w:hAnsi="Times New Roman" w:cs="Times New Roman"/>
          <w:sz w:val="24"/>
          <w:szCs w:val="24"/>
        </w:rPr>
        <w:t>алниот и системски имунитет (198</w:t>
      </w:r>
      <w:r w:rsidRPr="001F2BB6">
        <w:rPr>
          <w:rFonts w:ascii="Times New Roman" w:hAnsi="Times New Roman" w:cs="Times New Roman"/>
          <w:sz w:val="24"/>
          <w:szCs w:val="24"/>
        </w:rPr>
        <w:t xml:space="preserve">). </w:t>
      </w:r>
    </w:p>
    <w:p w:rsidR="00B9792F" w:rsidRPr="00A926CA" w:rsidRDefault="00B9792F" w:rsidP="00421E8E">
      <w:pPr>
        <w:pStyle w:val="Heading1"/>
        <w:shd w:val="clear" w:color="auto" w:fill="FFFFFF"/>
        <w:rPr>
          <w:rFonts w:ascii="Times New Roman" w:hAnsi="Times New Roman" w:cs="Times New Roman"/>
          <w:b w:val="0"/>
          <w:color w:val="212121"/>
          <w:sz w:val="24"/>
          <w:szCs w:val="24"/>
          <w:lang w:val="ru-RU"/>
        </w:rPr>
      </w:pPr>
      <w:r w:rsidRPr="001F2BB6">
        <w:rPr>
          <w:rFonts w:ascii="Times New Roman" w:hAnsi="Times New Roman" w:cs="Times New Roman"/>
          <w:b w:val="0"/>
          <w:color w:val="212121"/>
          <w:sz w:val="24"/>
          <w:szCs w:val="24"/>
          <w:shd w:val="clear" w:color="auto" w:fill="FFFFFF"/>
        </w:rPr>
        <w:t>IL</w:t>
      </w:r>
      <w:r w:rsidRPr="00A926CA">
        <w:rPr>
          <w:rFonts w:ascii="Times New Roman" w:hAnsi="Times New Roman" w:cs="Times New Roman"/>
          <w:b w:val="0"/>
          <w:color w:val="212121"/>
          <w:sz w:val="24"/>
          <w:szCs w:val="24"/>
          <w:shd w:val="clear" w:color="auto" w:fill="FFFFFF"/>
          <w:lang w:val="ru-RU"/>
        </w:rPr>
        <w:t xml:space="preserve">-33 </w:t>
      </w:r>
      <w:r w:rsidRPr="001F2BB6">
        <w:rPr>
          <w:rFonts w:ascii="Times New Roman" w:hAnsi="Times New Roman" w:cs="Times New Roman"/>
          <w:b w:val="0"/>
          <w:color w:val="212121"/>
          <w:sz w:val="24"/>
          <w:szCs w:val="24"/>
          <w:shd w:val="clear" w:color="auto" w:fill="FFFFFF"/>
          <w:lang w:val="mk-MK"/>
        </w:rPr>
        <w:t xml:space="preserve">игра уога во патогенезата на </w:t>
      </w:r>
      <w:r w:rsidR="00F829B9">
        <w:rPr>
          <w:rFonts w:ascii="Times New Roman" w:hAnsi="Times New Roman" w:cs="Times New Roman"/>
          <w:b w:val="0"/>
          <w:sz w:val="24"/>
          <w:szCs w:val="24"/>
          <w:lang w:val="mk-MK"/>
        </w:rPr>
        <w:t>обезитет (199</w:t>
      </w:r>
      <w:r w:rsidRPr="001F2BB6">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r w:rsidRPr="001F2BB6">
        <w:rPr>
          <w:rFonts w:ascii="Times New Roman" w:hAnsi="Times New Roman" w:cs="Times New Roman"/>
          <w:b w:val="0"/>
          <w:color w:val="212121"/>
          <w:sz w:val="24"/>
          <w:szCs w:val="24"/>
          <w:shd w:val="clear" w:color="auto" w:fill="FFFFFF"/>
        </w:rPr>
        <w:t>IL</w:t>
      </w:r>
      <w:r w:rsidRPr="00A926CA">
        <w:rPr>
          <w:rFonts w:ascii="Times New Roman" w:hAnsi="Times New Roman" w:cs="Times New Roman"/>
          <w:b w:val="0"/>
          <w:color w:val="212121"/>
          <w:sz w:val="24"/>
          <w:szCs w:val="24"/>
          <w:shd w:val="clear" w:color="auto" w:fill="FFFFFF"/>
          <w:lang w:val="ru-RU"/>
        </w:rPr>
        <w:t xml:space="preserve">-33 </w:t>
      </w:r>
      <w:r w:rsidRPr="001F2BB6">
        <w:rPr>
          <w:rFonts w:ascii="Times New Roman" w:hAnsi="Times New Roman" w:cs="Times New Roman"/>
          <w:b w:val="0"/>
          <w:color w:val="212121"/>
          <w:sz w:val="24"/>
          <w:szCs w:val="24"/>
          <w:shd w:val="clear" w:color="auto" w:fill="FFFFFF"/>
          <w:lang w:val="mk-MK"/>
        </w:rPr>
        <w:t xml:space="preserve">ги активира </w:t>
      </w:r>
      <w:r w:rsidRPr="001F2BB6">
        <w:rPr>
          <w:rFonts w:ascii="Times New Roman" w:hAnsi="Times New Roman" w:cs="Times New Roman"/>
          <w:b w:val="0"/>
          <w:color w:val="212121"/>
          <w:sz w:val="24"/>
          <w:szCs w:val="24"/>
          <w:shd w:val="clear" w:color="auto" w:fill="FFFFFF"/>
        </w:rPr>
        <w:t>Th</w:t>
      </w:r>
      <w:r w:rsidRPr="00A926CA">
        <w:rPr>
          <w:rFonts w:ascii="Times New Roman" w:hAnsi="Times New Roman" w:cs="Times New Roman"/>
          <w:b w:val="0"/>
          <w:color w:val="212121"/>
          <w:sz w:val="24"/>
          <w:szCs w:val="24"/>
          <w:shd w:val="clear" w:color="auto" w:fill="FFFFFF"/>
          <w:lang w:val="ru-RU"/>
        </w:rPr>
        <w:t xml:space="preserve">2 </w:t>
      </w:r>
      <w:r w:rsidRPr="001F2BB6">
        <w:rPr>
          <w:rFonts w:ascii="Times New Roman" w:hAnsi="Times New Roman" w:cs="Times New Roman"/>
          <w:b w:val="0"/>
          <w:color w:val="212121"/>
          <w:sz w:val="24"/>
          <w:szCs w:val="24"/>
          <w:shd w:val="clear" w:color="auto" w:fill="FFFFFF"/>
          <w:lang w:val="mk-MK"/>
        </w:rPr>
        <w:t>клетките и М2</w:t>
      </w:r>
      <w:r w:rsidRPr="00A926CA">
        <w:rPr>
          <w:rFonts w:ascii="Times New Roman" w:hAnsi="Times New Roman" w:cs="Times New Roman"/>
          <w:b w:val="0"/>
          <w:color w:val="212121"/>
          <w:sz w:val="24"/>
          <w:szCs w:val="24"/>
          <w:shd w:val="clear" w:color="auto" w:fill="FFFFFF"/>
          <w:lang w:val="ru-RU"/>
        </w:rPr>
        <w:t>-</w:t>
      </w:r>
      <w:r w:rsidRPr="001F2BB6">
        <w:rPr>
          <w:rFonts w:ascii="Times New Roman" w:hAnsi="Times New Roman" w:cs="Times New Roman"/>
          <w:b w:val="0"/>
          <w:color w:val="212121"/>
          <w:sz w:val="24"/>
          <w:szCs w:val="24"/>
          <w:shd w:val="clear" w:color="auto" w:fill="FFFFFF"/>
          <w:lang w:val="mk-MK"/>
        </w:rPr>
        <w:t>макрофаги</w:t>
      </w:r>
      <w:r w:rsidRPr="00A926CA">
        <w:rPr>
          <w:rFonts w:ascii="Times New Roman" w:hAnsi="Times New Roman" w:cs="Times New Roman"/>
          <w:b w:val="0"/>
          <w:color w:val="212121"/>
          <w:sz w:val="24"/>
          <w:szCs w:val="24"/>
          <w:shd w:val="clear" w:color="auto" w:fill="FFFFFF"/>
          <w:lang w:val="ru-RU"/>
        </w:rPr>
        <w:t xml:space="preserve"> </w:t>
      </w:r>
      <w:r w:rsidRPr="001F2BB6">
        <w:rPr>
          <w:rFonts w:ascii="Times New Roman" w:hAnsi="Times New Roman" w:cs="Times New Roman"/>
          <w:b w:val="0"/>
          <w:color w:val="212121"/>
          <w:sz w:val="24"/>
          <w:szCs w:val="24"/>
          <w:shd w:val="clear" w:color="auto" w:fill="FFFFFF"/>
          <w:lang w:val="mk-MK"/>
        </w:rPr>
        <w:t>и ја редуцира хроничната и</w:t>
      </w:r>
      <w:r w:rsidR="00F829B9">
        <w:rPr>
          <w:rFonts w:ascii="Times New Roman" w:hAnsi="Times New Roman" w:cs="Times New Roman"/>
          <w:b w:val="0"/>
          <w:color w:val="212121"/>
          <w:sz w:val="24"/>
          <w:szCs w:val="24"/>
          <w:shd w:val="clear" w:color="auto" w:fill="FFFFFF"/>
          <w:lang w:val="mk-MK"/>
        </w:rPr>
        <w:t>нфламација на масното ткиво (200</w:t>
      </w:r>
      <w:r w:rsidRPr="001F2BB6">
        <w:rPr>
          <w:rFonts w:ascii="Times New Roman" w:hAnsi="Times New Roman" w:cs="Times New Roman"/>
          <w:b w:val="0"/>
          <w:color w:val="212121"/>
          <w:sz w:val="24"/>
          <w:szCs w:val="24"/>
          <w:shd w:val="clear" w:color="auto" w:fill="FFFFFF"/>
          <w:lang w:val="mk-MK"/>
        </w:rPr>
        <w:t>).</w:t>
      </w:r>
      <w:r w:rsidRPr="001F2BB6">
        <w:rPr>
          <w:rFonts w:ascii="Times New Roman" w:hAnsi="Times New Roman" w:cs="Times New Roman"/>
          <w:b w:val="0"/>
          <w:color w:val="212121"/>
          <w:sz w:val="24"/>
          <w:szCs w:val="24"/>
          <w:lang w:val="mk-MK"/>
        </w:rPr>
        <w:t xml:space="preserve"> </w:t>
      </w:r>
      <w:r w:rsidRPr="001F2BB6">
        <w:rPr>
          <w:rFonts w:ascii="Times New Roman" w:hAnsi="Times New Roman" w:cs="Times New Roman"/>
          <w:b w:val="0"/>
          <w:color w:val="212121"/>
          <w:sz w:val="24"/>
          <w:szCs w:val="24"/>
        </w:rPr>
        <w:t>IL</w:t>
      </w:r>
      <w:r w:rsidRPr="00A926CA">
        <w:rPr>
          <w:rFonts w:ascii="Times New Roman" w:hAnsi="Times New Roman" w:cs="Times New Roman"/>
          <w:b w:val="0"/>
          <w:color w:val="212121"/>
          <w:sz w:val="24"/>
          <w:szCs w:val="24"/>
          <w:lang w:val="ru-RU"/>
        </w:rPr>
        <w:t xml:space="preserve">-33 </w:t>
      </w:r>
      <w:r w:rsidRPr="001F2BB6">
        <w:rPr>
          <w:rFonts w:ascii="Times New Roman" w:hAnsi="Times New Roman" w:cs="Times New Roman"/>
          <w:b w:val="0"/>
          <w:color w:val="212121"/>
          <w:sz w:val="24"/>
          <w:szCs w:val="24"/>
          <w:lang w:val="mk-MK"/>
        </w:rPr>
        <w:t xml:space="preserve">влијае неповолно врз </w:t>
      </w:r>
      <w:r w:rsidRPr="001F2BB6">
        <w:rPr>
          <w:rFonts w:ascii="Times New Roman" w:hAnsi="Times New Roman" w:cs="Times New Roman"/>
          <w:b w:val="0"/>
          <w:color w:val="212121"/>
          <w:sz w:val="24"/>
          <w:szCs w:val="24"/>
        </w:rPr>
        <w:t>ADAMTS</w:t>
      </w:r>
      <w:r w:rsidRPr="00A926CA">
        <w:rPr>
          <w:rFonts w:ascii="Times New Roman" w:hAnsi="Times New Roman" w:cs="Times New Roman"/>
          <w:b w:val="0"/>
          <w:color w:val="212121"/>
          <w:sz w:val="24"/>
          <w:szCs w:val="24"/>
          <w:lang w:val="ru-RU"/>
        </w:rPr>
        <w:t xml:space="preserve"> </w:t>
      </w:r>
      <w:r w:rsidRPr="001F2BB6">
        <w:rPr>
          <w:rFonts w:ascii="Times New Roman" w:hAnsi="Times New Roman" w:cs="Times New Roman"/>
          <w:b w:val="0"/>
          <w:color w:val="212121"/>
          <w:sz w:val="24"/>
          <w:szCs w:val="24"/>
          <w:lang w:val="mk-MK"/>
        </w:rPr>
        <w:t xml:space="preserve">металопротеазите во макрофагите преку </w:t>
      </w:r>
      <w:r w:rsidRPr="001F2BB6">
        <w:rPr>
          <w:rFonts w:ascii="Times New Roman" w:hAnsi="Times New Roman" w:cs="Times New Roman"/>
          <w:b w:val="0"/>
          <w:color w:val="212121"/>
          <w:sz w:val="24"/>
          <w:szCs w:val="24"/>
        </w:rPr>
        <w:t>ERK</w:t>
      </w:r>
      <w:r w:rsidRPr="00A926CA">
        <w:rPr>
          <w:rFonts w:ascii="Times New Roman" w:hAnsi="Times New Roman" w:cs="Times New Roman"/>
          <w:b w:val="0"/>
          <w:color w:val="212121"/>
          <w:sz w:val="24"/>
          <w:szCs w:val="24"/>
          <w:lang w:val="ru-RU"/>
        </w:rPr>
        <w:t xml:space="preserve">-1/2, </w:t>
      </w:r>
      <w:r w:rsidRPr="001F2BB6">
        <w:rPr>
          <w:rFonts w:ascii="Times New Roman" w:hAnsi="Times New Roman" w:cs="Times New Roman"/>
          <w:b w:val="0"/>
          <w:color w:val="212121"/>
          <w:sz w:val="24"/>
          <w:szCs w:val="24"/>
        </w:rPr>
        <w:t>PI</w:t>
      </w:r>
      <w:r w:rsidRPr="00A926CA">
        <w:rPr>
          <w:rFonts w:ascii="Times New Roman" w:hAnsi="Times New Roman" w:cs="Times New Roman"/>
          <w:b w:val="0"/>
          <w:color w:val="212121"/>
          <w:sz w:val="24"/>
          <w:szCs w:val="24"/>
          <w:lang w:val="ru-RU"/>
        </w:rPr>
        <w:t>3</w:t>
      </w:r>
      <w:r w:rsidRPr="001F2BB6">
        <w:rPr>
          <w:rFonts w:ascii="Times New Roman" w:hAnsi="Times New Roman" w:cs="Times New Roman"/>
          <w:b w:val="0"/>
          <w:color w:val="212121"/>
          <w:sz w:val="24"/>
          <w:szCs w:val="24"/>
        </w:rPr>
        <w:t>Kγ</w:t>
      </w:r>
      <w:r w:rsidRPr="00A926CA">
        <w:rPr>
          <w:rFonts w:ascii="Times New Roman" w:hAnsi="Times New Roman" w:cs="Times New Roman"/>
          <w:b w:val="0"/>
          <w:color w:val="212121"/>
          <w:sz w:val="24"/>
          <w:szCs w:val="24"/>
          <w:lang w:val="ru-RU"/>
        </w:rPr>
        <w:t>/</w:t>
      </w:r>
      <w:r w:rsidRPr="001F2BB6">
        <w:rPr>
          <w:rFonts w:ascii="Times New Roman" w:hAnsi="Times New Roman" w:cs="Times New Roman"/>
          <w:b w:val="0"/>
          <w:color w:val="212121"/>
          <w:sz w:val="24"/>
          <w:szCs w:val="24"/>
        </w:rPr>
        <w:t>δ</w:t>
      </w:r>
      <w:r w:rsidRPr="00A926CA">
        <w:rPr>
          <w:rFonts w:ascii="Times New Roman" w:hAnsi="Times New Roman" w:cs="Times New Roman"/>
          <w:b w:val="0"/>
          <w:color w:val="212121"/>
          <w:sz w:val="24"/>
          <w:szCs w:val="24"/>
          <w:lang w:val="ru-RU"/>
        </w:rPr>
        <w:t xml:space="preserve"> </w:t>
      </w:r>
      <w:r w:rsidRPr="001F2BB6">
        <w:rPr>
          <w:rFonts w:ascii="Times New Roman" w:hAnsi="Times New Roman" w:cs="Times New Roman"/>
          <w:b w:val="0"/>
          <w:color w:val="212121"/>
          <w:sz w:val="24"/>
          <w:szCs w:val="24"/>
          <w:lang w:val="mk-MK"/>
        </w:rPr>
        <w:t xml:space="preserve">и </w:t>
      </w:r>
      <w:r w:rsidRPr="001F2BB6">
        <w:rPr>
          <w:rFonts w:ascii="Times New Roman" w:hAnsi="Times New Roman" w:cs="Times New Roman"/>
          <w:b w:val="0"/>
          <w:color w:val="212121"/>
          <w:sz w:val="24"/>
          <w:szCs w:val="24"/>
        </w:rPr>
        <w:t>JNK</w:t>
      </w:r>
      <w:r w:rsidRPr="00A926CA">
        <w:rPr>
          <w:rFonts w:ascii="Times New Roman" w:hAnsi="Times New Roman" w:cs="Times New Roman"/>
          <w:b w:val="0"/>
          <w:color w:val="212121"/>
          <w:sz w:val="24"/>
          <w:szCs w:val="24"/>
          <w:lang w:val="ru-RU"/>
        </w:rPr>
        <w:t>-</w:t>
      </w:r>
      <w:r w:rsidRPr="001F2BB6">
        <w:rPr>
          <w:rFonts w:ascii="Times New Roman" w:hAnsi="Times New Roman" w:cs="Times New Roman"/>
          <w:b w:val="0"/>
          <w:color w:val="212121"/>
          <w:sz w:val="24"/>
          <w:szCs w:val="24"/>
        </w:rPr>
        <w:t>c</w:t>
      </w:r>
      <w:r w:rsidRPr="00A926CA">
        <w:rPr>
          <w:rFonts w:ascii="Times New Roman" w:hAnsi="Times New Roman" w:cs="Times New Roman"/>
          <w:b w:val="0"/>
          <w:color w:val="212121"/>
          <w:sz w:val="24"/>
          <w:szCs w:val="24"/>
          <w:lang w:val="ru-RU"/>
        </w:rPr>
        <w:t>-</w:t>
      </w:r>
      <w:r w:rsidRPr="001F2BB6">
        <w:rPr>
          <w:rFonts w:ascii="Times New Roman" w:hAnsi="Times New Roman" w:cs="Times New Roman"/>
          <w:b w:val="0"/>
          <w:color w:val="212121"/>
          <w:sz w:val="24"/>
          <w:szCs w:val="24"/>
        </w:rPr>
        <w:t>Jun</w:t>
      </w:r>
      <w:r w:rsidRPr="00A926CA">
        <w:rPr>
          <w:rFonts w:ascii="Times New Roman" w:hAnsi="Times New Roman" w:cs="Times New Roman"/>
          <w:b w:val="0"/>
          <w:color w:val="212121"/>
          <w:sz w:val="24"/>
          <w:szCs w:val="24"/>
          <w:lang w:val="ru-RU"/>
        </w:rPr>
        <w:t xml:space="preserve"> </w:t>
      </w:r>
      <w:r w:rsidR="00F829B9">
        <w:rPr>
          <w:rFonts w:ascii="Times New Roman" w:hAnsi="Times New Roman" w:cs="Times New Roman"/>
          <w:b w:val="0"/>
          <w:color w:val="212121"/>
          <w:sz w:val="24"/>
          <w:szCs w:val="24"/>
          <w:lang w:val="mk-MK"/>
        </w:rPr>
        <w:t>патиштата на сигнализација (201</w:t>
      </w:r>
      <w:r w:rsidRPr="001F2BB6">
        <w:rPr>
          <w:rFonts w:ascii="Times New Roman" w:hAnsi="Times New Roman" w:cs="Times New Roman"/>
          <w:b w:val="0"/>
          <w:color w:val="212121"/>
          <w:sz w:val="24"/>
          <w:szCs w:val="24"/>
          <w:lang w:val="mk-MK"/>
        </w:rPr>
        <w:t>).</w:t>
      </w:r>
    </w:p>
    <w:p w:rsidR="00B9792F" w:rsidRPr="001F2BB6" w:rsidRDefault="00B9792F" w:rsidP="00421E8E">
      <w:pPr>
        <w:shd w:val="clear" w:color="auto" w:fill="FFFFFF"/>
        <w:spacing w:before="200"/>
        <w:rPr>
          <w:rFonts w:ascii="Times New Roman" w:hAnsi="Times New Roman" w:cs="Times New Roman"/>
          <w:color w:val="212121"/>
          <w:sz w:val="24"/>
          <w:szCs w:val="24"/>
        </w:rPr>
      </w:pPr>
      <w:r w:rsidRPr="001F2BB6">
        <w:rPr>
          <w:rFonts w:ascii="Times New Roman" w:hAnsi="Times New Roman" w:cs="Times New Roman"/>
          <w:color w:val="212121"/>
          <w:sz w:val="24"/>
          <w:szCs w:val="24"/>
          <w:shd w:val="clear" w:color="auto" w:fill="FFFFFF"/>
        </w:rPr>
        <w:t xml:space="preserve"> IL-33 влијае стимулативно на астматични и алергични инфламации на кожата, гастро-интестиналниот тракт и белите дробови, односно истите егзацербираат заради активација на базофили, еозинофили, маст клетки, дендритични клетки, макрофаги и ILC2 (вродени лимфоидни клетки) под влијание на неговиот рецептор ST2, односно Th2 клетките под чие што влијание се продуцираат цитокини од различните видови на клетки (</w:t>
      </w:r>
      <w:r w:rsidR="00F829B9">
        <w:rPr>
          <w:rFonts w:ascii="Times New Roman" w:hAnsi="Times New Roman" w:cs="Times New Roman"/>
          <w:color w:val="212121"/>
          <w:sz w:val="24"/>
          <w:szCs w:val="24"/>
          <w:shd w:val="clear" w:color="auto" w:fill="FFFFFF"/>
        </w:rPr>
        <w:t>202,203,204,205</w:t>
      </w:r>
      <w:r w:rsidRPr="001F2BB6">
        <w:rPr>
          <w:rFonts w:ascii="Times New Roman" w:hAnsi="Times New Roman" w:cs="Times New Roman"/>
          <w:color w:val="212121"/>
          <w:sz w:val="24"/>
          <w:szCs w:val="24"/>
          <w:shd w:val="clear" w:color="auto" w:fill="FFFFFF"/>
        </w:rPr>
        <w:t xml:space="preserve">). </w:t>
      </w:r>
      <w:r w:rsidRPr="001F2BB6">
        <w:rPr>
          <w:rFonts w:ascii="Times New Roman" w:hAnsi="Times New Roman" w:cs="Times New Roman"/>
          <w:color w:val="212121"/>
          <w:sz w:val="24"/>
          <w:szCs w:val="24"/>
        </w:rPr>
        <w:t>Во ендотелните клетки, IL-33 преку ST2/TRAF6 патеката на сигнализација, ја зголемува продукцијата ICAM1 и VCA</w:t>
      </w:r>
      <w:r w:rsidR="008D6018">
        <w:rPr>
          <w:rFonts w:ascii="Times New Roman" w:hAnsi="Times New Roman" w:cs="Times New Roman"/>
          <w:color w:val="212121"/>
          <w:sz w:val="24"/>
          <w:szCs w:val="24"/>
        </w:rPr>
        <w:t xml:space="preserve">M, </w:t>
      </w:r>
      <w:r w:rsidRPr="001F2BB6">
        <w:rPr>
          <w:rFonts w:ascii="Times New Roman" w:hAnsi="Times New Roman" w:cs="Times New Roman"/>
          <w:color w:val="212121"/>
          <w:sz w:val="24"/>
          <w:szCs w:val="24"/>
        </w:rPr>
        <w:t>а воедно и</w:t>
      </w:r>
      <w:r w:rsidR="008D6018">
        <w:rPr>
          <w:rFonts w:ascii="Times New Roman" w:hAnsi="Times New Roman" w:cs="Times New Roman"/>
          <w:color w:val="212121"/>
          <w:sz w:val="24"/>
          <w:szCs w:val="24"/>
        </w:rPr>
        <w:t xml:space="preserve"> ја стимулира продукцијата на азот моноксид</w:t>
      </w:r>
      <w:r w:rsidR="008D6018">
        <w:rPr>
          <w:rFonts w:ascii="Times New Roman" w:hAnsi="Times New Roman" w:cs="Times New Roman"/>
          <w:color w:val="212121"/>
          <w:sz w:val="24"/>
          <w:szCs w:val="24"/>
          <w:lang w:val="en-US"/>
        </w:rPr>
        <w:t xml:space="preserve"> </w:t>
      </w:r>
      <w:r w:rsidRPr="001F2BB6">
        <w:rPr>
          <w:rFonts w:ascii="Times New Roman" w:hAnsi="Times New Roman" w:cs="Times New Roman"/>
          <w:color w:val="212121"/>
          <w:sz w:val="24"/>
          <w:szCs w:val="24"/>
        </w:rPr>
        <w:t>во ендотелот. Тоа пак, од друга страна, ја зголемува ангиогенезата и васкуларната пермеабилност. Кај пациенти со астма и хронична опструктивна белодробна болест, чадот од цигари и останатите алергени, ја влошуваат нивната состојба, преку зг</w:t>
      </w:r>
      <w:r w:rsidR="00F829B9">
        <w:rPr>
          <w:rFonts w:ascii="Times New Roman" w:hAnsi="Times New Roman" w:cs="Times New Roman"/>
          <w:color w:val="212121"/>
          <w:sz w:val="24"/>
          <w:szCs w:val="24"/>
        </w:rPr>
        <w:t>олемена експресија на IL-33 (206</w:t>
      </w:r>
      <w:r w:rsidRPr="001F2BB6">
        <w:rPr>
          <w:rFonts w:ascii="Times New Roman" w:hAnsi="Times New Roman" w:cs="Times New Roman"/>
          <w:color w:val="212121"/>
          <w:sz w:val="24"/>
          <w:szCs w:val="24"/>
        </w:rPr>
        <w:t>).</w:t>
      </w:r>
    </w:p>
    <w:p w:rsidR="00B9792F" w:rsidRPr="001F2BB6" w:rsidRDefault="00B9792F" w:rsidP="00421E8E">
      <w:pPr>
        <w:shd w:val="clear" w:color="auto" w:fill="FFFFFF"/>
        <w:spacing w:before="200"/>
        <w:rPr>
          <w:rFonts w:ascii="Times New Roman" w:hAnsi="Times New Roman" w:cs="Times New Roman"/>
          <w:color w:val="212121"/>
          <w:sz w:val="24"/>
          <w:szCs w:val="24"/>
        </w:rPr>
      </w:pPr>
      <w:r w:rsidRPr="001F2BB6">
        <w:rPr>
          <w:rFonts w:ascii="Times New Roman" w:hAnsi="Times New Roman" w:cs="Times New Roman"/>
          <w:sz w:val="24"/>
          <w:szCs w:val="24"/>
        </w:rPr>
        <w:t>Нивоата на солубилниот ST2 протеин и IL-33 mRNA/протеин се зголемени во серум и ткивен при</w:t>
      </w:r>
      <w:r w:rsidR="00F829B9">
        <w:rPr>
          <w:rFonts w:ascii="Times New Roman" w:hAnsi="Times New Roman" w:cs="Times New Roman"/>
          <w:sz w:val="24"/>
          <w:szCs w:val="24"/>
        </w:rPr>
        <w:t>мерок кај пациенти со астма (191</w:t>
      </w:r>
      <w:r w:rsidRPr="001F2BB6">
        <w:rPr>
          <w:rFonts w:ascii="Times New Roman" w:hAnsi="Times New Roman" w:cs="Times New Roman"/>
          <w:sz w:val="24"/>
          <w:szCs w:val="24"/>
        </w:rPr>
        <w:t>,</w:t>
      </w:r>
      <w:r w:rsidR="00F829B9">
        <w:rPr>
          <w:rFonts w:ascii="Times New Roman" w:hAnsi="Times New Roman" w:cs="Times New Roman"/>
          <w:sz w:val="24"/>
          <w:szCs w:val="24"/>
        </w:rPr>
        <w:t>207,208,209</w:t>
      </w:r>
      <w:r w:rsidRPr="001F2BB6">
        <w:rPr>
          <w:rFonts w:ascii="Times New Roman" w:hAnsi="Times New Roman" w:cs="Times New Roman"/>
          <w:sz w:val="24"/>
          <w:szCs w:val="24"/>
        </w:rPr>
        <w:t>). Студии реализирани на ниво на геном, идентификувале полиморфизам кај ST2 и/или IL-33 гените кај пациенти со астма, што оди во прилог кон зголемена предиспонираност кон овој вид на заболување (</w:t>
      </w:r>
      <w:r w:rsidR="00F829B9">
        <w:rPr>
          <w:rFonts w:ascii="Times New Roman" w:hAnsi="Times New Roman" w:cs="Times New Roman"/>
          <w:sz w:val="24"/>
          <w:szCs w:val="24"/>
        </w:rPr>
        <w:t>210,211,212</w:t>
      </w:r>
      <w:r w:rsidRPr="001F2BB6">
        <w:rPr>
          <w:rFonts w:ascii="Times New Roman" w:hAnsi="Times New Roman" w:cs="Times New Roman"/>
          <w:sz w:val="24"/>
          <w:szCs w:val="24"/>
        </w:rPr>
        <w:t>). Интраперитонеална или интраназална администрација на IL-33 кај глувци, индуцира инфламација со доминантна еозинофилија во пулмоналната и интестинална мукоза преку патеки на сигнализација зависни од IL-13 и STAT</w:t>
      </w:r>
      <w:r w:rsidR="00F829B9">
        <w:rPr>
          <w:rFonts w:ascii="Times New Roman" w:hAnsi="Times New Roman" w:cs="Times New Roman"/>
          <w:sz w:val="24"/>
          <w:szCs w:val="24"/>
        </w:rPr>
        <w:t>6 (101,213</w:t>
      </w:r>
      <w:r w:rsidRPr="001F2BB6">
        <w:rPr>
          <w:rFonts w:ascii="Times New Roman" w:hAnsi="Times New Roman" w:cs="Times New Roman"/>
          <w:sz w:val="24"/>
          <w:szCs w:val="24"/>
        </w:rPr>
        <w:t xml:space="preserve">). Нивоата на солубилниот ST2 протеин и IL-33 mRNA покачени се во серум и бели дробови, кај глувци со астма при инфламација индуцирана </w:t>
      </w:r>
      <w:r w:rsidR="00F829B9">
        <w:rPr>
          <w:rFonts w:ascii="Times New Roman" w:hAnsi="Times New Roman" w:cs="Times New Roman"/>
          <w:sz w:val="24"/>
          <w:szCs w:val="24"/>
        </w:rPr>
        <w:t>од страна на Oвалбумин (OVA)</w:t>
      </w:r>
      <w:r w:rsidR="008D6018">
        <w:rPr>
          <w:rFonts w:ascii="Times New Roman" w:hAnsi="Times New Roman" w:cs="Times New Roman"/>
          <w:sz w:val="24"/>
          <w:szCs w:val="24"/>
          <w:lang w:val="en-US"/>
        </w:rPr>
        <w:t xml:space="preserve"> </w:t>
      </w:r>
      <w:r w:rsidR="00F829B9">
        <w:rPr>
          <w:rFonts w:ascii="Times New Roman" w:hAnsi="Times New Roman" w:cs="Times New Roman"/>
          <w:sz w:val="24"/>
          <w:szCs w:val="24"/>
        </w:rPr>
        <w:t>(214,215</w:t>
      </w:r>
      <w:r w:rsidRPr="001F2BB6">
        <w:rPr>
          <w:rFonts w:ascii="Times New Roman" w:hAnsi="Times New Roman" w:cs="Times New Roman"/>
          <w:sz w:val="24"/>
          <w:szCs w:val="24"/>
        </w:rPr>
        <w:t>). Сепак улогата на ST2 и IL-33 во индукцијата на инфламација на дишните патишта предизвикана од Овалабумин останува енигма.</w:t>
      </w:r>
    </w:p>
    <w:p w:rsidR="00B9792F" w:rsidRPr="001F2BB6" w:rsidRDefault="00B9792F" w:rsidP="00421E8E">
      <w:pPr>
        <w:shd w:val="clear" w:color="auto" w:fill="FFFFFF"/>
        <w:spacing w:before="200"/>
        <w:rPr>
          <w:rFonts w:ascii="Times New Roman" w:hAnsi="Times New Roman" w:cs="Times New Roman"/>
          <w:color w:val="212121"/>
          <w:sz w:val="24"/>
          <w:szCs w:val="24"/>
        </w:rPr>
      </w:pPr>
      <w:r w:rsidRPr="001F2BB6">
        <w:rPr>
          <w:rFonts w:ascii="Times New Roman" w:hAnsi="Times New Roman" w:cs="Times New Roman"/>
          <w:color w:val="212121"/>
          <w:sz w:val="24"/>
          <w:szCs w:val="24"/>
        </w:rPr>
        <w:t>IL-33, всушност има паракрина улога и ја зголемува експресијата на IL-6 и IL-8 во HBE</w:t>
      </w:r>
      <w:r w:rsidR="008D6018">
        <w:rPr>
          <w:rFonts w:ascii="Times New Roman" w:hAnsi="Times New Roman" w:cs="Times New Roman"/>
          <w:color w:val="212121"/>
          <w:sz w:val="24"/>
          <w:szCs w:val="24"/>
        </w:rPr>
        <w:t xml:space="preserve"> и PBM на </w:t>
      </w:r>
      <w:r w:rsidRPr="001F2BB6">
        <w:rPr>
          <w:rFonts w:ascii="Times New Roman" w:hAnsi="Times New Roman" w:cs="Times New Roman"/>
          <w:color w:val="212121"/>
          <w:sz w:val="24"/>
          <w:szCs w:val="24"/>
        </w:rPr>
        <w:t>клеткитe кај пациенти со хронично опструктивно белодробно заболување  преку  ST2/IL-1RacP и MAPKs патишта на сигнализација</w:t>
      </w:r>
      <w:r w:rsidR="00F829B9">
        <w:rPr>
          <w:rFonts w:ascii="Times New Roman" w:hAnsi="Times New Roman" w:cs="Times New Roman"/>
          <w:color w:val="212121"/>
          <w:sz w:val="24"/>
          <w:szCs w:val="24"/>
        </w:rPr>
        <w:t xml:space="preserve"> (216</w:t>
      </w:r>
      <w:r w:rsidRPr="001F2BB6">
        <w:rPr>
          <w:rFonts w:ascii="Times New Roman" w:hAnsi="Times New Roman" w:cs="Times New Roman"/>
          <w:color w:val="212121"/>
          <w:sz w:val="24"/>
          <w:szCs w:val="24"/>
        </w:rPr>
        <w:t>).</w:t>
      </w:r>
    </w:p>
    <w:p w:rsidR="00B9792F" w:rsidRPr="001F2BB6" w:rsidRDefault="00B9792F" w:rsidP="00421E8E">
      <w:pPr>
        <w:shd w:val="clear" w:color="auto" w:fill="FFFFFF"/>
        <w:spacing w:before="200"/>
        <w:rPr>
          <w:rFonts w:ascii="Times New Roman" w:hAnsi="Times New Roman" w:cs="Times New Roman"/>
          <w:color w:val="212121"/>
          <w:sz w:val="24"/>
          <w:szCs w:val="24"/>
        </w:rPr>
      </w:pPr>
      <w:r w:rsidRPr="001F2BB6">
        <w:rPr>
          <w:rFonts w:ascii="Times New Roman" w:hAnsi="Times New Roman" w:cs="Times New Roman"/>
          <w:sz w:val="24"/>
          <w:szCs w:val="24"/>
        </w:rPr>
        <w:t>Прекумерна експресија на IL-33, индуцира хронично опструк</w:t>
      </w:r>
      <w:r w:rsidR="004A7300">
        <w:rPr>
          <w:rFonts w:ascii="Times New Roman" w:hAnsi="Times New Roman" w:cs="Times New Roman"/>
          <w:sz w:val="24"/>
          <w:szCs w:val="24"/>
        </w:rPr>
        <w:t>тивно белодробно заболување (217</w:t>
      </w:r>
      <w:r w:rsidRPr="001F2BB6">
        <w:rPr>
          <w:rFonts w:ascii="Times New Roman" w:hAnsi="Times New Roman" w:cs="Times New Roman"/>
          <w:sz w:val="24"/>
          <w:szCs w:val="24"/>
        </w:rPr>
        <w:t>) .</w:t>
      </w:r>
    </w:p>
    <w:p w:rsidR="00AB0154" w:rsidRDefault="00AB0154" w:rsidP="00421E8E">
      <w:pPr>
        <w:shd w:val="clear" w:color="auto" w:fill="FFFFFF"/>
        <w:rPr>
          <w:rFonts w:ascii="Times New Roman" w:hAnsi="Times New Roman" w:cs="Times New Roman"/>
          <w:color w:val="212121"/>
          <w:sz w:val="24"/>
          <w:szCs w:val="24"/>
          <w:shd w:val="clear" w:color="auto" w:fill="FFFFFF"/>
        </w:rPr>
      </w:pPr>
    </w:p>
    <w:p w:rsidR="00AB0154" w:rsidRDefault="00AB0154" w:rsidP="00421E8E">
      <w:pPr>
        <w:shd w:val="clear" w:color="auto" w:fill="FFFFFF"/>
        <w:rPr>
          <w:rFonts w:ascii="Times New Roman" w:hAnsi="Times New Roman" w:cs="Times New Roman"/>
          <w:color w:val="212121"/>
          <w:sz w:val="24"/>
          <w:szCs w:val="24"/>
          <w:shd w:val="clear" w:color="auto" w:fill="FFFFFF"/>
        </w:rPr>
      </w:pPr>
    </w:p>
    <w:p w:rsidR="00AB0154" w:rsidRDefault="00AB0154" w:rsidP="00421E8E">
      <w:pPr>
        <w:shd w:val="clear" w:color="auto" w:fill="FFFFFF"/>
        <w:rPr>
          <w:rFonts w:ascii="Times New Roman" w:hAnsi="Times New Roman" w:cs="Times New Roman"/>
          <w:color w:val="212121"/>
          <w:sz w:val="24"/>
          <w:szCs w:val="24"/>
          <w:shd w:val="clear" w:color="auto" w:fill="FFFFFF"/>
        </w:rPr>
      </w:pPr>
    </w:p>
    <w:p w:rsidR="00AB0154" w:rsidRDefault="00AB0154" w:rsidP="00421E8E">
      <w:pPr>
        <w:shd w:val="clear" w:color="auto" w:fill="FFFFFF"/>
        <w:rPr>
          <w:rFonts w:ascii="Times New Roman" w:hAnsi="Times New Roman" w:cs="Times New Roman"/>
          <w:color w:val="212121"/>
          <w:sz w:val="24"/>
          <w:szCs w:val="24"/>
          <w:shd w:val="clear" w:color="auto" w:fill="FFFFFF"/>
        </w:rPr>
      </w:pPr>
    </w:p>
    <w:p w:rsidR="00B9792F" w:rsidRPr="001F2BB6" w:rsidRDefault="00B9792F" w:rsidP="00421E8E">
      <w:pPr>
        <w:shd w:val="clear" w:color="auto" w:fill="FFFFFF"/>
        <w:rPr>
          <w:rFonts w:ascii="Times New Roman" w:hAnsi="Times New Roman" w:cs="Times New Roman"/>
          <w:color w:val="212121"/>
          <w:sz w:val="24"/>
          <w:szCs w:val="24"/>
        </w:rPr>
      </w:pPr>
      <w:r w:rsidRPr="001F2BB6">
        <w:rPr>
          <w:rFonts w:ascii="Times New Roman" w:hAnsi="Times New Roman" w:cs="Times New Roman"/>
          <w:color w:val="212121"/>
          <w:sz w:val="24"/>
          <w:szCs w:val="24"/>
          <w:shd w:val="clear" w:color="auto" w:fill="FFFFFF"/>
        </w:rPr>
        <w:t>Пациентите со генерализирана пародонтопатија имаат покачено ниво на IL-33 во ги</w:t>
      </w:r>
      <w:r w:rsidR="004A7300">
        <w:rPr>
          <w:rFonts w:ascii="Times New Roman" w:hAnsi="Times New Roman" w:cs="Times New Roman"/>
          <w:color w:val="212121"/>
          <w:sz w:val="24"/>
          <w:szCs w:val="24"/>
          <w:shd w:val="clear" w:color="auto" w:fill="FFFFFF"/>
        </w:rPr>
        <w:t>нгивалната течност и плазма (218</w:t>
      </w:r>
      <w:r w:rsidRPr="001F2BB6">
        <w:rPr>
          <w:rFonts w:ascii="Times New Roman" w:hAnsi="Times New Roman" w:cs="Times New Roman"/>
          <w:color w:val="212121"/>
          <w:sz w:val="24"/>
          <w:szCs w:val="24"/>
          <w:shd w:val="clear" w:color="auto" w:fill="FFFFFF"/>
        </w:rPr>
        <w:t>).</w:t>
      </w:r>
      <w:r w:rsidR="00627CF1">
        <w:rPr>
          <w:rFonts w:ascii="Times New Roman" w:hAnsi="Times New Roman" w:cs="Times New Roman"/>
          <w:color w:val="212121"/>
          <w:sz w:val="24"/>
          <w:szCs w:val="24"/>
          <w:shd w:val="clear" w:color="auto" w:fill="FFFFFF"/>
        </w:rPr>
        <w:t xml:space="preserve"> </w:t>
      </w:r>
      <w:r w:rsidRPr="001F2BB6">
        <w:rPr>
          <w:rFonts w:ascii="Times New Roman" w:hAnsi="Times New Roman" w:cs="Times New Roman"/>
          <w:color w:val="212121"/>
          <w:sz w:val="24"/>
          <w:szCs w:val="24"/>
          <w:shd w:val="clear" w:color="auto" w:fill="FFFFFF"/>
        </w:rPr>
        <w:t>Лезии во усната празнина кои се последица на Лихен планус, имаат голем број на апоптотични и инфламаторни клетки, високи нивоа на IFN-γ и IL-33, во споредба со неспецифични инфламаторни орални лезии, од кои што, исто така се разликуваат и с</w:t>
      </w:r>
      <w:r w:rsidR="004A7300">
        <w:rPr>
          <w:rFonts w:ascii="Times New Roman" w:hAnsi="Times New Roman" w:cs="Times New Roman"/>
          <w:color w:val="212121"/>
          <w:sz w:val="24"/>
          <w:szCs w:val="24"/>
          <w:shd w:val="clear" w:color="auto" w:fill="FFFFFF"/>
        </w:rPr>
        <w:t>поред присутната микробиота (219</w:t>
      </w:r>
      <w:r w:rsidRPr="001F2BB6">
        <w:rPr>
          <w:rFonts w:ascii="Times New Roman" w:hAnsi="Times New Roman" w:cs="Times New Roman"/>
          <w:color w:val="212121"/>
          <w:sz w:val="24"/>
          <w:szCs w:val="24"/>
          <w:shd w:val="clear" w:color="auto" w:fill="FFFFFF"/>
        </w:rPr>
        <w:t>). IL-33 исто така бележи висока експресија кај пациенти со хроничен апикален периодонтит. Се смета дека IL-33 влијае протективно врз коскена ресорпција и се смета дека претставува потенцијална таргет терапија за третман на хр</w:t>
      </w:r>
      <w:r w:rsidR="004A7300">
        <w:rPr>
          <w:rFonts w:ascii="Times New Roman" w:hAnsi="Times New Roman" w:cs="Times New Roman"/>
          <w:color w:val="212121"/>
          <w:sz w:val="24"/>
          <w:szCs w:val="24"/>
          <w:shd w:val="clear" w:color="auto" w:fill="FFFFFF"/>
        </w:rPr>
        <w:t>оничен апикален периодонтит (220</w:t>
      </w:r>
      <w:r w:rsidRPr="001F2BB6">
        <w:rPr>
          <w:rFonts w:ascii="Times New Roman" w:hAnsi="Times New Roman" w:cs="Times New Roman"/>
          <w:color w:val="212121"/>
          <w:sz w:val="24"/>
          <w:szCs w:val="24"/>
          <w:shd w:val="clear" w:color="auto" w:fill="FFFFFF"/>
        </w:rPr>
        <w:t>)</w:t>
      </w:r>
      <w:r w:rsidRPr="001F2BB6">
        <w:rPr>
          <w:rFonts w:ascii="Times New Roman" w:hAnsi="Times New Roman" w:cs="Times New Roman"/>
          <w:color w:val="000000"/>
          <w:sz w:val="24"/>
          <w:szCs w:val="24"/>
          <w:u w:color="FFFFFF"/>
        </w:rPr>
        <w:t>.</w:t>
      </w:r>
      <w:r w:rsidRPr="001F2BB6">
        <w:rPr>
          <w:rFonts w:ascii="Times New Roman" w:hAnsi="Times New Roman" w:cs="Times New Roman"/>
          <w:color w:val="212121"/>
          <w:sz w:val="24"/>
          <w:szCs w:val="24"/>
        </w:rPr>
        <w:t xml:space="preserve"> </w:t>
      </w:r>
    </w:p>
    <w:p w:rsidR="00B9792F" w:rsidRPr="001F2BB6" w:rsidRDefault="00B9792F" w:rsidP="00421E8E">
      <w:pPr>
        <w:rPr>
          <w:rFonts w:ascii="Times New Roman" w:hAnsi="Times New Roman" w:cs="Times New Roman"/>
          <w:sz w:val="24"/>
          <w:szCs w:val="24"/>
        </w:rPr>
      </w:pPr>
      <w:r w:rsidRPr="001F2BB6">
        <w:rPr>
          <w:rFonts w:ascii="Times New Roman" w:hAnsi="Times New Roman" w:cs="Times New Roman"/>
          <w:color w:val="000000"/>
          <w:kern w:val="24"/>
          <w:sz w:val="24"/>
          <w:szCs w:val="24"/>
        </w:rPr>
        <w:t xml:space="preserve">Експресијата на IL-33 и неговиот рецептор е зголемена во серум и примероци од саливарно ткиво кај пациенти </w:t>
      </w:r>
      <w:r w:rsidR="004A7300">
        <w:rPr>
          <w:rFonts w:ascii="Times New Roman" w:hAnsi="Times New Roman" w:cs="Times New Roman"/>
          <w:color w:val="000000"/>
          <w:kern w:val="24"/>
          <w:sz w:val="24"/>
          <w:szCs w:val="24"/>
        </w:rPr>
        <w:t>со примарен Сјогрен Синдром (221</w:t>
      </w:r>
      <w:r w:rsidRPr="001F2BB6">
        <w:rPr>
          <w:rFonts w:ascii="Times New Roman" w:hAnsi="Times New Roman" w:cs="Times New Roman"/>
          <w:color w:val="000000"/>
          <w:kern w:val="24"/>
          <w:sz w:val="24"/>
          <w:szCs w:val="24"/>
        </w:rPr>
        <w:t>).</w:t>
      </w:r>
      <w:r w:rsidRPr="001F2BB6">
        <w:rPr>
          <w:rFonts w:ascii="Times New Roman" w:hAnsi="Times New Roman" w:cs="Times New Roman"/>
          <w:color w:val="212121"/>
          <w:sz w:val="24"/>
          <w:szCs w:val="24"/>
        </w:rPr>
        <w:t xml:space="preserve"> Во акутна фаза на Сјогрен синдромот, маст клетките реагираат на тој начин што генерираат хемиски медијатори на инфламација, фактор на туморска некроза </w:t>
      </w:r>
      <w:r w:rsidRPr="001F2BB6">
        <w:rPr>
          <w:rFonts w:ascii="Times New Roman" w:hAnsi="Times New Roman" w:cs="Times New Roman"/>
          <w:color w:val="212121"/>
          <w:sz w:val="24"/>
          <w:szCs w:val="24"/>
          <w:shd w:val="clear" w:color="auto" w:fill="FFFFFF"/>
        </w:rPr>
        <w:t>(TNF) и други про-инфламаторни цитокини како што се IL-1 и IL-33. IL-33 предизвикува импресивни патолошки промени и инфилтрација на воспалителни клетки. Членовите на IL-1 фамилијата може да имаат паракрино и автокрино влијание, затоа што претставуваат причина за егзацербација на инфла</w:t>
      </w:r>
      <w:r w:rsidR="004A7300">
        <w:rPr>
          <w:rFonts w:ascii="Times New Roman" w:hAnsi="Times New Roman" w:cs="Times New Roman"/>
          <w:color w:val="212121"/>
          <w:sz w:val="24"/>
          <w:szCs w:val="24"/>
          <w:shd w:val="clear" w:color="auto" w:fill="FFFFFF"/>
        </w:rPr>
        <w:t>мација од автоимуна природа (222</w:t>
      </w:r>
      <w:r w:rsidRPr="001F2BB6">
        <w:rPr>
          <w:rFonts w:ascii="Times New Roman" w:hAnsi="Times New Roman" w:cs="Times New Roman"/>
          <w:color w:val="212121"/>
          <w:sz w:val="24"/>
          <w:szCs w:val="24"/>
          <w:shd w:val="clear" w:color="auto" w:fill="FFFFFF"/>
        </w:rPr>
        <w:t>).</w:t>
      </w:r>
      <w:r w:rsidRPr="001F2BB6">
        <w:rPr>
          <w:rFonts w:ascii="Times New Roman" w:hAnsi="Times New Roman" w:cs="Times New Roman"/>
          <w:sz w:val="24"/>
          <w:szCs w:val="24"/>
        </w:rPr>
        <w:t xml:space="preserve"> </w:t>
      </w:r>
    </w:p>
    <w:p w:rsidR="00B9792F" w:rsidRPr="001F2BB6" w:rsidRDefault="00B9792F" w:rsidP="00421E8E">
      <w:pPr>
        <w:shd w:val="clear" w:color="auto" w:fill="FFFFFF"/>
        <w:spacing w:before="200"/>
        <w:rPr>
          <w:rFonts w:ascii="Times New Roman" w:hAnsi="Times New Roman" w:cs="Times New Roman"/>
          <w:sz w:val="24"/>
          <w:szCs w:val="24"/>
        </w:rPr>
      </w:pPr>
      <w:r w:rsidRPr="001F2BB6">
        <w:rPr>
          <w:rFonts w:ascii="Times New Roman" w:hAnsi="Times New Roman" w:cs="Times New Roman"/>
          <w:color w:val="212121"/>
          <w:sz w:val="24"/>
          <w:szCs w:val="24"/>
        </w:rPr>
        <w:t>Во изминатата декада направени се обиди за употреба на IL-33 во третманот на атеросклер</w:t>
      </w:r>
      <w:r w:rsidR="004A7300">
        <w:rPr>
          <w:rFonts w:ascii="Times New Roman" w:hAnsi="Times New Roman" w:cs="Times New Roman"/>
          <w:color w:val="212121"/>
          <w:sz w:val="24"/>
          <w:szCs w:val="24"/>
        </w:rPr>
        <w:t>оза (223</w:t>
      </w:r>
      <w:r w:rsidRPr="001F2BB6">
        <w:rPr>
          <w:rFonts w:ascii="Times New Roman" w:hAnsi="Times New Roman" w:cs="Times New Roman"/>
          <w:color w:val="212121"/>
          <w:sz w:val="24"/>
          <w:szCs w:val="24"/>
        </w:rPr>
        <w:t>)</w:t>
      </w:r>
      <w:r w:rsidRPr="001F2BB6">
        <w:rPr>
          <w:rStyle w:val="element-citation"/>
          <w:rFonts w:ascii="Times New Roman" w:hAnsi="Times New Roman"/>
          <w:color w:val="212121"/>
          <w:sz w:val="24"/>
          <w:szCs w:val="24"/>
        </w:rPr>
        <w:t xml:space="preserve">, </w:t>
      </w:r>
      <w:r w:rsidRPr="001F2BB6">
        <w:rPr>
          <w:rFonts w:ascii="Times New Roman" w:hAnsi="Times New Roman" w:cs="Times New Roman"/>
          <w:color w:val="212121"/>
          <w:sz w:val="24"/>
          <w:szCs w:val="24"/>
        </w:rPr>
        <w:t xml:space="preserve">обезност, во борба против габични инфекции, како и ублажување на симптомите на експериментален увеитис кај глушец. </w:t>
      </w:r>
      <w:r w:rsidRPr="001F2BB6">
        <w:rPr>
          <w:rFonts w:ascii="Times New Roman" w:hAnsi="Times New Roman" w:cs="Times New Roman"/>
          <w:color w:val="212121"/>
          <w:sz w:val="24"/>
          <w:szCs w:val="24"/>
          <w:shd w:val="clear" w:color="auto" w:fill="FFFFFF"/>
        </w:rPr>
        <w:t>Кога станува збор пак за инфективна патологија, како што е споменато погоре влијанието на IL-33/ST2  врската е двојно (про и антиинфламторно), зависно од причинителот, клеточното опкружување и афектираниот орган.</w:t>
      </w:r>
    </w:p>
    <w:p w:rsidR="00B9792F" w:rsidRPr="001F2BB6" w:rsidRDefault="00B9792F" w:rsidP="00421E8E">
      <w:pPr>
        <w:shd w:val="clear" w:color="auto" w:fill="FFFFFF"/>
        <w:spacing w:before="200"/>
        <w:rPr>
          <w:rStyle w:val="mixed-citation"/>
          <w:rFonts w:ascii="Times New Roman" w:hAnsi="Times New Roman" w:cs="Times New Roman"/>
          <w:color w:val="212121"/>
          <w:sz w:val="24"/>
          <w:szCs w:val="24"/>
        </w:rPr>
      </w:pPr>
      <w:r w:rsidRPr="001F2BB6">
        <w:rPr>
          <w:rFonts w:ascii="Times New Roman" w:hAnsi="Times New Roman" w:cs="Times New Roman"/>
          <w:color w:val="212121"/>
          <w:sz w:val="24"/>
          <w:szCs w:val="24"/>
        </w:rPr>
        <w:t>Неодамнешните истражувања, исто така сугерираат на нова</w:t>
      </w:r>
      <w:r w:rsidR="00627CF1">
        <w:rPr>
          <w:rFonts w:ascii="Times New Roman" w:hAnsi="Times New Roman" w:cs="Times New Roman"/>
          <w:color w:val="212121"/>
          <w:sz w:val="24"/>
          <w:szCs w:val="24"/>
        </w:rPr>
        <w:t>,</w:t>
      </w:r>
      <w:r w:rsidRPr="001F2BB6">
        <w:rPr>
          <w:rFonts w:ascii="Times New Roman" w:hAnsi="Times New Roman" w:cs="Times New Roman"/>
          <w:color w:val="212121"/>
          <w:sz w:val="24"/>
          <w:szCs w:val="24"/>
        </w:rPr>
        <w:t xml:space="preserve"> терапевтска улога на IL-33 во антибактериска одбрана на организмот преку мобилизација на неутрофили, на местото на инфекција</w:t>
      </w:r>
      <w:r w:rsidR="00627CF1">
        <w:rPr>
          <w:rFonts w:ascii="Times New Roman" w:hAnsi="Times New Roman" w:cs="Times New Roman"/>
          <w:color w:val="212121"/>
          <w:sz w:val="24"/>
          <w:szCs w:val="24"/>
        </w:rPr>
        <w:t>та</w:t>
      </w:r>
      <w:r w:rsidR="00650358">
        <w:rPr>
          <w:rFonts w:ascii="Times New Roman" w:hAnsi="Times New Roman" w:cs="Times New Roman"/>
          <w:color w:val="212121"/>
          <w:sz w:val="24"/>
          <w:szCs w:val="24"/>
        </w:rPr>
        <w:t xml:space="preserve"> (224</w:t>
      </w:r>
      <w:r w:rsidRPr="001F2BB6">
        <w:rPr>
          <w:rFonts w:ascii="Times New Roman" w:hAnsi="Times New Roman" w:cs="Times New Roman"/>
          <w:color w:val="212121"/>
          <w:sz w:val="24"/>
          <w:szCs w:val="24"/>
        </w:rPr>
        <w:t xml:space="preserve">). </w:t>
      </w:r>
    </w:p>
    <w:p w:rsidR="00B9792F" w:rsidRPr="001F2BB6"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color w:val="212121"/>
          <w:sz w:val="24"/>
          <w:szCs w:val="24"/>
          <w:shd w:val="clear" w:color="auto" w:fill="FFFFFF"/>
        </w:rPr>
        <w:t>IL-33/ST2 врската, односно експресијата на IL-33 и ST2 негативно влијае врз патологија поврзана со бактериска инфекција, како на пример при астма во детска возраст, односно септичен артритис предизвикан од</w:t>
      </w:r>
      <w:r w:rsidRPr="001F2BB6">
        <w:rPr>
          <w:rStyle w:val="Emphasis"/>
          <w:rFonts w:ascii="Times New Roman" w:hAnsi="Times New Roman"/>
          <w:color w:val="212121"/>
          <w:sz w:val="24"/>
          <w:szCs w:val="24"/>
          <w:shd w:val="clear" w:color="auto" w:fill="FFFFFF"/>
        </w:rPr>
        <w:t xml:space="preserve"> </w:t>
      </w:r>
      <w:r w:rsidRPr="001F2BB6">
        <w:rPr>
          <w:rStyle w:val="Emphasis"/>
          <w:rFonts w:ascii="Times New Roman" w:hAnsi="Times New Roman"/>
          <w:i w:val="0"/>
          <w:color w:val="212121"/>
          <w:sz w:val="24"/>
          <w:szCs w:val="24"/>
          <w:shd w:val="clear" w:color="auto" w:fill="FFFFFF"/>
        </w:rPr>
        <w:t xml:space="preserve">Staphylococcus aureus </w:t>
      </w:r>
      <w:r w:rsidRPr="001F2BB6">
        <w:rPr>
          <w:rFonts w:ascii="Times New Roman" w:hAnsi="Times New Roman" w:cs="Times New Roman"/>
          <w:color w:val="212121"/>
          <w:sz w:val="24"/>
          <w:szCs w:val="24"/>
          <w:shd w:val="clear" w:color="auto" w:fill="FFFFFF"/>
        </w:rPr>
        <w:t>(2</w:t>
      </w:r>
      <w:r w:rsidR="00650358">
        <w:rPr>
          <w:rFonts w:ascii="Times New Roman" w:hAnsi="Times New Roman" w:cs="Times New Roman"/>
          <w:color w:val="212121"/>
          <w:sz w:val="24"/>
          <w:szCs w:val="24"/>
          <w:shd w:val="clear" w:color="auto" w:fill="FFFFFF"/>
        </w:rPr>
        <w:t>25,226</w:t>
      </w:r>
      <w:r w:rsidRPr="001F2BB6">
        <w:rPr>
          <w:rFonts w:ascii="Times New Roman" w:hAnsi="Times New Roman" w:cs="Times New Roman"/>
          <w:color w:val="212121"/>
          <w:sz w:val="24"/>
          <w:szCs w:val="24"/>
          <w:shd w:val="clear" w:color="auto" w:fill="FFFFFF"/>
        </w:rPr>
        <w:t>).</w:t>
      </w:r>
    </w:p>
    <w:p w:rsidR="00B9792F" w:rsidRPr="001F2BB6" w:rsidRDefault="00B9792F" w:rsidP="00421E8E">
      <w:pPr>
        <w:shd w:val="clear" w:color="auto" w:fill="FFFFFF"/>
        <w:spacing w:before="240" w:beforeAutospacing="1" w:after="100" w:afterAutospacing="1"/>
        <w:rPr>
          <w:rFonts w:ascii="Times New Roman" w:hAnsi="Times New Roman" w:cs="Times New Roman"/>
          <w:color w:val="212121"/>
          <w:sz w:val="24"/>
          <w:szCs w:val="24"/>
        </w:rPr>
      </w:pPr>
      <w:r w:rsidRPr="001F2BB6">
        <w:rPr>
          <w:rFonts w:ascii="Times New Roman" w:hAnsi="Times New Roman" w:cs="Times New Roman"/>
          <w:sz w:val="24"/>
          <w:szCs w:val="24"/>
        </w:rPr>
        <w:t>Во инфламаторни лезии инфицирани со грам-негативната Pseudomonas aeruginosa, зголемена е експресијата на ST2 mRNA/протеин и</w:t>
      </w:r>
      <w:r w:rsidR="00650358">
        <w:rPr>
          <w:rFonts w:ascii="Times New Roman" w:hAnsi="Times New Roman" w:cs="Times New Roman"/>
          <w:sz w:val="24"/>
          <w:szCs w:val="24"/>
        </w:rPr>
        <w:t xml:space="preserve"> експресијата на IL-33 mRNA (227</w:t>
      </w:r>
      <w:r w:rsidRPr="001F2BB6">
        <w:rPr>
          <w:rFonts w:ascii="Times New Roman" w:hAnsi="Times New Roman" w:cs="Times New Roman"/>
          <w:sz w:val="24"/>
          <w:szCs w:val="24"/>
        </w:rPr>
        <w:t>,</w:t>
      </w:r>
      <w:r w:rsidR="00650358">
        <w:rPr>
          <w:rFonts w:ascii="Times New Roman" w:hAnsi="Times New Roman" w:cs="Times New Roman"/>
          <w:sz w:val="24"/>
          <w:szCs w:val="24"/>
        </w:rPr>
        <w:t>228</w:t>
      </w:r>
      <w:r w:rsidRPr="001F2BB6">
        <w:rPr>
          <w:rFonts w:ascii="Times New Roman" w:hAnsi="Times New Roman" w:cs="Times New Roman"/>
          <w:sz w:val="24"/>
          <w:szCs w:val="24"/>
        </w:rPr>
        <w:t>). Администрација на растворлив ST2 кај глувци, резултира со влош</w:t>
      </w:r>
      <w:r w:rsidR="00627CF1">
        <w:rPr>
          <w:rFonts w:ascii="Times New Roman" w:hAnsi="Times New Roman" w:cs="Times New Roman"/>
          <w:sz w:val="24"/>
          <w:szCs w:val="24"/>
        </w:rPr>
        <w:t xml:space="preserve">ување на кератит индуциран од </w:t>
      </w:r>
      <w:r w:rsidR="00627CF1" w:rsidRPr="001F2BB6">
        <w:rPr>
          <w:rFonts w:ascii="Times New Roman" w:hAnsi="Times New Roman" w:cs="Times New Roman"/>
          <w:sz w:val="24"/>
          <w:szCs w:val="24"/>
        </w:rPr>
        <w:t>Pseudomonas</w:t>
      </w:r>
      <w:r w:rsidR="00650358">
        <w:rPr>
          <w:rFonts w:ascii="Times New Roman" w:hAnsi="Times New Roman" w:cs="Times New Roman"/>
          <w:sz w:val="24"/>
          <w:szCs w:val="24"/>
        </w:rPr>
        <w:t>.aeruginosa (227</w:t>
      </w:r>
      <w:r w:rsidRPr="001F2BB6">
        <w:rPr>
          <w:rFonts w:ascii="Times New Roman" w:hAnsi="Times New Roman" w:cs="Times New Roman"/>
          <w:sz w:val="24"/>
          <w:szCs w:val="24"/>
        </w:rPr>
        <w:t>), што сугерира на тоа дека  IL-33/IL-33R патиштата играат важна улог</w:t>
      </w:r>
      <w:r w:rsidR="00627CF1">
        <w:rPr>
          <w:rFonts w:ascii="Times New Roman" w:hAnsi="Times New Roman" w:cs="Times New Roman"/>
          <w:sz w:val="24"/>
          <w:szCs w:val="24"/>
        </w:rPr>
        <w:t xml:space="preserve">а во заштита на организмот од </w:t>
      </w:r>
      <w:r w:rsidR="00627CF1" w:rsidRPr="001F2BB6">
        <w:rPr>
          <w:rFonts w:ascii="Times New Roman" w:hAnsi="Times New Roman" w:cs="Times New Roman"/>
          <w:sz w:val="24"/>
          <w:szCs w:val="24"/>
        </w:rPr>
        <w:t>Pseudomonas</w:t>
      </w:r>
      <w:r w:rsidRPr="001F2BB6">
        <w:rPr>
          <w:rFonts w:ascii="Times New Roman" w:hAnsi="Times New Roman" w:cs="Times New Roman"/>
          <w:sz w:val="24"/>
          <w:szCs w:val="24"/>
        </w:rPr>
        <w:t xml:space="preserve"> aeruginosa. </w:t>
      </w:r>
    </w:p>
    <w:p w:rsidR="00B9792F" w:rsidRPr="001F2BB6"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sz w:val="24"/>
          <w:szCs w:val="24"/>
        </w:rPr>
        <w:t xml:space="preserve">Th1 и Th17 тип на цитокини имаат круцијална улога во имунолошкиот одговор при инфекција со Mycobacterium </w:t>
      </w:r>
      <w:r w:rsidR="00650358">
        <w:rPr>
          <w:rFonts w:ascii="Times New Roman" w:hAnsi="Times New Roman" w:cs="Times New Roman"/>
          <w:sz w:val="24"/>
          <w:szCs w:val="24"/>
        </w:rPr>
        <w:t>tuberculosis (229</w:t>
      </w:r>
      <w:r w:rsidRPr="001F2BB6">
        <w:rPr>
          <w:rFonts w:ascii="Times New Roman" w:hAnsi="Times New Roman" w:cs="Times New Roman"/>
          <w:sz w:val="24"/>
          <w:szCs w:val="24"/>
        </w:rPr>
        <w:t>). ST2-дефицитарни или суфицитарни глувци не покажуваат разлика во чувствит</w:t>
      </w:r>
      <w:r w:rsidR="00650358">
        <w:rPr>
          <w:rFonts w:ascii="Times New Roman" w:hAnsi="Times New Roman" w:cs="Times New Roman"/>
          <w:sz w:val="24"/>
          <w:szCs w:val="24"/>
        </w:rPr>
        <w:t>елноста кон M. tuberculosis (230</w:t>
      </w:r>
      <w:r w:rsidRPr="001F2BB6">
        <w:rPr>
          <w:rFonts w:ascii="Times New Roman" w:hAnsi="Times New Roman" w:cs="Times New Roman"/>
          <w:sz w:val="24"/>
          <w:szCs w:val="24"/>
        </w:rPr>
        <w:t>), додека, SIGIRR/TIR8- дефициентни глувци покажуваат висок степен на чувств</w:t>
      </w:r>
      <w:r w:rsidR="00650358">
        <w:rPr>
          <w:rFonts w:ascii="Times New Roman" w:hAnsi="Times New Roman" w:cs="Times New Roman"/>
          <w:sz w:val="24"/>
          <w:szCs w:val="24"/>
        </w:rPr>
        <w:t>ителност на M. tuberculosis (231</w:t>
      </w:r>
      <w:r w:rsidRPr="001F2BB6">
        <w:rPr>
          <w:rFonts w:ascii="Times New Roman" w:hAnsi="Times New Roman" w:cs="Times New Roman"/>
          <w:sz w:val="24"/>
          <w:szCs w:val="24"/>
        </w:rPr>
        <w:t>). Ови податоци укажуваат на тоа дека IL-33, односно IL-33R1 немаат значајна улога во патогенезата на инфекцијата предизвикана од M. tuberculosis, но од друга страна имаат значајна улога во одбрана на организмот од истата.</w:t>
      </w:r>
    </w:p>
    <w:p w:rsidR="00AB0154" w:rsidRDefault="00AB0154" w:rsidP="00421E8E">
      <w:pPr>
        <w:shd w:val="clear" w:color="auto" w:fill="FFFFFF"/>
        <w:spacing w:before="100" w:beforeAutospacing="1" w:after="100" w:afterAutospacing="1"/>
        <w:rPr>
          <w:rFonts w:ascii="Times New Roman" w:hAnsi="Times New Roman" w:cs="Times New Roman"/>
          <w:sz w:val="24"/>
          <w:szCs w:val="24"/>
        </w:rPr>
      </w:pPr>
    </w:p>
    <w:p w:rsidR="00AB0154" w:rsidRDefault="00AB0154" w:rsidP="00421E8E">
      <w:pPr>
        <w:shd w:val="clear" w:color="auto" w:fill="FFFFFF"/>
        <w:spacing w:before="100" w:beforeAutospacing="1" w:after="100" w:afterAutospacing="1"/>
        <w:rPr>
          <w:rFonts w:ascii="Times New Roman" w:hAnsi="Times New Roman" w:cs="Times New Roman"/>
          <w:sz w:val="24"/>
          <w:szCs w:val="24"/>
        </w:rPr>
      </w:pPr>
    </w:p>
    <w:p w:rsidR="00B9792F" w:rsidRPr="001F2BB6"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sz w:val="24"/>
          <w:szCs w:val="24"/>
        </w:rPr>
        <w:t>Иако се покажало дека нивоата на солубилен ST2 се покачуваат кај пациенти со лептоспироза, се уште не е доволно позната улогата на IL-33- IL-33R патиштата во пат</w:t>
      </w:r>
      <w:r w:rsidR="00650358">
        <w:rPr>
          <w:rFonts w:ascii="Times New Roman" w:hAnsi="Times New Roman" w:cs="Times New Roman"/>
          <w:sz w:val="24"/>
          <w:szCs w:val="24"/>
        </w:rPr>
        <w:t>огенезата на ова заболување (232</w:t>
      </w:r>
      <w:r w:rsidRPr="001F2BB6">
        <w:rPr>
          <w:rFonts w:ascii="Times New Roman" w:hAnsi="Times New Roman" w:cs="Times New Roman"/>
          <w:sz w:val="24"/>
          <w:szCs w:val="24"/>
        </w:rPr>
        <w:t xml:space="preserve">). </w:t>
      </w:r>
    </w:p>
    <w:p w:rsidR="00B9792F" w:rsidRPr="001F2BB6" w:rsidRDefault="00B9792F" w:rsidP="00421E8E">
      <w:pPr>
        <w:shd w:val="clear" w:color="auto" w:fill="FFFFFF"/>
        <w:spacing w:before="100" w:beforeAutospacing="1" w:after="100" w:afterAutospacing="1"/>
        <w:rPr>
          <w:rFonts w:ascii="Times New Roman" w:hAnsi="Times New Roman" w:cs="Times New Roman"/>
          <w:color w:val="212121"/>
          <w:sz w:val="24"/>
          <w:szCs w:val="24"/>
          <w:shd w:val="clear" w:color="auto" w:fill="FFFFFF"/>
        </w:rPr>
      </w:pPr>
      <w:r w:rsidRPr="001F2BB6">
        <w:rPr>
          <w:rFonts w:ascii="Times New Roman" w:hAnsi="Times New Roman" w:cs="Times New Roman"/>
          <w:sz w:val="24"/>
          <w:szCs w:val="24"/>
        </w:rPr>
        <w:t>Што се однесува до вирусна инфекција, IL-33 и IL-33R имаат круцијална улога за развиток на вирусно индуцирана, а предизвикана од Th2 цитокини инфламаторна еозинофилија.</w:t>
      </w:r>
      <w:r w:rsidRPr="001F2BB6">
        <w:rPr>
          <w:rFonts w:ascii="Times New Roman" w:hAnsi="Times New Roman" w:cs="Times New Roman"/>
          <w:color w:val="212121"/>
          <w:sz w:val="24"/>
          <w:szCs w:val="24"/>
          <w:shd w:val="clear" w:color="auto" w:fill="FFFFFF"/>
        </w:rPr>
        <w:t xml:space="preserve"> Кај вирусна инфекција на пример, влијанието е антиинфламаторно, благодарение на ефектот предизвикан од страна на CD8</w:t>
      </w:r>
      <w:r w:rsidRPr="001F2BB6">
        <w:rPr>
          <w:rFonts w:ascii="Times New Roman" w:hAnsi="Times New Roman" w:cs="Times New Roman"/>
          <w:color w:val="212121"/>
          <w:sz w:val="24"/>
          <w:szCs w:val="24"/>
          <w:shd w:val="clear" w:color="auto" w:fill="FFFFFF"/>
          <w:vertAlign w:val="superscript"/>
        </w:rPr>
        <w:t>+</w:t>
      </w:r>
      <w:r w:rsidR="00650358">
        <w:rPr>
          <w:rFonts w:ascii="Times New Roman" w:hAnsi="Times New Roman" w:cs="Times New Roman"/>
          <w:color w:val="212121"/>
          <w:sz w:val="24"/>
          <w:szCs w:val="24"/>
          <w:shd w:val="clear" w:color="auto" w:fill="FFFFFF"/>
        </w:rPr>
        <w:t> T клетките (233</w:t>
      </w:r>
      <w:r w:rsidRPr="001F2BB6">
        <w:rPr>
          <w:rFonts w:ascii="Times New Roman" w:hAnsi="Times New Roman" w:cs="Times New Roman"/>
          <w:color w:val="212121"/>
          <w:sz w:val="24"/>
          <w:szCs w:val="24"/>
          <w:shd w:val="clear" w:color="auto" w:fill="FFFFFF"/>
        </w:rPr>
        <w:t>). Неопходна е акумулација на ST2</w:t>
      </w:r>
      <w:r w:rsidRPr="001F2BB6">
        <w:rPr>
          <w:rFonts w:ascii="Times New Roman" w:hAnsi="Times New Roman" w:cs="Times New Roman"/>
          <w:color w:val="212121"/>
          <w:sz w:val="24"/>
          <w:szCs w:val="24"/>
          <w:shd w:val="clear" w:color="auto" w:fill="FFFFFF"/>
          <w:vertAlign w:val="superscript"/>
        </w:rPr>
        <w:t>+</w:t>
      </w:r>
      <w:r w:rsidRPr="001F2BB6">
        <w:rPr>
          <w:rFonts w:ascii="Times New Roman" w:hAnsi="Times New Roman" w:cs="Times New Roman"/>
          <w:color w:val="212121"/>
          <w:sz w:val="24"/>
          <w:szCs w:val="24"/>
          <w:shd w:val="clear" w:color="auto" w:fill="FFFFFF"/>
        </w:rPr>
        <w:t> ILC клетки, за рековалесценција од инфлуенца при вирусна ин</w:t>
      </w:r>
      <w:r w:rsidR="00650358">
        <w:rPr>
          <w:rFonts w:ascii="Times New Roman" w:hAnsi="Times New Roman" w:cs="Times New Roman"/>
          <w:color w:val="212121"/>
          <w:sz w:val="24"/>
          <w:szCs w:val="24"/>
          <w:shd w:val="clear" w:color="auto" w:fill="FFFFFF"/>
        </w:rPr>
        <w:t>фекција во белодробно ткиво (234</w:t>
      </w:r>
      <w:r w:rsidRPr="001F2BB6">
        <w:rPr>
          <w:rFonts w:ascii="Times New Roman" w:hAnsi="Times New Roman" w:cs="Times New Roman"/>
          <w:color w:val="212121"/>
          <w:sz w:val="24"/>
          <w:szCs w:val="24"/>
          <w:shd w:val="clear" w:color="auto" w:fill="FFFFFF"/>
        </w:rPr>
        <w:t xml:space="preserve">). </w:t>
      </w:r>
    </w:p>
    <w:p w:rsidR="00B9792F" w:rsidRPr="001F2BB6"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color w:val="212121"/>
          <w:sz w:val="24"/>
          <w:szCs w:val="24"/>
          <w:shd w:val="clear" w:color="auto" w:fill="FFFFFF"/>
        </w:rPr>
        <w:t xml:space="preserve">Механизмите во кои што учество зема IL-33, различно влијаат и кога станува збор за габични инфекции.На пример, IL-33, протективна улога манифестира кога се во прашање Candida специеси, односно негативно влијае кога е во прашање инфекција со </w:t>
      </w:r>
      <w:r w:rsidRPr="001F2BB6">
        <w:rPr>
          <w:rStyle w:val="Emphasis"/>
          <w:rFonts w:ascii="Times New Roman" w:hAnsi="Times New Roman"/>
          <w:i w:val="0"/>
          <w:color w:val="212121"/>
          <w:sz w:val="24"/>
          <w:szCs w:val="24"/>
          <w:shd w:val="clear" w:color="auto" w:fill="FFFFFF"/>
        </w:rPr>
        <w:t>Aspergillus fumigatus</w:t>
      </w:r>
      <w:r w:rsidRPr="001F2BB6">
        <w:rPr>
          <w:rFonts w:ascii="Times New Roman" w:hAnsi="Times New Roman" w:cs="Times New Roman"/>
          <w:i/>
          <w:color w:val="212121"/>
          <w:sz w:val="24"/>
          <w:szCs w:val="24"/>
          <w:shd w:val="clear" w:color="auto" w:fill="FFFFFF"/>
        </w:rPr>
        <w:t> </w:t>
      </w:r>
      <w:r w:rsidR="00650358">
        <w:rPr>
          <w:rFonts w:ascii="Times New Roman" w:hAnsi="Times New Roman" w:cs="Times New Roman"/>
          <w:color w:val="212121"/>
          <w:sz w:val="24"/>
          <w:szCs w:val="24"/>
          <w:shd w:val="clear" w:color="auto" w:fill="FFFFFF"/>
        </w:rPr>
        <w:t>(235,236</w:t>
      </w:r>
      <w:r w:rsidRPr="001F2BB6">
        <w:rPr>
          <w:rFonts w:ascii="Times New Roman" w:hAnsi="Times New Roman" w:cs="Times New Roman"/>
          <w:color w:val="212121"/>
          <w:sz w:val="24"/>
          <w:szCs w:val="24"/>
          <w:shd w:val="clear" w:color="auto" w:fill="FFFFFF"/>
        </w:rPr>
        <w:t>).</w:t>
      </w:r>
      <w:r w:rsidRPr="001F2BB6">
        <w:rPr>
          <w:rFonts w:ascii="Times New Roman" w:hAnsi="Times New Roman" w:cs="Times New Roman"/>
          <w:sz w:val="24"/>
          <w:szCs w:val="24"/>
        </w:rPr>
        <w:t xml:space="preserve"> </w:t>
      </w:r>
    </w:p>
    <w:p w:rsidR="00627CF1"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color w:val="212121"/>
          <w:sz w:val="24"/>
          <w:szCs w:val="24"/>
          <w:shd w:val="clear" w:color="auto" w:fill="FFFFFF"/>
        </w:rPr>
        <w:t xml:space="preserve">IL-33/ST2 врската влијае стимулативно врз вродениот имунитет на кожата, односно експресија на IL-33 стимулира продукција на реактивни, антимикробни кислородни и азотни специеси </w:t>
      </w:r>
      <w:r w:rsidR="00650358">
        <w:rPr>
          <w:rFonts w:ascii="Times New Roman" w:hAnsi="Times New Roman" w:cs="Times New Roman"/>
          <w:color w:val="212121"/>
          <w:sz w:val="24"/>
          <w:szCs w:val="24"/>
          <w:shd w:val="clear" w:color="auto" w:fill="FFFFFF"/>
        </w:rPr>
        <w:t>(237</w:t>
      </w:r>
      <w:r w:rsidRPr="001F2BB6">
        <w:rPr>
          <w:rFonts w:ascii="Times New Roman" w:hAnsi="Times New Roman" w:cs="Times New Roman"/>
          <w:color w:val="212121"/>
          <w:sz w:val="24"/>
          <w:szCs w:val="24"/>
          <w:shd w:val="clear" w:color="auto" w:fill="FFFFFF"/>
        </w:rPr>
        <w:t>).</w:t>
      </w:r>
      <w:r w:rsidRPr="001F2BB6">
        <w:rPr>
          <w:rFonts w:ascii="Times New Roman" w:hAnsi="Times New Roman" w:cs="Times New Roman"/>
          <w:color w:val="212121"/>
          <w:sz w:val="24"/>
          <w:szCs w:val="24"/>
        </w:rPr>
        <w:t xml:space="preserve"> </w:t>
      </w:r>
    </w:p>
    <w:p w:rsidR="00B9792F" w:rsidRPr="00627CF1" w:rsidRDefault="00B9792F" w:rsidP="00421E8E">
      <w:pPr>
        <w:shd w:val="clear" w:color="auto" w:fill="FFFFFF"/>
        <w:spacing w:before="100" w:beforeAutospacing="1" w:after="100" w:afterAutospacing="1"/>
        <w:rPr>
          <w:rFonts w:ascii="Times New Roman" w:hAnsi="Times New Roman" w:cs="Times New Roman"/>
          <w:color w:val="212121"/>
          <w:sz w:val="24"/>
          <w:szCs w:val="24"/>
        </w:rPr>
      </w:pPr>
      <w:r w:rsidRPr="001F2BB6">
        <w:rPr>
          <w:rFonts w:ascii="Times New Roman" w:hAnsi="Times New Roman" w:cs="Times New Roman"/>
          <w:sz w:val="24"/>
          <w:szCs w:val="24"/>
        </w:rPr>
        <w:t>Како кај пациентите со астма, полиморфизам на ST2 и IL-33 гените пронајден е и кај пациенти со атопичен дерматит, ринит и риносинузит (</w:t>
      </w:r>
      <w:r w:rsidR="00650358">
        <w:rPr>
          <w:rFonts w:ascii="Times New Roman" w:hAnsi="Times New Roman" w:cs="Times New Roman"/>
          <w:sz w:val="24"/>
          <w:szCs w:val="24"/>
        </w:rPr>
        <w:t>238,239,240</w:t>
      </w:r>
      <w:r w:rsidRPr="001F2BB6">
        <w:rPr>
          <w:rFonts w:ascii="Times New Roman" w:hAnsi="Times New Roman" w:cs="Times New Roman"/>
          <w:sz w:val="24"/>
          <w:szCs w:val="24"/>
        </w:rPr>
        <w:t>). Зголемена е експресијата на ST2 mRNA во кожата на глувци со контактен дерматит, по администрација н</w:t>
      </w:r>
      <w:r w:rsidR="00650358">
        <w:rPr>
          <w:rFonts w:ascii="Times New Roman" w:hAnsi="Times New Roman" w:cs="Times New Roman"/>
          <w:sz w:val="24"/>
          <w:szCs w:val="24"/>
        </w:rPr>
        <w:t>а 2,4-dinitrofluorobenzene (241</w:t>
      </w:r>
      <w:r w:rsidRPr="001F2BB6">
        <w:rPr>
          <w:rFonts w:ascii="Times New Roman" w:hAnsi="Times New Roman" w:cs="Times New Roman"/>
          <w:sz w:val="24"/>
          <w:szCs w:val="24"/>
        </w:rPr>
        <w:t>). Зголемени се нивоата на IL-33 mRNA/протеин кај специмени од пациен</w:t>
      </w:r>
      <w:r w:rsidR="00EF1141">
        <w:rPr>
          <w:rFonts w:ascii="Times New Roman" w:hAnsi="Times New Roman" w:cs="Times New Roman"/>
          <w:sz w:val="24"/>
          <w:szCs w:val="24"/>
        </w:rPr>
        <w:t>ти со алергиски конјуктивит (239,242</w:t>
      </w:r>
      <w:r w:rsidRPr="001F2BB6">
        <w:rPr>
          <w:rFonts w:ascii="Times New Roman" w:hAnsi="Times New Roman" w:cs="Times New Roman"/>
          <w:sz w:val="24"/>
          <w:szCs w:val="24"/>
        </w:rPr>
        <w:t xml:space="preserve">), ринит и атопичен дерматит. Горе споменатото сугерира на инволвирање на IL-33/L-33R во појавата на овој вид алергиски заболувања. </w:t>
      </w: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Серумските вредности на IL-33 се значително зголемени кај пациенти со анафилакса</w:t>
      </w:r>
      <w:r w:rsidR="00627CF1">
        <w:rPr>
          <w:rFonts w:ascii="Times New Roman" w:hAnsi="Times New Roman" w:cs="Times New Roman"/>
          <w:sz w:val="24"/>
          <w:szCs w:val="24"/>
        </w:rPr>
        <w:t xml:space="preserve">. </w:t>
      </w:r>
      <w:r w:rsidRPr="001F2BB6">
        <w:rPr>
          <w:rFonts w:ascii="Times New Roman" w:hAnsi="Times New Roman" w:cs="Times New Roman"/>
          <w:sz w:val="24"/>
          <w:szCs w:val="24"/>
        </w:rPr>
        <w:t>Кај глувци, IL-33 ја влошува состојбата кај пацие</w:t>
      </w:r>
      <w:r w:rsidR="00EF1141">
        <w:rPr>
          <w:rFonts w:ascii="Times New Roman" w:hAnsi="Times New Roman" w:cs="Times New Roman"/>
          <w:sz w:val="24"/>
          <w:szCs w:val="24"/>
        </w:rPr>
        <w:t>нтите со тип Ig4 анафилакса (24</w:t>
      </w:r>
      <w:r w:rsidR="00DA19DF">
        <w:rPr>
          <w:rFonts w:ascii="Times New Roman" w:hAnsi="Times New Roman" w:cs="Times New Roman"/>
          <w:sz w:val="24"/>
          <w:szCs w:val="24"/>
        </w:rPr>
        <w:t>3</w:t>
      </w:r>
      <w:r w:rsidRPr="001F2BB6">
        <w:rPr>
          <w:rFonts w:ascii="Times New Roman" w:hAnsi="Times New Roman" w:cs="Times New Roman"/>
          <w:sz w:val="24"/>
          <w:szCs w:val="24"/>
        </w:rPr>
        <w:t xml:space="preserve">). </w:t>
      </w: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IL-33 има улога во патогенезата на ар</w:t>
      </w:r>
      <w:r w:rsidR="00EF1141">
        <w:rPr>
          <w:rFonts w:ascii="Times New Roman" w:hAnsi="Times New Roman" w:cs="Times New Roman"/>
          <w:sz w:val="24"/>
          <w:szCs w:val="24"/>
        </w:rPr>
        <w:t>тритис индуциран од антиген (2</w:t>
      </w:r>
      <w:r w:rsidR="00DA19DF">
        <w:rPr>
          <w:rFonts w:ascii="Times New Roman" w:hAnsi="Times New Roman" w:cs="Times New Roman"/>
          <w:sz w:val="24"/>
          <w:szCs w:val="24"/>
        </w:rPr>
        <w:t>44</w:t>
      </w:r>
      <w:r w:rsidRPr="001F2BB6">
        <w:rPr>
          <w:rFonts w:ascii="Times New Roman" w:hAnsi="Times New Roman" w:cs="Times New Roman"/>
          <w:sz w:val="24"/>
          <w:szCs w:val="24"/>
        </w:rPr>
        <w:t>). Покачени се нивоата на солубилниот ST2 во синовијалната течност кај пациенти со реуматоиден артрит</w:t>
      </w:r>
      <w:r w:rsidR="00627CF1">
        <w:rPr>
          <w:rFonts w:ascii="Times New Roman" w:hAnsi="Times New Roman" w:cs="Times New Roman"/>
          <w:sz w:val="24"/>
          <w:szCs w:val="24"/>
        </w:rPr>
        <w:t xml:space="preserve"> </w:t>
      </w:r>
      <w:r w:rsidR="00EF1141">
        <w:rPr>
          <w:rFonts w:ascii="Times New Roman" w:hAnsi="Times New Roman" w:cs="Times New Roman"/>
          <w:sz w:val="24"/>
          <w:szCs w:val="24"/>
        </w:rPr>
        <w:t>(2</w:t>
      </w:r>
      <w:r w:rsidR="00DA19DF">
        <w:rPr>
          <w:rFonts w:ascii="Times New Roman" w:hAnsi="Times New Roman" w:cs="Times New Roman"/>
          <w:sz w:val="24"/>
          <w:szCs w:val="24"/>
        </w:rPr>
        <w:t>45</w:t>
      </w:r>
      <w:r w:rsidRPr="001F2BB6">
        <w:rPr>
          <w:rFonts w:ascii="Times New Roman" w:hAnsi="Times New Roman" w:cs="Times New Roman"/>
          <w:sz w:val="24"/>
          <w:szCs w:val="24"/>
        </w:rPr>
        <w:t>), за кој се смета дека претставува автоимуно заболување регулирано од страна на Th17 клетките.  Покачени се и вредностите на IL-33 mRNA/протеин во серум, синовијална течност и инфламираните лезии (106,</w:t>
      </w:r>
      <w:r w:rsidR="00DA19DF">
        <w:rPr>
          <w:rFonts w:ascii="Times New Roman" w:hAnsi="Times New Roman" w:cs="Times New Roman"/>
          <w:sz w:val="24"/>
          <w:szCs w:val="24"/>
        </w:rPr>
        <w:t>246,247</w:t>
      </w:r>
      <w:r w:rsidR="0055336D">
        <w:rPr>
          <w:rFonts w:ascii="Times New Roman" w:hAnsi="Times New Roman" w:cs="Times New Roman"/>
          <w:sz w:val="24"/>
          <w:szCs w:val="24"/>
        </w:rPr>
        <w:t>,248</w:t>
      </w:r>
      <w:r w:rsidRPr="001F2BB6">
        <w:rPr>
          <w:rFonts w:ascii="Times New Roman" w:hAnsi="Times New Roman" w:cs="Times New Roman"/>
          <w:sz w:val="24"/>
          <w:szCs w:val="24"/>
        </w:rPr>
        <w:t>). Администрација на поликлонален анти-ST2 антисерум, кај глувци резултира со егзацербација на колагенски индуциран артрит (кој преставува всушност Реу</w:t>
      </w:r>
      <w:r w:rsidR="00DA19DF">
        <w:rPr>
          <w:rFonts w:ascii="Times New Roman" w:hAnsi="Times New Roman" w:cs="Times New Roman"/>
          <w:sz w:val="24"/>
          <w:szCs w:val="24"/>
        </w:rPr>
        <w:t>матоиден артрит кај глувци) (2</w:t>
      </w:r>
      <w:r w:rsidR="0055336D">
        <w:rPr>
          <w:rFonts w:ascii="Times New Roman" w:hAnsi="Times New Roman" w:cs="Times New Roman"/>
          <w:sz w:val="24"/>
          <w:szCs w:val="24"/>
        </w:rPr>
        <w:t>49</w:t>
      </w:r>
      <w:r w:rsidRPr="001F2BB6">
        <w:rPr>
          <w:rFonts w:ascii="Times New Roman" w:hAnsi="Times New Roman" w:cs="Times New Roman"/>
          <w:sz w:val="24"/>
          <w:szCs w:val="24"/>
        </w:rPr>
        <w:t>). Од друга страна пак, подобрување на состојбата се забележува по адмистрирање на ST2-Fc фузиски протеин и анти ST2 моноклонални антитела, кај глувци со колагенски индуциран артрит, како и кај глувци со дефицит на ST2, додека глувци третирани со IL-33 покажуваат влошување на состојбата (</w:t>
      </w:r>
      <w:r w:rsidR="0055336D">
        <w:rPr>
          <w:rFonts w:ascii="Times New Roman" w:hAnsi="Times New Roman" w:cs="Times New Roman"/>
          <w:sz w:val="24"/>
          <w:szCs w:val="24"/>
        </w:rPr>
        <w:t>246,247,250</w:t>
      </w:r>
      <w:r w:rsidRPr="001F2BB6">
        <w:rPr>
          <w:rFonts w:ascii="Times New Roman" w:hAnsi="Times New Roman" w:cs="Times New Roman"/>
          <w:sz w:val="24"/>
          <w:szCs w:val="24"/>
        </w:rPr>
        <w:t>). Маст клетките со експресија на ST2 се покажало дека имаат најголем ефект за влошувањето на состојбата кол</w:t>
      </w:r>
      <w:r w:rsidR="0055336D">
        <w:rPr>
          <w:rFonts w:ascii="Times New Roman" w:hAnsi="Times New Roman" w:cs="Times New Roman"/>
          <w:sz w:val="24"/>
          <w:szCs w:val="24"/>
        </w:rPr>
        <w:t>агенски индуцираниот артрит (246</w:t>
      </w:r>
      <w:r w:rsidRPr="001F2BB6">
        <w:rPr>
          <w:rFonts w:ascii="Times New Roman" w:hAnsi="Times New Roman" w:cs="Times New Roman"/>
          <w:sz w:val="24"/>
          <w:szCs w:val="24"/>
        </w:rPr>
        <w:t xml:space="preserve">). </w:t>
      </w:r>
    </w:p>
    <w:p w:rsidR="00AB0154" w:rsidRDefault="00AB0154" w:rsidP="00421E8E">
      <w:pPr>
        <w:shd w:val="clear" w:color="auto" w:fill="FFFFFF"/>
        <w:spacing w:before="400"/>
        <w:outlineLvl w:val="0"/>
        <w:rPr>
          <w:rFonts w:ascii="Times New Roman" w:hAnsi="Times New Roman" w:cs="Times New Roman"/>
          <w:sz w:val="24"/>
          <w:szCs w:val="24"/>
        </w:rPr>
      </w:pPr>
    </w:p>
    <w:p w:rsidR="00AB0154" w:rsidRDefault="00AB0154" w:rsidP="00421E8E">
      <w:pPr>
        <w:shd w:val="clear" w:color="auto" w:fill="FFFFFF"/>
        <w:spacing w:before="400"/>
        <w:outlineLvl w:val="0"/>
        <w:rPr>
          <w:rFonts w:ascii="Times New Roman" w:hAnsi="Times New Roman" w:cs="Times New Roman"/>
          <w:sz w:val="24"/>
          <w:szCs w:val="24"/>
        </w:rPr>
      </w:pP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Дијабетес мелитус индуциран со стрепт</w:t>
      </w:r>
      <w:r w:rsidR="00627CF1">
        <w:rPr>
          <w:rFonts w:ascii="Times New Roman" w:hAnsi="Times New Roman" w:cs="Times New Roman"/>
          <w:sz w:val="24"/>
          <w:szCs w:val="24"/>
        </w:rPr>
        <w:t xml:space="preserve">озоцин, егзацербира кај глувци </w:t>
      </w:r>
      <w:r w:rsidRPr="001F2BB6">
        <w:rPr>
          <w:rFonts w:ascii="Times New Roman" w:hAnsi="Times New Roman" w:cs="Times New Roman"/>
          <w:sz w:val="24"/>
          <w:szCs w:val="24"/>
        </w:rPr>
        <w:t>дефи</w:t>
      </w:r>
      <w:r w:rsidR="00627CF1">
        <w:rPr>
          <w:rFonts w:ascii="Times New Roman" w:hAnsi="Times New Roman" w:cs="Times New Roman"/>
          <w:sz w:val="24"/>
          <w:szCs w:val="24"/>
        </w:rPr>
        <w:t xml:space="preserve">цитарни со ST2 </w:t>
      </w:r>
      <w:r w:rsidRPr="001F2BB6">
        <w:rPr>
          <w:rFonts w:ascii="Times New Roman" w:hAnsi="Times New Roman" w:cs="Times New Roman"/>
          <w:sz w:val="24"/>
          <w:szCs w:val="24"/>
        </w:rPr>
        <w:t>што сугерира на потенцијалното влијание на IL-33/IL-33R врз појавата на тип 1 дијабет</w:t>
      </w:r>
      <w:r w:rsidR="00627CF1">
        <w:rPr>
          <w:rFonts w:ascii="Times New Roman" w:hAnsi="Times New Roman" w:cs="Times New Roman"/>
          <w:sz w:val="24"/>
          <w:szCs w:val="24"/>
        </w:rPr>
        <w:t xml:space="preserve"> </w:t>
      </w:r>
      <w:r w:rsidR="0055336D">
        <w:rPr>
          <w:rFonts w:ascii="Times New Roman" w:hAnsi="Times New Roman" w:cs="Times New Roman"/>
          <w:sz w:val="24"/>
          <w:szCs w:val="24"/>
        </w:rPr>
        <w:t>(251</w:t>
      </w:r>
      <w:r w:rsidR="00627CF1" w:rsidRPr="001F2BB6">
        <w:rPr>
          <w:rFonts w:ascii="Times New Roman" w:hAnsi="Times New Roman" w:cs="Times New Roman"/>
          <w:sz w:val="24"/>
          <w:szCs w:val="24"/>
        </w:rPr>
        <w:t>)</w:t>
      </w:r>
      <w:r w:rsidRPr="001F2BB6">
        <w:rPr>
          <w:rFonts w:ascii="Times New Roman" w:hAnsi="Times New Roman" w:cs="Times New Roman"/>
          <w:sz w:val="24"/>
          <w:szCs w:val="24"/>
        </w:rPr>
        <w:t>. Кај некои пациенти со тип 2 дијабет, кој што се карактеризира со хипергликемија и хиперинсулинемија, заради резистентноста на инсулин, како резултат на хиперлипидемија се развива атеросклероза. Глувци со дефицит на Аполипопротеин E спонтано развиваат атеросклероза. Администрацијата на IL-33 дејствува стимулативно на атеросклероза кај глувци со дефицит на Аполипопротеин E со зголемување на продукцијата на IL-5 и супресија на</w:t>
      </w:r>
      <w:r w:rsidR="0055336D">
        <w:rPr>
          <w:rFonts w:ascii="Times New Roman" w:hAnsi="Times New Roman" w:cs="Times New Roman"/>
          <w:sz w:val="24"/>
          <w:szCs w:val="24"/>
        </w:rPr>
        <w:t xml:space="preserve"> активноста на Th1 клетките (251</w:t>
      </w:r>
      <w:r w:rsidRPr="001F2BB6">
        <w:rPr>
          <w:rFonts w:ascii="Times New Roman" w:hAnsi="Times New Roman" w:cs="Times New Roman"/>
          <w:sz w:val="24"/>
          <w:szCs w:val="24"/>
        </w:rPr>
        <w:t xml:space="preserve">). Од друга страна пак, блокада на IL-33/IL-33R патиштата при третман на глувци со дефицит на Аполипопротеин E, резултира </w:t>
      </w:r>
      <w:r w:rsidR="0055336D">
        <w:rPr>
          <w:rFonts w:ascii="Times New Roman" w:hAnsi="Times New Roman" w:cs="Times New Roman"/>
          <w:sz w:val="24"/>
          <w:szCs w:val="24"/>
        </w:rPr>
        <w:t>со егзацербација на болеста (251</w:t>
      </w:r>
      <w:r w:rsidRPr="001F2BB6">
        <w:rPr>
          <w:rFonts w:ascii="Times New Roman" w:hAnsi="Times New Roman" w:cs="Times New Roman"/>
          <w:sz w:val="24"/>
          <w:szCs w:val="24"/>
        </w:rPr>
        <w:t xml:space="preserve">). Може да се заклучи дека IL-33 има протективна улога при појава на атеросклероза кај глувци со дефицит на Аполипопротеин E. IL-33 зема учество и во патогенезата на </w:t>
      </w:r>
      <w:r w:rsidR="0055336D">
        <w:rPr>
          <w:rFonts w:ascii="Times New Roman" w:hAnsi="Times New Roman" w:cs="Times New Roman"/>
          <w:sz w:val="24"/>
          <w:szCs w:val="24"/>
        </w:rPr>
        <w:t>атеросклероза и кај човекот (252</w:t>
      </w:r>
      <w:r w:rsidRPr="001F2BB6">
        <w:rPr>
          <w:rFonts w:ascii="Times New Roman" w:hAnsi="Times New Roman" w:cs="Times New Roman"/>
          <w:sz w:val="24"/>
          <w:szCs w:val="24"/>
        </w:rPr>
        <w:t xml:space="preserve">). </w:t>
      </w:r>
      <w:r w:rsidRPr="001F2BB6">
        <w:rPr>
          <w:rFonts w:ascii="Times New Roman" w:hAnsi="Times New Roman" w:cs="Times New Roman"/>
          <w:color w:val="212121"/>
          <w:sz w:val="24"/>
          <w:szCs w:val="24"/>
        </w:rPr>
        <w:t>Кај атеросклерозата, инфламаторно заболување кое што го зафаќа васкуларниот систем, се покажало дека IL-33 ја манифестира заштитната улога, на тој начин што го редуцира создавањето на а</w:t>
      </w:r>
      <w:r w:rsidR="0055336D">
        <w:rPr>
          <w:rFonts w:ascii="Times New Roman" w:hAnsi="Times New Roman" w:cs="Times New Roman"/>
          <w:color w:val="212121"/>
          <w:sz w:val="24"/>
          <w:szCs w:val="24"/>
        </w:rPr>
        <w:t>теросклеротични наслаги (201,252</w:t>
      </w:r>
      <w:r w:rsidRPr="001F2BB6">
        <w:rPr>
          <w:rFonts w:ascii="Times New Roman" w:hAnsi="Times New Roman" w:cs="Times New Roman"/>
          <w:color w:val="212121"/>
          <w:sz w:val="24"/>
          <w:szCs w:val="24"/>
        </w:rPr>
        <w:t>).</w:t>
      </w:r>
    </w:p>
    <w:p w:rsidR="00B9792F" w:rsidRPr="001F2BB6" w:rsidRDefault="00B9792F" w:rsidP="00421E8E">
      <w:pPr>
        <w:shd w:val="clear" w:color="auto" w:fill="FFFFFF"/>
        <w:spacing w:before="200"/>
        <w:rPr>
          <w:rFonts w:ascii="Times New Roman" w:hAnsi="Times New Roman" w:cs="Times New Roman"/>
          <w:color w:val="212121"/>
          <w:sz w:val="24"/>
          <w:szCs w:val="24"/>
        </w:rPr>
      </w:pPr>
      <w:r w:rsidRPr="001F2BB6">
        <w:rPr>
          <w:rFonts w:ascii="Times New Roman" w:hAnsi="Times New Roman" w:cs="Times New Roman"/>
          <w:sz w:val="24"/>
          <w:szCs w:val="24"/>
        </w:rPr>
        <w:t>Високи концентрации на IFN-α и IL-33 во серум, можат да послужат како биомаркер за тип 1 автоимун панкретит и имуноло</w:t>
      </w:r>
      <w:r w:rsidR="0064457C">
        <w:rPr>
          <w:rFonts w:ascii="Times New Roman" w:hAnsi="Times New Roman" w:cs="Times New Roman"/>
          <w:sz w:val="24"/>
          <w:szCs w:val="24"/>
        </w:rPr>
        <w:t>шки заболувања базирани на IgG4.</w:t>
      </w:r>
      <w:r w:rsidR="00627CF1">
        <w:rPr>
          <w:rFonts w:ascii="Times New Roman" w:hAnsi="Times New Roman" w:cs="Times New Roman"/>
          <w:sz w:val="24"/>
          <w:szCs w:val="24"/>
        </w:rPr>
        <w:t xml:space="preserve"> </w:t>
      </w:r>
      <w:r w:rsidRPr="001F2BB6">
        <w:rPr>
          <w:rFonts w:ascii="Times New Roman" w:hAnsi="Times New Roman" w:cs="Times New Roman"/>
          <w:sz w:val="24"/>
          <w:szCs w:val="24"/>
        </w:rPr>
        <w:t>Индукцијата на ремисија од страна на преднизолон, значително ја намалува концентрацијат</w:t>
      </w:r>
      <w:r w:rsidR="0055336D">
        <w:rPr>
          <w:rFonts w:ascii="Times New Roman" w:hAnsi="Times New Roman" w:cs="Times New Roman"/>
          <w:sz w:val="24"/>
          <w:szCs w:val="24"/>
        </w:rPr>
        <w:t>а во серум на овие цитокини (253</w:t>
      </w:r>
      <w:r w:rsidRPr="001F2BB6">
        <w:rPr>
          <w:rFonts w:ascii="Times New Roman" w:hAnsi="Times New Roman" w:cs="Times New Roman"/>
          <w:sz w:val="24"/>
          <w:szCs w:val="24"/>
        </w:rPr>
        <w:t>).</w:t>
      </w:r>
    </w:p>
    <w:p w:rsidR="00AB0154"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Иако солубилен ST2 протеин и IL-33 mRNA се детектирани во ендотелните клетки кај пациенти со Крон-ова болест и улцеративен колит (106,</w:t>
      </w:r>
      <w:r w:rsidR="0055336D">
        <w:rPr>
          <w:rFonts w:ascii="Times New Roman" w:hAnsi="Times New Roman" w:cs="Times New Roman"/>
          <w:sz w:val="24"/>
          <w:szCs w:val="24"/>
        </w:rPr>
        <w:t>254,255</w:t>
      </w:r>
      <w:r w:rsidRPr="001F2BB6">
        <w:rPr>
          <w:rFonts w:ascii="Times New Roman" w:hAnsi="Times New Roman" w:cs="Times New Roman"/>
          <w:sz w:val="24"/>
          <w:szCs w:val="24"/>
        </w:rPr>
        <w:t>) што сугерира на</w:t>
      </w:r>
      <w:r w:rsidR="0064457C">
        <w:rPr>
          <w:rFonts w:ascii="Times New Roman" w:hAnsi="Times New Roman" w:cs="Times New Roman"/>
          <w:sz w:val="24"/>
          <w:szCs w:val="24"/>
        </w:rPr>
        <w:t xml:space="preserve"> инволвираност на IL-33/IL-33R </w:t>
      </w:r>
      <w:r w:rsidRPr="001F2BB6">
        <w:rPr>
          <w:rFonts w:ascii="Times New Roman" w:hAnsi="Times New Roman" w:cs="Times New Roman"/>
          <w:sz w:val="24"/>
          <w:szCs w:val="24"/>
        </w:rPr>
        <w:t>во индукцијата на инфламаторно заболување на дебелото црево, прецизната улога на IL-33 останува нејасна. Администрирање на декстран натриум сулфат кај глувци, резултира со појава на колит со детрукција на епителните клетки на дебелото црево, само при недостаток на T, B, NK и маст клетки(</w:t>
      </w:r>
      <w:r w:rsidR="0055336D">
        <w:rPr>
          <w:rFonts w:ascii="Times New Roman" w:hAnsi="Times New Roman" w:cs="Times New Roman"/>
          <w:sz w:val="24"/>
          <w:szCs w:val="24"/>
        </w:rPr>
        <w:t>256,257,258</w:t>
      </w:r>
      <w:r w:rsidRPr="001F2BB6">
        <w:rPr>
          <w:rFonts w:ascii="Times New Roman" w:hAnsi="Times New Roman" w:cs="Times New Roman"/>
          <w:sz w:val="24"/>
          <w:szCs w:val="24"/>
        </w:rPr>
        <w:t>) зависно од TLR сигналите</w:t>
      </w:r>
      <w:r w:rsidR="000D75EB">
        <w:rPr>
          <w:rFonts w:ascii="Times New Roman" w:hAnsi="Times New Roman" w:cs="Times New Roman"/>
          <w:sz w:val="24"/>
          <w:szCs w:val="24"/>
        </w:rPr>
        <w:t xml:space="preserve"> </w:t>
      </w:r>
      <w:r w:rsidRPr="001F2BB6">
        <w:rPr>
          <w:rFonts w:ascii="Times New Roman" w:hAnsi="Times New Roman" w:cs="Times New Roman"/>
          <w:sz w:val="24"/>
          <w:szCs w:val="24"/>
        </w:rPr>
        <w:t>(</w:t>
      </w:r>
      <w:r w:rsidR="0055336D">
        <w:rPr>
          <w:rFonts w:ascii="Times New Roman" w:hAnsi="Times New Roman" w:cs="Times New Roman"/>
          <w:sz w:val="24"/>
          <w:szCs w:val="24"/>
        </w:rPr>
        <w:t>259</w:t>
      </w:r>
      <w:r w:rsidRPr="001F2BB6">
        <w:rPr>
          <w:rFonts w:ascii="Times New Roman" w:hAnsi="Times New Roman" w:cs="Times New Roman"/>
          <w:sz w:val="24"/>
          <w:szCs w:val="24"/>
        </w:rPr>
        <w:t>). Глувци со дефицит на SIGIRR/TIR8 покажуваат поголема чувствителност за развиток на колит индуциран со декстран натриум сулфат</w:t>
      </w:r>
      <w:r w:rsidR="00627CF1">
        <w:rPr>
          <w:rFonts w:ascii="Times New Roman" w:hAnsi="Times New Roman" w:cs="Times New Roman"/>
          <w:sz w:val="24"/>
          <w:szCs w:val="24"/>
        </w:rPr>
        <w:t xml:space="preserve"> </w:t>
      </w:r>
      <w:r w:rsidRPr="001F2BB6">
        <w:rPr>
          <w:rFonts w:ascii="Times New Roman" w:hAnsi="Times New Roman" w:cs="Times New Roman"/>
          <w:sz w:val="24"/>
          <w:szCs w:val="24"/>
        </w:rPr>
        <w:t>(</w:t>
      </w:r>
      <w:r w:rsidR="0055336D">
        <w:rPr>
          <w:rFonts w:ascii="Times New Roman" w:hAnsi="Times New Roman" w:cs="Times New Roman"/>
          <w:sz w:val="24"/>
          <w:szCs w:val="24"/>
        </w:rPr>
        <w:t>260,261</w:t>
      </w:r>
      <w:r w:rsidRPr="001F2BB6">
        <w:rPr>
          <w:rFonts w:ascii="Times New Roman" w:hAnsi="Times New Roman" w:cs="Times New Roman"/>
          <w:sz w:val="24"/>
          <w:szCs w:val="24"/>
        </w:rPr>
        <w:t>) што укажува на тоа дека сигнализацијата преку IL-33/IL-33R2 има протективна улога кога станува збор за колит индуциран со декстран натриум сулфат. Зголемена е експресијата на IL-33 и ST2 mRNA/протеинот во инфламирана кожа кај пац</w:t>
      </w:r>
      <w:r w:rsidR="000D75EB">
        <w:rPr>
          <w:rFonts w:ascii="Times New Roman" w:hAnsi="Times New Roman" w:cs="Times New Roman"/>
          <w:sz w:val="24"/>
          <w:szCs w:val="24"/>
        </w:rPr>
        <w:t>иенти со системска склероза (262</w:t>
      </w:r>
      <w:r w:rsidRPr="001F2BB6">
        <w:rPr>
          <w:rFonts w:ascii="Times New Roman" w:hAnsi="Times New Roman" w:cs="Times New Roman"/>
          <w:sz w:val="24"/>
          <w:szCs w:val="24"/>
        </w:rPr>
        <w:t>). Неколкукратно субкутано инјектирање на IL-33 резултира со појава на фиброза на кожата, идентична на фиброза кај пациенти со систе</w:t>
      </w:r>
      <w:r w:rsidR="000D75EB">
        <w:rPr>
          <w:rFonts w:ascii="Times New Roman" w:hAnsi="Times New Roman" w:cs="Times New Roman"/>
          <w:sz w:val="24"/>
          <w:szCs w:val="24"/>
        </w:rPr>
        <w:t>мска склероза (склеродерма) (263</w:t>
      </w:r>
      <w:r w:rsidRPr="001F2BB6">
        <w:rPr>
          <w:rFonts w:ascii="Times New Roman" w:hAnsi="Times New Roman" w:cs="Times New Roman"/>
          <w:sz w:val="24"/>
          <w:szCs w:val="24"/>
        </w:rPr>
        <w:t>). Појавата на кутана фиброза под медијаторство на IL-33, зависи од присуството на еозинофили, IL-13 (кој потекнува од еозинофилите), како и од Т и В клетки, но не и од присус</w:t>
      </w:r>
      <w:r w:rsidR="000D75EB">
        <w:rPr>
          <w:rFonts w:ascii="Times New Roman" w:hAnsi="Times New Roman" w:cs="Times New Roman"/>
          <w:sz w:val="24"/>
          <w:szCs w:val="24"/>
        </w:rPr>
        <w:t>твото на IL-4 и маст клетки (263</w:t>
      </w:r>
      <w:r w:rsidRPr="001F2BB6">
        <w:rPr>
          <w:rFonts w:ascii="Times New Roman" w:hAnsi="Times New Roman" w:cs="Times New Roman"/>
          <w:sz w:val="24"/>
          <w:szCs w:val="24"/>
        </w:rPr>
        <w:t>) податоци кои укажуваат дека IL-33/IL-33R можеби имаат значајна улога во индукција на фиброза на кожата кај пациенти со системска склероза, односно склеродерма.  Пациенти со системски лупус еритематодес покажуваат високи вредности на ST2 во серум</w:t>
      </w:r>
      <w:r w:rsidR="00DE3D83">
        <w:rPr>
          <w:rFonts w:ascii="Times New Roman" w:hAnsi="Times New Roman" w:cs="Times New Roman"/>
          <w:sz w:val="24"/>
          <w:szCs w:val="24"/>
        </w:rPr>
        <w:t xml:space="preserve"> </w:t>
      </w:r>
      <w:r w:rsidRPr="001F2BB6">
        <w:rPr>
          <w:rFonts w:ascii="Times New Roman" w:hAnsi="Times New Roman" w:cs="Times New Roman"/>
          <w:sz w:val="24"/>
          <w:szCs w:val="24"/>
        </w:rPr>
        <w:t>(</w:t>
      </w:r>
      <w:r w:rsidR="000D75EB">
        <w:rPr>
          <w:rFonts w:ascii="Times New Roman" w:hAnsi="Times New Roman" w:cs="Times New Roman"/>
          <w:sz w:val="24"/>
          <w:szCs w:val="24"/>
        </w:rPr>
        <w:t>264,265</w:t>
      </w:r>
      <w:r w:rsidRPr="001F2BB6">
        <w:rPr>
          <w:rFonts w:ascii="Times New Roman" w:hAnsi="Times New Roman" w:cs="Times New Roman"/>
          <w:sz w:val="24"/>
          <w:szCs w:val="24"/>
        </w:rPr>
        <w:t>). MRLlpr/lpr глувци спонтано развиваат автоимуни заболувања налик на системски лупус кај човекот. C57BL/6lpr/lpr глувци со дефицит на SIGIRR/TIR8, манифестираат егзацербација на нефрит и заболување на белите дробови како последица на лупус</w:t>
      </w:r>
      <w:r w:rsidR="00627CF1">
        <w:rPr>
          <w:rFonts w:ascii="Times New Roman" w:hAnsi="Times New Roman" w:cs="Times New Roman"/>
          <w:sz w:val="24"/>
          <w:szCs w:val="24"/>
        </w:rPr>
        <w:t xml:space="preserve"> </w:t>
      </w:r>
      <w:r w:rsidRPr="001F2BB6">
        <w:rPr>
          <w:rFonts w:ascii="Times New Roman" w:hAnsi="Times New Roman" w:cs="Times New Roman"/>
          <w:sz w:val="24"/>
          <w:szCs w:val="24"/>
        </w:rPr>
        <w:t>(</w:t>
      </w:r>
      <w:r w:rsidR="000D75EB">
        <w:rPr>
          <w:rFonts w:ascii="Times New Roman" w:hAnsi="Times New Roman" w:cs="Times New Roman"/>
          <w:sz w:val="24"/>
          <w:szCs w:val="24"/>
        </w:rPr>
        <w:t>266</w:t>
      </w:r>
      <w:r w:rsidRPr="001F2BB6">
        <w:rPr>
          <w:rFonts w:ascii="Times New Roman" w:hAnsi="Times New Roman" w:cs="Times New Roman"/>
          <w:sz w:val="24"/>
          <w:szCs w:val="24"/>
        </w:rPr>
        <w:t xml:space="preserve">). </w:t>
      </w:r>
    </w:p>
    <w:p w:rsidR="00AB0154" w:rsidRDefault="00AB0154" w:rsidP="00421E8E">
      <w:pPr>
        <w:shd w:val="clear" w:color="auto" w:fill="FFFFFF"/>
        <w:spacing w:before="400"/>
        <w:outlineLvl w:val="0"/>
        <w:rPr>
          <w:rFonts w:ascii="Times New Roman" w:hAnsi="Times New Roman" w:cs="Times New Roman"/>
          <w:sz w:val="24"/>
          <w:szCs w:val="24"/>
        </w:rPr>
      </w:pPr>
    </w:p>
    <w:p w:rsidR="00AB0154" w:rsidRDefault="00AB0154" w:rsidP="00421E8E">
      <w:pPr>
        <w:shd w:val="clear" w:color="auto" w:fill="FFFFFF"/>
        <w:spacing w:before="400"/>
        <w:outlineLvl w:val="0"/>
        <w:rPr>
          <w:rFonts w:ascii="Times New Roman" w:hAnsi="Times New Roman" w:cs="Times New Roman"/>
          <w:sz w:val="24"/>
          <w:szCs w:val="24"/>
        </w:rPr>
      </w:pP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 xml:space="preserve">IL-33/IL-33R имаат влијание врз појавата на системски лупус еритематодес, но сепак прецизната улога како на IL-33, така и на IL-33R, во патогенезата на ова заболување се уште не е доволно разјаснета. </w:t>
      </w: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Покачени се серумските вредности на солубилниот ST2 протеин кај пациенти со акутен инфаркт на миокардот, стеноза на аортата и конгестивна кардиомиопатија (</w:t>
      </w:r>
      <w:r w:rsidR="000D75EB">
        <w:rPr>
          <w:rFonts w:ascii="Times New Roman" w:hAnsi="Times New Roman" w:cs="Times New Roman"/>
          <w:sz w:val="24"/>
          <w:szCs w:val="24"/>
        </w:rPr>
        <w:t>267,268,269</w:t>
      </w:r>
      <w:r w:rsidRPr="001F2BB6">
        <w:rPr>
          <w:rFonts w:ascii="Times New Roman" w:hAnsi="Times New Roman" w:cs="Times New Roman"/>
          <w:sz w:val="24"/>
          <w:szCs w:val="24"/>
        </w:rPr>
        <w:t xml:space="preserve">). Исто така IL-33 mRNA/протеинот е детектиран во срцевите фибробласти, </w:t>
      </w:r>
      <w:r w:rsidR="000D75EB">
        <w:rPr>
          <w:rFonts w:ascii="Times New Roman" w:hAnsi="Times New Roman" w:cs="Times New Roman"/>
          <w:sz w:val="24"/>
          <w:szCs w:val="24"/>
        </w:rPr>
        <w:t>по биомеханичка стимулација (270</w:t>
      </w:r>
      <w:r w:rsidRPr="001F2BB6">
        <w:rPr>
          <w:rFonts w:ascii="Times New Roman" w:hAnsi="Times New Roman" w:cs="Times New Roman"/>
          <w:sz w:val="24"/>
          <w:szCs w:val="24"/>
        </w:rPr>
        <w:t xml:space="preserve">). Докажано е дека морталитетот, фиброзата и хипертрофијата на кардиомиоцитите се зголемени кај глувци со дефицит на ST2, односно намалени по администрација на IL-33, </w:t>
      </w:r>
      <w:r w:rsidR="000D75EB">
        <w:rPr>
          <w:rFonts w:ascii="Times New Roman" w:hAnsi="Times New Roman" w:cs="Times New Roman"/>
          <w:sz w:val="24"/>
          <w:szCs w:val="24"/>
        </w:rPr>
        <w:t>при констрикција на аортата (270</w:t>
      </w:r>
      <w:r w:rsidRPr="001F2BB6">
        <w:rPr>
          <w:rFonts w:ascii="Times New Roman" w:hAnsi="Times New Roman" w:cs="Times New Roman"/>
          <w:sz w:val="24"/>
          <w:szCs w:val="24"/>
        </w:rPr>
        <w:t xml:space="preserve">). Третманот со IL-33 ја редуцира вентрикуларната дилатација, </w:t>
      </w:r>
      <w:r w:rsidR="00627CF1">
        <w:rPr>
          <w:rFonts w:ascii="Times New Roman" w:hAnsi="Times New Roman" w:cs="Times New Roman"/>
          <w:sz w:val="24"/>
          <w:szCs w:val="24"/>
        </w:rPr>
        <w:t xml:space="preserve"> </w:t>
      </w:r>
      <w:r w:rsidRPr="001F2BB6">
        <w:rPr>
          <w:rFonts w:ascii="Times New Roman" w:hAnsi="Times New Roman" w:cs="Times New Roman"/>
          <w:sz w:val="24"/>
          <w:szCs w:val="24"/>
        </w:rPr>
        <w:t>ја подобрува контрактилната функција и преживувањето кај глувци, по инфаркт на миокардот, со превенирање на апоптоза на кардиомиоцитите (</w:t>
      </w:r>
      <w:r w:rsidR="000D75EB">
        <w:rPr>
          <w:rFonts w:ascii="Times New Roman" w:hAnsi="Times New Roman" w:cs="Times New Roman"/>
          <w:sz w:val="24"/>
          <w:szCs w:val="24"/>
        </w:rPr>
        <w:t>271</w:t>
      </w:r>
      <w:r w:rsidRPr="001F2BB6">
        <w:rPr>
          <w:rFonts w:ascii="Times New Roman" w:hAnsi="Times New Roman" w:cs="Times New Roman"/>
          <w:sz w:val="24"/>
          <w:szCs w:val="24"/>
        </w:rPr>
        <w:t>)</w:t>
      </w:r>
      <w:r w:rsidR="00627CF1">
        <w:rPr>
          <w:rFonts w:ascii="Times New Roman" w:hAnsi="Times New Roman" w:cs="Times New Roman"/>
          <w:sz w:val="24"/>
          <w:szCs w:val="24"/>
        </w:rPr>
        <w:t>.</w:t>
      </w:r>
      <w:r w:rsidRPr="001F2BB6">
        <w:rPr>
          <w:rFonts w:ascii="Times New Roman" w:hAnsi="Times New Roman" w:cs="Times New Roman"/>
          <w:sz w:val="24"/>
          <w:szCs w:val="24"/>
        </w:rPr>
        <w:t xml:space="preserve"> Горе споменатото сугерира на тоа дека IL-33/IL-33R имаат регулаторна улога при индукција на некои срцеви заболувања. </w:t>
      </w:r>
    </w:p>
    <w:p w:rsidR="00B9792F" w:rsidRPr="001F2BB6" w:rsidRDefault="00B9792F" w:rsidP="00421E8E">
      <w:pPr>
        <w:shd w:val="clear" w:color="auto" w:fill="FFFFFF"/>
        <w:spacing w:before="400"/>
        <w:outlineLvl w:val="0"/>
        <w:rPr>
          <w:rFonts w:ascii="Times New Roman" w:hAnsi="Times New Roman" w:cs="Times New Roman"/>
          <w:sz w:val="24"/>
          <w:szCs w:val="24"/>
        </w:rPr>
      </w:pPr>
      <w:r w:rsidRPr="001F2BB6">
        <w:rPr>
          <w:rFonts w:ascii="Times New Roman" w:hAnsi="Times New Roman" w:cs="Times New Roman"/>
          <w:sz w:val="24"/>
          <w:szCs w:val="24"/>
        </w:rPr>
        <w:t>IL-33 и ST2 mRNA бележат зголемени нивоа во случај на фиброза на црниот д</w:t>
      </w:r>
      <w:r w:rsidR="000D75EB">
        <w:rPr>
          <w:rFonts w:ascii="Times New Roman" w:hAnsi="Times New Roman" w:cs="Times New Roman"/>
          <w:sz w:val="24"/>
          <w:szCs w:val="24"/>
        </w:rPr>
        <w:t>роб, кај човек и кај глувци (272</w:t>
      </w:r>
      <w:r w:rsidRPr="001F2BB6">
        <w:rPr>
          <w:rFonts w:ascii="Times New Roman" w:hAnsi="Times New Roman" w:cs="Times New Roman"/>
          <w:sz w:val="24"/>
          <w:szCs w:val="24"/>
        </w:rPr>
        <w:t xml:space="preserve">). Администрирање на </w:t>
      </w:r>
      <w:r w:rsidR="0064457C">
        <w:rPr>
          <w:rFonts w:ascii="Times New Roman" w:hAnsi="Times New Roman" w:cs="Times New Roman"/>
          <w:sz w:val="24"/>
          <w:szCs w:val="24"/>
        </w:rPr>
        <w:t>CCl4</w:t>
      </w:r>
      <w:r w:rsidRPr="001F2BB6">
        <w:rPr>
          <w:rFonts w:ascii="Times New Roman" w:hAnsi="Times New Roman" w:cs="Times New Roman"/>
          <w:sz w:val="24"/>
          <w:szCs w:val="24"/>
        </w:rPr>
        <w:t xml:space="preserve"> индуцира оштетување на црниот дроб и фиброза кај глувци. Третманот со растворлив ST2-Fc фузиски протеин резултира со инхибиција на Th2 тип на имунолошки одговор, односно продукција на Th2 тип цитокини. Кога станува збор за оштетување на хепар кај глувци под влијание од CCl4, третманот со растворлив ST2 протеин ја зголемува продукцијата на Th2 тип на цитокин</w:t>
      </w:r>
      <w:r w:rsidR="000D75EB">
        <w:rPr>
          <w:rFonts w:ascii="Times New Roman" w:hAnsi="Times New Roman" w:cs="Times New Roman"/>
          <w:sz w:val="24"/>
          <w:szCs w:val="24"/>
        </w:rPr>
        <w:t>и, како што се IL-4 и IL-13 (273</w:t>
      </w:r>
      <w:r w:rsidRPr="001F2BB6">
        <w:rPr>
          <w:rFonts w:ascii="Times New Roman" w:hAnsi="Times New Roman" w:cs="Times New Roman"/>
          <w:sz w:val="24"/>
          <w:szCs w:val="24"/>
        </w:rPr>
        <w:t>). Оштетувањето на хепарот индуцирано од страна на CCl4 вообичаено се појавува кај глувци третирани со растворлив ST2-Fc фузиски протеин, додека фиброза на хепарот е под директно влијание на зголемената продукција на IL-4 и IL-13 (кои потекнуваат само од Th2 клетките, а не од iNKT клетките)</w:t>
      </w:r>
      <w:r w:rsidR="0060358E">
        <w:rPr>
          <w:rFonts w:ascii="Times New Roman" w:hAnsi="Times New Roman" w:cs="Times New Roman"/>
          <w:sz w:val="24"/>
          <w:szCs w:val="24"/>
        </w:rPr>
        <w:t xml:space="preserve">. </w:t>
      </w:r>
      <w:r w:rsidRPr="001F2BB6">
        <w:rPr>
          <w:rFonts w:ascii="Times New Roman" w:hAnsi="Times New Roman" w:cs="Times New Roman"/>
          <w:sz w:val="24"/>
          <w:szCs w:val="24"/>
        </w:rPr>
        <w:t xml:space="preserve">Иако во овој случај, молекуларните механизми врз основа на кои се зголемува продукцијата на Th2 тип на цитокини, под влијание на растворливиот ST2 се уште не се доволно разјаснети, сепак може да се каже дека IL-33/IL-33R имаат важна улога во патогенезата на фиброза на црниот дроб. </w:t>
      </w:r>
    </w:p>
    <w:p w:rsidR="00B9792F" w:rsidRPr="001F2BB6" w:rsidRDefault="00B9792F" w:rsidP="00421E8E">
      <w:pPr>
        <w:rPr>
          <w:rFonts w:ascii="Times New Roman" w:hAnsi="Times New Roman" w:cs="Times New Roman"/>
          <w:sz w:val="24"/>
          <w:szCs w:val="24"/>
        </w:rPr>
      </w:pPr>
      <w:r w:rsidRPr="001F2BB6">
        <w:rPr>
          <w:rFonts w:ascii="Times New Roman" w:hAnsi="Times New Roman" w:cs="Times New Roman"/>
          <w:color w:val="000000"/>
          <w:kern w:val="24"/>
          <w:sz w:val="24"/>
          <w:szCs w:val="24"/>
        </w:rPr>
        <w:t>Зголемено ниво на серумски IL-33 е показател за зголемена инфламација кај пациенти со псоријаза (</w:t>
      </w:r>
      <w:r w:rsidR="000D75EB">
        <w:rPr>
          <w:rFonts w:ascii="Times New Roman" w:hAnsi="Times New Roman" w:cs="Times New Roman"/>
          <w:color w:val="000000"/>
          <w:kern w:val="24"/>
          <w:sz w:val="24"/>
          <w:szCs w:val="24"/>
        </w:rPr>
        <w:t>274</w:t>
      </w:r>
      <w:r w:rsidRPr="001F2BB6">
        <w:rPr>
          <w:rFonts w:ascii="Times New Roman" w:hAnsi="Times New Roman" w:cs="Times New Roman"/>
          <w:color w:val="000000"/>
          <w:kern w:val="24"/>
          <w:sz w:val="24"/>
          <w:szCs w:val="24"/>
        </w:rPr>
        <w:t>).</w:t>
      </w:r>
    </w:p>
    <w:p w:rsidR="00B9792F" w:rsidRPr="001F2BB6" w:rsidRDefault="00B9792F" w:rsidP="00421E8E">
      <w:pPr>
        <w:rPr>
          <w:rFonts w:ascii="Times New Roman" w:hAnsi="Times New Roman" w:cs="Times New Roman"/>
          <w:sz w:val="24"/>
          <w:szCs w:val="24"/>
        </w:rPr>
      </w:pPr>
      <w:r w:rsidRPr="001F2BB6">
        <w:rPr>
          <w:rFonts w:ascii="Times New Roman" w:hAnsi="Times New Roman" w:cs="Times New Roman"/>
          <w:color w:val="000000"/>
          <w:kern w:val="24"/>
          <w:sz w:val="24"/>
          <w:szCs w:val="24"/>
        </w:rPr>
        <w:t>Зголемено e нивото  на серумски IL-33 и кај пациенти со Анкилозен спондилит (</w:t>
      </w:r>
      <w:r w:rsidR="000D75EB">
        <w:rPr>
          <w:rFonts w:ascii="Times New Roman" w:hAnsi="Times New Roman" w:cs="Times New Roman"/>
          <w:color w:val="000000"/>
          <w:kern w:val="24"/>
          <w:sz w:val="24"/>
          <w:szCs w:val="24"/>
        </w:rPr>
        <w:t>275</w:t>
      </w:r>
      <w:r w:rsidR="0064457C">
        <w:rPr>
          <w:rFonts w:ascii="Times New Roman" w:hAnsi="Times New Roman" w:cs="Times New Roman"/>
          <w:color w:val="000000"/>
          <w:kern w:val="24"/>
          <w:sz w:val="24"/>
          <w:szCs w:val="24"/>
        </w:rPr>
        <w:t>)</w:t>
      </w:r>
      <w:r w:rsidR="0064457C">
        <w:rPr>
          <w:rFonts w:ascii="Times New Roman" w:hAnsi="Times New Roman" w:cs="Times New Roman"/>
          <w:color w:val="000000"/>
          <w:kern w:val="24"/>
          <w:sz w:val="24"/>
          <w:szCs w:val="24"/>
          <w:lang w:val="en-US"/>
        </w:rPr>
        <w:t>,</w:t>
      </w:r>
      <w:r w:rsidR="0064457C">
        <w:rPr>
          <w:rFonts w:ascii="Times New Roman" w:hAnsi="Times New Roman" w:cs="Times New Roman"/>
          <w:color w:val="000000"/>
          <w:kern w:val="24"/>
          <w:sz w:val="24"/>
          <w:szCs w:val="24"/>
        </w:rPr>
        <w:t xml:space="preserve"> </w:t>
      </w:r>
      <w:r w:rsidRPr="001F2BB6">
        <w:rPr>
          <w:rFonts w:ascii="Times New Roman" w:hAnsi="Times New Roman" w:cs="Times New Roman"/>
          <w:color w:val="000000"/>
          <w:kern w:val="24"/>
          <w:sz w:val="24"/>
          <w:szCs w:val="24"/>
        </w:rPr>
        <w:t>зголеменo е создавање на автоантитела кај пациенти со Реуматоиден артрит,  со покачени вредности на серу</w:t>
      </w:r>
      <w:r w:rsidR="000D75EB">
        <w:rPr>
          <w:rFonts w:ascii="Times New Roman" w:hAnsi="Times New Roman" w:cs="Times New Roman"/>
          <w:color w:val="000000"/>
          <w:kern w:val="24"/>
          <w:sz w:val="24"/>
          <w:szCs w:val="24"/>
        </w:rPr>
        <w:t>мски IL-33 (276</w:t>
      </w:r>
      <w:r w:rsidRPr="001F2BB6">
        <w:rPr>
          <w:rFonts w:ascii="Times New Roman" w:hAnsi="Times New Roman" w:cs="Times New Roman"/>
          <w:color w:val="000000"/>
          <w:kern w:val="24"/>
          <w:sz w:val="24"/>
          <w:szCs w:val="24"/>
        </w:rPr>
        <w:t>).</w:t>
      </w:r>
      <w:r w:rsidRPr="001F2BB6">
        <w:rPr>
          <w:rFonts w:ascii="Times New Roman" w:hAnsi="Times New Roman" w:cs="Times New Roman"/>
          <w:sz w:val="24"/>
          <w:szCs w:val="24"/>
        </w:rPr>
        <w:t xml:space="preserve"> </w:t>
      </w:r>
    </w:p>
    <w:p w:rsidR="00B9792F" w:rsidRPr="001F2BB6" w:rsidRDefault="00B9792F" w:rsidP="00421E8E">
      <w:pPr>
        <w:shd w:val="clear" w:color="auto" w:fill="FFFFFF"/>
        <w:rPr>
          <w:rFonts w:ascii="Times New Roman" w:hAnsi="Times New Roman" w:cs="Times New Roman"/>
          <w:sz w:val="24"/>
          <w:szCs w:val="24"/>
        </w:rPr>
      </w:pPr>
      <w:r w:rsidRPr="001F2BB6">
        <w:rPr>
          <w:rFonts w:ascii="Times New Roman" w:hAnsi="Times New Roman" w:cs="Times New Roman"/>
          <w:color w:val="000000"/>
          <w:kern w:val="24"/>
          <w:sz w:val="24"/>
          <w:szCs w:val="24"/>
          <w:lang w:val="ru-RU"/>
        </w:rPr>
        <w:t>Ниск</w:t>
      </w:r>
      <w:r w:rsidRPr="001F2BB6">
        <w:rPr>
          <w:rFonts w:ascii="Times New Roman" w:hAnsi="Times New Roman" w:cs="Times New Roman"/>
          <w:color w:val="000000"/>
          <w:kern w:val="24"/>
          <w:sz w:val="24"/>
          <w:szCs w:val="24"/>
        </w:rPr>
        <w:t>и серумски вредности</w:t>
      </w:r>
      <w:r w:rsidRPr="001F2BB6">
        <w:rPr>
          <w:rFonts w:ascii="Times New Roman" w:hAnsi="Times New Roman" w:cs="Times New Roman"/>
          <w:color w:val="000000"/>
          <w:kern w:val="24"/>
          <w:sz w:val="24"/>
          <w:szCs w:val="24"/>
          <w:lang w:val="ru-RU"/>
        </w:rPr>
        <w:t xml:space="preserve"> на IL-33, односно високи вредности на sST2 претставуваат показатели за повисок ризик од смртност кај критично болни пациенти, на Интензивна нега</w:t>
      </w:r>
      <w:r w:rsidR="000D75EB">
        <w:rPr>
          <w:rFonts w:ascii="Times New Roman" w:hAnsi="Times New Roman" w:cs="Times New Roman"/>
          <w:color w:val="000000"/>
          <w:kern w:val="24"/>
          <w:sz w:val="24"/>
          <w:szCs w:val="24"/>
          <w:lang w:val="ru-RU"/>
        </w:rPr>
        <w:t xml:space="preserve"> (277</w:t>
      </w:r>
      <w:r w:rsidRPr="001F2BB6">
        <w:rPr>
          <w:rFonts w:ascii="Times New Roman" w:hAnsi="Times New Roman" w:cs="Times New Roman"/>
          <w:color w:val="000000"/>
          <w:kern w:val="24"/>
          <w:sz w:val="24"/>
          <w:szCs w:val="24"/>
          <w:lang w:val="ru-RU"/>
        </w:rPr>
        <w:t>).</w:t>
      </w:r>
    </w:p>
    <w:p w:rsidR="00AB0154" w:rsidRDefault="00AB0154" w:rsidP="00421E8E">
      <w:pPr>
        <w:shd w:val="clear" w:color="auto" w:fill="FFFFFF"/>
        <w:rPr>
          <w:rFonts w:ascii="Times New Roman" w:hAnsi="Times New Roman" w:cs="Times New Roman"/>
          <w:sz w:val="24"/>
          <w:szCs w:val="24"/>
        </w:rPr>
      </w:pPr>
    </w:p>
    <w:p w:rsidR="00AB0154" w:rsidRDefault="00B9792F" w:rsidP="00421E8E">
      <w:pPr>
        <w:shd w:val="clear" w:color="auto" w:fill="FFFFFF"/>
        <w:rPr>
          <w:rFonts w:ascii="Times New Roman" w:hAnsi="Times New Roman" w:cs="Times New Roman"/>
          <w:sz w:val="24"/>
          <w:szCs w:val="24"/>
        </w:rPr>
      </w:pPr>
      <w:r w:rsidRPr="001F2BB6">
        <w:rPr>
          <w:rFonts w:ascii="Times New Roman" w:hAnsi="Times New Roman" w:cs="Times New Roman"/>
          <w:sz w:val="24"/>
          <w:szCs w:val="24"/>
        </w:rPr>
        <w:t>IL-33 исто така е инволвиран и во хронични инфламаторни заболувања и процеси на фиброзирање. Фиброза која настанува како резултат на одговор на организмот на хронична инфламација, индуцирана е од различни видови на стимулација, како што се перзистентна инфекција, автоимуна реакција, алергија и туморогенеза)</w:t>
      </w:r>
      <w:r w:rsidR="0060358E">
        <w:rPr>
          <w:rFonts w:ascii="Times New Roman" w:hAnsi="Times New Roman" w:cs="Times New Roman"/>
          <w:sz w:val="24"/>
          <w:szCs w:val="24"/>
        </w:rPr>
        <w:t xml:space="preserve"> </w:t>
      </w:r>
      <w:r w:rsidR="000D75EB">
        <w:rPr>
          <w:rFonts w:ascii="Times New Roman" w:hAnsi="Times New Roman" w:cs="Times New Roman"/>
          <w:sz w:val="24"/>
          <w:szCs w:val="24"/>
        </w:rPr>
        <w:t>(278</w:t>
      </w:r>
      <w:r w:rsidRPr="001F2BB6">
        <w:rPr>
          <w:rFonts w:ascii="Times New Roman" w:hAnsi="Times New Roman" w:cs="Times New Roman"/>
          <w:sz w:val="24"/>
          <w:szCs w:val="24"/>
        </w:rPr>
        <w:t xml:space="preserve">). Клучни клетки во тек на фиброза на ткивото се фибробласти, односно миофибробласти, кои што примарно синтетизираат колаген. </w:t>
      </w:r>
    </w:p>
    <w:p w:rsidR="00AB0154" w:rsidRDefault="00AB0154" w:rsidP="00421E8E">
      <w:pPr>
        <w:shd w:val="clear" w:color="auto" w:fill="FFFFFF"/>
        <w:rPr>
          <w:rFonts w:ascii="Times New Roman" w:hAnsi="Times New Roman" w:cs="Times New Roman"/>
          <w:sz w:val="24"/>
          <w:szCs w:val="24"/>
        </w:rPr>
      </w:pPr>
    </w:p>
    <w:p w:rsidR="00AB0154" w:rsidRDefault="00AB0154" w:rsidP="00421E8E">
      <w:pPr>
        <w:shd w:val="clear" w:color="auto" w:fill="FFFFFF"/>
        <w:rPr>
          <w:rFonts w:ascii="Times New Roman" w:hAnsi="Times New Roman" w:cs="Times New Roman"/>
          <w:sz w:val="24"/>
          <w:szCs w:val="24"/>
        </w:rPr>
      </w:pPr>
    </w:p>
    <w:p w:rsidR="00AB0154" w:rsidRDefault="00AB0154" w:rsidP="00421E8E">
      <w:pPr>
        <w:shd w:val="clear" w:color="auto" w:fill="FFFFFF"/>
        <w:rPr>
          <w:rFonts w:ascii="Times New Roman" w:hAnsi="Times New Roman" w:cs="Times New Roman"/>
          <w:sz w:val="24"/>
          <w:szCs w:val="24"/>
        </w:rPr>
      </w:pPr>
    </w:p>
    <w:p w:rsidR="00AB0154" w:rsidRDefault="00AB0154" w:rsidP="00421E8E">
      <w:pPr>
        <w:shd w:val="clear" w:color="auto" w:fill="FFFFFF"/>
        <w:rPr>
          <w:rFonts w:ascii="Times New Roman" w:hAnsi="Times New Roman" w:cs="Times New Roman"/>
          <w:sz w:val="24"/>
          <w:szCs w:val="24"/>
        </w:rPr>
      </w:pPr>
    </w:p>
    <w:p w:rsidR="00B9792F" w:rsidRDefault="00B9792F" w:rsidP="00421E8E">
      <w:pPr>
        <w:shd w:val="clear" w:color="auto" w:fill="FFFFFF"/>
        <w:rPr>
          <w:rFonts w:ascii="Times New Roman" w:hAnsi="Times New Roman" w:cs="Times New Roman"/>
          <w:sz w:val="24"/>
          <w:szCs w:val="24"/>
        </w:rPr>
      </w:pPr>
      <w:r w:rsidRPr="001F2BB6">
        <w:rPr>
          <w:rFonts w:ascii="Times New Roman" w:hAnsi="Times New Roman" w:cs="Times New Roman"/>
          <w:sz w:val="24"/>
          <w:szCs w:val="24"/>
        </w:rPr>
        <w:t>IL-33 протеинот биомеханички е индуциран кај фибробласти на срцето, а исто така е индуциран и од страна на про-инфламаторни цитокини во дермалните и синовијални фибробласти при Реуматоиден артрит</w:t>
      </w:r>
      <w:r w:rsidR="003D169B">
        <w:rPr>
          <w:rFonts w:ascii="Times New Roman" w:hAnsi="Times New Roman" w:cs="Times New Roman"/>
          <w:sz w:val="24"/>
          <w:szCs w:val="24"/>
        </w:rPr>
        <w:t xml:space="preserve"> кај човек и кај глувци (101,247</w:t>
      </w:r>
      <w:r w:rsidRPr="001F2BB6">
        <w:rPr>
          <w:rFonts w:ascii="Times New Roman" w:hAnsi="Times New Roman" w:cs="Times New Roman"/>
          <w:sz w:val="24"/>
          <w:szCs w:val="24"/>
        </w:rPr>
        <w:t>). Вредностите на IL-33 се покачени кај фиброза на црниот дроб, а истиот го синтетизираат хепаталните стелатни клетки</w:t>
      </w:r>
      <w:r w:rsidR="0060358E">
        <w:rPr>
          <w:rFonts w:ascii="Times New Roman" w:hAnsi="Times New Roman" w:cs="Times New Roman"/>
          <w:sz w:val="24"/>
          <w:szCs w:val="24"/>
        </w:rPr>
        <w:t xml:space="preserve"> </w:t>
      </w:r>
      <w:r w:rsidRPr="001F2BB6">
        <w:rPr>
          <w:rFonts w:ascii="Times New Roman" w:hAnsi="Times New Roman" w:cs="Times New Roman"/>
          <w:sz w:val="24"/>
          <w:szCs w:val="24"/>
        </w:rPr>
        <w:t>(</w:t>
      </w:r>
      <w:r w:rsidR="003D169B">
        <w:rPr>
          <w:rFonts w:ascii="Times New Roman" w:hAnsi="Times New Roman" w:cs="Times New Roman"/>
          <w:sz w:val="24"/>
          <w:szCs w:val="24"/>
        </w:rPr>
        <w:t>279,280</w:t>
      </w:r>
      <w:r w:rsidRPr="001F2BB6">
        <w:rPr>
          <w:rFonts w:ascii="Times New Roman" w:hAnsi="Times New Roman" w:cs="Times New Roman"/>
          <w:sz w:val="24"/>
          <w:szCs w:val="24"/>
        </w:rPr>
        <w:t>).Во ткиво изолирано од пациенти со инфламаторно</w:t>
      </w:r>
      <w:r w:rsidR="0060358E">
        <w:rPr>
          <w:rFonts w:ascii="Times New Roman" w:hAnsi="Times New Roman" w:cs="Times New Roman"/>
          <w:sz w:val="24"/>
          <w:szCs w:val="24"/>
        </w:rPr>
        <w:t xml:space="preserve"> заболување на дебелото црево, </w:t>
      </w:r>
      <w:r w:rsidRPr="001F2BB6">
        <w:rPr>
          <w:rFonts w:ascii="Times New Roman" w:hAnsi="Times New Roman" w:cs="Times New Roman"/>
          <w:sz w:val="24"/>
          <w:szCs w:val="24"/>
        </w:rPr>
        <w:t>IL-33 примарно покажува експресија кај миофибробластите кои се во ткивното микроопкружување на улцерациите (</w:t>
      </w:r>
      <w:r w:rsidR="003D169B">
        <w:rPr>
          <w:rFonts w:ascii="Times New Roman" w:hAnsi="Times New Roman" w:cs="Times New Roman"/>
          <w:sz w:val="24"/>
          <w:szCs w:val="24"/>
        </w:rPr>
        <w:t>281,282</w:t>
      </w:r>
      <w:r w:rsidRPr="001F2BB6">
        <w:rPr>
          <w:rFonts w:ascii="Times New Roman" w:hAnsi="Times New Roman" w:cs="Times New Roman"/>
          <w:sz w:val="24"/>
          <w:szCs w:val="24"/>
        </w:rPr>
        <w:t>). Исто така, докажано е дека серумските вредности на IL-33 се покачени кај пациенти со системска склероза и се во корелација  со стадиумот на белодробна фиброза (</w:t>
      </w:r>
      <w:r w:rsidR="003D169B">
        <w:rPr>
          <w:rFonts w:ascii="Times New Roman" w:hAnsi="Times New Roman" w:cs="Times New Roman"/>
          <w:sz w:val="24"/>
          <w:szCs w:val="24"/>
        </w:rPr>
        <w:t>283,284</w:t>
      </w:r>
      <w:r w:rsidRPr="001F2BB6">
        <w:rPr>
          <w:rFonts w:ascii="Times New Roman" w:hAnsi="Times New Roman" w:cs="Times New Roman"/>
          <w:sz w:val="24"/>
          <w:szCs w:val="24"/>
        </w:rPr>
        <w:t>). IL-33 исто така провоцира оштетување на беодробното ткиво при администрација на блеомицин, односно фиброза на пулмоналното ткиво, како резултат на зголемена продукција на AAM и ILC2 (</w:t>
      </w:r>
      <w:r w:rsidR="00D008E1">
        <w:rPr>
          <w:rFonts w:ascii="Times New Roman" w:hAnsi="Times New Roman" w:cs="Times New Roman"/>
          <w:sz w:val="24"/>
          <w:szCs w:val="24"/>
        </w:rPr>
        <w:t>284,285</w:t>
      </w:r>
      <w:r w:rsidRPr="001F2BB6">
        <w:rPr>
          <w:rFonts w:ascii="Times New Roman" w:hAnsi="Times New Roman" w:cs="Times New Roman"/>
          <w:sz w:val="24"/>
          <w:szCs w:val="24"/>
        </w:rPr>
        <w:t>)</w:t>
      </w:r>
      <w:r w:rsidR="00D008E1">
        <w:rPr>
          <w:rFonts w:ascii="Times New Roman" w:hAnsi="Times New Roman" w:cs="Times New Roman"/>
          <w:sz w:val="24"/>
          <w:szCs w:val="24"/>
        </w:rPr>
        <w:t>.</w:t>
      </w:r>
      <w:r w:rsidRPr="001F2BB6">
        <w:rPr>
          <w:rFonts w:ascii="Times New Roman" w:hAnsi="Times New Roman" w:cs="Times New Roman"/>
          <w:sz w:val="24"/>
          <w:szCs w:val="24"/>
        </w:rPr>
        <w:t xml:space="preserve"> Хепатална експресија на IL-33 е карактеристична и е повеќе од доволна за индукција на хепатална фиброза, посредно преку ILC2 и </w:t>
      </w:r>
      <w:r w:rsidR="009D6120">
        <w:rPr>
          <w:rFonts w:ascii="Times New Roman" w:hAnsi="Times New Roman" w:cs="Times New Roman"/>
          <w:sz w:val="24"/>
          <w:szCs w:val="24"/>
        </w:rPr>
        <w:t>хепаталните стелатни клетки (279</w:t>
      </w:r>
      <w:r w:rsidRPr="001F2BB6">
        <w:rPr>
          <w:rFonts w:ascii="Times New Roman" w:hAnsi="Times New Roman" w:cs="Times New Roman"/>
          <w:sz w:val="24"/>
          <w:szCs w:val="24"/>
        </w:rPr>
        <w:t xml:space="preserve">). Тоа значи дека IL-33 зема учество во фиброгенезата индуцирана од хронична инфламација. </w:t>
      </w:r>
    </w:p>
    <w:p w:rsidR="00ED29EA" w:rsidRDefault="00ED29EA" w:rsidP="00421E8E">
      <w:pPr>
        <w:shd w:val="clear" w:color="auto" w:fill="FFFFFF"/>
        <w:rPr>
          <w:rFonts w:ascii="Times New Roman" w:hAnsi="Times New Roman" w:cs="Times New Roman"/>
          <w:b/>
          <w:sz w:val="28"/>
          <w:szCs w:val="28"/>
        </w:rPr>
      </w:pPr>
    </w:p>
    <w:p w:rsidR="00910BD3" w:rsidRDefault="00910BD3" w:rsidP="00421E8E">
      <w:pPr>
        <w:shd w:val="clear" w:color="auto" w:fill="FFFFFF"/>
        <w:rPr>
          <w:rFonts w:ascii="Times New Roman" w:hAnsi="Times New Roman" w:cs="Times New Roman"/>
          <w:b/>
          <w:sz w:val="24"/>
          <w:szCs w:val="24"/>
        </w:rPr>
      </w:pPr>
    </w:p>
    <w:p w:rsidR="0012693B" w:rsidRDefault="0012693B" w:rsidP="00421E8E">
      <w:pPr>
        <w:shd w:val="clear" w:color="auto" w:fill="FFFFFF"/>
        <w:rPr>
          <w:rFonts w:ascii="Times New Roman" w:hAnsi="Times New Roman" w:cs="Times New Roman"/>
          <w:b/>
          <w:sz w:val="24"/>
          <w:szCs w:val="24"/>
          <w:lang w:val="en-US"/>
        </w:rPr>
      </w:pPr>
    </w:p>
    <w:p w:rsidR="00ED29EA" w:rsidRPr="00A926CA" w:rsidRDefault="0010111A" w:rsidP="00421E8E">
      <w:pPr>
        <w:shd w:val="clear" w:color="auto" w:fill="FFFFFF"/>
        <w:rPr>
          <w:rFonts w:ascii="Times New Roman" w:hAnsi="Times New Roman" w:cs="Times New Roman"/>
          <w:b/>
          <w:sz w:val="24"/>
          <w:szCs w:val="24"/>
          <w:lang w:val="ru-RU"/>
        </w:rPr>
      </w:pPr>
      <w:r w:rsidRPr="0060358E">
        <w:rPr>
          <w:rFonts w:ascii="Times New Roman" w:hAnsi="Times New Roman" w:cs="Times New Roman"/>
          <w:b/>
          <w:sz w:val="24"/>
          <w:szCs w:val="24"/>
        </w:rPr>
        <w:t>2</w:t>
      </w:r>
      <w:r w:rsidR="00B2014B">
        <w:rPr>
          <w:rFonts w:ascii="Times New Roman" w:hAnsi="Times New Roman" w:cs="Times New Roman"/>
          <w:b/>
          <w:sz w:val="24"/>
          <w:szCs w:val="24"/>
        </w:rPr>
        <w:t>.</w:t>
      </w:r>
      <w:r w:rsidRPr="0060358E">
        <w:rPr>
          <w:rFonts w:ascii="Times New Roman" w:hAnsi="Times New Roman" w:cs="Times New Roman"/>
          <w:b/>
          <w:sz w:val="24"/>
          <w:szCs w:val="24"/>
        </w:rPr>
        <w:t>4.2</w:t>
      </w:r>
      <w:r w:rsidR="00ED29EA" w:rsidRPr="0060358E">
        <w:rPr>
          <w:rFonts w:ascii="Times New Roman" w:hAnsi="Times New Roman" w:cs="Times New Roman"/>
          <w:b/>
          <w:sz w:val="24"/>
          <w:szCs w:val="24"/>
        </w:rPr>
        <w:t xml:space="preserve"> IL-33-МАЛИГНИ ЗАБОЛУВАЊА</w:t>
      </w:r>
    </w:p>
    <w:p w:rsidR="001107BF" w:rsidRPr="00A926CA" w:rsidRDefault="001107BF" w:rsidP="00421E8E">
      <w:pPr>
        <w:shd w:val="clear" w:color="auto" w:fill="FFFFFF"/>
        <w:rPr>
          <w:rFonts w:ascii="Times New Roman" w:hAnsi="Times New Roman" w:cs="Times New Roman"/>
          <w:b/>
          <w:sz w:val="24"/>
          <w:szCs w:val="24"/>
          <w:lang w:val="ru-RU"/>
        </w:rPr>
      </w:pPr>
    </w:p>
    <w:p w:rsidR="0012693B" w:rsidRDefault="0012693B" w:rsidP="00421E8E">
      <w:pPr>
        <w:shd w:val="clear" w:color="auto" w:fill="FFFFFF"/>
        <w:rPr>
          <w:rFonts w:ascii="Times New Roman" w:hAnsi="Times New Roman" w:cs="Times New Roman"/>
          <w:b/>
          <w:noProof/>
          <w:sz w:val="24"/>
          <w:szCs w:val="24"/>
          <w:lang w:val="en-US"/>
        </w:rPr>
      </w:pPr>
    </w:p>
    <w:p w:rsidR="0012693B" w:rsidRDefault="0012693B" w:rsidP="00421E8E">
      <w:pPr>
        <w:shd w:val="clear" w:color="auto" w:fill="FFFFFF"/>
        <w:rPr>
          <w:rFonts w:ascii="Times New Roman" w:hAnsi="Times New Roman" w:cs="Times New Roman"/>
          <w:b/>
          <w:noProof/>
          <w:sz w:val="24"/>
          <w:szCs w:val="24"/>
          <w:lang w:val="en-US"/>
        </w:rPr>
      </w:pPr>
    </w:p>
    <w:p w:rsidR="00AB0154" w:rsidRPr="0012693B" w:rsidRDefault="00446A60" w:rsidP="00421E8E">
      <w:pPr>
        <w:shd w:val="clear" w:color="auto" w:fill="FFFFFF"/>
        <w:rPr>
          <w:rFonts w:ascii="Times New Roman" w:hAnsi="Times New Roman" w:cs="Times New Roman"/>
          <w:b/>
          <w:sz w:val="20"/>
          <w:szCs w:val="20"/>
          <w:lang w:val="en-US"/>
        </w:rPr>
      </w:pPr>
      <w:r>
        <w:rPr>
          <w:rFonts w:ascii="Times New Roman" w:hAnsi="Times New Roman" w:cs="Times New Roman"/>
          <w:b/>
          <w:noProof/>
          <w:sz w:val="24"/>
          <w:szCs w:val="24"/>
          <w:lang w:val="en-US"/>
        </w:rPr>
        <w:drawing>
          <wp:inline distT="0" distB="0" distL="0" distR="0">
            <wp:extent cx="2228850" cy="1952318"/>
            <wp:effectExtent l="19050" t="0" r="0" b="0"/>
            <wp:docPr id="2" name="Picture 2" descr="il33,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33,slika"/>
                    <pic:cNvPicPr>
                      <a:picLocks noChangeAspect="1" noChangeArrowheads="1"/>
                    </pic:cNvPicPr>
                  </pic:nvPicPr>
                  <pic:blipFill>
                    <a:blip r:embed="rId13" cstate="print"/>
                    <a:srcRect/>
                    <a:stretch>
                      <a:fillRect/>
                    </a:stretch>
                  </pic:blipFill>
                  <pic:spPr bwMode="auto">
                    <a:xfrm>
                      <a:off x="0" y="0"/>
                      <a:ext cx="2228850" cy="1952318"/>
                    </a:xfrm>
                    <a:prstGeom prst="rect">
                      <a:avLst/>
                    </a:prstGeom>
                    <a:noFill/>
                    <a:ln w="9525">
                      <a:noFill/>
                      <a:miter lim="800000"/>
                      <a:headEnd/>
                      <a:tailEnd/>
                    </a:ln>
                  </pic:spPr>
                </pic:pic>
              </a:graphicData>
            </a:graphic>
          </wp:inline>
        </w:drawing>
      </w:r>
    </w:p>
    <w:p w:rsidR="0012693B" w:rsidRDefault="0012693B" w:rsidP="00421E8E">
      <w:pPr>
        <w:shd w:val="clear" w:color="auto" w:fill="FFFFFF"/>
        <w:rPr>
          <w:rFonts w:ascii="Times New Roman" w:hAnsi="Times New Roman" w:cs="Times New Roman"/>
          <w:b/>
          <w:sz w:val="20"/>
          <w:szCs w:val="20"/>
          <w:lang w:val="en-US"/>
        </w:rPr>
      </w:pPr>
    </w:p>
    <w:p w:rsidR="0012693B" w:rsidRDefault="0012693B" w:rsidP="00421E8E">
      <w:pPr>
        <w:shd w:val="clear" w:color="auto" w:fill="FFFFFF"/>
        <w:rPr>
          <w:rFonts w:ascii="Times New Roman" w:hAnsi="Times New Roman" w:cs="Times New Roman"/>
          <w:b/>
          <w:sz w:val="20"/>
          <w:szCs w:val="20"/>
          <w:lang w:val="en-US"/>
        </w:rPr>
      </w:pPr>
    </w:p>
    <w:p w:rsidR="001107BF" w:rsidRPr="001107BF" w:rsidRDefault="008F7E61" w:rsidP="00421E8E">
      <w:pPr>
        <w:shd w:val="clear" w:color="auto" w:fill="FFFFFF"/>
        <w:rPr>
          <w:rFonts w:ascii="Times New Roman" w:hAnsi="Times New Roman" w:cs="Times New Roman"/>
          <w:sz w:val="20"/>
          <w:szCs w:val="20"/>
        </w:rPr>
      </w:pPr>
      <w:r w:rsidRPr="008F7E61">
        <w:rPr>
          <w:rFonts w:ascii="Times New Roman" w:hAnsi="Times New Roman" w:cs="Times New Roman"/>
          <w:b/>
          <w:sz w:val="20"/>
          <w:szCs w:val="20"/>
        </w:rPr>
        <w:t>Слика 3</w:t>
      </w:r>
      <w:r w:rsidR="001107BF" w:rsidRPr="008F7E61">
        <w:rPr>
          <w:rFonts w:ascii="Times New Roman" w:hAnsi="Times New Roman" w:cs="Times New Roman"/>
          <w:b/>
          <w:sz w:val="20"/>
          <w:szCs w:val="20"/>
        </w:rPr>
        <w:t>.</w:t>
      </w:r>
      <w:r w:rsidR="001107BF" w:rsidRPr="001107BF">
        <w:rPr>
          <w:rFonts w:ascii="Times New Roman" w:hAnsi="Times New Roman" w:cs="Times New Roman"/>
          <w:sz w:val="20"/>
          <w:szCs w:val="20"/>
        </w:rPr>
        <w:t xml:space="preserve"> Про и анти-туморогена улога на </w:t>
      </w:r>
      <w:r w:rsidR="001107BF" w:rsidRPr="001107BF">
        <w:rPr>
          <w:rFonts w:ascii="Times New Roman" w:hAnsi="Times New Roman" w:cs="Times New Roman"/>
          <w:color w:val="000000"/>
          <w:kern w:val="24"/>
          <w:sz w:val="20"/>
          <w:szCs w:val="20"/>
        </w:rPr>
        <w:t>IL-3</w:t>
      </w:r>
      <w:r w:rsidR="001107BF">
        <w:rPr>
          <w:rFonts w:ascii="Times New Roman" w:hAnsi="Times New Roman" w:cs="Times New Roman"/>
          <w:color w:val="000000"/>
          <w:kern w:val="24"/>
          <w:sz w:val="20"/>
          <w:szCs w:val="20"/>
        </w:rPr>
        <w:t>3</w:t>
      </w:r>
    </w:p>
    <w:p w:rsidR="00AB0154" w:rsidRDefault="00AB0154" w:rsidP="00421E8E">
      <w:pPr>
        <w:shd w:val="clear" w:color="auto" w:fill="FFFFFF"/>
        <w:rPr>
          <w:rFonts w:ascii="Times New Roman" w:hAnsi="Times New Roman" w:cs="Times New Roman"/>
          <w:color w:val="000000"/>
          <w:kern w:val="24"/>
          <w:sz w:val="24"/>
          <w:szCs w:val="24"/>
        </w:rPr>
      </w:pPr>
    </w:p>
    <w:p w:rsidR="00AB0154" w:rsidRDefault="00AB0154" w:rsidP="00421E8E">
      <w:pPr>
        <w:shd w:val="clear" w:color="auto" w:fill="FFFFFF"/>
        <w:rPr>
          <w:rFonts w:ascii="Times New Roman" w:hAnsi="Times New Roman" w:cs="Times New Roman"/>
          <w:color w:val="000000"/>
          <w:kern w:val="24"/>
          <w:sz w:val="24"/>
          <w:szCs w:val="24"/>
        </w:rPr>
      </w:pPr>
    </w:p>
    <w:p w:rsidR="00FA7856" w:rsidRPr="009D695C"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color w:val="000000"/>
          <w:kern w:val="24"/>
          <w:sz w:val="24"/>
          <w:szCs w:val="24"/>
        </w:rPr>
        <w:t>Улогата на IL-33 e про-туморо</w:t>
      </w:r>
      <w:r w:rsidR="00EA4B3D">
        <w:rPr>
          <w:rFonts w:ascii="Times New Roman" w:hAnsi="Times New Roman" w:cs="Times New Roman"/>
          <w:color w:val="000000"/>
          <w:kern w:val="24"/>
          <w:sz w:val="24"/>
          <w:szCs w:val="24"/>
        </w:rPr>
        <w:t>гена кај карцином</w:t>
      </w:r>
      <w:r w:rsidRPr="009D695C">
        <w:rPr>
          <w:rFonts w:ascii="Times New Roman" w:hAnsi="Times New Roman" w:cs="Times New Roman"/>
          <w:color w:val="000000"/>
          <w:kern w:val="24"/>
          <w:sz w:val="24"/>
          <w:szCs w:val="24"/>
        </w:rPr>
        <w:t xml:space="preserve"> на дојка, желудник, панкреас, цервикален, оваријален, хепатален, хепатобилијарен, планоцелуларен карцином, мозочни и малигни неоплазми во регија на глава и врат, крвни малигни неоплазми, лимфоми. Двојна, про и анти-туморогена улога, IL-33 има кај карцином на белите дробови, дебело црево, простат</w:t>
      </w:r>
      <w:r w:rsidR="009D6120">
        <w:rPr>
          <w:rFonts w:ascii="Times New Roman" w:hAnsi="Times New Roman" w:cs="Times New Roman"/>
          <w:color w:val="000000"/>
          <w:kern w:val="24"/>
          <w:sz w:val="24"/>
          <w:szCs w:val="24"/>
        </w:rPr>
        <w:t>а и ренален карцином (</w:t>
      </w:r>
      <w:r w:rsidR="00D008E1">
        <w:rPr>
          <w:rFonts w:ascii="Times New Roman" w:hAnsi="Times New Roman" w:cs="Times New Roman"/>
          <w:color w:val="000000"/>
          <w:kern w:val="24"/>
          <w:sz w:val="24"/>
          <w:szCs w:val="24"/>
        </w:rPr>
        <w:t>287</w:t>
      </w:r>
      <w:r w:rsidRPr="009D695C">
        <w:rPr>
          <w:rFonts w:ascii="Times New Roman" w:hAnsi="Times New Roman" w:cs="Times New Roman"/>
          <w:color w:val="000000"/>
          <w:kern w:val="24"/>
          <w:sz w:val="24"/>
          <w:szCs w:val="24"/>
        </w:rPr>
        <w:t>).</w:t>
      </w:r>
    </w:p>
    <w:p w:rsidR="00AB0154" w:rsidRDefault="00AB0154" w:rsidP="00421E8E">
      <w:pPr>
        <w:shd w:val="clear" w:color="auto" w:fill="FFFFFF"/>
        <w:spacing w:before="200"/>
        <w:rPr>
          <w:rFonts w:ascii="Times New Roman" w:hAnsi="Times New Roman" w:cs="Times New Roman"/>
          <w:sz w:val="24"/>
          <w:szCs w:val="24"/>
        </w:rPr>
      </w:pPr>
    </w:p>
    <w:p w:rsidR="00AB0154" w:rsidRDefault="00AB0154" w:rsidP="00421E8E">
      <w:pPr>
        <w:shd w:val="clear" w:color="auto" w:fill="FFFFFF"/>
        <w:spacing w:before="200"/>
        <w:rPr>
          <w:rFonts w:ascii="Times New Roman" w:hAnsi="Times New Roman" w:cs="Times New Roman"/>
          <w:sz w:val="24"/>
          <w:szCs w:val="24"/>
        </w:rPr>
      </w:pPr>
    </w:p>
    <w:p w:rsidR="00AB0154" w:rsidRDefault="00AB0154" w:rsidP="00421E8E">
      <w:pPr>
        <w:shd w:val="clear" w:color="auto" w:fill="FFFFFF"/>
        <w:spacing w:before="200"/>
        <w:rPr>
          <w:rFonts w:ascii="Times New Roman" w:hAnsi="Times New Roman" w:cs="Times New Roman"/>
          <w:sz w:val="24"/>
          <w:szCs w:val="24"/>
        </w:rPr>
      </w:pPr>
    </w:p>
    <w:p w:rsidR="00AB0154" w:rsidRDefault="00AB0154" w:rsidP="00421E8E">
      <w:pPr>
        <w:shd w:val="clear" w:color="auto" w:fill="FFFFFF"/>
        <w:spacing w:before="200"/>
        <w:rPr>
          <w:rFonts w:ascii="Times New Roman" w:hAnsi="Times New Roman" w:cs="Times New Roman"/>
          <w:sz w:val="24"/>
          <w:szCs w:val="24"/>
        </w:rPr>
      </w:pPr>
    </w:p>
    <w:p w:rsidR="00FA7856" w:rsidRPr="009D695C" w:rsidRDefault="00FA7856" w:rsidP="00421E8E">
      <w:pPr>
        <w:shd w:val="clear" w:color="auto" w:fill="FFFFFF"/>
        <w:spacing w:before="200"/>
        <w:rPr>
          <w:rFonts w:ascii="Times New Roman" w:hAnsi="Times New Roman" w:cs="Times New Roman"/>
          <w:sz w:val="24"/>
          <w:szCs w:val="24"/>
        </w:rPr>
      </w:pPr>
      <w:r w:rsidRPr="009D695C">
        <w:rPr>
          <w:rFonts w:ascii="Times New Roman" w:hAnsi="Times New Roman" w:cs="Times New Roman"/>
          <w:sz w:val="24"/>
          <w:szCs w:val="24"/>
        </w:rPr>
        <w:t>Серумските вредности на  IL-33 се покачени кај хепатоцелуларен, карциномот на желудник, на дојка и бели дробови, како и кај карциноми во регијата на глава и врат (</w:t>
      </w:r>
      <w:r w:rsidR="00D008E1">
        <w:rPr>
          <w:rFonts w:ascii="Times New Roman" w:hAnsi="Times New Roman" w:cs="Times New Roman"/>
          <w:sz w:val="24"/>
          <w:szCs w:val="24"/>
        </w:rPr>
        <w:t>288,289,290,291</w:t>
      </w:r>
      <w:r w:rsidR="00BA435D">
        <w:rPr>
          <w:rFonts w:ascii="Times New Roman" w:hAnsi="Times New Roman" w:cs="Times New Roman"/>
          <w:sz w:val="24"/>
          <w:szCs w:val="24"/>
        </w:rPr>
        <w:t>,292</w:t>
      </w:r>
      <w:r w:rsidRPr="009D695C">
        <w:rPr>
          <w:rFonts w:ascii="Times New Roman" w:hAnsi="Times New Roman" w:cs="Times New Roman"/>
          <w:sz w:val="24"/>
          <w:szCs w:val="24"/>
        </w:rPr>
        <w:t>).</w:t>
      </w:r>
    </w:p>
    <w:p w:rsidR="00FA7856" w:rsidRPr="009D695C" w:rsidRDefault="00FA7856" w:rsidP="00421E8E">
      <w:pPr>
        <w:pStyle w:val="Heading1"/>
        <w:shd w:val="clear" w:color="auto" w:fill="FFFFFF"/>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Истражувањата на </w:t>
      </w:r>
      <w:r w:rsidRPr="009D695C">
        <w:rPr>
          <w:rFonts w:ascii="Times New Roman" w:hAnsi="Times New Roman" w:cs="Times New Roman"/>
          <w:b w:val="0"/>
          <w:sz w:val="24"/>
          <w:szCs w:val="24"/>
        </w:rPr>
        <w:t>Jovanovic</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и соработниците укажуваат на сигнификантно покачени серумски вредности на </w:t>
      </w:r>
      <w:r w:rsidRPr="009D695C">
        <w:rPr>
          <w:rFonts w:ascii="Times New Roman" w:hAnsi="Times New Roman" w:cs="Times New Roman"/>
          <w:b w:val="0"/>
          <w:sz w:val="24"/>
          <w:szCs w:val="24"/>
        </w:rPr>
        <w:t>IL</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и </w:t>
      </w:r>
      <w:r w:rsidRPr="009D695C">
        <w:rPr>
          <w:rFonts w:ascii="Times New Roman" w:hAnsi="Times New Roman" w:cs="Times New Roman"/>
          <w:b w:val="0"/>
          <w:sz w:val="24"/>
          <w:szCs w:val="24"/>
        </w:rPr>
        <w:t>sST</w:t>
      </w:r>
      <w:r w:rsidRPr="00A926CA">
        <w:rPr>
          <w:rFonts w:ascii="Times New Roman" w:hAnsi="Times New Roman" w:cs="Times New Roman"/>
          <w:b w:val="0"/>
          <w:sz w:val="24"/>
          <w:szCs w:val="24"/>
          <w:lang w:val="ru-RU"/>
        </w:rPr>
        <w:t xml:space="preserve">2 </w:t>
      </w:r>
      <w:r w:rsidRPr="009D695C">
        <w:rPr>
          <w:rFonts w:ascii="Times New Roman" w:hAnsi="Times New Roman" w:cs="Times New Roman"/>
          <w:b w:val="0"/>
          <w:sz w:val="24"/>
          <w:szCs w:val="24"/>
          <w:lang w:val="mk-MK"/>
        </w:rPr>
        <w:t xml:space="preserve">кај пациентки со карцином на дојка (податок кој отвара можности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и</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sST</w:t>
      </w:r>
      <w:r w:rsidRPr="00A926CA">
        <w:rPr>
          <w:rFonts w:ascii="Times New Roman" w:hAnsi="Times New Roman" w:cs="Times New Roman"/>
          <w:b w:val="0"/>
          <w:sz w:val="24"/>
          <w:szCs w:val="24"/>
          <w:lang w:val="ru-RU"/>
        </w:rPr>
        <w:t xml:space="preserve">2 </w:t>
      </w:r>
      <w:r w:rsidRPr="009D695C">
        <w:rPr>
          <w:rFonts w:ascii="Times New Roman" w:hAnsi="Times New Roman" w:cs="Times New Roman"/>
          <w:b w:val="0"/>
          <w:sz w:val="24"/>
          <w:szCs w:val="24"/>
          <w:lang w:val="mk-MK"/>
        </w:rPr>
        <w:t>да бидат користени како не инвазивни дијагностички ма</w:t>
      </w:r>
      <w:r w:rsidR="00D008E1">
        <w:rPr>
          <w:rFonts w:ascii="Times New Roman" w:hAnsi="Times New Roman" w:cs="Times New Roman"/>
          <w:b w:val="0"/>
          <w:sz w:val="24"/>
          <w:szCs w:val="24"/>
          <w:lang w:val="mk-MK"/>
        </w:rPr>
        <w:t>ркери за карцином на дојка) (29</w:t>
      </w:r>
      <w:r w:rsidR="00BA435D">
        <w:rPr>
          <w:rFonts w:ascii="Times New Roman" w:hAnsi="Times New Roman" w:cs="Times New Roman"/>
          <w:b w:val="0"/>
          <w:sz w:val="24"/>
          <w:szCs w:val="24"/>
          <w:lang w:val="mk-MK"/>
        </w:rPr>
        <w:t>3</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Зголемените нивоа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и </w:t>
      </w:r>
      <w:r w:rsidRPr="009D695C">
        <w:rPr>
          <w:rFonts w:ascii="Times New Roman" w:hAnsi="Times New Roman" w:cs="Times New Roman"/>
          <w:b w:val="0"/>
          <w:sz w:val="24"/>
          <w:szCs w:val="24"/>
        </w:rPr>
        <w:t>sST</w:t>
      </w:r>
      <w:r w:rsidRPr="00A926CA">
        <w:rPr>
          <w:rFonts w:ascii="Times New Roman" w:hAnsi="Times New Roman" w:cs="Times New Roman"/>
          <w:b w:val="0"/>
          <w:sz w:val="24"/>
          <w:szCs w:val="24"/>
          <w:lang w:val="ru-RU"/>
        </w:rPr>
        <w:t xml:space="preserve">2 </w:t>
      </w:r>
      <w:r w:rsidRPr="009D695C">
        <w:rPr>
          <w:rFonts w:ascii="Times New Roman" w:hAnsi="Times New Roman" w:cs="Times New Roman"/>
          <w:b w:val="0"/>
          <w:sz w:val="24"/>
          <w:szCs w:val="24"/>
          <w:lang w:val="mk-MK"/>
        </w:rPr>
        <w:t xml:space="preserve">кај пациенти со карцином на дојка корелираат со експресијата на васкуларниот ендотелен фактор за раст </w:t>
      </w:r>
      <w:r w:rsidRPr="009D695C">
        <w:rPr>
          <w:rFonts w:ascii="Times New Roman" w:hAnsi="Times New Roman" w:cs="Times New Roman"/>
          <w:b w:val="0"/>
          <w:sz w:val="24"/>
          <w:szCs w:val="24"/>
        </w:rPr>
        <w:t>VEGF</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и</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MMP</w:t>
      </w:r>
      <w:r w:rsidRPr="00A926CA">
        <w:rPr>
          <w:rFonts w:ascii="Times New Roman" w:hAnsi="Times New Roman" w:cs="Times New Roman"/>
          <w:b w:val="0"/>
          <w:sz w:val="24"/>
          <w:szCs w:val="24"/>
          <w:lang w:val="ru-RU"/>
        </w:rPr>
        <w:t>11 (</w:t>
      </w:r>
      <w:r w:rsidRPr="009D695C">
        <w:rPr>
          <w:rFonts w:ascii="Times New Roman" w:hAnsi="Times New Roman" w:cs="Times New Roman"/>
          <w:b w:val="0"/>
          <w:sz w:val="24"/>
          <w:szCs w:val="24"/>
        </w:rPr>
        <w:t>matrixm</w:t>
      </w:r>
      <w:r w:rsidR="0060358E">
        <w:rPr>
          <w:rFonts w:ascii="Times New Roman" w:hAnsi="Times New Roman" w:cs="Times New Roman"/>
          <w:b w:val="0"/>
          <w:sz w:val="24"/>
          <w:szCs w:val="24"/>
          <w:lang w:val="mk-MK"/>
        </w:rPr>
        <w:t>е</w:t>
      </w:r>
      <w:r w:rsidRPr="009D695C">
        <w:rPr>
          <w:rFonts w:ascii="Times New Roman" w:hAnsi="Times New Roman" w:cs="Times New Roman"/>
          <w:b w:val="0"/>
          <w:sz w:val="24"/>
          <w:szCs w:val="24"/>
        </w:rPr>
        <w:t>tallopeptidase</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што всушност претставува знак </w:t>
      </w:r>
      <w:r w:rsidR="00BA435D">
        <w:rPr>
          <w:rFonts w:ascii="Times New Roman" w:hAnsi="Times New Roman" w:cs="Times New Roman"/>
          <w:b w:val="0"/>
          <w:sz w:val="24"/>
          <w:szCs w:val="24"/>
          <w:lang w:val="mk-MK"/>
        </w:rPr>
        <w:t>за лоша прогноза на болеста (294</w:t>
      </w:r>
      <w:r w:rsidRPr="009D695C">
        <w:rPr>
          <w:rFonts w:ascii="Times New Roman" w:hAnsi="Times New Roman" w:cs="Times New Roman"/>
          <w:b w:val="0"/>
          <w:sz w:val="24"/>
          <w:szCs w:val="24"/>
          <w:lang w:val="mk-MK"/>
        </w:rPr>
        <w:t xml:space="preserve">). </w:t>
      </w:r>
      <w:r w:rsidR="00EA4B3D">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rPr>
        <w:t>ST</w:t>
      </w:r>
      <w:r w:rsidRPr="00A926CA">
        <w:rPr>
          <w:rFonts w:ascii="Times New Roman" w:hAnsi="Times New Roman" w:cs="Times New Roman"/>
          <w:b w:val="0"/>
          <w:sz w:val="24"/>
          <w:szCs w:val="24"/>
          <w:lang w:val="ru-RU"/>
        </w:rPr>
        <w:t xml:space="preserve">2 </w:t>
      </w:r>
      <w:r w:rsidRPr="009D695C">
        <w:rPr>
          <w:rFonts w:ascii="Times New Roman" w:hAnsi="Times New Roman" w:cs="Times New Roman"/>
          <w:b w:val="0"/>
          <w:sz w:val="24"/>
          <w:szCs w:val="24"/>
          <w:lang w:val="mk-MK"/>
        </w:rPr>
        <w:t>оската стимулира трансформација на епителните клетки и туморогенеза кај карцином на дојка</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и преку зголемување на интратуморската акумулација на имуносупресивни и вродени лимфоидни клетки, заслужна е за раст на туморот и негово метастазирање, на тој начин што ја зголемува интратуморската акумулација на имуносупресивни</w:t>
      </w:r>
      <w:r w:rsidR="00BA435D">
        <w:rPr>
          <w:rFonts w:ascii="Times New Roman" w:hAnsi="Times New Roman" w:cs="Times New Roman"/>
          <w:b w:val="0"/>
          <w:sz w:val="24"/>
          <w:szCs w:val="24"/>
          <w:lang w:val="mk-MK"/>
        </w:rPr>
        <w:t xml:space="preserve"> и вродени лимфоидни клетки (</w:t>
      </w:r>
      <w:r w:rsidR="00C014C0">
        <w:rPr>
          <w:rFonts w:ascii="Times New Roman" w:hAnsi="Times New Roman" w:cs="Times New Roman"/>
          <w:b w:val="0"/>
          <w:sz w:val="24"/>
          <w:szCs w:val="24"/>
          <w:lang w:val="mk-MK"/>
        </w:rPr>
        <w:t>293</w:t>
      </w:r>
      <w:r w:rsidRPr="009D695C">
        <w:rPr>
          <w:rFonts w:ascii="Times New Roman" w:hAnsi="Times New Roman" w:cs="Times New Roman"/>
          <w:b w:val="0"/>
          <w:sz w:val="24"/>
          <w:szCs w:val="24"/>
          <w:lang w:val="mk-MK"/>
        </w:rPr>
        <w:t>).</w:t>
      </w:r>
      <w:r w:rsidRPr="009D695C">
        <w:rPr>
          <w:rFonts w:ascii="Times New Roman" w:hAnsi="Times New Roman" w:cs="Times New Roman"/>
          <w:b w:val="0"/>
          <w:color w:val="212121"/>
          <w:sz w:val="24"/>
          <w:szCs w:val="24"/>
          <w:lang w:val="mk-MK"/>
        </w:rPr>
        <w:t xml:space="preserve"> </w:t>
      </w:r>
      <w:r w:rsidRPr="009D695C">
        <w:rPr>
          <w:rFonts w:ascii="Times New Roman" w:hAnsi="Times New Roman" w:cs="Times New Roman"/>
          <w:b w:val="0"/>
          <w:sz w:val="24"/>
          <w:szCs w:val="24"/>
          <w:lang w:val="mk-MK"/>
        </w:rPr>
        <w:t>При дефицит на</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ST</w:t>
      </w:r>
      <w:r w:rsidRPr="00A926CA">
        <w:rPr>
          <w:rFonts w:ascii="Times New Roman" w:hAnsi="Times New Roman" w:cs="Times New Roman"/>
          <w:b w:val="0"/>
          <w:sz w:val="24"/>
          <w:szCs w:val="24"/>
          <w:lang w:val="ru-RU"/>
        </w:rPr>
        <w:t>2</w:t>
      </w:r>
      <w:r w:rsidRPr="009D695C">
        <w:rPr>
          <w:rFonts w:ascii="Times New Roman" w:hAnsi="Times New Roman" w:cs="Times New Roman"/>
          <w:b w:val="0"/>
          <w:sz w:val="24"/>
          <w:szCs w:val="24"/>
          <w:lang w:val="mk-MK"/>
        </w:rPr>
        <w:t xml:space="preserve"> рецепторот, настанува супресија на метастазирањето на карциномот на дојка под влијание на цитотоксичната активност на </w:t>
      </w:r>
      <w:r w:rsidRPr="009D695C">
        <w:rPr>
          <w:rFonts w:ascii="Times New Roman" w:hAnsi="Times New Roman" w:cs="Times New Roman"/>
          <w:b w:val="0"/>
          <w:sz w:val="24"/>
          <w:szCs w:val="24"/>
        </w:rPr>
        <w:t>NK</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клетките и покачени системски нивоа на </w:t>
      </w:r>
      <w:r w:rsidRPr="009D695C">
        <w:rPr>
          <w:rFonts w:ascii="Times New Roman" w:hAnsi="Times New Roman" w:cs="Times New Roman"/>
          <w:b w:val="0"/>
          <w:sz w:val="24"/>
          <w:szCs w:val="24"/>
        </w:rPr>
        <w:t>Th</w:t>
      </w:r>
      <w:r w:rsidRPr="00A926CA">
        <w:rPr>
          <w:rFonts w:ascii="Times New Roman" w:hAnsi="Times New Roman" w:cs="Times New Roman"/>
          <w:b w:val="0"/>
          <w:sz w:val="24"/>
          <w:szCs w:val="24"/>
          <w:lang w:val="ru-RU"/>
        </w:rPr>
        <w:t xml:space="preserve">1 </w:t>
      </w:r>
      <w:r w:rsidRPr="009D695C">
        <w:rPr>
          <w:rFonts w:ascii="Times New Roman" w:hAnsi="Times New Roman" w:cs="Times New Roman"/>
          <w:b w:val="0"/>
          <w:sz w:val="24"/>
          <w:szCs w:val="24"/>
          <w:lang w:val="mk-MK"/>
        </w:rPr>
        <w:t xml:space="preserve">и </w:t>
      </w:r>
      <w:r w:rsidRPr="009D695C">
        <w:rPr>
          <w:rFonts w:ascii="Times New Roman" w:hAnsi="Times New Roman" w:cs="Times New Roman"/>
          <w:b w:val="0"/>
          <w:sz w:val="24"/>
          <w:szCs w:val="24"/>
        </w:rPr>
        <w:t>Th</w:t>
      </w:r>
      <w:r w:rsidRPr="00A926CA">
        <w:rPr>
          <w:rFonts w:ascii="Times New Roman" w:hAnsi="Times New Roman" w:cs="Times New Roman"/>
          <w:b w:val="0"/>
          <w:sz w:val="24"/>
          <w:szCs w:val="24"/>
          <w:lang w:val="ru-RU"/>
        </w:rPr>
        <w:t xml:space="preserve">17 </w:t>
      </w:r>
      <w:r w:rsidR="00BA435D">
        <w:rPr>
          <w:rFonts w:ascii="Times New Roman" w:hAnsi="Times New Roman" w:cs="Times New Roman"/>
          <w:b w:val="0"/>
          <w:sz w:val="24"/>
          <w:szCs w:val="24"/>
          <w:lang w:val="mk-MK"/>
        </w:rPr>
        <w:t>тип на цитокини (</w:t>
      </w:r>
      <w:r w:rsidR="007577FB">
        <w:rPr>
          <w:rFonts w:ascii="Times New Roman" w:hAnsi="Times New Roman" w:cs="Times New Roman"/>
          <w:b w:val="0"/>
          <w:sz w:val="24"/>
          <w:szCs w:val="24"/>
          <w:lang w:val="mk-MK"/>
        </w:rPr>
        <w:t>295</w:t>
      </w:r>
      <w:r w:rsidRPr="009D695C">
        <w:rPr>
          <w:rFonts w:ascii="Times New Roman" w:hAnsi="Times New Roman" w:cs="Times New Roman"/>
          <w:b w:val="0"/>
          <w:sz w:val="24"/>
          <w:szCs w:val="24"/>
          <w:lang w:val="mk-MK"/>
        </w:rPr>
        <w:t xml:space="preserve">).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rPr>
        <w:t>mRNA</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и протеин, се детектираат во примероци од туморско ткиво и метастатски лимфонодули кај експериментален модел на карцином на дојка кај глувци.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и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1</w:t>
      </w:r>
      <w:r w:rsidRPr="009D695C">
        <w:rPr>
          <w:rFonts w:ascii="Times New Roman" w:hAnsi="Times New Roman" w:cs="Times New Roman"/>
          <w:b w:val="0"/>
          <w:sz w:val="24"/>
          <w:szCs w:val="24"/>
        </w:rPr>
        <w:t>RL</w:t>
      </w:r>
      <w:r w:rsidRPr="00A926CA">
        <w:rPr>
          <w:rFonts w:ascii="Times New Roman" w:hAnsi="Times New Roman" w:cs="Times New Roman"/>
          <w:b w:val="0"/>
          <w:sz w:val="24"/>
          <w:szCs w:val="24"/>
          <w:lang w:val="ru-RU"/>
        </w:rPr>
        <w:t xml:space="preserve">1 </w:t>
      </w:r>
      <w:r w:rsidRPr="009D695C">
        <w:rPr>
          <w:rFonts w:ascii="Times New Roman" w:hAnsi="Times New Roman" w:cs="Times New Roman"/>
          <w:b w:val="0"/>
          <w:sz w:val="24"/>
          <w:szCs w:val="24"/>
          <w:lang w:val="mk-MK"/>
        </w:rPr>
        <w:t>или</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ST</w:t>
      </w:r>
      <w:r w:rsidRPr="00A926CA">
        <w:rPr>
          <w:rFonts w:ascii="Times New Roman" w:hAnsi="Times New Roman" w:cs="Times New Roman"/>
          <w:b w:val="0"/>
          <w:sz w:val="24"/>
          <w:szCs w:val="24"/>
          <w:lang w:val="ru-RU"/>
        </w:rPr>
        <w:t>2</w:t>
      </w:r>
      <w:r w:rsidRPr="009D695C">
        <w:rPr>
          <w:rFonts w:ascii="Times New Roman" w:hAnsi="Times New Roman" w:cs="Times New Roman"/>
          <w:b w:val="0"/>
          <w:sz w:val="24"/>
          <w:szCs w:val="24"/>
          <w:lang w:val="mk-MK"/>
        </w:rPr>
        <w:t xml:space="preserve"> бележат високи вредности во ткивен примерок на карцином на дојка (како и во ткивен пример</w:t>
      </w:r>
      <w:r w:rsidR="008D6018">
        <w:rPr>
          <w:rFonts w:ascii="Times New Roman" w:hAnsi="Times New Roman" w:cs="Times New Roman"/>
          <w:b w:val="0"/>
          <w:sz w:val="24"/>
          <w:szCs w:val="24"/>
          <w:lang w:val="mk-MK"/>
        </w:rPr>
        <w:t xml:space="preserve">ок кај карцином на бели дробови, </w:t>
      </w:r>
      <w:r w:rsidRPr="009D695C">
        <w:rPr>
          <w:rFonts w:ascii="Times New Roman" w:hAnsi="Times New Roman" w:cs="Times New Roman"/>
          <w:b w:val="0"/>
          <w:sz w:val="24"/>
          <w:szCs w:val="24"/>
          <w:lang w:val="mk-MK"/>
        </w:rPr>
        <w:t xml:space="preserve">во споредба со здрав ткивен примерок. Исто така кај овие пациенти, високи вредности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во серум претставуваат индикатор за лоша прогноза на болеста (</w:t>
      </w:r>
      <w:r w:rsidR="007577FB">
        <w:rPr>
          <w:rFonts w:ascii="Times New Roman" w:hAnsi="Times New Roman" w:cs="Times New Roman"/>
          <w:b w:val="0"/>
          <w:sz w:val="24"/>
          <w:szCs w:val="24"/>
          <w:lang w:val="mk-MK"/>
        </w:rPr>
        <w:t>291,294,296</w:t>
      </w:r>
      <w:r w:rsidRPr="009D695C">
        <w:rPr>
          <w:rFonts w:ascii="Times New Roman" w:hAnsi="Times New Roman" w:cs="Times New Roman"/>
          <w:b w:val="0"/>
          <w:sz w:val="24"/>
          <w:szCs w:val="24"/>
          <w:lang w:val="mk-MK"/>
        </w:rPr>
        <w:t xml:space="preserve">).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rPr>
        <w:t>mRNA</w:t>
      </w:r>
      <w:r w:rsidRPr="009D695C">
        <w:rPr>
          <w:rFonts w:ascii="Times New Roman" w:hAnsi="Times New Roman" w:cs="Times New Roman"/>
          <w:b w:val="0"/>
          <w:sz w:val="24"/>
          <w:szCs w:val="24"/>
          <w:lang w:val="mk-MK"/>
        </w:rPr>
        <w:t xml:space="preserve"> покажува експресија и во ткиво на здрава дојка</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се редуцирани кај мамарен дуктален карцином </w:t>
      </w:r>
      <w:r w:rsidRPr="009D695C">
        <w:rPr>
          <w:rFonts w:ascii="Times New Roman" w:hAnsi="Times New Roman" w:cs="Times New Roman"/>
          <w:b w:val="0"/>
          <w:sz w:val="24"/>
          <w:szCs w:val="24"/>
        </w:rPr>
        <w:t>in</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situ</w:t>
      </w:r>
      <w:r w:rsidRPr="009D695C">
        <w:rPr>
          <w:rFonts w:ascii="Times New Roman" w:hAnsi="Times New Roman" w:cs="Times New Roman"/>
          <w:b w:val="0"/>
          <w:sz w:val="24"/>
          <w:szCs w:val="24"/>
          <w:lang w:val="mk-MK"/>
        </w:rPr>
        <w:t xml:space="preserve">, што претставува, рана, пред-инвазивна фаза во развитокот на инвазивен карцином на дојка. Исто како и нивоата на </w:t>
      </w:r>
      <w:r w:rsidRPr="009D695C">
        <w:rPr>
          <w:rFonts w:ascii="Times New Roman" w:hAnsi="Times New Roman" w:cs="Times New Roman"/>
          <w:b w:val="0"/>
          <w:sz w:val="24"/>
          <w:szCs w:val="24"/>
        </w:rPr>
        <w:t>mRNA</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нивоата на </w:t>
      </w:r>
      <w:r w:rsidRPr="009D695C">
        <w:rPr>
          <w:rFonts w:ascii="Times New Roman" w:hAnsi="Times New Roman" w:cs="Times New Roman"/>
          <w:b w:val="0"/>
          <w:sz w:val="24"/>
          <w:szCs w:val="24"/>
        </w:rPr>
        <w:t>IL</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протеин се пониски кај </w:t>
      </w:r>
      <w:r w:rsidRPr="009D695C">
        <w:rPr>
          <w:rFonts w:ascii="Times New Roman" w:hAnsi="Times New Roman" w:cs="Times New Roman"/>
          <w:b w:val="0"/>
          <w:sz w:val="24"/>
          <w:szCs w:val="24"/>
        </w:rPr>
        <w:t>high</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rPr>
        <w:t>grade</w:t>
      </w:r>
      <w:r w:rsidRPr="009D695C">
        <w:rPr>
          <w:rFonts w:ascii="Times New Roman" w:hAnsi="Times New Roman" w:cs="Times New Roman"/>
          <w:b w:val="0"/>
          <w:sz w:val="24"/>
          <w:szCs w:val="24"/>
          <w:lang w:val="mk-MK"/>
        </w:rPr>
        <w:t xml:space="preserve">, во споредба со </w:t>
      </w:r>
      <w:r w:rsidRPr="009D695C">
        <w:rPr>
          <w:rFonts w:ascii="Times New Roman" w:hAnsi="Times New Roman" w:cs="Times New Roman"/>
          <w:b w:val="0"/>
          <w:sz w:val="24"/>
          <w:szCs w:val="24"/>
        </w:rPr>
        <w:t>low</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rPr>
        <w:t>grade</w:t>
      </w:r>
      <w:r w:rsidRPr="00A926CA">
        <w:rPr>
          <w:rFonts w:ascii="Times New Roman" w:hAnsi="Times New Roman" w:cs="Times New Roman"/>
          <w:b w:val="0"/>
          <w:sz w:val="24"/>
          <w:szCs w:val="24"/>
          <w:lang w:val="ru-RU"/>
        </w:rPr>
        <w:t xml:space="preserve"> </w:t>
      </w:r>
      <w:r w:rsidR="007577FB">
        <w:rPr>
          <w:rFonts w:ascii="Times New Roman" w:hAnsi="Times New Roman" w:cs="Times New Roman"/>
          <w:b w:val="0"/>
          <w:sz w:val="24"/>
          <w:szCs w:val="24"/>
          <w:lang w:val="mk-MK"/>
        </w:rPr>
        <w:t>карцином на дојка (291</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p>
    <w:p w:rsidR="006C7AB1" w:rsidRDefault="00FA7856" w:rsidP="00421E8E">
      <w:pPr>
        <w:pStyle w:val="Heading1"/>
        <w:shd w:val="clear" w:color="auto" w:fill="FFFFFF"/>
        <w:rPr>
          <w:rFonts w:ascii="Times New Roman" w:hAnsi="Times New Roman" w:cs="Times New Roman"/>
          <w:b w:val="0"/>
          <w:sz w:val="24"/>
          <w:szCs w:val="24"/>
          <w:lang w:val="ru-RU"/>
        </w:rPr>
      </w:pPr>
      <w:r w:rsidRPr="009D695C">
        <w:rPr>
          <w:rFonts w:ascii="Times New Roman" w:hAnsi="Times New Roman" w:cs="Times New Roman"/>
          <w:b w:val="0"/>
          <w:sz w:val="24"/>
          <w:szCs w:val="24"/>
          <w:lang w:val="mk-MK"/>
        </w:rPr>
        <w:t>Присуство на метастатски лимфонодули во карлицата, претставува главен прогностички факто</w:t>
      </w:r>
      <w:r w:rsidR="0060358E">
        <w:rPr>
          <w:rFonts w:ascii="Times New Roman" w:hAnsi="Times New Roman" w:cs="Times New Roman"/>
          <w:b w:val="0"/>
          <w:sz w:val="24"/>
          <w:szCs w:val="24"/>
          <w:lang w:val="mk-MK"/>
        </w:rPr>
        <w:t xml:space="preserve">р </w:t>
      </w:r>
      <w:r w:rsidRPr="009D695C">
        <w:rPr>
          <w:rFonts w:ascii="Times New Roman" w:hAnsi="Times New Roman" w:cs="Times New Roman"/>
          <w:b w:val="0"/>
          <w:sz w:val="24"/>
          <w:szCs w:val="24"/>
          <w:lang w:val="mk-MK"/>
        </w:rPr>
        <w:t>стадиум</w:t>
      </w:r>
      <w:r w:rsidR="0060358E">
        <w:rPr>
          <w:rFonts w:ascii="Times New Roman" w:hAnsi="Times New Roman" w:cs="Times New Roman"/>
          <w:b w:val="0"/>
          <w:sz w:val="24"/>
          <w:szCs w:val="24"/>
          <w:lang w:val="mk-MK"/>
        </w:rPr>
        <w:t>от</w:t>
      </w:r>
      <w:r w:rsidRPr="009D695C">
        <w:rPr>
          <w:rFonts w:ascii="Times New Roman" w:hAnsi="Times New Roman" w:cs="Times New Roman"/>
          <w:b w:val="0"/>
          <w:sz w:val="24"/>
          <w:szCs w:val="24"/>
          <w:lang w:val="mk-MK"/>
        </w:rPr>
        <w:t xml:space="preserve"> на карцином</w:t>
      </w:r>
      <w:r w:rsidR="0060358E">
        <w:rPr>
          <w:rFonts w:ascii="Times New Roman" w:hAnsi="Times New Roman" w:cs="Times New Roman"/>
          <w:b w:val="0"/>
          <w:sz w:val="24"/>
          <w:szCs w:val="24"/>
          <w:lang w:val="mk-MK"/>
        </w:rPr>
        <w:t>от</w:t>
      </w:r>
      <w:r w:rsidRPr="009D695C">
        <w:rPr>
          <w:rFonts w:ascii="Times New Roman" w:hAnsi="Times New Roman" w:cs="Times New Roman"/>
          <w:b w:val="0"/>
          <w:sz w:val="24"/>
          <w:szCs w:val="24"/>
          <w:lang w:val="mk-MK"/>
        </w:rPr>
        <w:t xml:space="preserve"> на цервиксот на матката. Со генетско профилирање на 20 </w:t>
      </w:r>
      <w:r w:rsidRPr="009D695C">
        <w:rPr>
          <w:rFonts w:ascii="Times New Roman" w:hAnsi="Times New Roman" w:cs="Times New Roman"/>
          <w:b w:val="0"/>
          <w:sz w:val="24"/>
          <w:szCs w:val="24"/>
        </w:rPr>
        <w:t>N</w:t>
      </w:r>
      <w:r w:rsidRPr="00A926CA">
        <w:rPr>
          <w:rFonts w:ascii="Times New Roman" w:hAnsi="Times New Roman" w:cs="Times New Roman"/>
          <w:b w:val="0"/>
          <w:sz w:val="24"/>
          <w:szCs w:val="24"/>
          <w:lang w:val="ru-RU"/>
        </w:rPr>
        <w:t xml:space="preserve">0 </w:t>
      </w:r>
      <w:r w:rsidRPr="009D695C">
        <w:rPr>
          <w:rFonts w:ascii="Times New Roman" w:hAnsi="Times New Roman" w:cs="Times New Roman"/>
          <w:b w:val="0"/>
          <w:sz w:val="24"/>
          <w:szCs w:val="24"/>
          <w:lang w:val="mk-MK"/>
        </w:rPr>
        <w:t xml:space="preserve">и 19 </w:t>
      </w:r>
      <w:r w:rsidRPr="009D695C">
        <w:rPr>
          <w:rFonts w:ascii="Times New Roman" w:hAnsi="Times New Roman" w:cs="Times New Roman"/>
          <w:b w:val="0"/>
          <w:sz w:val="24"/>
          <w:szCs w:val="24"/>
        </w:rPr>
        <w:t>N</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пациентки, се покажало дека 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се намалени во туморското ткиво, кај</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N</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во споредба со </w:t>
      </w:r>
      <w:r w:rsidRPr="009D695C">
        <w:rPr>
          <w:rFonts w:ascii="Times New Roman" w:hAnsi="Times New Roman" w:cs="Times New Roman"/>
          <w:b w:val="0"/>
          <w:sz w:val="24"/>
          <w:szCs w:val="24"/>
        </w:rPr>
        <w:t>N</w:t>
      </w:r>
      <w:r w:rsidR="00BA435D">
        <w:rPr>
          <w:rFonts w:ascii="Times New Roman" w:hAnsi="Times New Roman" w:cs="Times New Roman"/>
          <w:b w:val="0"/>
          <w:sz w:val="24"/>
          <w:szCs w:val="24"/>
          <w:lang w:val="mk-MK"/>
        </w:rPr>
        <w:t>0 пациентки (297</w:t>
      </w:r>
      <w:r w:rsidRPr="009D695C">
        <w:rPr>
          <w:rFonts w:ascii="Times New Roman" w:hAnsi="Times New Roman" w:cs="Times New Roman"/>
          <w:b w:val="0"/>
          <w:sz w:val="24"/>
          <w:szCs w:val="24"/>
          <w:lang w:val="mk-MK"/>
        </w:rPr>
        <w:t xml:space="preserve">), што уште еднаш укажува на тоа дека 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се намалуваат при прогресија на карциномот.</w:t>
      </w:r>
      <w:r w:rsidRPr="00A926CA">
        <w:rPr>
          <w:rFonts w:ascii="Times New Roman" w:hAnsi="Times New Roman" w:cs="Times New Roman"/>
          <w:b w:val="0"/>
          <w:sz w:val="24"/>
          <w:szCs w:val="24"/>
          <w:lang w:val="ru-RU"/>
        </w:rPr>
        <w:t xml:space="preserve"> </w:t>
      </w:r>
    </w:p>
    <w:p w:rsidR="00FA7856" w:rsidRPr="009D695C" w:rsidRDefault="00FA7856" w:rsidP="00421E8E">
      <w:pPr>
        <w:pStyle w:val="Heading1"/>
        <w:shd w:val="clear" w:color="auto" w:fill="FFFFFF"/>
        <w:rPr>
          <w:rFonts w:ascii="Times New Roman" w:hAnsi="Times New Roman" w:cs="Times New Roman"/>
          <w:b w:val="0"/>
          <w:color w:val="212121"/>
          <w:sz w:val="24"/>
          <w:szCs w:val="24"/>
          <w:lang w:val="mk-MK"/>
        </w:rPr>
      </w:pP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исто така е детектиран во ендотелни и епителни клетки во цервиксот на матката, при што 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протеин и </w:t>
      </w:r>
      <w:r w:rsidRPr="009D695C">
        <w:rPr>
          <w:rFonts w:ascii="Times New Roman" w:hAnsi="Times New Roman" w:cs="Times New Roman"/>
          <w:b w:val="0"/>
          <w:sz w:val="24"/>
          <w:szCs w:val="24"/>
        </w:rPr>
        <w:t>mRNA</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 во цервикалното ткиво се значително пониски кај изразена интраепителијална неоплазија, во споредба со не толку изразена,</w:t>
      </w:r>
      <w:r w:rsidR="007577FB">
        <w:rPr>
          <w:rFonts w:ascii="Times New Roman" w:hAnsi="Times New Roman" w:cs="Times New Roman"/>
          <w:b w:val="0"/>
          <w:sz w:val="24"/>
          <w:szCs w:val="24"/>
          <w:lang w:val="mk-MK"/>
        </w:rPr>
        <w:t xml:space="preserve"> односно отсутна неоплазија (298</w:t>
      </w:r>
      <w:r w:rsidRPr="009D695C">
        <w:rPr>
          <w:rFonts w:ascii="Times New Roman" w:hAnsi="Times New Roman" w:cs="Times New Roman"/>
          <w:b w:val="0"/>
          <w:sz w:val="24"/>
          <w:szCs w:val="24"/>
          <w:lang w:val="mk-MK"/>
        </w:rPr>
        <w:t>).</w:t>
      </w:r>
    </w:p>
    <w:p w:rsidR="00FA7856" w:rsidRPr="009D695C" w:rsidRDefault="00FA7856" w:rsidP="00421E8E">
      <w:pPr>
        <w:shd w:val="clear" w:color="auto" w:fill="FFFFFF"/>
        <w:spacing w:before="200"/>
        <w:rPr>
          <w:rFonts w:ascii="Times New Roman" w:hAnsi="Times New Roman" w:cs="Times New Roman"/>
          <w:sz w:val="24"/>
          <w:szCs w:val="24"/>
        </w:rPr>
      </w:pPr>
      <w:r w:rsidRPr="009D695C">
        <w:rPr>
          <w:rFonts w:ascii="Times New Roman" w:hAnsi="Times New Roman" w:cs="Times New Roman"/>
          <w:sz w:val="24"/>
          <w:szCs w:val="24"/>
        </w:rPr>
        <w:t>Зголемена експресија на IL-33 и ST2 во клетките на карцином на овариуми корелира со експресијата на Ki-67 маркерот за пролиферативна активност и всушност претставува предзнак за лоша прогноза на болеста (</w:t>
      </w:r>
      <w:r w:rsidR="007577FB">
        <w:rPr>
          <w:rFonts w:ascii="Times New Roman" w:hAnsi="Times New Roman" w:cs="Times New Roman"/>
          <w:sz w:val="24"/>
          <w:szCs w:val="24"/>
        </w:rPr>
        <w:t>299,300</w:t>
      </w:r>
      <w:r w:rsidRPr="009D695C">
        <w:rPr>
          <w:rFonts w:ascii="Times New Roman" w:hAnsi="Times New Roman" w:cs="Times New Roman"/>
          <w:sz w:val="24"/>
          <w:szCs w:val="24"/>
        </w:rPr>
        <w:t>).Се претпоставува дека активацијата на IL-33/ST2, доведува до прогреси</w:t>
      </w:r>
      <w:r w:rsidR="007577FB">
        <w:rPr>
          <w:rFonts w:ascii="Times New Roman" w:hAnsi="Times New Roman" w:cs="Times New Roman"/>
          <w:sz w:val="24"/>
          <w:szCs w:val="24"/>
        </w:rPr>
        <w:t>ја на оваријалниот карцином (300</w:t>
      </w:r>
      <w:r w:rsidRPr="009D695C">
        <w:rPr>
          <w:rFonts w:ascii="Times New Roman" w:hAnsi="Times New Roman" w:cs="Times New Roman"/>
          <w:sz w:val="24"/>
          <w:szCs w:val="24"/>
        </w:rPr>
        <w:t>).</w:t>
      </w:r>
    </w:p>
    <w:p w:rsidR="006C7AB1" w:rsidRDefault="006C7AB1" w:rsidP="00421E8E">
      <w:pPr>
        <w:shd w:val="clear" w:color="auto" w:fill="FFFFFF"/>
        <w:spacing w:before="200"/>
        <w:rPr>
          <w:rFonts w:ascii="Times New Roman" w:hAnsi="Times New Roman" w:cs="Times New Roman"/>
          <w:sz w:val="24"/>
          <w:szCs w:val="24"/>
        </w:rPr>
      </w:pPr>
    </w:p>
    <w:p w:rsidR="006C7AB1" w:rsidRDefault="006C7AB1" w:rsidP="00421E8E">
      <w:pPr>
        <w:shd w:val="clear" w:color="auto" w:fill="FFFFFF"/>
        <w:spacing w:before="200"/>
        <w:rPr>
          <w:rFonts w:ascii="Times New Roman" w:hAnsi="Times New Roman" w:cs="Times New Roman"/>
          <w:sz w:val="24"/>
          <w:szCs w:val="24"/>
        </w:rPr>
      </w:pPr>
    </w:p>
    <w:p w:rsidR="006C7AB1" w:rsidRDefault="006C7AB1" w:rsidP="00421E8E">
      <w:pPr>
        <w:shd w:val="clear" w:color="auto" w:fill="FFFFFF"/>
        <w:spacing w:before="200"/>
        <w:rPr>
          <w:rFonts w:ascii="Times New Roman" w:hAnsi="Times New Roman" w:cs="Times New Roman"/>
          <w:sz w:val="24"/>
          <w:szCs w:val="24"/>
        </w:rPr>
      </w:pPr>
    </w:p>
    <w:p w:rsidR="00FA7856" w:rsidRPr="009D695C" w:rsidRDefault="00FA7856" w:rsidP="00421E8E">
      <w:pPr>
        <w:shd w:val="clear" w:color="auto" w:fill="FFFFFF"/>
        <w:spacing w:before="200"/>
        <w:rPr>
          <w:rFonts w:ascii="Times New Roman" w:hAnsi="Times New Roman" w:cs="Times New Roman"/>
          <w:sz w:val="24"/>
          <w:szCs w:val="24"/>
        </w:rPr>
      </w:pPr>
      <w:r w:rsidRPr="009D695C">
        <w:rPr>
          <w:rFonts w:ascii="Times New Roman" w:hAnsi="Times New Roman" w:cs="Times New Roman"/>
          <w:sz w:val="24"/>
          <w:szCs w:val="24"/>
        </w:rPr>
        <w:t>O’Donnell и соработниците укажуваат на намалени серумски вредности на IL-33 и ST2L кај пациенти со прогресија на карцином на колон, односно на нивната протективна улога преку редукци</w:t>
      </w:r>
      <w:r w:rsidR="007577FB">
        <w:rPr>
          <w:rFonts w:ascii="Times New Roman" w:hAnsi="Times New Roman" w:cs="Times New Roman"/>
          <w:sz w:val="24"/>
          <w:szCs w:val="24"/>
        </w:rPr>
        <w:t>ја на туморската прогресија (301</w:t>
      </w:r>
      <w:r w:rsidRPr="009D695C">
        <w:rPr>
          <w:rFonts w:ascii="Times New Roman" w:hAnsi="Times New Roman" w:cs="Times New Roman"/>
          <w:sz w:val="24"/>
          <w:szCs w:val="24"/>
        </w:rPr>
        <w:t>).</w:t>
      </w:r>
      <w:r w:rsidR="0060358E">
        <w:rPr>
          <w:rFonts w:ascii="Times New Roman" w:hAnsi="Times New Roman" w:cs="Times New Roman"/>
          <w:sz w:val="24"/>
          <w:szCs w:val="24"/>
        </w:rPr>
        <w:t xml:space="preserve"> </w:t>
      </w:r>
      <w:r w:rsidRPr="009D695C">
        <w:rPr>
          <w:rFonts w:ascii="Times New Roman" w:hAnsi="Times New Roman" w:cs="Times New Roman"/>
          <w:sz w:val="24"/>
          <w:szCs w:val="24"/>
        </w:rPr>
        <w:t>Понатаму, нивоата на IL-33, исто така се пониски кај инвазивен колоректален канцер со помала стапка на преживување (</w:t>
      </w:r>
      <w:r w:rsidR="007577FB">
        <w:rPr>
          <w:rFonts w:ascii="Times New Roman" w:hAnsi="Times New Roman" w:cs="Times New Roman"/>
          <w:sz w:val="24"/>
          <w:szCs w:val="24"/>
        </w:rPr>
        <w:t>302</w:t>
      </w:r>
      <w:r w:rsidRPr="009D695C">
        <w:rPr>
          <w:rFonts w:ascii="Times New Roman" w:hAnsi="Times New Roman" w:cs="Times New Roman"/>
          <w:sz w:val="24"/>
          <w:szCs w:val="24"/>
        </w:rPr>
        <w:t xml:space="preserve">). </w:t>
      </w:r>
      <w:r w:rsidRPr="009D695C">
        <w:rPr>
          <w:rFonts w:ascii="Times New Roman" w:hAnsi="Times New Roman" w:cs="Times New Roman"/>
          <w:color w:val="212121"/>
          <w:sz w:val="24"/>
          <w:szCs w:val="24"/>
        </w:rPr>
        <w:t>Преку регулац</w:t>
      </w:r>
      <w:r w:rsidR="008D6018">
        <w:rPr>
          <w:rFonts w:ascii="Times New Roman" w:hAnsi="Times New Roman" w:cs="Times New Roman"/>
          <w:color w:val="212121"/>
          <w:sz w:val="24"/>
          <w:szCs w:val="24"/>
        </w:rPr>
        <w:t>ија на матрикс металопротеинази (вкучувајќи ги MMP2, MMP3 и MMP9)</w:t>
      </w:r>
      <w:r w:rsidRPr="009D695C">
        <w:rPr>
          <w:rFonts w:ascii="Times New Roman" w:hAnsi="Times New Roman" w:cs="Times New Roman"/>
          <w:color w:val="212121"/>
          <w:sz w:val="24"/>
          <w:szCs w:val="24"/>
        </w:rPr>
        <w:t>, IL-33 стимулира пролиферација и метастазирање на клет</w:t>
      </w:r>
      <w:r w:rsidR="007577FB">
        <w:rPr>
          <w:rFonts w:ascii="Times New Roman" w:hAnsi="Times New Roman" w:cs="Times New Roman"/>
          <w:color w:val="212121"/>
          <w:sz w:val="24"/>
          <w:szCs w:val="24"/>
        </w:rPr>
        <w:t>ки на колоректален карцином (303</w:t>
      </w:r>
      <w:r w:rsidRPr="009D695C">
        <w:rPr>
          <w:rFonts w:ascii="Times New Roman" w:hAnsi="Times New Roman" w:cs="Times New Roman"/>
          <w:color w:val="212121"/>
          <w:sz w:val="24"/>
          <w:szCs w:val="24"/>
        </w:rPr>
        <w:t>).</w:t>
      </w:r>
      <w:r w:rsidRPr="009D695C">
        <w:rPr>
          <w:rFonts w:ascii="Times New Roman" w:hAnsi="Times New Roman" w:cs="Times New Roman"/>
          <w:sz w:val="24"/>
          <w:szCs w:val="24"/>
        </w:rPr>
        <w:t xml:space="preserve"> Кај истиот, докажана е експресија на IL-33 во туморските ткива, односно покачени серумски вредности кај помалку диференцирани тумори, кои што пак,  се повисоки кај пациенти со карцином на колон, во споредба со вредностите кај па</w:t>
      </w:r>
      <w:r w:rsidR="007577FB">
        <w:rPr>
          <w:rFonts w:ascii="Times New Roman" w:hAnsi="Times New Roman" w:cs="Times New Roman"/>
          <w:sz w:val="24"/>
          <w:szCs w:val="24"/>
        </w:rPr>
        <w:t>циенти со  ректален карцином (304</w:t>
      </w:r>
      <w:r w:rsidRPr="009D695C">
        <w:rPr>
          <w:rFonts w:ascii="Times New Roman" w:hAnsi="Times New Roman" w:cs="Times New Roman"/>
          <w:sz w:val="24"/>
          <w:szCs w:val="24"/>
        </w:rPr>
        <w:t>). Зголемена е експресијата на IL-33 и ST2 (вклучувајќи го и sST2) во клетките на колоректален карцином во</w:t>
      </w:r>
      <w:r w:rsidR="007577FB">
        <w:rPr>
          <w:rFonts w:ascii="Times New Roman" w:hAnsi="Times New Roman" w:cs="Times New Roman"/>
          <w:sz w:val="24"/>
          <w:szCs w:val="24"/>
        </w:rPr>
        <w:t xml:space="preserve"> споредба со нормално ткиво (302</w:t>
      </w:r>
      <w:r w:rsidRPr="009D695C">
        <w:rPr>
          <w:rFonts w:ascii="Times New Roman" w:hAnsi="Times New Roman" w:cs="Times New Roman"/>
          <w:sz w:val="24"/>
          <w:szCs w:val="24"/>
        </w:rPr>
        <w:t>) и истата сугерира на помала стапка на преживување кај пациенти со метастатски карцином на колон</w:t>
      </w:r>
      <w:r w:rsidR="007577FB">
        <w:rPr>
          <w:rFonts w:ascii="Times New Roman" w:hAnsi="Times New Roman" w:cs="Times New Roman"/>
          <w:sz w:val="24"/>
          <w:szCs w:val="24"/>
        </w:rPr>
        <w:t xml:space="preserve"> (305</w:t>
      </w:r>
      <w:r w:rsidRPr="009D695C">
        <w:rPr>
          <w:rFonts w:ascii="Times New Roman" w:hAnsi="Times New Roman" w:cs="Times New Roman"/>
          <w:sz w:val="24"/>
          <w:szCs w:val="24"/>
        </w:rPr>
        <w:t>). Xie и соработниците докажале дека експресијата на IL-33 е непосредно поврзана со возраста и полот на пациенти</w:t>
      </w:r>
      <w:r w:rsidR="007577FB">
        <w:rPr>
          <w:rFonts w:ascii="Times New Roman" w:hAnsi="Times New Roman" w:cs="Times New Roman"/>
          <w:sz w:val="24"/>
          <w:szCs w:val="24"/>
        </w:rPr>
        <w:t>те со колоректален карцином (304</w:t>
      </w:r>
      <w:r w:rsidR="00231839">
        <w:rPr>
          <w:rFonts w:ascii="Times New Roman" w:hAnsi="Times New Roman" w:cs="Times New Roman"/>
          <w:sz w:val="24"/>
          <w:szCs w:val="24"/>
        </w:rPr>
        <w:t>). IL-33/</w:t>
      </w:r>
      <w:r w:rsidRPr="009D695C">
        <w:rPr>
          <w:rFonts w:ascii="Times New Roman" w:hAnsi="Times New Roman" w:cs="Times New Roman"/>
          <w:sz w:val="24"/>
          <w:szCs w:val="24"/>
        </w:rPr>
        <w:t xml:space="preserve">ST2 врската ја зголемува продукцијата на CD40L (протеин, кој примарно бележи експресија кај активирани </w:t>
      </w:r>
      <w:r w:rsidRPr="009D695C">
        <w:rPr>
          <w:rFonts w:ascii="Times New Roman" w:hAnsi="Times New Roman" w:cs="Times New Roman"/>
          <w:sz w:val="24"/>
          <w:szCs w:val="24"/>
          <w:shd w:val="clear" w:color="auto" w:fill="FFFFFF"/>
        </w:rPr>
        <w:t>T клетки и претставува член на TNF суперфамилијата</w:t>
      </w:r>
      <w:r w:rsidRPr="009D695C">
        <w:rPr>
          <w:rFonts w:ascii="Times New Roman" w:hAnsi="Times New Roman" w:cs="Times New Roman"/>
          <w:sz w:val="24"/>
          <w:szCs w:val="24"/>
        </w:rPr>
        <w:t xml:space="preserve"> и на тој начин врши супресија врз растот на карцин</w:t>
      </w:r>
      <w:r w:rsidR="00DC18C6">
        <w:rPr>
          <w:rFonts w:ascii="Times New Roman" w:hAnsi="Times New Roman" w:cs="Times New Roman"/>
          <w:sz w:val="24"/>
          <w:szCs w:val="24"/>
        </w:rPr>
        <w:t xml:space="preserve">ом на колон кај глувци) </w:t>
      </w:r>
      <w:r w:rsidR="007577FB">
        <w:rPr>
          <w:rFonts w:ascii="Times New Roman" w:hAnsi="Times New Roman" w:cs="Times New Roman"/>
          <w:sz w:val="24"/>
          <w:szCs w:val="24"/>
        </w:rPr>
        <w:t>(306</w:t>
      </w:r>
      <w:r w:rsidRPr="009D695C">
        <w:rPr>
          <w:rFonts w:ascii="Times New Roman" w:hAnsi="Times New Roman" w:cs="Times New Roman"/>
          <w:sz w:val="24"/>
          <w:szCs w:val="24"/>
        </w:rPr>
        <w:t xml:space="preserve">). Трансфекција на клетки на карцином на колон со IL-33 влијае стимулативно на метастазирање на истите преку акумулација на супресорни клетки со миелоидно потекло </w:t>
      </w:r>
      <w:r w:rsidR="007577FB">
        <w:rPr>
          <w:rFonts w:ascii="Times New Roman" w:hAnsi="Times New Roman" w:cs="Times New Roman"/>
          <w:sz w:val="24"/>
          <w:szCs w:val="24"/>
        </w:rPr>
        <w:t>(307</w:t>
      </w:r>
      <w:r w:rsidRPr="009D695C">
        <w:rPr>
          <w:rFonts w:ascii="Times New Roman" w:hAnsi="Times New Roman" w:cs="Times New Roman"/>
          <w:sz w:val="24"/>
          <w:szCs w:val="24"/>
        </w:rPr>
        <w:t>). ST2 позитивни  макрофаги се акумулираат во имунолошкото опкружување на туморот под влијание на CXCR3 и го редуцираат имунолошкиот одговор на домаќинот, така да кај ST2 негативни глувци забележана е инхибиција на растот на колоректален карцином во комбинациј</w:t>
      </w:r>
      <w:r w:rsidR="007577FB">
        <w:rPr>
          <w:rFonts w:ascii="Times New Roman" w:hAnsi="Times New Roman" w:cs="Times New Roman"/>
          <w:sz w:val="24"/>
          <w:szCs w:val="24"/>
        </w:rPr>
        <w:t>а со anti-PD-1 антитела (308</w:t>
      </w:r>
      <w:r w:rsidRPr="009D695C">
        <w:rPr>
          <w:rFonts w:ascii="Times New Roman" w:hAnsi="Times New Roman" w:cs="Times New Roman"/>
          <w:sz w:val="24"/>
          <w:szCs w:val="24"/>
        </w:rPr>
        <w:t>). Кај интестинални тумори кај APCMin/позитивни глувци, IL-33 од епително потекло делува стимулативно врз туморогенезата (</w:t>
      </w:r>
      <w:r w:rsidR="007577FB">
        <w:rPr>
          <w:rFonts w:ascii="Times New Roman" w:hAnsi="Times New Roman" w:cs="Times New Roman"/>
          <w:sz w:val="24"/>
          <w:szCs w:val="24"/>
        </w:rPr>
        <w:t>309,310</w:t>
      </w:r>
      <w:r w:rsidRPr="009D695C">
        <w:rPr>
          <w:rFonts w:ascii="Times New Roman" w:hAnsi="Times New Roman" w:cs="Times New Roman"/>
          <w:sz w:val="24"/>
          <w:szCs w:val="24"/>
        </w:rPr>
        <w:t xml:space="preserve">). Генетски предизвикана блокада на ST2 со антитела кај Apc (Min/+) глувци со карцином на дебелото црево, ја редуцира големината на туморот. Една студија посочува на тоа дека кај пациенти со метастатски карцином на колон, висока експресија на IL-33 исто така е предзнак за лоша прогноза на болеста. </w:t>
      </w:r>
      <w:r w:rsidRPr="009D695C">
        <w:rPr>
          <w:rStyle w:val="y2iqfc"/>
          <w:rFonts w:ascii="Times New Roman" w:hAnsi="Times New Roman" w:cs="Times New Roman"/>
          <w:color w:val="202124"/>
          <w:sz w:val="24"/>
          <w:szCs w:val="24"/>
        </w:rPr>
        <w:t>Слично на тоа, студијата посочува дека IL-33 ги активира гените на матичните клетки преку неговиот рецептор ST2, регрутира макрофаги и делува позитивно врз карциногенезата на овој вид карцином (</w:t>
      </w:r>
      <w:r w:rsidR="00E11F16">
        <w:rPr>
          <w:rStyle w:val="y2iqfc"/>
          <w:rFonts w:ascii="Times New Roman" w:hAnsi="Times New Roman" w:cs="Times New Roman"/>
          <w:color w:val="202124"/>
          <w:sz w:val="24"/>
          <w:szCs w:val="24"/>
        </w:rPr>
        <w:t>301,305</w:t>
      </w:r>
      <w:r w:rsidRPr="009D695C">
        <w:rPr>
          <w:rStyle w:val="y2iqfc"/>
          <w:rFonts w:ascii="Times New Roman" w:hAnsi="Times New Roman" w:cs="Times New Roman"/>
          <w:color w:val="202124"/>
          <w:sz w:val="24"/>
          <w:szCs w:val="24"/>
        </w:rPr>
        <w:t>).</w:t>
      </w:r>
      <w:r w:rsidRPr="009D695C">
        <w:rPr>
          <w:rFonts w:ascii="Times New Roman" w:hAnsi="Times New Roman" w:cs="Times New Roman"/>
          <w:sz w:val="24"/>
          <w:szCs w:val="24"/>
        </w:rPr>
        <w:t xml:space="preserve"> Понатаму, нивоата на IL-33, исто така се пониски кај инвазивен колоректален канцер со помала стапка на прежи</w:t>
      </w:r>
      <w:r w:rsidR="00A5500A">
        <w:rPr>
          <w:rFonts w:ascii="Times New Roman" w:hAnsi="Times New Roman" w:cs="Times New Roman"/>
          <w:sz w:val="24"/>
          <w:szCs w:val="24"/>
        </w:rPr>
        <w:t>вување (</w:t>
      </w:r>
      <w:r w:rsidR="00A5500A">
        <w:rPr>
          <w:rFonts w:ascii="Times New Roman" w:hAnsi="Times New Roman" w:cs="Times New Roman"/>
          <w:sz w:val="24"/>
          <w:szCs w:val="24"/>
          <w:lang w:val="en-US"/>
        </w:rPr>
        <w:t>302</w:t>
      </w:r>
      <w:r w:rsidRPr="009D695C">
        <w:rPr>
          <w:rFonts w:ascii="Times New Roman" w:hAnsi="Times New Roman" w:cs="Times New Roman"/>
          <w:sz w:val="24"/>
          <w:szCs w:val="24"/>
        </w:rPr>
        <w:t xml:space="preserve">). </w:t>
      </w:r>
    </w:p>
    <w:p w:rsidR="00FA7856" w:rsidRPr="009D695C"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sz w:val="24"/>
          <w:szCs w:val="24"/>
        </w:rPr>
        <w:t>Barrera и соработниците ја потврдиле заштитната улога на IL-33 кај пациенти со</w:t>
      </w:r>
      <w:r w:rsidR="00A5500A">
        <w:rPr>
          <w:rFonts w:ascii="Times New Roman" w:hAnsi="Times New Roman" w:cs="Times New Roman"/>
          <w:sz w:val="24"/>
          <w:szCs w:val="24"/>
        </w:rPr>
        <w:t xml:space="preserve"> карцином на белите дробови (31</w:t>
      </w:r>
      <w:r w:rsidR="00A5500A">
        <w:rPr>
          <w:rFonts w:ascii="Times New Roman" w:hAnsi="Times New Roman" w:cs="Times New Roman"/>
          <w:sz w:val="24"/>
          <w:szCs w:val="24"/>
          <w:lang w:val="en-US"/>
        </w:rPr>
        <w:t>1</w:t>
      </w:r>
      <w:r w:rsidRPr="009D695C">
        <w:rPr>
          <w:rFonts w:ascii="Times New Roman" w:hAnsi="Times New Roman" w:cs="Times New Roman"/>
          <w:sz w:val="24"/>
          <w:szCs w:val="24"/>
        </w:rPr>
        <w:t>). Други студии исто така укажуваат на обратнопропорционална корелација помеѓу нивото на IL-33 и прогресијата на туморот. На пр., редуцирана експресија на IL-33 и ST2 е поврзана со прогресија на карцином на бели дробови и се смета дека претставува причина за неповолна прогноза на болеста (</w:t>
      </w:r>
      <w:r w:rsidR="00A5500A">
        <w:rPr>
          <w:rFonts w:ascii="Times New Roman" w:hAnsi="Times New Roman" w:cs="Times New Roman"/>
          <w:sz w:val="24"/>
          <w:szCs w:val="24"/>
          <w:lang w:val="en-US"/>
        </w:rPr>
        <w:t>312,313,314</w:t>
      </w:r>
      <w:r w:rsidRPr="009D695C">
        <w:rPr>
          <w:rFonts w:ascii="Times New Roman" w:hAnsi="Times New Roman" w:cs="Times New Roman"/>
          <w:sz w:val="24"/>
          <w:szCs w:val="24"/>
        </w:rPr>
        <w:t xml:space="preserve">). Трансгенетски IL-33 ги активира </w:t>
      </w:r>
      <w:r w:rsidR="00DC18C6">
        <w:rPr>
          <w:rFonts w:ascii="Times New Roman" w:hAnsi="Times New Roman" w:cs="Times New Roman"/>
          <w:sz w:val="24"/>
          <w:szCs w:val="24"/>
        </w:rPr>
        <w:t>NK</w:t>
      </w:r>
      <w:r w:rsidRPr="009D695C">
        <w:rPr>
          <w:rFonts w:ascii="Times New Roman" w:hAnsi="Times New Roman" w:cs="Times New Roman"/>
          <w:sz w:val="24"/>
          <w:szCs w:val="24"/>
        </w:rPr>
        <w:t xml:space="preserve"> и T клетките, што резултира со инхибиција на растот и потенцијалот за метастазира</w:t>
      </w:r>
      <w:r w:rsidR="00A5500A">
        <w:rPr>
          <w:rFonts w:ascii="Times New Roman" w:hAnsi="Times New Roman" w:cs="Times New Roman"/>
          <w:sz w:val="24"/>
          <w:szCs w:val="24"/>
        </w:rPr>
        <w:t>ње на белодробниот карцином (3</w:t>
      </w:r>
      <w:r w:rsidR="00A5500A">
        <w:rPr>
          <w:rFonts w:ascii="Times New Roman" w:hAnsi="Times New Roman" w:cs="Times New Roman"/>
          <w:sz w:val="24"/>
          <w:szCs w:val="24"/>
          <w:lang w:val="en-US"/>
        </w:rPr>
        <w:t>15</w:t>
      </w:r>
      <w:r w:rsidRPr="009D695C">
        <w:rPr>
          <w:rFonts w:ascii="Times New Roman" w:hAnsi="Times New Roman" w:cs="Times New Roman"/>
          <w:sz w:val="24"/>
          <w:szCs w:val="24"/>
        </w:rPr>
        <w:t xml:space="preserve">). </w:t>
      </w:r>
    </w:p>
    <w:p w:rsidR="006C7AB1"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sz w:val="24"/>
          <w:szCs w:val="24"/>
        </w:rPr>
        <w:t>Стадиумот на туморот и неговата големина директно корелираат со концентрацијата на IL-33 во серум кај пацие</w:t>
      </w:r>
      <w:r w:rsidR="00A5500A">
        <w:rPr>
          <w:rFonts w:ascii="Times New Roman" w:hAnsi="Times New Roman" w:cs="Times New Roman"/>
          <w:sz w:val="24"/>
          <w:szCs w:val="24"/>
        </w:rPr>
        <w:t>нти со карцином на желудник (3</w:t>
      </w:r>
      <w:r w:rsidR="00A5500A">
        <w:rPr>
          <w:rFonts w:ascii="Times New Roman" w:hAnsi="Times New Roman" w:cs="Times New Roman"/>
          <w:sz w:val="24"/>
          <w:szCs w:val="24"/>
          <w:lang w:val="en-US"/>
        </w:rPr>
        <w:t>16</w:t>
      </w:r>
      <w:r w:rsidRPr="009D695C">
        <w:rPr>
          <w:rFonts w:ascii="Times New Roman" w:hAnsi="Times New Roman" w:cs="Times New Roman"/>
          <w:sz w:val="24"/>
          <w:szCs w:val="24"/>
        </w:rPr>
        <w:t>). IL-33 активиран од страна на туморските клетки, од своја страна, активира маст клетки и макрофаги и дејствува стимулативно на рас</w:t>
      </w:r>
      <w:r w:rsidR="00A5500A">
        <w:rPr>
          <w:rFonts w:ascii="Times New Roman" w:hAnsi="Times New Roman" w:cs="Times New Roman"/>
          <w:sz w:val="24"/>
          <w:szCs w:val="24"/>
        </w:rPr>
        <w:t>тот на гастричниот карцином (3</w:t>
      </w:r>
      <w:r w:rsidR="00A5500A">
        <w:rPr>
          <w:rFonts w:ascii="Times New Roman" w:hAnsi="Times New Roman" w:cs="Times New Roman"/>
          <w:sz w:val="24"/>
          <w:szCs w:val="24"/>
          <w:lang w:val="en-US"/>
        </w:rPr>
        <w:t>17</w:t>
      </w:r>
      <w:r w:rsidRPr="009D695C">
        <w:rPr>
          <w:rFonts w:ascii="Times New Roman" w:hAnsi="Times New Roman" w:cs="Times New Roman"/>
          <w:sz w:val="24"/>
          <w:szCs w:val="24"/>
        </w:rPr>
        <w:t xml:space="preserve">). </w:t>
      </w:r>
    </w:p>
    <w:p w:rsidR="006C7AB1" w:rsidRDefault="006C7AB1" w:rsidP="00421E8E">
      <w:pPr>
        <w:shd w:val="clear" w:color="auto" w:fill="FFFFFF"/>
        <w:rPr>
          <w:rFonts w:ascii="Times New Roman" w:hAnsi="Times New Roman" w:cs="Times New Roman"/>
          <w:sz w:val="24"/>
          <w:szCs w:val="24"/>
        </w:rPr>
      </w:pPr>
    </w:p>
    <w:p w:rsidR="006C7AB1" w:rsidRDefault="006C7AB1" w:rsidP="00421E8E">
      <w:pPr>
        <w:shd w:val="clear" w:color="auto" w:fill="FFFFFF"/>
        <w:rPr>
          <w:rFonts w:ascii="Times New Roman" w:hAnsi="Times New Roman" w:cs="Times New Roman"/>
          <w:sz w:val="24"/>
          <w:szCs w:val="24"/>
        </w:rPr>
      </w:pPr>
    </w:p>
    <w:p w:rsidR="006C7AB1" w:rsidRDefault="006C7AB1" w:rsidP="00421E8E">
      <w:pPr>
        <w:shd w:val="clear" w:color="auto" w:fill="FFFFFF"/>
        <w:rPr>
          <w:rFonts w:ascii="Times New Roman" w:hAnsi="Times New Roman" w:cs="Times New Roman"/>
          <w:sz w:val="24"/>
          <w:szCs w:val="24"/>
        </w:rPr>
      </w:pPr>
    </w:p>
    <w:p w:rsidR="006C7AB1" w:rsidRDefault="006C7AB1" w:rsidP="00421E8E">
      <w:pPr>
        <w:shd w:val="clear" w:color="auto" w:fill="FFFFFF"/>
        <w:rPr>
          <w:rFonts w:ascii="Times New Roman" w:hAnsi="Times New Roman" w:cs="Times New Roman"/>
          <w:sz w:val="24"/>
          <w:szCs w:val="24"/>
        </w:rPr>
      </w:pPr>
    </w:p>
    <w:p w:rsidR="00FA7856" w:rsidRPr="009D695C" w:rsidRDefault="00FA7856" w:rsidP="00421E8E">
      <w:pPr>
        <w:shd w:val="clear" w:color="auto" w:fill="FFFFFF"/>
        <w:rPr>
          <w:rFonts w:ascii="Times New Roman" w:hAnsi="Times New Roman" w:cs="Times New Roman"/>
          <w:color w:val="212121"/>
          <w:sz w:val="24"/>
          <w:szCs w:val="24"/>
        </w:rPr>
      </w:pPr>
      <w:r w:rsidRPr="009D695C">
        <w:rPr>
          <w:rFonts w:ascii="Times New Roman" w:hAnsi="Times New Roman" w:cs="Times New Roman"/>
          <w:sz w:val="24"/>
          <w:szCs w:val="24"/>
        </w:rPr>
        <w:t>Во студија, реализирана кај пациенти од кинеска популација со хепатоцелуларен карцином, RS3821204 генотипот на ST2 во плазма, позитивно корелира со зголемен ри</w:t>
      </w:r>
      <w:r w:rsidR="00A5500A">
        <w:rPr>
          <w:rFonts w:ascii="Times New Roman" w:hAnsi="Times New Roman" w:cs="Times New Roman"/>
          <w:sz w:val="24"/>
          <w:szCs w:val="24"/>
        </w:rPr>
        <w:t>зик за овој тип на карцином (3</w:t>
      </w:r>
      <w:r w:rsidR="00A5500A">
        <w:rPr>
          <w:rFonts w:ascii="Times New Roman" w:hAnsi="Times New Roman" w:cs="Times New Roman"/>
          <w:sz w:val="24"/>
          <w:szCs w:val="24"/>
          <w:lang w:val="en-US"/>
        </w:rPr>
        <w:t>18</w:t>
      </w:r>
      <w:r w:rsidR="00C8663E">
        <w:rPr>
          <w:rFonts w:ascii="Times New Roman" w:hAnsi="Times New Roman" w:cs="Times New Roman"/>
          <w:sz w:val="24"/>
          <w:szCs w:val="24"/>
        </w:rPr>
        <w:t>). IL-33 во стромалните клетки</w:t>
      </w:r>
      <w:r w:rsidRPr="009D695C">
        <w:rPr>
          <w:rFonts w:ascii="Times New Roman" w:hAnsi="Times New Roman" w:cs="Times New Roman"/>
          <w:sz w:val="24"/>
          <w:szCs w:val="24"/>
        </w:rPr>
        <w:t>, ја зголемува способноста за метастазирање на хепатоцелуларен карцином преку макрофагите во</w:t>
      </w:r>
      <w:r w:rsidR="00A5500A">
        <w:rPr>
          <w:rFonts w:ascii="Times New Roman" w:hAnsi="Times New Roman" w:cs="Times New Roman"/>
          <w:sz w:val="24"/>
          <w:szCs w:val="24"/>
        </w:rPr>
        <w:t xml:space="preserve"> туморското микропкружување (3</w:t>
      </w:r>
      <w:r w:rsidR="00A5500A">
        <w:rPr>
          <w:rFonts w:ascii="Times New Roman" w:hAnsi="Times New Roman" w:cs="Times New Roman"/>
          <w:sz w:val="24"/>
          <w:szCs w:val="24"/>
          <w:lang w:val="en-US"/>
        </w:rPr>
        <w:t>19</w:t>
      </w:r>
      <w:r w:rsidRPr="009D695C">
        <w:rPr>
          <w:rFonts w:ascii="Times New Roman" w:hAnsi="Times New Roman" w:cs="Times New Roman"/>
          <w:sz w:val="24"/>
          <w:szCs w:val="24"/>
        </w:rPr>
        <w:t>), што сугерира на тоа дека повисока експресија на IL-33 претставува индикатор за лоша прогноза на</w:t>
      </w:r>
      <w:r w:rsidR="00A5500A">
        <w:rPr>
          <w:rFonts w:ascii="Times New Roman" w:hAnsi="Times New Roman" w:cs="Times New Roman"/>
          <w:sz w:val="24"/>
          <w:szCs w:val="24"/>
        </w:rPr>
        <w:t xml:space="preserve"> хепатоцелуларниот карцином (32</w:t>
      </w:r>
      <w:r w:rsidR="00A5500A">
        <w:rPr>
          <w:rFonts w:ascii="Times New Roman" w:hAnsi="Times New Roman" w:cs="Times New Roman"/>
          <w:sz w:val="24"/>
          <w:szCs w:val="24"/>
          <w:lang w:val="en-US"/>
        </w:rPr>
        <w:t>0</w:t>
      </w:r>
      <w:r w:rsidRPr="009D695C">
        <w:rPr>
          <w:rFonts w:ascii="Times New Roman" w:hAnsi="Times New Roman" w:cs="Times New Roman"/>
          <w:sz w:val="24"/>
          <w:szCs w:val="24"/>
        </w:rPr>
        <w:t xml:space="preserve">). Од друга странa пак, докажано е дека зголемена експресија на IL-33 во интратуморските мемориски CD8+ T-клетки и високи вредности на sST2 во серум кај овие пациенти укажува на зголемена стапка на преживување кај пациенти </w:t>
      </w:r>
      <w:r w:rsidR="00A5500A">
        <w:rPr>
          <w:rFonts w:ascii="Times New Roman" w:hAnsi="Times New Roman" w:cs="Times New Roman"/>
          <w:sz w:val="24"/>
          <w:szCs w:val="24"/>
        </w:rPr>
        <w:t>со хепатоцелуларен карцином (32</w:t>
      </w:r>
      <w:r w:rsidR="00A5500A">
        <w:rPr>
          <w:rFonts w:ascii="Times New Roman" w:hAnsi="Times New Roman" w:cs="Times New Roman"/>
          <w:sz w:val="24"/>
          <w:szCs w:val="24"/>
          <w:lang w:val="en-US"/>
        </w:rPr>
        <w:t>1</w:t>
      </w:r>
      <w:r w:rsidR="00A5500A">
        <w:rPr>
          <w:rFonts w:ascii="Times New Roman" w:hAnsi="Times New Roman" w:cs="Times New Roman"/>
          <w:sz w:val="24"/>
          <w:szCs w:val="24"/>
        </w:rPr>
        <w:t>,32</w:t>
      </w:r>
      <w:r w:rsidR="00A5500A">
        <w:rPr>
          <w:rFonts w:ascii="Times New Roman" w:hAnsi="Times New Roman" w:cs="Times New Roman"/>
          <w:sz w:val="24"/>
          <w:szCs w:val="24"/>
          <w:lang w:val="en-US"/>
        </w:rPr>
        <w:t>2</w:t>
      </w:r>
      <w:r w:rsidRPr="009D695C">
        <w:rPr>
          <w:rFonts w:ascii="Times New Roman" w:hAnsi="Times New Roman" w:cs="Times New Roman"/>
          <w:sz w:val="24"/>
          <w:szCs w:val="24"/>
        </w:rPr>
        <w:t xml:space="preserve">). </w:t>
      </w:r>
    </w:p>
    <w:p w:rsidR="00FA7856" w:rsidRPr="009D695C" w:rsidRDefault="00FA7856" w:rsidP="00421E8E">
      <w:pPr>
        <w:shd w:val="clear" w:color="auto" w:fill="FFFFFF"/>
        <w:spacing w:before="400"/>
        <w:outlineLvl w:val="0"/>
        <w:rPr>
          <w:rFonts w:ascii="Times New Roman" w:hAnsi="Times New Roman" w:cs="Times New Roman"/>
          <w:sz w:val="24"/>
          <w:szCs w:val="24"/>
        </w:rPr>
      </w:pPr>
      <w:r w:rsidRPr="009D695C">
        <w:rPr>
          <w:rFonts w:ascii="Times New Roman" w:hAnsi="Times New Roman" w:cs="Times New Roman"/>
          <w:sz w:val="24"/>
          <w:szCs w:val="24"/>
        </w:rPr>
        <w:t>Кај карцином на панкреас, IL-33 е одговорен за зголемена продукција на про-инфламаторни цитоки</w:t>
      </w:r>
      <w:r w:rsidR="00A5500A">
        <w:rPr>
          <w:rFonts w:ascii="Times New Roman" w:hAnsi="Times New Roman" w:cs="Times New Roman"/>
          <w:sz w:val="24"/>
          <w:szCs w:val="24"/>
        </w:rPr>
        <w:t>ни, како што се IL-6 и IL-8 (32</w:t>
      </w:r>
      <w:r w:rsidR="00A5500A">
        <w:rPr>
          <w:rFonts w:ascii="Times New Roman" w:hAnsi="Times New Roman" w:cs="Times New Roman"/>
          <w:sz w:val="24"/>
          <w:szCs w:val="24"/>
          <w:lang w:val="en-US"/>
        </w:rPr>
        <w:t>3</w:t>
      </w:r>
      <w:r w:rsidRPr="009D695C">
        <w:rPr>
          <w:rFonts w:ascii="Times New Roman" w:hAnsi="Times New Roman" w:cs="Times New Roman"/>
          <w:sz w:val="24"/>
          <w:szCs w:val="24"/>
        </w:rPr>
        <w:t>).</w:t>
      </w:r>
    </w:p>
    <w:p w:rsidR="00FA7856" w:rsidRPr="009D695C" w:rsidRDefault="00FA7856" w:rsidP="00421E8E">
      <w:pPr>
        <w:shd w:val="clear" w:color="auto" w:fill="FFFFFF"/>
        <w:spacing w:before="400"/>
        <w:outlineLvl w:val="0"/>
        <w:rPr>
          <w:rFonts w:ascii="Times New Roman" w:hAnsi="Times New Roman" w:cs="Times New Roman"/>
          <w:sz w:val="24"/>
          <w:szCs w:val="24"/>
        </w:rPr>
      </w:pPr>
      <w:r w:rsidRPr="009D695C">
        <w:rPr>
          <w:rFonts w:ascii="Times New Roman" w:hAnsi="Times New Roman" w:cs="Times New Roman"/>
          <w:sz w:val="24"/>
          <w:szCs w:val="24"/>
        </w:rPr>
        <w:t>IL-33 има влијание врз патогенезата на миелопролиферативните неоплазми</w:t>
      </w:r>
      <w:r>
        <w:rPr>
          <w:rFonts w:ascii="Times New Roman" w:hAnsi="Times New Roman" w:cs="Times New Roman"/>
          <w:sz w:val="24"/>
          <w:szCs w:val="24"/>
        </w:rPr>
        <w:t xml:space="preserve"> </w:t>
      </w:r>
      <w:r w:rsidR="00A5500A">
        <w:rPr>
          <w:rFonts w:ascii="Times New Roman" w:hAnsi="Times New Roman" w:cs="Times New Roman"/>
          <w:sz w:val="24"/>
          <w:szCs w:val="24"/>
        </w:rPr>
        <w:t>(3</w:t>
      </w:r>
      <w:r w:rsidR="00A5500A">
        <w:rPr>
          <w:rFonts w:ascii="Times New Roman" w:hAnsi="Times New Roman" w:cs="Times New Roman"/>
          <w:sz w:val="24"/>
          <w:szCs w:val="24"/>
          <w:lang w:val="en-US"/>
        </w:rPr>
        <w:t>24</w:t>
      </w:r>
      <w:r w:rsidRPr="009D695C">
        <w:rPr>
          <w:rFonts w:ascii="Times New Roman" w:hAnsi="Times New Roman" w:cs="Times New Roman"/>
          <w:sz w:val="24"/>
          <w:szCs w:val="24"/>
        </w:rPr>
        <w:t>). Нивото на sST2 е покачено во крвна плазма кај пациенти со миелопролиферативна неоплазија, додека кај здрави</w:t>
      </w:r>
      <w:r w:rsidR="00A5500A">
        <w:rPr>
          <w:rFonts w:ascii="Times New Roman" w:hAnsi="Times New Roman" w:cs="Times New Roman"/>
          <w:sz w:val="24"/>
          <w:szCs w:val="24"/>
        </w:rPr>
        <w:t xml:space="preserve"> индивидуи, не се детектира (3</w:t>
      </w:r>
      <w:r w:rsidR="00A5500A">
        <w:rPr>
          <w:rFonts w:ascii="Times New Roman" w:hAnsi="Times New Roman" w:cs="Times New Roman"/>
          <w:sz w:val="24"/>
          <w:szCs w:val="24"/>
          <w:lang w:val="en-US"/>
        </w:rPr>
        <w:t>25</w:t>
      </w:r>
      <w:r w:rsidRPr="009D695C">
        <w:rPr>
          <w:rFonts w:ascii="Times New Roman" w:hAnsi="Times New Roman" w:cs="Times New Roman"/>
          <w:sz w:val="24"/>
          <w:szCs w:val="24"/>
        </w:rPr>
        <w:t>).</w:t>
      </w:r>
    </w:p>
    <w:p w:rsidR="00FA7856" w:rsidRPr="009D695C"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sz w:val="24"/>
          <w:szCs w:val="24"/>
        </w:rPr>
        <w:t xml:space="preserve">Musolino и соработниците пак докажале дека нивоата на IL-33 во плазма корелираат обратнопропорционално со стадиумот на туморот кај </w:t>
      </w:r>
      <w:r w:rsidR="00A5500A">
        <w:rPr>
          <w:rFonts w:ascii="Times New Roman" w:hAnsi="Times New Roman" w:cs="Times New Roman"/>
          <w:sz w:val="24"/>
          <w:szCs w:val="24"/>
        </w:rPr>
        <w:t>пациенти со Мултипни миелом (3</w:t>
      </w:r>
      <w:r w:rsidR="00A5500A">
        <w:rPr>
          <w:rFonts w:ascii="Times New Roman" w:hAnsi="Times New Roman" w:cs="Times New Roman"/>
          <w:sz w:val="24"/>
          <w:szCs w:val="24"/>
          <w:lang w:val="en-US"/>
        </w:rPr>
        <w:t>26</w:t>
      </w:r>
      <w:r w:rsidRPr="009D695C">
        <w:rPr>
          <w:rFonts w:ascii="Times New Roman" w:hAnsi="Times New Roman" w:cs="Times New Roman"/>
          <w:sz w:val="24"/>
          <w:szCs w:val="24"/>
        </w:rPr>
        <w:t xml:space="preserve">). </w:t>
      </w:r>
    </w:p>
    <w:p w:rsidR="00FA7856" w:rsidRPr="009D695C" w:rsidRDefault="00FA7856" w:rsidP="00421E8E">
      <w:pPr>
        <w:shd w:val="clear" w:color="auto" w:fill="FFFFFF"/>
        <w:rPr>
          <w:rFonts w:ascii="Times New Roman" w:hAnsi="Times New Roman" w:cs="Times New Roman"/>
          <w:color w:val="212121"/>
          <w:sz w:val="24"/>
          <w:szCs w:val="24"/>
        </w:rPr>
      </w:pPr>
      <w:r w:rsidRPr="009D695C">
        <w:rPr>
          <w:rFonts w:ascii="Times New Roman" w:hAnsi="Times New Roman" w:cs="Times New Roman"/>
          <w:sz w:val="24"/>
          <w:szCs w:val="24"/>
        </w:rPr>
        <w:t>Многу високи нивоа на IL-33 во серум, исто така се среќаваат и кај пацие</w:t>
      </w:r>
      <w:r w:rsidR="00A5500A">
        <w:rPr>
          <w:rFonts w:ascii="Times New Roman" w:hAnsi="Times New Roman" w:cs="Times New Roman"/>
          <w:sz w:val="24"/>
          <w:szCs w:val="24"/>
        </w:rPr>
        <w:t>нти со тумори на  бубрезите (3</w:t>
      </w:r>
      <w:r w:rsidR="00A5500A">
        <w:rPr>
          <w:rFonts w:ascii="Times New Roman" w:hAnsi="Times New Roman" w:cs="Times New Roman"/>
          <w:sz w:val="24"/>
          <w:szCs w:val="24"/>
          <w:lang w:val="en-US"/>
        </w:rPr>
        <w:t>27</w:t>
      </w:r>
      <w:r w:rsidRPr="009D695C">
        <w:rPr>
          <w:rFonts w:ascii="Times New Roman" w:hAnsi="Times New Roman" w:cs="Times New Roman"/>
          <w:sz w:val="24"/>
          <w:szCs w:val="24"/>
        </w:rPr>
        <w:t xml:space="preserve">). </w:t>
      </w:r>
    </w:p>
    <w:p w:rsidR="00FA7856" w:rsidRPr="009D695C"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sz w:val="24"/>
          <w:szCs w:val="24"/>
        </w:rPr>
        <w:t>Кај ренален карцином, прекумерната експресија на овој интерлеукин е поврзана со поголем процент на метастазирање во лимфните јазли, односно влијае супресивно врз апоптозата in vitro преку а</w:t>
      </w:r>
      <w:r w:rsidR="00A5500A">
        <w:rPr>
          <w:rFonts w:ascii="Times New Roman" w:hAnsi="Times New Roman" w:cs="Times New Roman"/>
          <w:sz w:val="24"/>
          <w:szCs w:val="24"/>
        </w:rPr>
        <w:t>ктивација на JNK касакадата (3</w:t>
      </w:r>
      <w:r w:rsidR="00A5500A">
        <w:rPr>
          <w:rFonts w:ascii="Times New Roman" w:hAnsi="Times New Roman" w:cs="Times New Roman"/>
          <w:sz w:val="24"/>
          <w:szCs w:val="24"/>
          <w:lang w:val="en-US"/>
        </w:rPr>
        <w:t>28</w:t>
      </w:r>
      <w:r w:rsidRPr="009D695C">
        <w:rPr>
          <w:rFonts w:ascii="Times New Roman" w:hAnsi="Times New Roman" w:cs="Times New Roman"/>
          <w:sz w:val="24"/>
          <w:szCs w:val="24"/>
        </w:rPr>
        <w:t>). Од друга страна пак, инхибиција на експресијата на IL-33 кај карциноми на простата и бубрези го редуцира имунолошкиот одговор и ја стимулира прогресијата на туморот, заради намал</w:t>
      </w:r>
      <w:r w:rsidR="008D6018">
        <w:rPr>
          <w:rFonts w:ascii="Times New Roman" w:hAnsi="Times New Roman" w:cs="Times New Roman"/>
          <w:sz w:val="24"/>
          <w:szCs w:val="24"/>
        </w:rPr>
        <w:t>ување на функционалноста на MHC</w:t>
      </w:r>
      <w:r w:rsidR="00A5500A">
        <w:rPr>
          <w:rFonts w:ascii="Times New Roman" w:hAnsi="Times New Roman" w:cs="Times New Roman"/>
          <w:sz w:val="24"/>
          <w:szCs w:val="24"/>
        </w:rPr>
        <w:t>I молекулите (3</w:t>
      </w:r>
      <w:r w:rsidR="00A5500A">
        <w:rPr>
          <w:rFonts w:ascii="Times New Roman" w:hAnsi="Times New Roman" w:cs="Times New Roman"/>
          <w:sz w:val="24"/>
          <w:szCs w:val="24"/>
          <w:lang w:val="en-US"/>
        </w:rPr>
        <w:t>29</w:t>
      </w:r>
      <w:r w:rsidRPr="009D695C">
        <w:rPr>
          <w:rFonts w:ascii="Times New Roman" w:hAnsi="Times New Roman" w:cs="Times New Roman"/>
          <w:sz w:val="24"/>
          <w:szCs w:val="24"/>
        </w:rPr>
        <w:t xml:space="preserve">). </w:t>
      </w:r>
    </w:p>
    <w:p w:rsidR="00FA7856" w:rsidRPr="009D695C" w:rsidRDefault="00FA7856" w:rsidP="00421E8E">
      <w:pPr>
        <w:shd w:val="clear" w:color="auto" w:fill="FFFFFF"/>
        <w:rPr>
          <w:rFonts w:ascii="Times New Roman" w:hAnsi="Times New Roman" w:cs="Times New Roman"/>
          <w:color w:val="212121"/>
          <w:sz w:val="24"/>
          <w:szCs w:val="24"/>
        </w:rPr>
      </w:pPr>
      <w:r w:rsidRPr="009D695C">
        <w:rPr>
          <w:rFonts w:ascii="Times New Roman" w:hAnsi="Times New Roman" w:cs="Times New Roman"/>
          <w:sz w:val="24"/>
          <w:szCs w:val="24"/>
        </w:rPr>
        <w:t>Во повеќето случаи на помалку инвазивен планоцелуларен карцином на глава и врат, експресијата на IL-33 или воопшто не е присатна, или е многу ниска, додека туморите со висок процент на метастатска активност бележат висока експресија на цитокини од страна на туморските клетки и фибробластите од туморското микроопкружување. Тоа значи дека прекумерна експресија на IL-33 ја стимулира епителната во мезенхимална транзиција и предизв</w:t>
      </w:r>
      <w:r w:rsidR="00A5500A">
        <w:rPr>
          <w:rFonts w:ascii="Times New Roman" w:hAnsi="Times New Roman" w:cs="Times New Roman"/>
          <w:sz w:val="24"/>
          <w:szCs w:val="24"/>
        </w:rPr>
        <w:t>икува прогресија на туморот (3</w:t>
      </w:r>
      <w:r w:rsidR="00A5500A">
        <w:rPr>
          <w:rFonts w:ascii="Times New Roman" w:hAnsi="Times New Roman" w:cs="Times New Roman"/>
          <w:sz w:val="24"/>
          <w:szCs w:val="24"/>
          <w:lang w:val="en-US"/>
        </w:rPr>
        <w:t>30</w:t>
      </w:r>
      <w:r w:rsidRPr="009D695C">
        <w:rPr>
          <w:rFonts w:ascii="Times New Roman" w:hAnsi="Times New Roman" w:cs="Times New Roman"/>
          <w:sz w:val="24"/>
          <w:szCs w:val="24"/>
        </w:rPr>
        <w:t xml:space="preserve">). Кај малигни заболувања во регијата на глава и врат,  детектирана </w:t>
      </w:r>
      <w:r w:rsidRPr="009D695C">
        <w:rPr>
          <w:rFonts w:ascii="Times New Roman" w:hAnsi="Times New Roman" w:cs="Times New Roman"/>
          <w:color w:val="1C1D1E"/>
          <w:sz w:val="24"/>
          <w:szCs w:val="24"/>
          <w:shd w:val="clear" w:color="auto" w:fill="FFFFFF"/>
        </w:rPr>
        <w:t xml:space="preserve">е изразена експресија на IL-33 кај </w:t>
      </w:r>
      <w:r w:rsidR="00193D0D" w:rsidRPr="009D695C">
        <w:rPr>
          <w:rFonts w:ascii="Times New Roman" w:hAnsi="Times New Roman" w:cs="Times New Roman"/>
          <w:color w:val="1C1D1E"/>
          <w:sz w:val="24"/>
          <w:szCs w:val="24"/>
          <w:shd w:val="clear" w:color="auto" w:fill="FFFFFF"/>
        </w:rPr>
        <w:t xml:space="preserve">CAF </w:t>
      </w:r>
      <w:r w:rsidRPr="009D695C">
        <w:rPr>
          <w:rFonts w:ascii="Times New Roman" w:hAnsi="Times New Roman" w:cs="Times New Roman"/>
          <w:color w:val="1C1D1E"/>
          <w:sz w:val="24"/>
          <w:szCs w:val="24"/>
          <w:shd w:val="clear" w:color="auto" w:fill="FFFFFF"/>
        </w:rPr>
        <w:t xml:space="preserve">во туморското микроопкружување и IL-33 е идентификуван како главен посредник во инвазивноста индуцирана од CAF. Инактивирањето на IL-33 го намалува агресивниот фенотип на клетките на малигните заболувања индуцирани од страна на CAF. </w:t>
      </w:r>
      <w:r w:rsidRPr="009D695C">
        <w:rPr>
          <w:rFonts w:ascii="Times New Roman" w:hAnsi="Times New Roman" w:cs="Times New Roman"/>
          <w:sz w:val="24"/>
          <w:szCs w:val="24"/>
        </w:rPr>
        <w:t xml:space="preserve">Кај пациенти со карцином на јазик, повисоки вредности на IL-33 и ST2, укажуваат на полоша прогноза на болеста.  </w:t>
      </w:r>
    </w:p>
    <w:p w:rsidR="006C7AB1" w:rsidRDefault="00FA7856" w:rsidP="00421E8E">
      <w:pPr>
        <w:rPr>
          <w:rFonts w:ascii="Times New Roman" w:hAnsi="Times New Roman" w:cs="Times New Roman"/>
          <w:sz w:val="24"/>
          <w:szCs w:val="24"/>
        </w:rPr>
      </w:pPr>
      <w:r w:rsidRPr="009D695C">
        <w:rPr>
          <w:rFonts w:ascii="Times New Roman" w:hAnsi="Times New Roman" w:cs="Times New Roman"/>
          <w:sz w:val="24"/>
          <w:szCs w:val="24"/>
        </w:rPr>
        <w:t>Високи нивоа на IL-33 mRNA, односно IL-33 протеин, се карактеристични за клетките на глиомот и нивна зголемена експресија корелира со пониска стапка на преживување, односно, се смета декa IL-33 го активира растот и миграцијата на туморските клетки преку активацијата односно иницијацијта на ST2/NF-κB каскадата и ја зголемува продукцијата на MMP2/MMP</w:t>
      </w:r>
      <w:r w:rsidR="00193D0D">
        <w:rPr>
          <w:rFonts w:ascii="Times New Roman" w:hAnsi="Times New Roman" w:cs="Times New Roman"/>
          <w:sz w:val="24"/>
          <w:szCs w:val="24"/>
        </w:rPr>
        <w:t>9 (</w:t>
      </w:r>
      <w:r w:rsidR="00A5500A">
        <w:rPr>
          <w:rFonts w:ascii="Times New Roman" w:hAnsi="Times New Roman" w:cs="Times New Roman"/>
          <w:sz w:val="24"/>
          <w:szCs w:val="24"/>
        </w:rPr>
        <w:t>33</w:t>
      </w:r>
      <w:r w:rsidR="00A5500A">
        <w:rPr>
          <w:rFonts w:ascii="Times New Roman" w:hAnsi="Times New Roman" w:cs="Times New Roman"/>
          <w:sz w:val="24"/>
          <w:szCs w:val="24"/>
          <w:lang w:val="en-US"/>
        </w:rPr>
        <w:t>1</w:t>
      </w:r>
      <w:r w:rsidRPr="009D695C">
        <w:rPr>
          <w:rFonts w:ascii="Times New Roman" w:hAnsi="Times New Roman" w:cs="Times New Roman"/>
          <w:sz w:val="24"/>
          <w:szCs w:val="24"/>
        </w:rPr>
        <w:t xml:space="preserve">). </w:t>
      </w:r>
    </w:p>
    <w:p w:rsidR="006C7AB1" w:rsidRDefault="006C7AB1" w:rsidP="00421E8E">
      <w:pPr>
        <w:rPr>
          <w:rFonts w:ascii="Times New Roman" w:hAnsi="Times New Roman" w:cs="Times New Roman"/>
          <w:sz w:val="24"/>
          <w:szCs w:val="24"/>
        </w:rPr>
      </w:pPr>
    </w:p>
    <w:p w:rsidR="006C7AB1" w:rsidRDefault="006C7AB1" w:rsidP="00421E8E">
      <w:pPr>
        <w:rPr>
          <w:rFonts w:ascii="Times New Roman" w:hAnsi="Times New Roman" w:cs="Times New Roman"/>
          <w:sz w:val="24"/>
          <w:szCs w:val="24"/>
        </w:rPr>
      </w:pPr>
    </w:p>
    <w:p w:rsidR="006C7AB1" w:rsidRDefault="006C7AB1" w:rsidP="00421E8E">
      <w:pPr>
        <w:rPr>
          <w:rFonts w:ascii="Times New Roman" w:hAnsi="Times New Roman" w:cs="Times New Roman"/>
          <w:sz w:val="24"/>
          <w:szCs w:val="24"/>
        </w:rPr>
      </w:pPr>
    </w:p>
    <w:p w:rsidR="006C7AB1" w:rsidRDefault="006C7AB1" w:rsidP="00421E8E">
      <w:pPr>
        <w:rPr>
          <w:rFonts w:ascii="Times New Roman" w:hAnsi="Times New Roman" w:cs="Times New Roman"/>
          <w:sz w:val="24"/>
          <w:szCs w:val="24"/>
        </w:rPr>
      </w:pPr>
    </w:p>
    <w:p w:rsidR="006C7AB1" w:rsidRDefault="006C7AB1" w:rsidP="00421E8E">
      <w:pPr>
        <w:rPr>
          <w:rFonts w:ascii="Times New Roman" w:hAnsi="Times New Roman" w:cs="Times New Roman"/>
          <w:sz w:val="24"/>
          <w:szCs w:val="24"/>
        </w:rPr>
      </w:pPr>
    </w:p>
    <w:p w:rsidR="00FA7856" w:rsidRPr="009D695C" w:rsidRDefault="00FA7856" w:rsidP="00421E8E">
      <w:pPr>
        <w:rPr>
          <w:rFonts w:ascii="Times New Roman" w:hAnsi="Times New Roman" w:cs="Times New Roman"/>
          <w:sz w:val="24"/>
          <w:szCs w:val="24"/>
        </w:rPr>
      </w:pPr>
      <w:r w:rsidRPr="009D695C">
        <w:rPr>
          <w:rFonts w:ascii="Times New Roman" w:hAnsi="Times New Roman" w:cs="Times New Roman"/>
          <w:sz w:val="24"/>
          <w:szCs w:val="24"/>
        </w:rPr>
        <w:t xml:space="preserve">Висока експресија на IL-33, позитивно корелира со поволна прогноза </w:t>
      </w:r>
      <w:r w:rsidR="00A5500A">
        <w:rPr>
          <w:rFonts w:ascii="Times New Roman" w:hAnsi="Times New Roman" w:cs="Times New Roman"/>
          <w:sz w:val="24"/>
          <w:szCs w:val="24"/>
        </w:rPr>
        <w:t>кај пациенти со остеосарком (33</w:t>
      </w:r>
      <w:r w:rsidR="00A5500A">
        <w:rPr>
          <w:rFonts w:ascii="Times New Roman" w:hAnsi="Times New Roman" w:cs="Times New Roman"/>
          <w:sz w:val="24"/>
          <w:szCs w:val="24"/>
          <w:lang w:val="en-US"/>
        </w:rPr>
        <w:t>2</w:t>
      </w:r>
      <w:r w:rsidRPr="009D695C">
        <w:rPr>
          <w:rFonts w:ascii="Times New Roman" w:hAnsi="Times New Roman" w:cs="Times New Roman"/>
          <w:sz w:val="24"/>
          <w:szCs w:val="24"/>
        </w:rPr>
        <w:t>).</w:t>
      </w:r>
    </w:p>
    <w:p w:rsidR="00FA7856" w:rsidRPr="009D695C" w:rsidRDefault="00FA7856" w:rsidP="00421E8E">
      <w:pPr>
        <w:rPr>
          <w:rFonts w:ascii="Times New Roman" w:hAnsi="Times New Roman" w:cs="Times New Roman"/>
          <w:color w:val="000000"/>
          <w:kern w:val="24"/>
          <w:sz w:val="24"/>
          <w:szCs w:val="24"/>
        </w:rPr>
      </w:pPr>
      <w:r w:rsidRPr="009D695C">
        <w:rPr>
          <w:rFonts w:ascii="Times New Roman" w:hAnsi="Times New Roman" w:cs="Times New Roman"/>
          <w:sz w:val="24"/>
          <w:szCs w:val="24"/>
        </w:rPr>
        <w:t>Појавата на тумор, претставува тригер за имунолошки одговор на организмот насочен кон истиот (</w:t>
      </w:r>
      <w:r w:rsidR="00A5500A">
        <w:rPr>
          <w:rFonts w:ascii="Times New Roman" w:hAnsi="Times New Roman" w:cs="Times New Roman"/>
          <w:sz w:val="24"/>
          <w:szCs w:val="24"/>
          <w:lang w:val="en-US"/>
        </w:rPr>
        <w:t>333,334</w:t>
      </w:r>
      <w:r w:rsidRPr="009D695C">
        <w:rPr>
          <w:rFonts w:ascii="Times New Roman" w:hAnsi="Times New Roman" w:cs="Times New Roman"/>
          <w:sz w:val="24"/>
          <w:szCs w:val="24"/>
        </w:rPr>
        <w:t>). Имунолошкиот</w:t>
      </w:r>
      <w:r w:rsidR="00C8663E">
        <w:rPr>
          <w:rFonts w:ascii="Times New Roman" w:hAnsi="Times New Roman" w:cs="Times New Roman"/>
          <w:sz w:val="24"/>
          <w:szCs w:val="24"/>
        </w:rPr>
        <w:t xml:space="preserve"> одговор, тип 1, </w:t>
      </w:r>
      <w:r w:rsidRPr="009D695C">
        <w:rPr>
          <w:rFonts w:ascii="Times New Roman" w:hAnsi="Times New Roman" w:cs="Times New Roman"/>
          <w:sz w:val="24"/>
          <w:szCs w:val="24"/>
        </w:rPr>
        <w:t xml:space="preserve">кој што е регулиран од страна на Th1 клетките кои што продуцираат  IFN-γ, </w:t>
      </w:r>
      <w:r w:rsidR="00193D0D">
        <w:rPr>
          <w:rFonts w:ascii="Times New Roman" w:hAnsi="Times New Roman" w:cs="Times New Roman"/>
          <w:sz w:val="24"/>
          <w:szCs w:val="24"/>
        </w:rPr>
        <w:t>CTL</w:t>
      </w:r>
      <w:r w:rsidRPr="009D695C">
        <w:rPr>
          <w:rFonts w:ascii="Times New Roman" w:hAnsi="Times New Roman" w:cs="Times New Roman"/>
          <w:sz w:val="24"/>
          <w:szCs w:val="24"/>
        </w:rPr>
        <w:t>, NK клетки, NKT и  γδ T клетки, претставува клучна компонента на клеточниот имунитет во борба против туморот (</w:t>
      </w:r>
      <w:r w:rsidR="00A5500A">
        <w:rPr>
          <w:rFonts w:ascii="Times New Roman" w:hAnsi="Times New Roman" w:cs="Times New Roman"/>
          <w:sz w:val="24"/>
          <w:szCs w:val="24"/>
          <w:lang w:val="en-US"/>
        </w:rPr>
        <w:t>333,334</w:t>
      </w:r>
      <w:r w:rsidRPr="009D695C">
        <w:rPr>
          <w:rFonts w:ascii="Times New Roman" w:hAnsi="Times New Roman" w:cs="Times New Roman"/>
          <w:sz w:val="24"/>
          <w:szCs w:val="24"/>
        </w:rPr>
        <w:t xml:space="preserve">). Конкретно, овој  </w:t>
      </w:r>
      <w:r w:rsidRPr="009D695C">
        <w:rPr>
          <w:rFonts w:ascii="Times New Roman" w:hAnsi="Times New Roman" w:cs="Times New Roman"/>
          <w:color w:val="000000"/>
          <w:kern w:val="24"/>
          <w:sz w:val="24"/>
          <w:szCs w:val="24"/>
        </w:rPr>
        <w:t>тип на имунолошки одговор се карактеризира со продукција на IL-2, IL-12, IFN-</w:t>
      </w:r>
      <w:r w:rsidR="00C8663E" w:rsidRPr="00C8663E">
        <w:rPr>
          <w:rFonts w:ascii="Arial" w:hAnsi="Arial" w:cs="Arial"/>
          <w:b/>
          <w:bCs/>
          <w:color w:val="5F6368"/>
          <w:sz w:val="12"/>
        </w:rPr>
        <w:t xml:space="preserve"> </w:t>
      </w:r>
      <w:r w:rsidR="00C8663E" w:rsidRPr="00C8663E">
        <w:rPr>
          <w:rFonts w:ascii="Times New Roman" w:hAnsi="Times New Roman" w:cs="Times New Roman"/>
          <w:b/>
          <w:bCs/>
          <w:color w:val="000000"/>
          <w:kern w:val="24"/>
          <w:sz w:val="24"/>
          <w:szCs w:val="24"/>
        </w:rPr>
        <w:t>γ</w:t>
      </w:r>
      <w:r w:rsidRPr="009D695C">
        <w:rPr>
          <w:rFonts w:ascii="Times New Roman" w:hAnsi="Times New Roman" w:cs="Times New Roman"/>
          <w:color w:val="000000"/>
          <w:kern w:val="24"/>
          <w:sz w:val="24"/>
          <w:szCs w:val="24"/>
        </w:rPr>
        <w:t xml:space="preserve"> и TNF-</w:t>
      </w:r>
      <w:r w:rsidR="00C8663E" w:rsidRPr="00C8663E">
        <w:rPr>
          <w:rFonts w:ascii="Times New Roman" w:hAnsi="Times New Roman" w:cs="Times New Roman"/>
          <w:color w:val="000000"/>
          <w:kern w:val="24"/>
          <w:sz w:val="24"/>
          <w:szCs w:val="24"/>
        </w:rPr>
        <w:t xml:space="preserve"> </w:t>
      </w:r>
      <w:r w:rsidR="00C8663E">
        <w:rPr>
          <w:rFonts w:ascii="Times New Roman" w:hAnsi="Times New Roman" w:cs="Times New Roman"/>
          <w:color w:val="000000"/>
          <w:kern w:val="24"/>
          <w:sz w:val="24"/>
          <w:szCs w:val="24"/>
        </w:rPr>
        <w:t>α</w:t>
      </w:r>
      <w:r w:rsidRPr="009D695C">
        <w:rPr>
          <w:rFonts w:ascii="Times New Roman" w:hAnsi="Times New Roman" w:cs="Times New Roman"/>
          <w:color w:val="000000"/>
          <w:kern w:val="24"/>
          <w:sz w:val="24"/>
          <w:szCs w:val="24"/>
        </w:rPr>
        <w:t>. Продукцијата на IL-12 од страна на дендритичните клетки и макрофаги овозможува трансформација на naïve CD4+ T клетките во Th1 клетки. Тие пак, продуцираат TNF-</w:t>
      </w:r>
      <w:r w:rsidR="00C8663E">
        <w:rPr>
          <w:rFonts w:ascii="Times New Roman" w:hAnsi="Times New Roman" w:cs="Times New Roman"/>
          <w:color w:val="000000"/>
          <w:kern w:val="24"/>
          <w:sz w:val="24"/>
          <w:szCs w:val="24"/>
        </w:rPr>
        <w:t>α</w:t>
      </w:r>
      <w:r w:rsidRPr="009D695C">
        <w:rPr>
          <w:rFonts w:ascii="Times New Roman" w:hAnsi="Times New Roman" w:cs="Times New Roman"/>
          <w:color w:val="000000"/>
          <w:kern w:val="24"/>
          <w:sz w:val="24"/>
          <w:szCs w:val="24"/>
        </w:rPr>
        <w:t xml:space="preserve"> и IFN-</w:t>
      </w:r>
      <w:r w:rsidR="00C8663E" w:rsidRPr="00C8663E">
        <w:rPr>
          <w:rFonts w:ascii="Arial" w:hAnsi="Arial" w:cs="Arial"/>
          <w:b/>
          <w:bCs/>
          <w:color w:val="5F6368"/>
          <w:sz w:val="12"/>
        </w:rPr>
        <w:t xml:space="preserve"> </w:t>
      </w:r>
      <w:r w:rsidR="00C8663E" w:rsidRPr="00C8663E">
        <w:rPr>
          <w:rFonts w:ascii="Times New Roman" w:hAnsi="Times New Roman" w:cs="Times New Roman"/>
          <w:b/>
          <w:bCs/>
          <w:color w:val="000000"/>
          <w:kern w:val="24"/>
          <w:sz w:val="24"/>
          <w:szCs w:val="24"/>
        </w:rPr>
        <w:t>γ</w:t>
      </w:r>
      <w:r w:rsidRPr="009D695C">
        <w:rPr>
          <w:rFonts w:ascii="Times New Roman" w:hAnsi="Times New Roman" w:cs="Times New Roman"/>
          <w:color w:val="000000"/>
          <w:kern w:val="24"/>
          <w:sz w:val="24"/>
          <w:szCs w:val="24"/>
        </w:rPr>
        <w:t>, кои директно вршат супресија на туморс</w:t>
      </w:r>
      <w:r w:rsidR="00A5500A">
        <w:rPr>
          <w:rFonts w:ascii="Times New Roman" w:hAnsi="Times New Roman" w:cs="Times New Roman"/>
          <w:color w:val="000000"/>
          <w:kern w:val="24"/>
          <w:sz w:val="24"/>
          <w:szCs w:val="24"/>
        </w:rPr>
        <w:t>киот раст (3</w:t>
      </w:r>
      <w:r w:rsidR="00A5500A">
        <w:rPr>
          <w:rFonts w:ascii="Times New Roman" w:hAnsi="Times New Roman" w:cs="Times New Roman"/>
          <w:color w:val="000000"/>
          <w:kern w:val="24"/>
          <w:sz w:val="24"/>
          <w:szCs w:val="24"/>
          <w:lang w:val="en-US"/>
        </w:rPr>
        <w:t>35</w:t>
      </w:r>
      <w:r w:rsidRPr="009D695C">
        <w:rPr>
          <w:rFonts w:ascii="Times New Roman" w:hAnsi="Times New Roman" w:cs="Times New Roman"/>
          <w:color w:val="000000"/>
          <w:kern w:val="24"/>
          <w:sz w:val="24"/>
          <w:szCs w:val="24"/>
        </w:rPr>
        <w:t>),</w:t>
      </w:r>
      <w:r w:rsidRPr="009D695C">
        <w:rPr>
          <w:rFonts w:ascii="Times New Roman" w:hAnsi="Times New Roman" w:cs="Times New Roman"/>
          <w:sz w:val="24"/>
          <w:szCs w:val="24"/>
        </w:rPr>
        <w:t xml:space="preserve"> </w:t>
      </w:r>
      <w:r w:rsidRPr="009D695C">
        <w:rPr>
          <w:rFonts w:ascii="Times New Roman" w:hAnsi="Times New Roman" w:cs="Times New Roman"/>
          <w:color w:val="000000"/>
          <w:kern w:val="24"/>
          <w:sz w:val="24"/>
          <w:szCs w:val="24"/>
        </w:rPr>
        <w:t>додека продукцијата на IL-2 го зголемува ефектот на тумор-реактивните CD8+ Т клетки (3</w:t>
      </w:r>
      <w:r w:rsidR="00A5500A">
        <w:rPr>
          <w:rFonts w:ascii="Times New Roman" w:hAnsi="Times New Roman" w:cs="Times New Roman"/>
          <w:color w:val="000000"/>
          <w:kern w:val="24"/>
          <w:sz w:val="24"/>
          <w:szCs w:val="24"/>
          <w:lang w:val="en-US"/>
        </w:rPr>
        <w:t>36,337</w:t>
      </w:r>
      <w:r w:rsidRPr="009D695C">
        <w:rPr>
          <w:rFonts w:ascii="Times New Roman" w:hAnsi="Times New Roman" w:cs="Times New Roman"/>
          <w:color w:val="000000"/>
          <w:kern w:val="24"/>
          <w:sz w:val="24"/>
          <w:szCs w:val="24"/>
        </w:rPr>
        <w:t xml:space="preserve">). </w:t>
      </w:r>
    </w:p>
    <w:p w:rsidR="00FA7856" w:rsidRPr="009D695C" w:rsidRDefault="00FA7856" w:rsidP="00421E8E">
      <w:pPr>
        <w:rPr>
          <w:rFonts w:ascii="Times New Roman" w:hAnsi="Times New Roman" w:cs="Times New Roman"/>
          <w:color w:val="000000"/>
          <w:kern w:val="24"/>
          <w:sz w:val="24"/>
          <w:szCs w:val="24"/>
        </w:rPr>
      </w:pPr>
      <w:r w:rsidRPr="009D695C">
        <w:rPr>
          <w:rFonts w:ascii="Times New Roman" w:hAnsi="Times New Roman" w:cs="Times New Roman"/>
          <w:color w:val="000000"/>
          <w:kern w:val="24"/>
          <w:sz w:val="24"/>
          <w:szCs w:val="24"/>
        </w:rPr>
        <w:t xml:space="preserve">Сепак, </w:t>
      </w:r>
      <w:r w:rsidRPr="009D695C">
        <w:rPr>
          <w:rFonts w:ascii="Times New Roman" w:hAnsi="Times New Roman" w:cs="Times New Roman"/>
          <w:sz w:val="24"/>
          <w:szCs w:val="24"/>
        </w:rPr>
        <w:t>повеќето Th1 и CD8+T клетки кои што го инфилтрираат туморот, не се во состојба да го манифестираат своето дејство заради постоење на локални и системски механизми на имуносупресија како кај хумани субјекти, така и кај глувци (</w:t>
      </w:r>
      <w:r w:rsidR="00A5500A">
        <w:rPr>
          <w:rFonts w:ascii="Times New Roman" w:hAnsi="Times New Roman" w:cs="Times New Roman"/>
          <w:sz w:val="24"/>
          <w:szCs w:val="24"/>
          <w:lang w:val="en-US"/>
        </w:rPr>
        <w:t>338,339</w:t>
      </w:r>
      <w:r w:rsidRPr="009D695C">
        <w:rPr>
          <w:rFonts w:ascii="Times New Roman" w:hAnsi="Times New Roman" w:cs="Times New Roman"/>
          <w:sz w:val="24"/>
          <w:szCs w:val="24"/>
        </w:rPr>
        <w:t xml:space="preserve">). </w:t>
      </w:r>
    </w:p>
    <w:p w:rsidR="006C7AB1"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Повеќето студии за мултипната улога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w:t>
      </w:r>
      <w:r w:rsidRPr="009D695C">
        <w:rPr>
          <w:rFonts w:ascii="Times New Roman" w:hAnsi="Times New Roman" w:cs="Times New Roman"/>
          <w:b w:val="0"/>
          <w:sz w:val="24"/>
          <w:szCs w:val="24"/>
          <w:lang w:val="mk-MK"/>
        </w:rPr>
        <w:t>3 кај малигните заболувања, се фокусираат всушност на туморското микропкружување, туморогенезата и инфламаторните процеси поврзани со туморот.</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влијае врз процесот на инфламација во туморското микроопкружување. Присутната инфламацијата пак, води кон карциногенеза преку индукција на генетска нестабилност, мутација, епигенетска модификација, пролиферација и резистентност на малигните клетки на апоптоза, потоа преку индукција на ангиогенезата во рамките на туморот, а влијае и стимулативно врз метастазирање на истиот (</w:t>
      </w:r>
      <w:r w:rsidR="00A5500A">
        <w:rPr>
          <w:rFonts w:ascii="Times New Roman" w:hAnsi="Times New Roman" w:cs="Times New Roman"/>
          <w:b w:val="0"/>
          <w:sz w:val="24"/>
          <w:szCs w:val="24"/>
        </w:rPr>
        <w:t>340,341,342</w:t>
      </w:r>
      <w:r w:rsidRPr="009D695C">
        <w:rPr>
          <w:rFonts w:ascii="Times New Roman" w:hAnsi="Times New Roman" w:cs="Times New Roman"/>
          <w:b w:val="0"/>
          <w:color w:val="212121"/>
          <w:sz w:val="24"/>
          <w:szCs w:val="24"/>
          <w:shd w:val="clear" w:color="auto" w:fill="FFFFFF"/>
          <w:lang w:val="mk-MK"/>
        </w:rPr>
        <w:t>)</w:t>
      </w:r>
      <w:r w:rsidRPr="009D695C">
        <w:rPr>
          <w:rFonts w:ascii="Times New Roman" w:hAnsi="Times New Roman" w:cs="Times New Roman"/>
          <w:b w:val="0"/>
          <w:color w:val="212121"/>
          <w:sz w:val="24"/>
          <w:szCs w:val="24"/>
          <w:lang w:val="mk-MK"/>
        </w:rPr>
        <w:t xml:space="preserve">. </w:t>
      </w:r>
      <w:r w:rsidRPr="009D695C">
        <w:rPr>
          <w:rFonts w:ascii="Times New Roman" w:hAnsi="Times New Roman" w:cs="Times New Roman"/>
          <w:b w:val="0"/>
          <w:color w:val="212121"/>
          <w:sz w:val="24"/>
          <w:szCs w:val="24"/>
          <w:shd w:val="clear" w:color="auto" w:fill="FFFFFF"/>
          <w:lang w:val="mk-MK"/>
        </w:rPr>
        <w:t xml:space="preserve">Од друга страна пак, </w:t>
      </w:r>
      <w:r w:rsidRPr="009D695C">
        <w:rPr>
          <w:rFonts w:ascii="Times New Roman" w:hAnsi="Times New Roman" w:cs="Times New Roman"/>
          <w:b w:val="0"/>
          <w:sz w:val="24"/>
          <w:szCs w:val="24"/>
          <w:lang w:val="mk-MK"/>
        </w:rPr>
        <w:t xml:space="preserve">директната поврзаност помеѓу експресијата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и стапката на преживување сугерираат на тоа дека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претставува цитокин кој што можеби игра улога и во имунолошкиот одговор на организмот кога станува збор за тумори, односно</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под влијание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се зголемува бројот на </w:t>
      </w:r>
      <w:r w:rsidRPr="009D695C">
        <w:rPr>
          <w:rFonts w:ascii="Times New Roman" w:hAnsi="Times New Roman" w:cs="Times New Roman"/>
          <w:b w:val="0"/>
          <w:sz w:val="24"/>
          <w:szCs w:val="24"/>
        </w:rPr>
        <w:t>CD</w:t>
      </w:r>
      <w:r w:rsidRPr="00A926CA">
        <w:rPr>
          <w:rFonts w:ascii="Times New Roman" w:hAnsi="Times New Roman" w:cs="Times New Roman"/>
          <w:b w:val="0"/>
          <w:sz w:val="24"/>
          <w:szCs w:val="24"/>
          <w:lang w:val="ru-RU"/>
        </w:rPr>
        <w:t xml:space="preserve">8+ </w:t>
      </w:r>
      <w:r w:rsidRPr="009D695C">
        <w:rPr>
          <w:rFonts w:ascii="Times New Roman" w:hAnsi="Times New Roman" w:cs="Times New Roman"/>
          <w:b w:val="0"/>
          <w:sz w:val="24"/>
          <w:szCs w:val="24"/>
        </w:rPr>
        <w:t>T</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и</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rPr>
        <w:t>NK</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клетките во туморското микоопкружување, што води </w:t>
      </w:r>
      <w:r w:rsidR="00894576">
        <w:rPr>
          <w:rFonts w:ascii="Times New Roman" w:hAnsi="Times New Roman" w:cs="Times New Roman"/>
          <w:b w:val="0"/>
          <w:sz w:val="24"/>
          <w:szCs w:val="24"/>
          <w:lang w:val="mk-MK"/>
        </w:rPr>
        <w:t>кон елиминација на туморите (34</w:t>
      </w:r>
      <w:r w:rsidR="00894576">
        <w:rPr>
          <w:rFonts w:ascii="Times New Roman" w:hAnsi="Times New Roman" w:cs="Times New Roman"/>
          <w:b w:val="0"/>
          <w:sz w:val="24"/>
          <w:szCs w:val="24"/>
        </w:rPr>
        <w:t>3</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Канцерогените клетки развиваат начин за да го одбегнат имунолошкиот одговор, односно го заобиколуваат т.н. </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lang w:val="mk-MK"/>
        </w:rPr>
        <w:t>сигнал за опасност</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 </w:t>
      </w:r>
    </w:p>
    <w:p w:rsidR="006C7AB1"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Недостаток на </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lang w:val="mk-MK"/>
        </w:rPr>
        <w:t>сигнал за опасност</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 односно алармин, односно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во туморското микроопкружување, претставува главен механизам на кој се базира имунолошката толерантност на туморот и претставува најчеста причина за</w:t>
      </w:r>
      <w:r w:rsidR="00894576">
        <w:rPr>
          <w:rFonts w:ascii="Times New Roman" w:hAnsi="Times New Roman" w:cs="Times New Roman"/>
          <w:b w:val="0"/>
          <w:sz w:val="24"/>
          <w:szCs w:val="24"/>
          <w:lang w:val="mk-MK"/>
        </w:rPr>
        <w:t xml:space="preserve"> неуспех на имунотерапијата (3</w:t>
      </w:r>
      <w:r w:rsidR="00894576">
        <w:rPr>
          <w:rFonts w:ascii="Times New Roman" w:hAnsi="Times New Roman" w:cs="Times New Roman"/>
          <w:b w:val="0"/>
          <w:sz w:val="24"/>
          <w:szCs w:val="24"/>
        </w:rPr>
        <w:t>44</w:t>
      </w:r>
      <w:r w:rsidRPr="009D695C">
        <w:rPr>
          <w:rFonts w:ascii="Times New Roman" w:hAnsi="Times New Roman" w:cs="Times New Roman"/>
          <w:b w:val="0"/>
          <w:sz w:val="24"/>
          <w:szCs w:val="24"/>
          <w:lang w:val="mk-MK"/>
        </w:rPr>
        <w:t xml:space="preserve">). </w:t>
      </w:r>
    </w:p>
    <w:p w:rsidR="006C7AB1"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Исто како и кај нормални епителни ткива,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се детектира во епителните клетки како на бенигните тумори и така и кај малигни, добро диференцирани карциноми, додека неговите вредности се редуцирани кај</w:t>
      </w:r>
      <w:r w:rsidR="00894576">
        <w:rPr>
          <w:rFonts w:ascii="Times New Roman" w:hAnsi="Times New Roman" w:cs="Times New Roman"/>
          <w:b w:val="0"/>
          <w:sz w:val="24"/>
          <w:szCs w:val="24"/>
          <w:lang w:val="mk-MK"/>
        </w:rPr>
        <w:t xml:space="preserve"> не-диференцирани карциноми (</w:t>
      </w:r>
      <w:r w:rsidR="00894576">
        <w:rPr>
          <w:rFonts w:ascii="Times New Roman" w:hAnsi="Times New Roman" w:cs="Times New Roman"/>
          <w:b w:val="0"/>
          <w:sz w:val="24"/>
          <w:szCs w:val="24"/>
        </w:rPr>
        <w:t>291</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се исклучиво покачени кај фибробласти во туморското опкружување и стромата на коскената срцевина што сугерира на тоа дека стромалниот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во рамките на туморот најверојатно претставува главен извор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кај пациенти со малигни заболувања, односно карциноми. </w:t>
      </w:r>
    </w:p>
    <w:p w:rsidR="006C7AB1" w:rsidRDefault="006C7AB1"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p>
    <w:p w:rsidR="006C7AB1" w:rsidRDefault="006C7AB1"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p>
    <w:p w:rsidR="00FA7856" w:rsidRPr="009D695C"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Присуството на </w:t>
      </w:r>
      <w:r w:rsidRPr="00A926CA">
        <w:rPr>
          <w:rFonts w:ascii="Times New Roman" w:hAnsi="Times New Roman" w:cs="Times New Roman"/>
          <w:b w:val="0"/>
          <w:sz w:val="24"/>
          <w:szCs w:val="24"/>
          <w:lang w:val="mk-MK"/>
        </w:rPr>
        <w:t xml:space="preserve">IL-33 </w:t>
      </w:r>
      <w:r w:rsidRPr="009D695C">
        <w:rPr>
          <w:rFonts w:ascii="Times New Roman" w:hAnsi="Times New Roman" w:cs="Times New Roman"/>
          <w:b w:val="0"/>
          <w:sz w:val="24"/>
          <w:szCs w:val="24"/>
          <w:lang w:val="mk-MK"/>
        </w:rPr>
        <w:t>во туморското микропкружување, не само што е круцијално за акумулација на</w:t>
      </w:r>
      <w:r w:rsidRPr="00A926CA">
        <w:rPr>
          <w:rFonts w:ascii="Times New Roman" w:hAnsi="Times New Roman" w:cs="Times New Roman"/>
          <w:b w:val="0"/>
          <w:sz w:val="24"/>
          <w:szCs w:val="24"/>
          <w:lang w:val="mk-MK"/>
        </w:rPr>
        <w:t xml:space="preserve"> </w:t>
      </w:r>
      <w:r w:rsidRPr="009D695C">
        <w:rPr>
          <w:rFonts w:ascii="Times New Roman" w:hAnsi="Times New Roman" w:cs="Times New Roman"/>
          <w:b w:val="0"/>
          <w:sz w:val="24"/>
          <w:szCs w:val="24"/>
          <w:lang w:val="mk-MK"/>
        </w:rPr>
        <w:t xml:space="preserve">супресорни клетки со миелоидно потекло, </w:t>
      </w:r>
      <w:r w:rsidRPr="00A926CA">
        <w:rPr>
          <w:rFonts w:ascii="Times New Roman" w:hAnsi="Times New Roman" w:cs="Times New Roman"/>
          <w:b w:val="0"/>
          <w:sz w:val="24"/>
          <w:szCs w:val="24"/>
          <w:lang w:val="mk-MK"/>
        </w:rPr>
        <w:t xml:space="preserve">MDSC </w:t>
      </w:r>
      <w:r w:rsidRPr="009D695C">
        <w:rPr>
          <w:rFonts w:ascii="Times New Roman" w:hAnsi="Times New Roman" w:cs="Times New Roman"/>
          <w:b w:val="0"/>
          <w:sz w:val="24"/>
          <w:szCs w:val="24"/>
          <w:lang w:val="mk-MK"/>
        </w:rPr>
        <w:t xml:space="preserve">преку </w:t>
      </w:r>
      <w:r w:rsidRPr="00A926CA">
        <w:rPr>
          <w:rFonts w:ascii="Times New Roman" w:hAnsi="Times New Roman" w:cs="Times New Roman"/>
          <w:b w:val="0"/>
          <w:sz w:val="24"/>
          <w:szCs w:val="24"/>
          <w:lang w:val="mk-MK"/>
        </w:rPr>
        <w:t>GM-CSF</w:t>
      </w:r>
      <w:r w:rsidR="00193D0D">
        <w:rPr>
          <w:rFonts w:ascii="Times New Roman" w:hAnsi="Times New Roman" w:cs="Times New Roman"/>
          <w:b w:val="0"/>
          <w:color w:val="000000"/>
          <w:sz w:val="24"/>
          <w:szCs w:val="24"/>
          <w:lang w:val="mk-MK"/>
        </w:rPr>
        <w:t xml:space="preserve"> </w:t>
      </w:r>
      <w:r w:rsidRPr="009D695C">
        <w:rPr>
          <w:rFonts w:ascii="Times New Roman" w:hAnsi="Times New Roman" w:cs="Times New Roman"/>
          <w:b w:val="0"/>
          <w:sz w:val="24"/>
          <w:szCs w:val="24"/>
          <w:lang w:val="mk-MK"/>
        </w:rPr>
        <w:t>туку исто така ја зголемува имуносупресивната активност на овие клетки преку зголемена продукција на</w:t>
      </w:r>
      <w:r w:rsidR="00894576">
        <w:rPr>
          <w:rFonts w:ascii="Times New Roman" w:hAnsi="Times New Roman" w:cs="Times New Roman"/>
          <w:b w:val="0"/>
          <w:sz w:val="24"/>
          <w:szCs w:val="24"/>
          <w:lang w:val="mk-MK"/>
        </w:rPr>
        <w:t xml:space="preserve"> аргиназа-1 од нивна страна (</w:t>
      </w:r>
      <w:r w:rsidR="00894576">
        <w:rPr>
          <w:rFonts w:ascii="Times New Roman" w:hAnsi="Times New Roman" w:cs="Times New Roman"/>
          <w:b w:val="0"/>
          <w:sz w:val="24"/>
          <w:szCs w:val="24"/>
        </w:rPr>
        <w:t>345</w:t>
      </w:r>
      <w:r w:rsidRPr="009D695C">
        <w:rPr>
          <w:rFonts w:ascii="Times New Roman" w:hAnsi="Times New Roman" w:cs="Times New Roman"/>
          <w:b w:val="0"/>
          <w:sz w:val="24"/>
          <w:szCs w:val="24"/>
          <w:lang w:val="mk-MK"/>
        </w:rPr>
        <w:t xml:space="preserve">), што сугерира на тоа дека </w:t>
      </w:r>
      <w:r w:rsidRPr="00A926CA">
        <w:rPr>
          <w:rFonts w:ascii="Times New Roman" w:hAnsi="Times New Roman" w:cs="Times New Roman"/>
          <w:b w:val="0"/>
          <w:sz w:val="24"/>
          <w:szCs w:val="24"/>
          <w:lang w:val="mk-MK"/>
        </w:rPr>
        <w:t xml:space="preserve">IL-33 </w:t>
      </w:r>
      <w:r w:rsidRPr="009D695C">
        <w:rPr>
          <w:rFonts w:ascii="Times New Roman" w:hAnsi="Times New Roman" w:cs="Times New Roman"/>
          <w:b w:val="0"/>
          <w:sz w:val="24"/>
          <w:szCs w:val="24"/>
          <w:lang w:val="mk-MK"/>
        </w:rPr>
        <w:t xml:space="preserve">промовира метастазирање на туморот, преку мобилизација на </w:t>
      </w:r>
      <w:r w:rsidRPr="00A926CA">
        <w:rPr>
          <w:rFonts w:ascii="Times New Roman" w:hAnsi="Times New Roman" w:cs="Times New Roman"/>
          <w:b w:val="0"/>
          <w:sz w:val="24"/>
          <w:szCs w:val="24"/>
          <w:lang w:val="mk-MK"/>
        </w:rPr>
        <w:t>MDS</w:t>
      </w:r>
      <w:r w:rsidRPr="009D695C">
        <w:rPr>
          <w:rFonts w:ascii="Times New Roman" w:hAnsi="Times New Roman" w:cs="Times New Roman"/>
          <w:b w:val="0"/>
          <w:sz w:val="24"/>
          <w:szCs w:val="24"/>
          <w:lang w:val="mk-MK"/>
        </w:rPr>
        <w:t xml:space="preserve"> и </w:t>
      </w:r>
      <w:r w:rsidRPr="00A926CA">
        <w:rPr>
          <w:rFonts w:ascii="Times New Roman" w:hAnsi="Times New Roman" w:cs="Times New Roman"/>
          <w:b w:val="0"/>
          <w:sz w:val="24"/>
          <w:szCs w:val="24"/>
          <w:lang w:val="mk-MK"/>
        </w:rPr>
        <w:t xml:space="preserve">Treg </w:t>
      </w:r>
      <w:r w:rsidRPr="009D695C">
        <w:rPr>
          <w:rFonts w:ascii="Times New Roman" w:hAnsi="Times New Roman" w:cs="Times New Roman"/>
          <w:b w:val="0"/>
          <w:sz w:val="24"/>
          <w:szCs w:val="24"/>
          <w:lang w:val="mk-MK"/>
        </w:rPr>
        <w:t>клетките</w:t>
      </w:r>
      <w:r w:rsidRPr="00A926CA">
        <w:rPr>
          <w:rFonts w:ascii="Times New Roman" w:hAnsi="Times New Roman" w:cs="Times New Roman"/>
          <w:b w:val="0"/>
          <w:sz w:val="24"/>
          <w:szCs w:val="24"/>
          <w:lang w:val="mk-MK"/>
        </w:rPr>
        <w:t>.</w:t>
      </w:r>
      <w:r w:rsidRPr="00A926CA">
        <w:rPr>
          <w:rFonts w:ascii="Times New Roman" w:hAnsi="Times New Roman" w:cs="Times New Roman"/>
          <w:b w:val="0"/>
          <w:color w:val="212121"/>
          <w:sz w:val="24"/>
          <w:szCs w:val="24"/>
          <w:shd w:val="clear" w:color="auto" w:fill="FFFFFF"/>
          <w:lang w:val="mk-MK"/>
        </w:rPr>
        <w:t xml:space="preserve"> </w:t>
      </w:r>
      <w:r w:rsidRPr="009D695C">
        <w:rPr>
          <w:rFonts w:ascii="Times New Roman" w:hAnsi="Times New Roman" w:cs="Times New Roman"/>
          <w:b w:val="0"/>
          <w:sz w:val="24"/>
          <w:szCs w:val="24"/>
          <w:lang w:val="mk-MK"/>
        </w:rPr>
        <w:t xml:space="preserve">За разлика од неговата експресија кај туморските стромални клетки, нивоата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се намалени кај многу малигни заболувања од епително потекло, што значи дека одржувањето на оптимални нивоа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во епителните клетки може да влијае инхибиторно врз понатамошна прогресија на карциномот. </w:t>
      </w:r>
    </w:p>
    <w:p w:rsidR="00D20446" w:rsidRDefault="00D2044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p>
    <w:p w:rsidR="00FA7856" w:rsidRPr="00C8663E" w:rsidRDefault="00455EB5"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Pr>
          <w:rFonts w:ascii="Times New Roman" w:hAnsi="Times New Roman" w:cs="Times New Roman"/>
          <w:b w:val="0"/>
          <w:sz w:val="24"/>
          <w:szCs w:val="24"/>
          <w:lang w:val="mk-MK"/>
        </w:rPr>
        <w:t>2.4.3</w:t>
      </w:r>
      <w:r w:rsidR="00FA7856" w:rsidRPr="00C8663E">
        <w:rPr>
          <w:rFonts w:ascii="Times New Roman" w:hAnsi="Times New Roman" w:cs="Times New Roman"/>
          <w:b w:val="0"/>
          <w:sz w:val="24"/>
          <w:szCs w:val="24"/>
          <w:lang w:val="mk-MK"/>
        </w:rPr>
        <w:t xml:space="preserve"> </w:t>
      </w:r>
      <w:r w:rsidR="00FA7856" w:rsidRPr="00C8663E">
        <w:rPr>
          <w:rFonts w:ascii="Times New Roman" w:hAnsi="Times New Roman" w:cs="Times New Roman"/>
          <w:b w:val="0"/>
          <w:sz w:val="24"/>
          <w:szCs w:val="24"/>
        </w:rPr>
        <w:t>IL</w:t>
      </w:r>
      <w:r w:rsidR="00FA7856" w:rsidRPr="00A926CA">
        <w:rPr>
          <w:rFonts w:ascii="Times New Roman" w:hAnsi="Times New Roman" w:cs="Times New Roman"/>
          <w:b w:val="0"/>
          <w:sz w:val="24"/>
          <w:szCs w:val="24"/>
          <w:lang w:val="ru-RU"/>
        </w:rPr>
        <w:t>-33-</w:t>
      </w:r>
      <w:r w:rsidR="00FA7856" w:rsidRPr="00C8663E">
        <w:rPr>
          <w:rFonts w:ascii="Times New Roman" w:hAnsi="Times New Roman" w:cs="Times New Roman"/>
          <w:b w:val="0"/>
          <w:sz w:val="24"/>
          <w:szCs w:val="24"/>
          <w:lang w:val="mk-MK"/>
        </w:rPr>
        <w:t xml:space="preserve">АНГИОГЕНЕЗА И ТУМОРОГЕНЕЗА </w:t>
      </w:r>
    </w:p>
    <w:p w:rsidR="00D20446"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Во човечкиот организам,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покажува експресија во неклеусите на клетките на васкуларнот ендотел, најмногу во кожата, тенкото црево, умбиликалните вени и белите </w:t>
      </w:r>
      <w:r w:rsidR="003818FA">
        <w:rPr>
          <w:rFonts w:ascii="Times New Roman" w:hAnsi="Times New Roman" w:cs="Times New Roman"/>
          <w:b w:val="0"/>
          <w:sz w:val="24"/>
          <w:szCs w:val="24"/>
          <w:lang w:val="mk-MK"/>
        </w:rPr>
        <w:t>дробови (3</w:t>
      </w:r>
      <w:r w:rsidR="003818FA">
        <w:rPr>
          <w:rFonts w:ascii="Times New Roman" w:hAnsi="Times New Roman" w:cs="Times New Roman"/>
          <w:b w:val="0"/>
          <w:sz w:val="24"/>
          <w:szCs w:val="24"/>
        </w:rPr>
        <w:t>46</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Од друга страна пак, експресија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не е забележана во туморск</w:t>
      </w:r>
      <w:r w:rsidR="003818FA">
        <w:rPr>
          <w:rFonts w:ascii="Times New Roman" w:hAnsi="Times New Roman" w:cs="Times New Roman"/>
          <w:b w:val="0"/>
          <w:sz w:val="24"/>
          <w:szCs w:val="24"/>
          <w:lang w:val="mk-MK"/>
        </w:rPr>
        <w:t>и крвни садови (3</w:t>
      </w:r>
      <w:r w:rsidR="003818FA">
        <w:rPr>
          <w:rFonts w:ascii="Times New Roman" w:hAnsi="Times New Roman" w:cs="Times New Roman"/>
          <w:b w:val="0"/>
          <w:sz w:val="24"/>
          <w:szCs w:val="24"/>
        </w:rPr>
        <w:t>46</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lang w:val="mk-MK"/>
        </w:rPr>
        <w:t xml:space="preserve"> Индукција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-33</w:t>
      </w:r>
      <w:r w:rsidRPr="009D695C">
        <w:rPr>
          <w:rFonts w:ascii="Times New Roman" w:hAnsi="Times New Roman" w:cs="Times New Roman"/>
          <w:b w:val="0"/>
          <w:sz w:val="24"/>
          <w:szCs w:val="24"/>
          <w:lang w:val="mk-MK"/>
        </w:rPr>
        <w:t xml:space="preserve"> </w:t>
      </w:r>
      <w:r w:rsidRPr="00A926CA">
        <w:rPr>
          <w:rFonts w:ascii="Times New Roman" w:hAnsi="Times New Roman" w:cs="Times New Roman"/>
          <w:b w:val="0"/>
          <w:sz w:val="24"/>
          <w:szCs w:val="24"/>
          <w:lang w:val="ru-RU"/>
        </w:rPr>
        <w:t xml:space="preserve">е забележана во тек конфлуентен раст на ендотелни клетки. </w:t>
      </w:r>
      <w:r w:rsidRPr="009D695C">
        <w:rPr>
          <w:rFonts w:ascii="Times New Roman" w:hAnsi="Times New Roman" w:cs="Times New Roman"/>
          <w:b w:val="0"/>
          <w:sz w:val="24"/>
          <w:szCs w:val="24"/>
          <w:lang w:val="mk-MK"/>
        </w:rPr>
        <w:t xml:space="preserve">Додека пак, експресијата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 xml:space="preserve">се намалува за време на миграцијата на овие клетки. Експресијата на нуклеарен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рапидно се намалува на почетокот на ангионезета за вр</w:t>
      </w:r>
      <w:r w:rsidR="003818FA">
        <w:rPr>
          <w:rFonts w:ascii="Times New Roman" w:hAnsi="Times New Roman" w:cs="Times New Roman"/>
          <w:b w:val="0"/>
          <w:sz w:val="24"/>
          <w:szCs w:val="24"/>
          <w:lang w:val="mk-MK"/>
        </w:rPr>
        <w:t>еме на заздравување на рана (3</w:t>
      </w:r>
      <w:r w:rsidR="003818FA">
        <w:rPr>
          <w:rFonts w:ascii="Times New Roman" w:hAnsi="Times New Roman" w:cs="Times New Roman"/>
          <w:b w:val="0"/>
          <w:sz w:val="24"/>
          <w:szCs w:val="24"/>
        </w:rPr>
        <w:t>46</w:t>
      </w:r>
      <w:r w:rsidRPr="009D695C">
        <w:rPr>
          <w:rFonts w:ascii="Times New Roman" w:hAnsi="Times New Roman" w:cs="Times New Roman"/>
          <w:b w:val="0"/>
          <w:sz w:val="24"/>
          <w:szCs w:val="24"/>
          <w:lang w:val="mk-MK"/>
        </w:rPr>
        <w:t>).</w:t>
      </w:r>
    </w:p>
    <w:p w:rsidR="00D20446"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A926CA">
        <w:rPr>
          <w:rFonts w:ascii="Times New Roman" w:hAnsi="Times New Roman" w:cs="Times New Roman"/>
          <w:b w:val="0"/>
          <w:sz w:val="24"/>
          <w:szCs w:val="24"/>
          <w:lang w:val="ru-RU"/>
        </w:rPr>
        <w:t xml:space="preserve"> </w:t>
      </w:r>
      <w:r w:rsidRPr="009D695C">
        <w:rPr>
          <w:rFonts w:ascii="Times New Roman" w:hAnsi="Times New Roman" w:cs="Times New Roman"/>
          <w:b w:val="0"/>
          <w:sz w:val="24"/>
          <w:szCs w:val="24"/>
          <w:lang w:val="mk-MK"/>
        </w:rPr>
        <w:t xml:space="preserve">Проинфламаторни цитокини и проангиогени фактори на раст, кои се продуцираат за време на заздравување на ткивото, вршат супресија на експресијата на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003818FA">
        <w:rPr>
          <w:rFonts w:ascii="Times New Roman" w:hAnsi="Times New Roman" w:cs="Times New Roman"/>
          <w:b w:val="0"/>
          <w:sz w:val="24"/>
          <w:szCs w:val="24"/>
          <w:lang w:val="mk-MK"/>
        </w:rPr>
        <w:t>во ендотелните клетки (3</w:t>
      </w:r>
      <w:r w:rsidR="003818FA">
        <w:rPr>
          <w:rFonts w:ascii="Times New Roman" w:hAnsi="Times New Roman" w:cs="Times New Roman"/>
          <w:b w:val="0"/>
          <w:sz w:val="24"/>
          <w:szCs w:val="24"/>
        </w:rPr>
        <w:t>46</w:t>
      </w:r>
      <w:r w:rsidRPr="009D695C">
        <w:rPr>
          <w:rFonts w:ascii="Times New Roman" w:hAnsi="Times New Roman" w:cs="Times New Roman"/>
          <w:b w:val="0"/>
          <w:sz w:val="24"/>
          <w:szCs w:val="24"/>
          <w:lang w:val="mk-MK"/>
        </w:rPr>
        <w:t xml:space="preserve">).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дејствува стимулативно врз ангиогенезата, односно пролиферацијата, миграцијата и диференцијацијата на ендотелните клетки и</w:t>
      </w:r>
      <w:r w:rsidR="003818FA">
        <w:rPr>
          <w:rFonts w:ascii="Times New Roman" w:hAnsi="Times New Roman" w:cs="Times New Roman"/>
          <w:b w:val="0"/>
          <w:sz w:val="24"/>
          <w:szCs w:val="24"/>
          <w:lang w:val="mk-MK"/>
        </w:rPr>
        <w:t xml:space="preserve"> васкуларната пермеабилност (3</w:t>
      </w:r>
      <w:r w:rsidR="003818FA">
        <w:rPr>
          <w:rFonts w:ascii="Times New Roman" w:hAnsi="Times New Roman" w:cs="Times New Roman"/>
          <w:b w:val="0"/>
          <w:sz w:val="24"/>
          <w:szCs w:val="24"/>
        </w:rPr>
        <w:t>47</w:t>
      </w:r>
      <w:r w:rsidRPr="009D695C">
        <w:rPr>
          <w:rFonts w:ascii="Times New Roman" w:hAnsi="Times New Roman" w:cs="Times New Roman"/>
          <w:b w:val="0"/>
          <w:sz w:val="24"/>
          <w:szCs w:val="24"/>
          <w:lang w:val="mk-MK"/>
        </w:rPr>
        <w:t>)</w:t>
      </w:r>
      <w:r w:rsidRPr="00A926CA">
        <w:rPr>
          <w:rFonts w:ascii="Times New Roman" w:hAnsi="Times New Roman" w:cs="Times New Roman"/>
          <w:b w:val="0"/>
          <w:sz w:val="24"/>
          <w:szCs w:val="24"/>
          <w:lang w:val="ru-RU"/>
        </w:rPr>
        <w:t>.</w:t>
      </w:r>
      <w:r w:rsidRPr="009D695C">
        <w:rPr>
          <w:rFonts w:ascii="Times New Roman" w:hAnsi="Times New Roman" w:cs="Times New Roman"/>
          <w:b w:val="0"/>
          <w:sz w:val="24"/>
          <w:szCs w:val="24"/>
          <w:lang w:val="mk-MK"/>
        </w:rPr>
        <w:t xml:space="preserve"> </w:t>
      </w:r>
    </w:p>
    <w:p w:rsidR="00FA7856" w:rsidRPr="009D695C" w:rsidRDefault="00FA7856" w:rsidP="00421E8E">
      <w:pPr>
        <w:pStyle w:val="Heading1"/>
        <w:shd w:val="clear" w:color="auto" w:fill="FFFFFF"/>
        <w:spacing w:before="400" w:beforeAutospacing="0" w:after="200" w:afterAutospacing="0"/>
        <w:rPr>
          <w:rFonts w:ascii="Times New Roman" w:hAnsi="Times New Roman" w:cs="Times New Roman"/>
          <w:b w:val="0"/>
          <w:sz w:val="24"/>
          <w:szCs w:val="24"/>
          <w:lang w:val="mk-MK"/>
        </w:rPr>
      </w:pPr>
      <w:r w:rsidRPr="009D695C">
        <w:rPr>
          <w:rFonts w:ascii="Times New Roman" w:hAnsi="Times New Roman" w:cs="Times New Roman"/>
          <w:b w:val="0"/>
          <w:sz w:val="24"/>
          <w:szCs w:val="24"/>
          <w:lang w:val="mk-MK"/>
        </w:rPr>
        <w:t xml:space="preserve">Горе споменатото укажува на тоа дека, </w:t>
      </w:r>
      <w:r w:rsidRPr="009D695C">
        <w:rPr>
          <w:rFonts w:ascii="Times New Roman" w:hAnsi="Times New Roman" w:cs="Times New Roman"/>
          <w:b w:val="0"/>
          <w:sz w:val="24"/>
          <w:szCs w:val="24"/>
        </w:rPr>
        <w:t>IL</w:t>
      </w:r>
      <w:r w:rsidRPr="00A926CA">
        <w:rPr>
          <w:rFonts w:ascii="Times New Roman" w:hAnsi="Times New Roman" w:cs="Times New Roman"/>
          <w:b w:val="0"/>
          <w:sz w:val="24"/>
          <w:szCs w:val="24"/>
          <w:lang w:val="ru-RU"/>
        </w:rPr>
        <w:t xml:space="preserve">-33 </w:t>
      </w:r>
      <w:r w:rsidRPr="009D695C">
        <w:rPr>
          <w:rFonts w:ascii="Times New Roman" w:hAnsi="Times New Roman" w:cs="Times New Roman"/>
          <w:b w:val="0"/>
          <w:sz w:val="24"/>
          <w:szCs w:val="24"/>
          <w:lang w:val="mk-MK"/>
        </w:rPr>
        <w:t>најверојатно е инволвиран во туморогенезата и појавата на васкуларни заболувања.</w:t>
      </w:r>
      <w:r w:rsidRPr="009D695C">
        <w:rPr>
          <w:rFonts w:ascii="Times New Roman" w:hAnsi="Times New Roman" w:cs="Times New Roman"/>
          <w:b w:val="0"/>
          <w:color w:val="212121"/>
          <w:sz w:val="24"/>
          <w:szCs w:val="24"/>
          <w:lang w:val="mk-MK"/>
        </w:rPr>
        <w:t xml:space="preserve"> </w:t>
      </w:r>
      <w:r w:rsidRPr="009D695C">
        <w:rPr>
          <w:rFonts w:ascii="Times New Roman" w:hAnsi="Times New Roman" w:cs="Times New Roman"/>
          <w:b w:val="0"/>
          <w:sz w:val="24"/>
          <w:szCs w:val="24"/>
          <w:lang w:val="mk-MK"/>
        </w:rPr>
        <w:t xml:space="preserve">Фактот кој говори дека цитокините земаат учество во процеси како што се клеточна пролиферација, ангиогенеза, диференцијација и ремоделирање на ткивото, како и во процесот на апоптоза, сугерира на тоа дека абнормална алтерација  води кон модифицирани реакции неопходни за појава и прогресија </w:t>
      </w:r>
      <w:r w:rsidR="003818FA">
        <w:rPr>
          <w:rFonts w:ascii="Times New Roman" w:hAnsi="Times New Roman" w:cs="Times New Roman"/>
          <w:b w:val="0"/>
          <w:sz w:val="24"/>
          <w:szCs w:val="24"/>
          <w:lang w:val="mk-MK"/>
        </w:rPr>
        <w:t>на малигното заболување (3</w:t>
      </w:r>
      <w:r w:rsidR="003818FA">
        <w:rPr>
          <w:rFonts w:ascii="Times New Roman" w:hAnsi="Times New Roman" w:cs="Times New Roman"/>
          <w:b w:val="0"/>
          <w:sz w:val="24"/>
          <w:szCs w:val="24"/>
        </w:rPr>
        <w:t>48,349</w:t>
      </w:r>
      <w:r w:rsidRPr="009D695C">
        <w:rPr>
          <w:rFonts w:ascii="Times New Roman" w:hAnsi="Times New Roman" w:cs="Times New Roman"/>
          <w:b w:val="0"/>
          <w:sz w:val="24"/>
          <w:szCs w:val="24"/>
          <w:lang w:val="mk-MK"/>
        </w:rPr>
        <w:t>).</w:t>
      </w:r>
    </w:p>
    <w:p w:rsidR="00D20446" w:rsidRDefault="00FA7856" w:rsidP="00421E8E">
      <w:pPr>
        <w:shd w:val="clear" w:color="auto" w:fill="FFFFFF"/>
        <w:spacing w:before="200"/>
        <w:rPr>
          <w:rFonts w:ascii="Times New Roman" w:hAnsi="Times New Roman" w:cs="Times New Roman"/>
          <w:sz w:val="24"/>
          <w:szCs w:val="24"/>
        </w:rPr>
      </w:pPr>
      <w:r w:rsidRPr="009D695C">
        <w:rPr>
          <w:rFonts w:ascii="Times New Roman" w:hAnsi="Times New Roman" w:cs="Times New Roman"/>
          <w:sz w:val="24"/>
          <w:szCs w:val="24"/>
        </w:rPr>
        <w:t xml:space="preserve">Многу студии укажуваат на анти-туморската улога на IL-33. Инволвираноста на IL-33 во стекнатиот тип 1 имунитет, сугерира на тоа дека може да стимулира соодветен антитуморски имунитет. </w:t>
      </w:r>
      <w:r w:rsidR="00231839">
        <w:rPr>
          <w:rFonts w:ascii="Times New Roman" w:hAnsi="Times New Roman" w:cs="Times New Roman"/>
          <w:sz w:val="24"/>
          <w:szCs w:val="24"/>
        </w:rPr>
        <w:t>NK и CD8+</w:t>
      </w:r>
      <w:r w:rsidR="00231839" w:rsidRPr="009D695C">
        <w:rPr>
          <w:rFonts w:ascii="Times New Roman" w:hAnsi="Times New Roman" w:cs="Times New Roman"/>
          <w:sz w:val="24"/>
          <w:szCs w:val="24"/>
        </w:rPr>
        <w:t>T клетки се неопходни за реализација на ант</w:t>
      </w:r>
      <w:r w:rsidR="00231839">
        <w:rPr>
          <w:rFonts w:ascii="Times New Roman" w:hAnsi="Times New Roman" w:cs="Times New Roman"/>
          <w:sz w:val="24"/>
          <w:szCs w:val="24"/>
        </w:rPr>
        <w:t>и-туморскиот ефект на IL-33</w:t>
      </w:r>
      <w:r w:rsidR="00231839">
        <w:rPr>
          <w:rFonts w:ascii="Times New Roman" w:hAnsi="Times New Roman" w:cs="Times New Roman"/>
          <w:sz w:val="24"/>
          <w:szCs w:val="24"/>
          <w:lang w:val="en-US"/>
        </w:rPr>
        <w:t>,</w:t>
      </w:r>
      <w:r w:rsidR="00231839">
        <w:rPr>
          <w:rFonts w:ascii="Times New Roman" w:hAnsi="Times New Roman" w:cs="Times New Roman"/>
          <w:sz w:val="24"/>
          <w:szCs w:val="24"/>
        </w:rPr>
        <w:t xml:space="preserve"> однодно, </w:t>
      </w:r>
      <w:r w:rsidRPr="009D695C">
        <w:rPr>
          <w:rFonts w:ascii="Times New Roman" w:hAnsi="Times New Roman" w:cs="Times New Roman"/>
          <w:sz w:val="24"/>
          <w:szCs w:val="24"/>
        </w:rPr>
        <w:t xml:space="preserve">IL-33 ја зголемува продукцијата на IFN-γ од страна на CD8+ T и NK клетки во туморското микроопкружување, како и бројот на Ag-специфични CD8+ T </w:t>
      </w:r>
      <w:r w:rsidR="00231839">
        <w:rPr>
          <w:rFonts w:ascii="Times New Roman" w:hAnsi="Times New Roman" w:cs="Times New Roman"/>
          <w:sz w:val="24"/>
          <w:szCs w:val="24"/>
        </w:rPr>
        <w:t>клетки во слезенката. NK и CD8+</w:t>
      </w:r>
      <w:r w:rsidRPr="009D695C">
        <w:rPr>
          <w:rFonts w:ascii="Times New Roman" w:hAnsi="Times New Roman" w:cs="Times New Roman"/>
          <w:sz w:val="24"/>
          <w:szCs w:val="24"/>
        </w:rPr>
        <w:t>T клетки се неопходни за реализација на ант</w:t>
      </w:r>
      <w:r w:rsidR="003818FA">
        <w:rPr>
          <w:rFonts w:ascii="Times New Roman" w:hAnsi="Times New Roman" w:cs="Times New Roman"/>
          <w:sz w:val="24"/>
          <w:szCs w:val="24"/>
        </w:rPr>
        <w:t>и-туморскиот ефект на IL-33 (35</w:t>
      </w:r>
      <w:r w:rsidR="003818FA">
        <w:rPr>
          <w:rFonts w:ascii="Times New Roman" w:hAnsi="Times New Roman" w:cs="Times New Roman"/>
          <w:sz w:val="24"/>
          <w:szCs w:val="24"/>
          <w:lang w:val="en-US"/>
        </w:rPr>
        <w:t>0</w:t>
      </w:r>
      <w:r w:rsidRPr="009D695C">
        <w:rPr>
          <w:rFonts w:ascii="Times New Roman" w:hAnsi="Times New Roman" w:cs="Times New Roman"/>
          <w:sz w:val="24"/>
          <w:szCs w:val="24"/>
        </w:rPr>
        <w:t xml:space="preserve">). </w:t>
      </w:r>
    </w:p>
    <w:p w:rsidR="00D20446" w:rsidRDefault="00D20446" w:rsidP="00421E8E">
      <w:pPr>
        <w:shd w:val="clear" w:color="auto" w:fill="FFFFFF"/>
        <w:spacing w:before="200"/>
        <w:rPr>
          <w:rFonts w:ascii="Times New Roman" w:hAnsi="Times New Roman" w:cs="Times New Roman"/>
          <w:sz w:val="24"/>
          <w:szCs w:val="24"/>
        </w:rPr>
      </w:pPr>
    </w:p>
    <w:p w:rsidR="00D20446" w:rsidRDefault="00D20446" w:rsidP="00421E8E">
      <w:pPr>
        <w:shd w:val="clear" w:color="auto" w:fill="FFFFFF"/>
        <w:spacing w:before="200"/>
        <w:rPr>
          <w:rFonts w:ascii="Times New Roman" w:hAnsi="Times New Roman" w:cs="Times New Roman"/>
          <w:sz w:val="24"/>
          <w:szCs w:val="24"/>
        </w:rPr>
      </w:pPr>
    </w:p>
    <w:p w:rsidR="00D20446" w:rsidRDefault="00D20446" w:rsidP="00421E8E">
      <w:pPr>
        <w:shd w:val="clear" w:color="auto" w:fill="FFFFFF"/>
        <w:spacing w:before="200"/>
        <w:rPr>
          <w:rFonts w:ascii="Times New Roman" w:hAnsi="Times New Roman" w:cs="Times New Roman"/>
          <w:sz w:val="24"/>
          <w:szCs w:val="24"/>
        </w:rPr>
      </w:pPr>
    </w:p>
    <w:p w:rsidR="00FA7856" w:rsidRPr="009D695C" w:rsidRDefault="00FA7856" w:rsidP="00421E8E">
      <w:pPr>
        <w:shd w:val="clear" w:color="auto" w:fill="FFFFFF"/>
        <w:spacing w:before="200"/>
        <w:rPr>
          <w:rFonts w:ascii="Times New Roman" w:hAnsi="Times New Roman" w:cs="Times New Roman"/>
          <w:color w:val="212121"/>
          <w:sz w:val="24"/>
          <w:szCs w:val="24"/>
        </w:rPr>
      </w:pPr>
      <w:r w:rsidRPr="009D695C">
        <w:rPr>
          <w:rFonts w:ascii="Times New Roman" w:hAnsi="Times New Roman" w:cs="Times New Roman"/>
          <w:sz w:val="24"/>
          <w:szCs w:val="24"/>
        </w:rPr>
        <w:t xml:space="preserve">Системска администрација на рекомбинантен IL-33 во голема мера го инхибира растот на туморот, на тој начин што стимулира експанзија </w:t>
      </w:r>
      <w:r w:rsidR="00231839">
        <w:rPr>
          <w:rFonts w:ascii="Times New Roman" w:hAnsi="Times New Roman" w:cs="Times New Roman"/>
          <w:sz w:val="24"/>
          <w:szCs w:val="24"/>
        </w:rPr>
        <w:t>на анти-тумор CD8+</w:t>
      </w:r>
      <w:r w:rsidR="003818FA">
        <w:rPr>
          <w:rFonts w:ascii="Times New Roman" w:hAnsi="Times New Roman" w:cs="Times New Roman"/>
          <w:sz w:val="24"/>
          <w:szCs w:val="24"/>
        </w:rPr>
        <w:t>T клетки (35</w:t>
      </w:r>
      <w:r w:rsidR="003818FA">
        <w:rPr>
          <w:rFonts w:ascii="Times New Roman" w:hAnsi="Times New Roman" w:cs="Times New Roman"/>
          <w:sz w:val="24"/>
          <w:szCs w:val="24"/>
          <w:lang w:val="en-US"/>
        </w:rPr>
        <w:t>1</w:t>
      </w:r>
      <w:r w:rsidRPr="009D695C">
        <w:rPr>
          <w:rFonts w:ascii="Times New Roman" w:hAnsi="Times New Roman" w:cs="Times New Roman"/>
          <w:sz w:val="24"/>
          <w:szCs w:val="24"/>
        </w:rPr>
        <w:t xml:space="preserve">), односно, </w:t>
      </w:r>
      <w:r w:rsidRPr="009D695C">
        <w:rPr>
          <w:rFonts w:ascii="Times New Roman" w:hAnsi="Times New Roman" w:cs="Times New Roman"/>
          <w:color w:val="212121"/>
          <w:sz w:val="24"/>
          <w:szCs w:val="24"/>
        </w:rPr>
        <w:t>IL-33 може да ја редуцира туморогенезата, преку стимулација на пролиферација, активација и инфилтрација на CD8+T и NK клетки, преку NF-κB трансфер на сигнали, што резултира со слабеење на с</w:t>
      </w:r>
      <w:r w:rsidR="003818FA">
        <w:rPr>
          <w:rFonts w:ascii="Times New Roman" w:hAnsi="Times New Roman" w:cs="Times New Roman"/>
          <w:color w:val="212121"/>
          <w:sz w:val="24"/>
          <w:szCs w:val="24"/>
        </w:rPr>
        <w:t>пособноста за метастазирање (35</w:t>
      </w:r>
      <w:r w:rsidR="003818FA">
        <w:rPr>
          <w:rFonts w:ascii="Times New Roman" w:hAnsi="Times New Roman" w:cs="Times New Roman"/>
          <w:color w:val="212121"/>
          <w:sz w:val="24"/>
          <w:szCs w:val="24"/>
          <w:lang w:val="en-US"/>
        </w:rPr>
        <w:t>2</w:t>
      </w:r>
      <w:r w:rsidRPr="009D695C">
        <w:rPr>
          <w:rFonts w:ascii="Times New Roman" w:hAnsi="Times New Roman" w:cs="Times New Roman"/>
          <w:color w:val="212121"/>
          <w:sz w:val="24"/>
          <w:szCs w:val="24"/>
        </w:rPr>
        <w:t xml:space="preserve">). </w:t>
      </w:r>
      <w:r w:rsidRPr="009D695C">
        <w:rPr>
          <w:rFonts w:ascii="Times New Roman" w:hAnsi="Times New Roman" w:cs="Times New Roman"/>
          <w:sz w:val="24"/>
          <w:szCs w:val="24"/>
        </w:rPr>
        <w:t>Регулацијата на цитокини претставува интегрален дел од процесот на туморогенеза, односно онкогенезата, директно поврзан со способноста на туморот да го одбегне имунолошкиот одговор на организмот. За манифестирање на биолошката активност на IL-33 секако од голема важност е и присуството на останатите инфламаторни цитокини. Високи вредности на нивоата на IL-33 и присуството на останати цитоки</w:t>
      </w:r>
      <w:r w:rsidR="00231839">
        <w:rPr>
          <w:rFonts w:ascii="Times New Roman" w:hAnsi="Times New Roman" w:cs="Times New Roman"/>
          <w:sz w:val="24"/>
          <w:szCs w:val="24"/>
        </w:rPr>
        <w:t>ни</w:t>
      </w:r>
      <w:r w:rsidRPr="009D695C">
        <w:rPr>
          <w:rFonts w:ascii="Times New Roman" w:hAnsi="Times New Roman" w:cs="Times New Roman"/>
          <w:sz w:val="24"/>
          <w:szCs w:val="24"/>
        </w:rPr>
        <w:t xml:space="preserve"> индуцирани од страна на PAMP</w:t>
      </w:r>
      <w:r w:rsidRPr="009D695C">
        <w:rPr>
          <w:rFonts w:ascii="Times New Roman" w:hAnsi="Times New Roman" w:cs="Times New Roman"/>
          <w:color w:val="4D5156"/>
          <w:sz w:val="24"/>
          <w:szCs w:val="24"/>
          <w:shd w:val="clear" w:color="auto" w:fill="FFFFFF"/>
        </w:rPr>
        <w:t xml:space="preserve"> </w:t>
      </w:r>
      <w:r w:rsidRPr="009D695C">
        <w:rPr>
          <w:rFonts w:ascii="Times New Roman" w:hAnsi="Times New Roman" w:cs="Times New Roman"/>
          <w:sz w:val="24"/>
          <w:szCs w:val="24"/>
        </w:rPr>
        <w:t>како што е IL-12, стимулираат тип 1 антитумор</w:t>
      </w:r>
      <w:r w:rsidR="00231839">
        <w:rPr>
          <w:rFonts w:ascii="Times New Roman" w:hAnsi="Times New Roman" w:cs="Times New Roman"/>
          <w:sz w:val="24"/>
          <w:szCs w:val="24"/>
        </w:rPr>
        <w:t>ски</w:t>
      </w:r>
      <w:r w:rsidRPr="009D695C">
        <w:rPr>
          <w:rFonts w:ascii="Times New Roman" w:hAnsi="Times New Roman" w:cs="Times New Roman"/>
          <w:sz w:val="24"/>
          <w:szCs w:val="24"/>
        </w:rPr>
        <w:t xml:space="preserve"> имунолошки одговор, додека, од друга страна, стромалниот IL-33 во присуство на имуносупресивни цитокини и медијатори, како што е TGFβ резултира со супресија на имунитетот од страна на Treg и MDS клетките. Начинот на кој што е регулирана експресијата на IL-33 во епителните и стромални клетки на туморот, останува енигма и тема на понатамошни истражувања, кои што ќе обезбедат сознанија за молекуларните механизми врз основа на кои се темели врската помеѓу туморогенезата и имунолошкиот одговор на организмот.</w:t>
      </w:r>
    </w:p>
    <w:p w:rsidR="00FA7856" w:rsidRPr="009D695C" w:rsidRDefault="00FA7856" w:rsidP="00421E8E">
      <w:pPr>
        <w:shd w:val="clear" w:color="auto" w:fill="FFFFFF"/>
        <w:spacing w:before="100" w:beforeAutospacing="1" w:after="100" w:afterAutospacing="1"/>
        <w:rPr>
          <w:rFonts w:ascii="Times New Roman" w:hAnsi="Times New Roman" w:cs="Times New Roman"/>
          <w:sz w:val="24"/>
          <w:szCs w:val="24"/>
        </w:rPr>
      </w:pPr>
      <w:r w:rsidRPr="009D695C">
        <w:rPr>
          <w:rFonts w:ascii="Times New Roman" w:hAnsi="Times New Roman" w:cs="Times New Roman"/>
          <w:sz w:val="24"/>
          <w:szCs w:val="24"/>
        </w:rPr>
        <w:t>IL-33 стимулира активација на факторите за транскрипција во туморските клетки, кои пак од друга страна се одговорни за квалитетот и квантитетот на инфламаторното микроопкружува</w:t>
      </w:r>
      <w:r w:rsidR="003818FA">
        <w:rPr>
          <w:rFonts w:ascii="Times New Roman" w:hAnsi="Times New Roman" w:cs="Times New Roman"/>
          <w:sz w:val="24"/>
          <w:szCs w:val="24"/>
        </w:rPr>
        <w:t>ње на туморот (35</w:t>
      </w:r>
      <w:r w:rsidR="003818FA">
        <w:rPr>
          <w:rFonts w:ascii="Times New Roman" w:hAnsi="Times New Roman" w:cs="Times New Roman"/>
          <w:sz w:val="24"/>
          <w:szCs w:val="24"/>
          <w:lang w:val="en-US"/>
        </w:rPr>
        <w:t>3</w:t>
      </w:r>
      <w:r w:rsidRPr="009D695C">
        <w:rPr>
          <w:rFonts w:ascii="Times New Roman" w:hAnsi="Times New Roman" w:cs="Times New Roman"/>
          <w:sz w:val="24"/>
          <w:szCs w:val="24"/>
        </w:rPr>
        <w:t xml:space="preserve">). Се претпоставува дека ефектот на IL-33 врз развиток на туморот е детерминиран од типот на истиот и видот на таргет клетките на цитокинот, како и од интеракцијата помеѓу бројните фактори присутни во </w:t>
      </w:r>
      <w:r w:rsidR="003818FA">
        <w:rPr>
          <w:rFonts w:ascii="Times New Roman" w:hAnsi="Times New Roman" w:cs="Times New Roman"/>
          <w:sz w:val="24"/>
          <w:szCs w:val="24"/>
        </w:rPr>
        <w:t>туморското микроопкружување (3</w:t>
      </w:r>
      <w:r w:rsidR="003818FA">
        <w:rPr>
          <w:rFonts w:ascii="Times New Roman" w:hAnsi="Times New Roman" w:cs="Times New Roman"/>
          <w:sz w:val="24"/>
          <w:szCs w:val="24"/>
          <w:lang w:val="en-US"/>
        </w:rPr>
        <w:t>54</w:t>
      </w:r>
      <w:r w:rsidRPr="009D695C">
        <w:rPr>
          <w:rFonts w:ascii="Times New Roman" w:hAnsi="Times New Roman" w:cs="Times New Roman"/>
          <w:sz w:val="24"/>
          <w:szCs w:val="24"/>
        </w:rPr>
        <w:t>). Постои позитивна корелација помеѓу концентрацијата на IL-33 и големината на туморот и неговиот стадиум. Се смета дека покачените вредности на IL-33 во серум се резултат на Th2 имунолошки одговор, продукција на IL-4 и IL-5, што пак од друга страна ja спречува инфилтрацијата со Th1 клетки, односно стимулира продукц</w:t>
      </w:r>
      <w:r w:rsidR="003818FA">
        <w:rPr>
          <w:rFonts w:ascii="Times New Roman" w:hAnsi="Times New Roman" w:cs="Times New Roman"/>
          <w:sz w:val="24"/>
          <w:szCs w:val="24"/>
        </w:rPr>
        <w:t>ија на регулаторни T клетки (3</w:t>
      </w:r>
      <w:r w:rsidR="003818FA">
        <w:rPr>
          <w:rFonts w:ascii="Times New Roman" w:hAnsi="Times New Roman" w:cs="Times New Roman"/>
          <w:sz w:val="24"/>
          <w:szCs w:val="24"/>
          <w:lang w:val="en-US"/>
        </w:rPr>
        <w:t>55</w:t>
      </w:r>
      <w:r w:rsidRPr="009D695C">
        <w:rPr>
          <w:rFonts w:ascii="Times New Roman" w:hAnsi="Times New Roman" w:cs="Times New Roman"/>
          <w:sz w:val="24"/>
          <w:szCs w:val="24"/>
        </w:rPr>
        <w:t>).</w:t>
      </w:r>
    </w:p>
    <w:p w:rsidR="00FA7856" w:rsidRPr="009D695C" w:rsidRDefault="00FA7856" w:rsidP="00421E8E">
      <w:pPr>
        <w:shd w:val="clear" w:color="auto" w:fill="FFFFFF"/>
        <w:spacing w:before="100" w:beforeAutospacing="1" w:after="100" w:afterAutospacing="1"/>
        <w:rPr>
          <w:rFonts w:ascii="Times New Roman" w:hAnsi="Times New Roman" w:cs="Times New Roman"/>
          <w:color w:val="212121"/>
          <w:sz w:val="24"/>
          <w:szCs w:val="24"/>
        </w:rPr>
      </w:pPr>
      <w:r w:rsidRPr="009D695C">
        <w:rPr>
          <w:rFonts w:ascii="Times New Roman" w:hAnsi="Times New Roman" w:cs="Times New Roman"/>
          <w:color w:val="212121"/>
          <w:sz w:val="24"/>
          <w:szCs w:val="24"/>
        </w:rPr>
        <w:t>Третирање со sST2 рецепторот, влијае негативно на растот на туморот и неговото метастазирање. IL-33 непосредно преку регулација на MMP2 стимулира пролиферација и инвазивност на дендритични стромални клетки, процес, кој што е редуцира</w:t>
      </w:r>
      <w:r w:rsidR="003818FA">
        <w:rPr>
          <w:rFonts w:ascii="Times New Roman" w:hAnsi="Times New Roman" w:cs="Times New Roman"/>
          <w:color w:val="212121"/>
          <w:sz w:val="24"/>
          <w:szCs w:val="24"/>
        </w:rPr>
        <w:t>н по администрација на sST2 (3</w:t>
      </w:r>
      <w:r w:rsidR="003818FA">
        <w:rPr>
          <w:rFonts w:ascii="Times New Roman" w:hAnsi="Times New Roman" w:cs="Times New Roman"/>
          <w:color w:val="212121"/>
          <w:sz w:val="24"/>
          <w:szCs w:val="24"/>
          <w:lang w:val="en-US"/>
        </w:rPr>
        <w:t>56</w:t>
      </w:r>
      <w:r w:rsidRPr="009D695C">
        <w:rPr>
          <w:rFonts w:ascii="Times New Roman" w:hAnsi="Times New Roman" w:cs="Times New Roman"/>
          <w:color w:val="212121"/>
          <w:sz w:val="24"/>
          <w:szCs w:val="24"/>
        </w:rPr>
        <w:t>)</w:t>
      </w:r>
      <w:r w:rsidRPr="009D695C">
        <w:rPr>
          <w:rStyle w:val="element-citation"/>
          <w:rFonts w:ascii="Times New Roman" w:hAnsi="Times New Roman"/>
          <w:color w:val="212121"/>
          <w:sz w:val="24"/>
          <w:szCs w:val="24"/>
        </w:rPr>
        <w:t xml:space="preserve">. </w:t>
      </w:r>
      <w:r w:rsidRPr="009D695C">
        <w:rPr>
          <w:rFonts w:ascii="Times New Roman" w:hAnsi="Times New Roman" w:cs="Times New Roman"/>
          <w:color w:val="212121"/>
          <w:sz w:val="24"/>
          <w:szCs w:val="24"/>
        </w:rPr>
        <w:t>Имено, по стимулација со IL-33, истиот влијае негативно на протеините инволвирани во клеточна пролиферација, како што се CDK2, CDK4, односно ја зголемува експресијата на про-апоптотични молекули како што се TRAIL и Bax, односно дејствува</w:t>
      </w:r>
      <w:r w:rsidR="003818FA">
        <w:rPr>
          <w:rFonts w:ascii="Times New Roman" w:hAnsi="Times New Roman" w:cs="Times New Roman"/>
          <w:color w:val="212121"/>
          <w:sz w:val="24"/>
          <w:szCs w:val="24"/>
        </w:rPr>
        <w:t xml:space="preserve"> стимулативно на апоптозата (3</w:t>
      </w:r>
      <w:r w:rsidR="003818FA">
        <w:rPr>
          <w:rFonts w:ascii="Times New Roman" w:hAnsi="Times New Roman" w:cs="Times New Roman"/>
          <w:color w:val="212121"/>
          <w:sz w:val="24"/>
          <w:szCs w:val="24"/>
          <w:lang w:val="en-US"/>
        </w:rPr>
        <w:t>57</w:t>
      </w:r>
      <w:r w:rsidRPr="009D695C">
        <w:rPr>
          <w:rFonts w:ascii="Times New Roman" w:hAnsi="Times New Roman" w:cs="Times New Roman"/>
          <w:color w:val="212121"/>
          <w:sz w:val="24"/>
          <w:szCs w:val="24"/>
        </w:rPr>
        <w:t xml:space="preserve">). </w:t>
      </w:r>
    </w:p>
    <w:p w:rsidR="00FA7856" w:rsidRPr="00A926CA" w:rsidRDefault="00FA7856" w:rsidP="00421E8E">
      <w:pPr>
        <w:pStyle w:val="HTMLPreformatted"/>
        <w:shd w:val="clear" w:color="auto" w:fill="FFFFFF"/>
        <w:rPr>
          <w:rFonts w:ascii="Times New Roman" w:hAnsi="Times New Roman" w:cs="Times New Roman"/>
          <w:color w:val="202124"/>
          <w:sz w:val="24"/>
          <w:szCs w:val="24"/>
          <w:lang w:val="ru-RU"/>
        </w:rPr>
      </w:pPr>
      <w:r w:rsidRPr="009D695C">
        <w:rPr>
          <w:rFonts w:ascii="Times New Roman" w:hAnsi="Times New Roman" w:cs="Times New Roman"/>
          <w:color w:val="212121"/>
          <w:sz w:val="24"/>
          <w:szCs w:val="24"/>
          <w:shd w:val="clear" w:color="auto" w:fill="FFFFFF"/>
        </w:rPr>
        <w:t>IL</w:t>
      </w:r>
      <w:r w:rsidRPr="00A926CA">
        <w:rPr>
          <w:rFonts w:ascii="Times New Roman" w:hAnsi="Times New Roman" w:cs="Times New Roman"/>
          <w:color w:val="212121"/>
          <w:sz w:val="24"/>
          <w:szCs w:val="24"/>
          <w:shd w:val="clear" w:color="auto" w:fill="FFFFFF"/>
          <w:lang w:val="ru-RU"/>
        </w:rPr>
        <w:t xml:space="preserve">-33 </w:t>
      </w:r>
      <w:r w:rsidRPr="009D695C">
        <w:rPr>
          <w:rFonts w:ascii="Times New Roman" w:hAnsi="Times New Roman" w:cs="Times New Roman"/>
          <w:color w:val="212121"/>
          <w:sz w:val="24"/>
          <w:szCs w:val="24"/>
          <w:shd w:val="clear" w:color="auto" w:fill="FFFFFF"/>
          <w:lang w:val="mk-MK"/>
        </w:rPr>
        <w:t xml:space="preserve">ја регулира активноста, преживувањето и експанзијата на супресорните клетки со миелоидно потекло </w:t>
      </w:r>
      <w:r w:rsidRPr="00A926CA">
        <w:rPr>
          <w:rFonts w:ascii="Times New Roman" w:hAnsi="Times New Roman" w:cs="Times New Roman"/>
          <w:color w:val="212121"/>
          <w:sz w:val="24"/>
          <w:szCs w:val="24"/>
          <w:shd w:val="clear" w:color="auto" w:fill="FFFFFF"/>
          <w:lang w:val="ru-RU"/>
        </w:rPr>
        <w:t>(</w:t>
      </w:r>
      <w:r w:rsidR="003818FA">
        <w:rPr>
          <w:rFonts w:ascii="Times New Roman" w:hAnsi="Times New Roman" w:cs="Times New Roman"/>
          <w:color w:val="212121"/>
          <w:sz w:val="24"/>
          <w:szCs w:val="24"/>
          <w:shd w:val="clear" w:color="auto" w:fill="FFFFFF"/>
          <w:lang w:val="mk-MK"/>
        </w:rPr>
        <w:t>3</w:t>
      </w:r>
      <w:r w:rsidR="003818FA">
        <w:rPr>
          <w:rFonts w:ascii="Times New Roman" w:hAnsi="Times New Roman" w:cs="Times New Roman"/>
          <w:color w:val="212121"/>
          <w:sz w:val="24"/>
          <w:szCs w:val="24"/>
          <w:shd w:val="clear" w:color="auto" w:fill="FFFFFF"/>
        </w:rPr>
        <w:t>58</w:t>
      </w:r>
      <w:r w:rsidRPr="00A926CA">
        <w:rPr>
          <w:rFonts w:ascii="Times New Roman" w:hAnsi="Times New Roman" w:cs="Times New Roman"/>
          <w:color w:val="212121"/>
          <w:sz w:val="24"/>
          <w:szCs w:val="24"/>
          <w:shd w:val="clear" w:color="auto" w:fill="FFFFFF"/>
          <w:lang w:val="ru-RU"/>
        </w:rPr>
        <w:t xml:space="preserve">) </w:t>
      </w:r>
      <w:r w:rsidRPr="009D695C">
        <w:rPr>
          <w:rFonts w:ascii="Times New Roman" w:hAnsi="Times New Roman" w:cs="Times New Roman"/>
          <w:sz w:val="24"/>
          <w:szCs w:val="24"/>
          <w:lang w:val="mk-MK"/>
        </w:rPr>
        <w:t xml:space="preserve">и во синергија со онкогени, стимулира пролиферација на туморските клетки и метастазирање </w:t>
      </w:r>
      <w:r w:rsidRPr="00A926CA">
        <w:rPr>
          <w:rFonts w:ascii="Times New Roman" w:hAnsi="Times New Roman" w:cs="Times New Roman"/>
          <w:sz w:val="24"/>
          <w:szCs w:val="24"/>
          <w:lang w:val="ru-RU"/>
        </w:rPr>
        <w:t>(</w:t>
      </w:r>
      <w:r w:rsidR="003818FA">
        <w:rPr>
          <w:rFonts w:ascii="Times New Roman" w:hAnsi="Times New Roman" w:cs="Times New Roman"/>
          <w:sz w:val="24"/>
          <w:szCs w:val="24"/>
          <w:lang w:val="mk-MK"/>
        </w:rPr>
        <w:t>3</w:t>
      </w:r>
      <w:r w:rsidR="003818FA">
        <w:rPr>
          <w:rFonts w:ascii="Times New Roman" w:hAnsi="Times New Roman" w:cs="Times New Roman"/>
          <w:sz w:val="24"/>
          <w:szCs w:val="24"/>
        </w:rPr>
        <w:t>24</w:t>
      </w:r>
      <w:r w:rsidRPr="00A926CA">
        <w:rPr>
          <w:rFonts w:ascii="Times New Roman" w:hAnsi="Times New Roman" w:cs="Times New Roman"/>
          <w:sz w:val="24"/>
          <w:szCs w:val="24"/>
          <w:lang w:val="ru-RU"/>
        </w:rPr>
        <w:t>,</w:t>
      </w:r>
      <w:r w:rsidR="003818FA">
        <w:rPr>
          <w:rFonts w:ascii="Times New Roman" w:hAnsi="Times New Roman" w:cs="Times New Roman"/>
          <w:sz w:val="24"/>
          <w:szCs w:val="24"/>
          <w:lang w:val="mk-MK"/>
        </w:rPr>
        <w:t>3</w:t>
      </w:r>
      <w:r w:rsidR="003818FA">
        <w:rPr>
          <w:rFonts w:ascii="Times New Roman" w:hAnsi="Times New Roman" w:cs="Times New Roman"/>
          <w:sz w:val="24"/>
          <w:szCs w:val="24"/>
        </w:rPr>
        <w:t>59</w:t>
      </w:r>
      <w:r w:rsidRPr="00A926CA">
        <w:rPr>
          <w:rFonts w:ascii="Times New Roman" w:hAnsi="Times New Roman" w:cs="Times New Roman"/>
          <w:sz w:val="24"/>
          <w:szCs w:val="24"/>
          <w:lang w:val="ru-RU"/>
        </w:rPr>
        <w:t>).</w:t>
      </w:r>
      <w:r w:rsidRPr="009D695C">
        <w:rPr>
          <w:rFonts w:ascii="Times New Roman" w:hAnsi="Times New Roman" w:cs="Times New Roman"/>
          <w:sz w:val="24"/>
          <w:szCs w:val="24"/>
          <w:lang w:val="mk-MK"/>
        </w:rPr>
        <w:t xml:space="preserve"> </w:t>
      </w:r>
    </w:p>
    <w:p w:rsidR="00D20446" w:rsidRDefault="00D20446" w:rsidP="00421E8E">
      <w:pPr>
        <w:shd w:val="clear" w:color="auto" w:fill="FFFFFF"/>
        <w:spacing w:before="200"/>
        <w:rPr>
          <w:rFonts w:ascii="Times New Roman" w:hAnsi="Times New Roman" w:cs="Times New Roman"/>
          <w:b/>
          <w:color w:val="212121"/>
          <w:sz w:val="24"/>
          <w:szCs w:val="24"/>
        </w:rPr>
      </w:pPr>
    </w:p>
    <w:p w:rsidR="00D20446" w:rsidRDefault="00D20446" w:rsidP="00421E8E">
      <w:pPr>
        <w:shd w:val="clear" w:color="auto" w:fill="FFFFFF"/>
        <w:spacing w:before="200"/>
        <w:rPr>
          <w:rFonts w:ascii="Times New Roman" w:hAnsi="Times New Roman" w:cs="Times New Roman"/>
          <w:b/>
          <w:color w:val="212121"/>
          <w:sz w:val="24"/>
          <w:szCs w:val="24"/>
        </w:rPr>
      </w:pPr>
    </w:p>
    <w:p w:rsidR="00D20446" w:rsidRDefault="00D20446" w:rsidP="00421E8E">
      <w:pPr>
        <w:shd w:val="clear" w:color="auto" w:fill="FFFFFF"/>
        <w:spacing w:before="200"/>
        <w:rPr>
          <w:rFonts w:ascii="Times New Roman" w:hAnsi="Times New Roman" w:cs="Times New Roman"/>
          <w:b/>
          <w:color w:val="212121"/>
          <w:sz w:val="24"/>
          <w:szCs w:val="24"/>
        </w:rPr>
      </w:pPr>
    </w:p>
    <w:p w:rsidR="00D20446" w:rsidRDefault="00D20446" w:rsidP="00421E8E">
      <w:pPr>
        <w:shd w:val="clear" w:color="auto" w:fill="FFFFFF"/>
        <w:spacing w:before="200"/>
        <w:rPr>
          <w:rFonts w:ascii="Times New Roman" w:hAnsi="Times New Roman" w:cs="Times New Roman"/>
          <w:b/>
          <w:color w:val="212121"/>
          <w:sz w:val="24"/>
          <w:szCs w:val="24"/>
        </w:rPr>
      </w:pPr>
    </w:p>
    <w:p w:rsidR="00D20446" w:rsidRDefault="00D20446" w:rsidP="00421E8E">
      <w:pPr>
        <w:shd w:val="clear" w:color="auto" w:fill="FFFFFF"/>
        <w:spacing w:before="200"/>
        <w:rPr>
          <w:rFonts w:ascii="Times New Roman" w:hAnsi="Times New Roman" w:cs="Times New Roman"/>
          <w:b/>
          <w:color w:val="212121"/>
          <w:sz w:val="24"/>
          <w:szCs w:val="24"/>
        </w:rPr>
      </w:pPr>
    </w:p>
    <w:p w:rsidR="00FA7856" w:rsidRPr="00360664" w:rsidRDefault="00455EB5" w:rsidP="00421E8E">
      <w:pPr>
        <w:shd w:val="clear" w:color="auto" w:fill="FFFFFF"/>
        <w:spacing w:before="200"/>
        <w:rPr>
          <w:rFonts w:ascii="Times New Roman" w:hAnsi="Times New Roman" w:cs="Times New Roman"/>
          <w:b/>
          <w:color w:val="212121"/>
          <w:sz w:val="24"/>
          <w:szCs w:val="24"/>
        </w:rPr>
      </w:pPr>
      <w:r>
        <w:rPr>
          <w:rFonts w:ascii="Times New Roman" w:hAnsi="Times New Roman" w:cs="Times New Roman"/>
          <w:b/>
          <w:color w:val="212121"/>
          <w:sz w:val="24"/>
          <w:szCs w:val="24"/>
        </w:rPr>
        <w:t>2.4.4</w:t>
      </w:r>
      <w:r w:rsidR="00FA7856" w:rsidRPr="00360664">
        <w:rPr>
          <w:rFonts w:ascii="Times New Roman" w:hAnsi="Times New Roman" w:cs="Times New Roman"/>
          <w:b/>
          <w:color w:val="212121"/>
          <w:sz w:val="24"/>
          <w:szCs w:val="24"/>
        </w:rPr>
        <w:t xml:space="preserve"> IL-33 – ИМУНОТЕРАПИЈА</w:t>
      </w:r>
    </w:p>
    <w:p w:rsidR="0012693B" w:rsidRDefault="0012693B" w:rsidP="00421E8E">
      <w:pPr>
        <w:shd w:val="clear" w:color="auto" w:fill="FFFFFF"/>
        <w:spacing w:before="200"/>
        <w:rPr>
          <w:rFonts w:ascii="Times New Roman" w:hAnsi="Times New Roman" w:cs="Times New Roman"/>
          <w:color w:val="212121"/>
          <w:sz w:val="24"/>
          <w:szCs w:val="24"/>
          <w:lang w:val="en-US"/>
        </w:rPr>
      </w:pPr>
    </w:p>
    <w:p w:rsidR="00FA7856" w:rsidRPr="009D695C" w:rsidRDefault="00FA7856" w:rsidP="00421E8E">
      <w:pPr>
        <w:shd w:val="clear" w:color="auto" w:fill="FFFFFF"/>
        <w:spacing w:before="200"/>
        <w:rPr>
          <w:rFonts w:ascii="Times New Roman" w:hAnsi="Times New Roman" w:cs="Times New Roman"/>
          <w:color w:val="212121"/>
          <w:sz w:val="24"/>
          <w:szCs w:val="24"/>
        </w:rPr>
      </w:pPr>
      <w:r w:rsidRPr="009D695C">
        <w:rPr>
          <w:rFonts w:ascii="Times New Roman" w:hAnsi="Times New Roman" w:cs="Times New Roman"/>
          <w:color w:val="212121"/>
          <w:sz w:val="24"/>
          <w:szCs w:val="24"/>
        </w:rPr>
        <w:t xml:space="preserve">Имајќи ја во предвид способноста на имунолошкиот систем да ги препознае и деструира малигните клетки, во последните декади е зголемен интересот за искористување на цитокините во борба против малигните заболувања. </w:t>
      </w:r>
      <w:r w:rsidRPr="009D695C">
        <w:rPr>
          <w:rFonts w:ascii="Times New Roman" w:hAnsi="Times New Roman" w:cs="Times New Roman"/>
          <w:color w:val="212121"/>
          <w:sz w:val="24"/>
          <w:szCs w:val="24"/>
          <w:shd w:val="clear" w:color="auto" w:fill="FFFFFF"/>
        </w:rPr>
        <w:t xml:space="preserve">Цитокините индуцираат имуно-супресивни хуморални фактори и пролиферција на имуносупресивни клетки без константно да индуцираат тумор-специфичен имунолошки одговор. </w:t>
      </w:r>
      <w:r w:rsidRPr="009D695C">
        <w:rPr>
          <w:rFonts w:ascii="Times New Roman" w:hAnsi="Times New Roman" w:cs="Times New Roman"/>
          <w:color w:val="212121"/>
          <w:sz w:val="24"/>
          <w:szCs w:val="24"/>
        </w:rPr>
        <w:t xml:space="preserve">Тие немаат директно влијание на туморските клетки, но иницираат имунолошки одговор, неспецифичен за конкретниот тумор, односно, истиот го аугментираат. </w:t>
      </w:r>
    </w:p>
    <w:p w:rsidR="00FA7856" w:rsidRPr="009D695C" w:rsidRDefault="00FA7856" w:rsidP="00421E8E">
      <w:pPr>
        <w:shd w:val="clear" w:color="auto" w:fill="FFFFFF"/>
        <w:spacing w:before="200"/>
        <w:rPr>
          <w:rFonts w:ascii="Times New Roman" w:hAnsi="Times New Roman" w:cs="Times New Roman"/>
          <w:color w:val="212121"/>
          <w:sz w:val="24"/>
          <w:szCs w:val="24"/>
        </w:rPr>
      </w:pPr>
      <w:r w:rsidRPr="009D695C">
        <w:rPr>
          <w:rFonts w:ascii="Times New Roman" w:hAnsi="Times New Roman" w:cs="Times New Roman"/>
          <w:color w:val="212121"/>
          <w:sz w:val="24"/>
          <w:szCs w:val="24"/>
          <w:shd w:val="clear" w:color="auto" w:fill="FFFFFF"/>
        </w:rPr>
        <w:t xml:space="preserve">Сепак цитокините, како монотерапија, не ја имаат оправдано ефикасноста која ја имаат докажано во претклиничките експерименти.Тоа најмногу се однесува на несаканите ефекти кои што ги предизвикуваат, а се примарно зависни од дозата. </w:t>
      </w:r>
      <w:r w:rsidRPr="009D695C">
        <w:rPr>
          <w:rFonts w:ascii="Times New Roman" w:hAnsi="Times New Roman" w:cs="Times New Roman"/>
          <w:color w:val="212121"/>
          <w:sz w:val="24"/>
          <w:szCs w:val="24"/>
        </w:rPr>
        <w:t>Ординирање на цитокини парентерално, во високи дози, за да се постигне ефективна интратуморска концентрација, предизвикува системска токсичност, односно хипотензија, акутна бубрежна инсуфициенција, респираторен дистрес и невропсихијтриски симптоми.</w:t>
      </w:r>
    </w:p>
    <w:p w:rsidR="00FA7856" w:rsidRPr="009D695C" w:rsidRDefault="00FA7856" w:rsidP="00421E8E">
      <w:pPr>
        <w:shd w:val="clear" w:color="auto" w:fill="FFFFFF"/>
        <w:spacing w:before="200"/>
        <w:rPr>
          <w:rFonts w:ascii="Times New Roman" w:hAnsi="Times New Roman" w:cs="Times New Roman"/>
          <w:color w:val="212121"/>
          <w:sz w:val="24"/>
          <w:szCs w:val="24"/>
          <w:shd w:val="clear" w:color="auto" w:fill="FFFFFF"/>
        </w:rPr>
      </w:pPr>
      <w:r w:rsidRPr="009D695C">
        <w:rPr>
          <w:rFonts w:ascii="Times New Roman" w:hAnsi="Times New Roman" w:cs="Times New Roman"/>
          <w:sz w:val="24"/>
          <w:szCs w:val="24"/>
        </w:rPr>
        <w:t>Игнорирањето на имунолошкиот одговор, толеранцијата и активната имуносупресија во туморското микроопкружување, се уште претставуваат најголема пречка за успешна имунотерапија. Како што кажавме погоре, недостаток на IL-33 во епителот, придонесува кон редукција на способноста на туморот за прогресија, додека експресија на IL-33 во стромата на туморот води кон имуносупресија. Така што, можно е, доколку се импрегнираат туморските клетки со високи нивоа на активна форма на IL-33 да се надмине состојбата на имуносупресија во туморското микроопкружување, како на пр. со онколитична имунотерапија, adoptive T cell терапија и терапија која што се базира на фузија помеѓу антитела и цитокини (</w:t>
      </w:r>
      <w:r w:rsidR="000C5278">
        <w:rPr>
          <w:rFonts w:ascii="Times New Roman" w:hAnsi="Times New Roman" w:cs="Times New Roman"/>
          <w:sz w:val="24"/>
          <w:szCs w:val="24"/>
          <w:lang w:val="en-US"/>
        </w:rPr>
        <w:t>360,361,362</w:t>
      </w:r>
      <w:r w:rsidRPr="009D695C">
        <w:rPr>
          <w:rFonts w:ascii="Times New Roman" w:hAnsi="Times New Roman" w:cs="Times New Roman"/>
          <w:sz w:val="24"/>
          <w:szCs w:val="24"/>
        </w:rPr>
        <w:t>). Исто така, редукција на системските нивоа на IL-33, со користење на анти-IL-33 антитела, би можело да се користи како имунотерапија, преку постигнување на ефикасност против малигните заболувања. IL-33 може да се смета за потенцијален адјувант</w:t>
      </w:r>
      <w:r w:rsidR="00966748">
        <w:rPr>
          <w:rFonts w:ascii="Times New Roman" w:hAnsi="Times New Roman" w:cs="Times New Roman"/>
          <w:sz w:val="24"/>
          <w:szCs w:val="24"/>
        </w:rPr>
        <w:t xml:space="preserve"> на имунотерапијата со вакцини, имајќи во предвид дека в</w:t>
      </w:r>
      <w:r w:rsidRPr="009D695C">
        <w:rPr>
          <w:rFonts w:ascii="Times New Roman" w:hAnsi="Times New Roman" w:cs="Times New Roman"/>
          <w:sz w:val="24"/>
          <w:szCs w:val="24"/>
        </w:rPr>
        <w:t xml:space="preserve">иралниот векторски систем кој се употребува во имунотерапија, за да ги испорача антигените поврзани со туморот на дендритичните клетки за </w:t>
      </w:r>
      <w:r w:rsidR="00231839">
        <w:rPr>
          <w:rFonts w:ascii="Times New Roman" w:hAnsi="Times New Roman" w:cs="Times New Roman"/>
          <w:sz w:val="24"/>
          <w:szCs w:val="24"/>
        </w:rPr>
        <w:t>ефикасна подготовка на CD8+</w:t>
      </w:r>
      <w:r w:rsidRPr="009D695C">
        <w:rPr>
          <w:rFonts w:ascii="Times New Roman" w:hAnsi="Times New Roman" w:cs="Times New Roman"/>
          <w:sz w:val="24"/>
          <w:szCs w:val="24"/>
        </w:rPr>
        <w:t>T лимфоцитите да дејствуваат</w:t>
      </w:r>
      <w:r w:rsidR="00651A0C">
        <w:rPr>
          <w:rFonts w:ascii="Times New Roman" w:hAnsi="Times New Roman" w:cs="Times New Roman"/>
          <w:sz w:val="24"/>
          <w:szCs w:val="24"/>
        </w:rPr>
        <w:t>,</w:t>
      </w:r>
      <w:r w:rsidRPr="009D695C">
        <w:rPr>
          <w:rFonts w:ascii="Times New Roman" w:hAnsi="Times New Roman" w:cs="Times New Roman"/>
          <w:sz w:val="24"/>
          <w:szCs w:val="24"/>
        </w:rPr>
        <w:t xml:space="preserve"> зависи од трансмисијата н</w:t>
      </w:r>
      <w:r w:rsidR="000C5278">
        <w:rPr>
          <w:rFonts w:ascii="Times New Roman" w:hAnsi="Times New Roman" w:cs="Times New Roman"/>
          <w:sz w:val="24"/>
          <w:szCs w:val="24"/>
        </w:rPr>
        <w:t>а сигнали регулирана од IL-33</w:t>
      </w:r>
      <w:r w:rsidR="000C5278">
        <w:rPr>
          <w:rFonts w:ascii="Times New Roman" w:hAnsi="Times New Roman" w:cs="Times New Roman"/>
          <w:sz w:val="24"/>
          <w:szCs w:val="24"/>
          <w:lang w:val="en-US"/>
        </w:rPr>
        <w:t xml:space="preserve"> </w:t>
      </w:r>
      <w:r w:rsidR="000C5278">
        <w:rPr>
          <w:rFonts w:ascii="Times New Roman" w:hAnsi="Times New Roman" w:cs="Times New Roman"/>
          <w:sz w:val="24"/>
          <w:szCs w:val="24"/>
        </w:rPr>
        <w:t>(3</w:t>
      </w:r>
      <w:r w:rsidR="000C5278">
        <w:rPr>
          <w:rFonts w:ascii="Times New Roman" w:hAnsi="Times New Roman" w:cs="Times New Roman"/>
          <w:sz w:val="24"/>
          <w:szCs w:val="24"/>
          <w:lang w:val="en-US"/>
        </w:rPr>
        <w:t>6</w:t>
      </w:r>
      <w:r w:rsidRPr="009D695C">
        <w:rPr>
          <w:rFonts w:ascii="Times New Roman" w:hAnsi="Times New Roman" w:cs="Times New Roman"/>
          <w:sz w:val="24"/>
          <w:szCs w:val="24"/>
        </w:rPr>
        <w:t xml:space="preserve">3). </w:t>
      </w:r>
      <w:r w:rsidR="00966748">
        <w:rPr>
          <w:rStyle w:val="y2iqfc"/>
          <w:rFonts w:ascii="Times New Roman" w:hAnsi="Times New Roman" w:cs="Times New Roman"/>
          <w:color w:val="202124"/>
          <w:sz w:val="24"/>
          <w:szCs w:val="24"/>
        </w:rPr>
        <w:t>П</w:t>
      </w:r>
      <w:r w:rsidRPr="009D695C">
        <w:rPr>
          <w:rStyle w:val="y2iqfc"/>
          <w:rFonts w:ascii="Times New Roman" w:hAnsi="Times New Roman" w:cs="Times New Roman"/>
          <w:color w:val="202124"/>
          <w:sz w:val="24"/>
          <w:szCs w:val="24"/>
        </w:rPr>
        <w:t>окачени нивоа на IL-33 во патолошки услови, вклучувајќи ја тука и имунотерапијата во третман на малигни болести, вирусната инфекција и во состојби на отфрлање на графт од страна на домаќинот, сугерира дека прекумерната експресија на IL-33 може да предизвика моќен анти-тумор имунолошки одговор</w:t>
      </w:r>
      <w:r w:rsidR="000C5278">
        <w:rPr>
          <w:rStyle w:val="y2iqfc"/>
          <w:rFonts w:ascii="Times New Roman" w:hAnsi="Times New Roman" w:cs="Times New Roman"/>
          <w:color w:val="202124"/>
          <w:sz w:val="24"/>
          <w:szCs w:val="24"/>
          <w:lang w:val="en-US"/>
        </w:rPr>
        <w:t xml:space="preserve"> </w:t>
      </w:r>
      <w:r w:rsidR="000C5278">
        <w:rPr>
          <w:rStyle w:val="y2iqfc"/>
          <w:rFonts w:ascii="Times New Roman" w:hAnsi="Times New Roman" w:cs="Times New Roman"/>
          <w:color w:val="202124"/>
          <w:sz w:val="24"/>
          <w:szCs w:val="24"/>
        </w:rPr>
        <w:t>(3</w:t>
      </w:r>
      <w:r w:rsidR="000C5278">
        <w:rPr>
          <w:rStyle w:val="y2iqfc"/>
          <w:rFonts w:ascii="Times New Roman" w:hAnsi="Times New Roman" w:cs="Times New Roman"/>
          <w:color w:val="202124"/>
          <w:sz w:val="24"/>
          <w:szCs w:val="24"/>
          <w:lang w:val="en-US"/>
        </w:rPr>
        <w:t>54</w:t>
      </w:r>
      <w:r w:rsidRPr="009D695C">
        <w:rPr>
          <w:rStyle w:val="y2iqfc"/>
          <w:rFonts w:ascii="Times New Roman" w:hAnsi="Times New Roman" w:cs="Times New Roman"/>
          <w:color w:val="202124"/>
          <w:sz w:val="24"/>
          <w:szCs w:val="24"/>
        </w:rPr>
        <w:t>).</w:t>
      </w:r>
      <w:r w:rsidRPr="009D695C">
        <w:rPr>
          <w:rFonts w:ascii="Times New Roman" w:hAnsi="Times New Roman" w:cs="Times New Roman"/>
          <w:sz w:val="24"/>
          <w:szCs w:val="24"/>
        </w:rPr>
        <w:t xml:space="preserve"> </w:t>
      </w:r>
      <w:r w:rsidRPr="009D695C">
        <w:rPr>
          <w:rStyle w:val="y2iqfc"/>
          <w:rFonts w:ascii="Times New Roman" w:hAnsi="Times New Roman" w:cs="Times New Roman"/>
          <w:color w:val="202124"/>
          <w:sz w:val="24"/>
          <w:szCs w:val="24"/>
        </w:rPr>
        <w:t>Во моментов недостасуваат експериментални докази кои јасно би укажале на тоа колку овој пристап е соодветен за клинички истражувања врз човечки субјект.</w:t>
      </w:r>
    </w:p>
    <w:p w:rsidR="0012693B" w:rsidRDefault="00FA7856" w:rsidP="00421E8E">
      <w:pPr>
        <w:shd w:val="clear" w:color="auto" w:fill="FFFFFF"/>
        <w:rPr>
          <w:rFonts w:ascii="Times New Roman" w:hAnsi="Times New Roman" w:cs="Times New Roman"/>
          <w:sz w:val="24"/>
          <w:szCs w:val="24"/>
          <w:lang w:val="en-US"/>
        </w:rPr>
      </w:pPr>
      <w:r w:rsidRPr="009D695C">
        <w:rPr>
          <w:rFonts w:ascii="Times New Roman" w:hAnsi="Times New Roman" w:cs="Times New Roman"/>
          <w:sz w:val="24"/>
          <w:szCs w:val="24"/>
        </w:rPr>
        <w:t>Друг стратешки пристап базиран на имуносупресивната протуморска улога на IL-33 претставува и блок</w:t>
      </w:r>
      <w:r w:rsidR="000C5278">
        <w:rPr>
          <w:rFonts w:ascii="Times New Roman" w:hAnsi="Times New Roman" w:cs="Times New Roman"/>
          <w:sz w:val="24"/>
          <w:szCs w:val="24"/>
        </w:rPr>
        <w:t>ирање на неговата активност (</w:t>
      </w:r>
      <w:r w:rsidR="000C5278">
        <w:rPr>
          <w:rFonts w:ascii="Times New Roman" w:hAnsi="Times New Roman" w:cs="Times New Roman"/>
          <w:sz w:val="24"/>
          <w:szCs w:val="24"/>
          <w:lang w:val="en-US"/>
        </w:rPr>
        <w:t>130,</w:t>
      </w:r>
      <w:r w:rsidR="000C5278">
        <w:rPr>
          <w:rFonts w:ascii="Times New Roman" w:hAnsi="Times New Roman" w:cs="Times New Roman"/>
          <w:sz w:val="24"/>
          <w:szCs w:val="24"/>
        </w:rPr>
        <w:t>3</w:t>
      </w:r>
      <w:r w:rsidR="000C5278">
        <w:rPr>
          <w:rFonts w:ascii="Times New Roman" w:hAnsi="Times New Roman" w:cs="Times New Roman"/>
          <w:sz w:val="24"/>
          <w:szCs w:val="24"/>
          <w:lang w:val="en-US"/>
        </w:rPr>
        <w:t>64</w:t>
      </w:r>
      <w:r w:rsidRPr="009D695C">
        <w:rPr>
          <w:rFonts w:ascii="Times New Roman" w:hAnsi="Times New Roman" w:cs="Times New Roman"/>
          <w:sz w:val="24"/>
          <w:szCs w:val="24"/>
        </w:rPr>
        <w:t>,</w:t>
      </w:r>
      <w:r w:rsidR="000C5278">
        <w:rPr>
          <w:rFonts w:ascii="Times New Roman" w:hAnsi="Times New Roman" w:cs="Times New Roman"/>
          <w:sz w:val="24"/>
          <w:szCs w:val="24"/>
          <w:lang w:val="en-US"/>
        </w:rPr>
        <w:t>365</w:t>
      </w:r>
      <w:r w:rsidRPr="009D695C">
        <w:rPr>
          <w:rFonts w:ascii="Times New Roman" w:hAnsi="Times New Roman" w:cs="Times New Roman"/>
          <w:sz w:val="24"/>
          <w:szCs w:val="24"/>
        </w:rPr>
        <w:t xml:space="preserve">). Алтернативен пристап може да биде на пр., употребата на други методи на имунотерапија во комбинација со блокада на IL-33. </w:t>
      </w:r>
    </w:p>
    <w:p w:rsidR="0012693B" w:rsidRDefault="0012693B" w:rsidP="00421E8E">
      <w:pPr>
        <w:shd w:val="clear" w:color="auto" w:fill="FFFFFF"/>
        <w:rPr>
          <w:rFonts w:ascii="Times New Roman" w:hAnsi="Times New Roman" w:cs="Times New Roman"/>
          <w:sz w:val="24"/>
          <w:szCs w:val="24"/>
          <w:lang w:val="en-US"/>
        </w:rPr>
      </w:pPr>
    </w:p>
    <w:p w:rsidR="0012693B" w:rsidRDefault="0012693B" w:rsidP="00421E8E">
      <w:pPr>
        <w:shd w:val="clear" w:color="auto" w:fill="FFFFFF"/>
        <w:rPr>
          <w:rFonts w:ascii="Times New Roman" w:hAnsi="Times New Roman" w:cs="Times New Roman"/>
          <w:sz w:val="24"/>
          <w:szCs w:val="24"/>
          <w:lang w:val="en-US"/>
        </w:rPr>
      </w:pPr>
    </w:p>
    <w:p w:rsidR="0012693B" w:rsidRDefault="0012693B" w:rsidP="00421E8E">
      <w:pPr>
        <w:shd w:val="clear" w:color="auto" w:fill="FFFFFF"/>
        <w:rPr>
          <w:rFonts w:ascii="Times New Roman" w:hAnsi="Times New Roman" w:cs="Times New Roman"/>
          <w:sz w:val="24"/>
          <w:szCs w:val="24"/>
          <w:lang w:val="en-US"/>
        </w:rPr>
      </w:pPr>
    </w:p>
    <w:p w:rsidR="0012693B" w:rsidRDefault="0012693B" w:rsidP="00421E8E">
      <w:pPr>
        <w:shd w:val="clear" w:color="auto" w:fill="FFFFFF"/>
        <w:rPr>
          <w:rFonts w:ascii="Times New Roman" w:hAnsi="Times New Roman" w:cs="Times New Roman"/>
          <w:sz w:val="24"/>
          <w:szCs w:val="24"/>
          <w:lang w:val="en-US"/>
        </w:rPr>
      </w:pPr>
    </w:p>
    <w:p w:rsidR="0012693B" w:rsidRDefault="0012693B" w:rsidP="00421E8E">
      <w:pPr>
        <w:shd w:val="clear" w:color="auto" w:fill="FFFFFF"/>
        <w:rPr>
          <w:rFonts w:ascii="Times New Roman" w:hAnsi="Times New Roman" w:cs="Times New Roman"/>
          <w:sz w:val="24"/>
          <w:szCs w:val="24"/>
          <w:lang w:val="en-US"/>
        </w:rPr>
      </w:pPr>
    </w:p>
    <w:p w:rsidR="00966748" w:rsidRPr="009D695C" w:rsidRDefault="00FA7856" w:rsidP="00421E8E">
      <w:pPr>
        <w:shd w:val="clear" w:color="auto" w:fill="FFFFFF"/>
        <w:rPr>
          <w:rFonts w:ascii="Times New Roman" w:hAnsi="Times New Roman" w:cs="Times New Roman"/>
          <w:sz w:val="24"/>
          <w:szCs w:val="24"/>
        </w:rPr>
      </w:pPr>
      <w:r w:rsidRPr="009D695C">
        <w:rPr>
          <w:rFonts w:ascii="Times New Roman" w:hAnsi="Times New Roman" w:cs="Times New Roman"/>
          <w:sz w:val="24"/>
          <w:szCs w:val="24"/>
        </w:rPr>
        <w:t xml:space="preserve">Блокадата на истиот, врши супресија на инфламацијата во стромата на туморот и го подобрува одговорот на имунолошкиот систем во споредба со традиционалните методи. </w:t>
      </w:r>
    </w:p>
    <w:p w:rsidR="00FA7856" w:rsidRPr="009D695C" w:rsidRDefault="0012693B" w:rsidP="00421E8E">
      <w:pPr>
        <w:rPr>
          <w:rFonts w:ascii="Times New Roman" w:hAnsi="Times New Roman" w:cs="Times New Roman"/>
          <w:color w:val="212121"/>
          <w:sz w:val="24"/>
          <w:szCs w:val="24"/>
          <w:shd w:val="clear" w:color="auto" w:fill="FFFFFF"/>
        </w:rPr>
      </w:pPr>
      <w:r>
        <w:rPr>
          <w:rFonts w:ascii="Times New Roman" w:hAnsi="Times New Roman" w:cs="Times New Roman"/>
          <w:sz w:val="24"/>
          <w:szCs w:val="24"/>
        </w:rPr>
        <w:t>П</w:t>
      </w:r>
      <w:r w:rsidR="00FA7856" w:rsidRPr="009D695C">
        <w:rPr>
          <w:rFonts w:ascii="Times New Roman" w:hAnsi="Times New Roman" w:cs="Times New Roman"/>
          <w:sz w:val="24"/>
          <w:szCs w:val="24"/>
        </w:rPr>
        <w:t xml:space="preserve">ри акутна инфламација </w:t>
      </w:r>
      <w:r w:rsidR="00231839">
        <w:rPr>
          <w:rFonts w:ascii="Times New Roman" w:hAnsi="Times New Roman" w:cs="Times New Roman"/>
          <w:sz w:val="24"/>
          <w:szCs w:val="24"/>
        </w:rPr>
        <w:t xml:space="preserve">на кожата и дебелото црево, </w:t>
      </w:r>
      <w:r w:rsidR="00FA7856" w:rsidRPr="009D695C">
        <w:rPr>
          <w:rFonts w:ascii="Times New Roman" w:hAnsi="Times New Roman" w:cs="Times New Roman"/>
          <w:sz w:val="24"/>
          <w:szCs w:val="24"/>
        </w:rPr>
        <w:t>докажано е дека под влијание на регулаторните Т клетки, IL-33 претставува тригер за транзиција на хронична инфламација во тумор-супресивниот имуонолошки одговор, што значи дека блокада на IL-33/Treg оската може да биде атрактивна стратегија за терапија и превенција на хронични инфламаторни заболувања кои прет</w:t>
      </w:r>
      <w:r w:rsidR="00243804">
        <w:rPr>
          <w:rFonts w:ascii="Times New Roman" w:hAnsi="Times New Roman" w:cs="Times New Roman"/>
          <w:sz w:val="24"/>
          <w:szCs w:val="24"/>
        </w:rPr>
        <w:t>ходат на малигни заболувања (3</w:t>
      </w:r>
      <w:r w:rsidR="00243804">
        <w:rPr>
          <w:rFonts w:ascii="Times New Roman" w:hAnsi="Times New Roman" w:cs="Times New Roman"/>
          <w:sz w:val="24"/>
          <w:szCs w:val="24"/>
          <w:lang w:val="en-US"/>
        </w:rPr>
        <w:t>66</w:t>
      </w:r>
      <w:r w:rsidR="00FA7856" w:rsidRPr="009D695C">
        <w:rPr>
          <w:rFonts w:ascii="Times New Roman" w:hAnsi="Times New Roman" w:cs="Times New Roman"/>
          <w:sz w:val="24"/>
          <w:szCs w:val="24"/>
        </w:rPr>
        <w:t xml:space="preserve">). </w:t>
      </w:r>
    </w:p>
    <w:p w:rsidR="00FA7856" w:rsidRPr="009D695C" w:rsidRDefault="00FA7856" w:rsidP="00421E8E">
      <w:pPr>
        <w:pStyle w:val="NormalWeb"/>
        <w:spacing w:before="200" w:beforeAutospacing="0" w:after="0" w:afterAutospacing="0"/>
        <w:rPr>
          <w:rFonts w:ascii="Times New Roman" w:hAnsi="Times New Roman" w:cs="Times New Roman"/>
          <w:color w:val="212121"/>
          <w:shd w:val="clear" w:color="auto" w:fill="FFFFFF"/>
          <w:lang w:val="mk-MK"/>
        </w:rPr>
      </w:pPr>
      <w:r w:rsidRPr="009D695C">
        <w:rPr>
          <w:rFonts w:ascii="Times New Roman" w:hAnsi="Times New Roman" w:cs="Times New Roman"/>
          <w:lang w:val="mk-MK"/>
        </w:rPr>
        <w:t>Се уште остануваат неодговорени прашањата во врска со регулаторните елементи, биоактивните форми и состојбата на хомеостаза</w:t>
      </w:r>
      <w:r w:rsidRPr="00A926CA">
        <w:rPr>
          <w:rFonts w:ascii="Times New Roman" w:hAnsi="Times New Roman" w:cs="Times New Roman"/>
          <w:lang w:val="ru-RU"/>
        </w:rPr>
        <w:t xml:space="preserve"> </w:t>
      </w:r>
      <w:r w:rsidRPr="009D695C">
        <w:rPr>
          <w:rFonts w:ascii="Times New Roman" w:hAnsi="Times New Roman" w:cs="Times New Roman"/>
          <w:lang w:val="mk-MK"/>
        </w:rPr>
        <w:t xml:space="preserve">на </w:t>
      </w:r>
      <w:r w:rsidRPr="009D695C">
        <w:rPr>
          <w:rFonts w:ascii="Times New Roman" w:hAnsi="Times New Roman" w:cs="Times New Roman"/>
        </w:rPr>
        <w:t>IL</w:t>
      </w:r>
      <w:r w:rsidRPr="00A926CA">
        <w:rPr>
          <w:rFonts w:ascii="Times New Roman" w:hAnsi="Times New Roman" w:cs="Times New Roman"/>
          <w:lang w:val="ru-RU"/>
        </w:rPr>
        <w:t>-33</w:t>
      </w:r>
      <w:r w:rsidRPr="009D695C">
        <w:rPr>
          <w:rFonts w:ascii="Times New Roman" w:hAnsi="Times New Roman" w:cs="Times New Roman"/>
          <w:lang w:val="mk-MK"/>
        </w:rPr>
        <w:t xml:space="preserve">. Во терапевтски цели засега, направени се клинички истражувања со антитела насочени кон </w:t>
      </w:r>
      <w:r w:rsidRPr="009D695C">
        <w:rPr>
          <w:rFonts w:ascii="Times New Roman" w:hAnsi="Times New Roman" w:cs="Times New Roman"/>
        </w:rPr>
        <w:t>IL</w:t>
      </w:r>
      <w:r w:rsidRPr="00A926CA">
        <w:rPr>
          <w:rFonts w:ascii="Times New Roman" w:hAnsi="Times New Roman" w:cs="Times New Roman"/>
          <w:lang w:val="ru-RU"/>
        </w:rPr>
        <w:t>-33</w:t>
      </w:r>
      <w:r w:rsidRPr="009D695C">
        <w:rPr>
          <w:rFonts w:ascii="Times New Roman" w:hAnsi="Times New Roman" w:cs="Times New Roman"/>
          <w:lang w:val="mk-MK"/>
        </w:rPr>
        <w:t xml:space="preserve"> само кај пациенти со астма. Примената на овој интерлеукин за терапија на други заболувања е неизвесна, заради тоа што поттикнува мноштво имунолошки одговори, но и продукција на малигни клетки.</w:t>
      </w:r>
      <w:r w:rsidRPr="00A926CA">
        <w:rPr>
          <w:rFonts w:ascii="Times New Roman" w:hAnsi="Times New Roman" w:cs="Times New Roman"/>
          <w:color w:val="212121"/>
          <w:shd w:val="clear" w:color="auto" w:fill="FFFFFF"/>
          <w:lang w:val="ru-RU"/>
        </w:rPr>
        <w:t xml:space="preserve"> </w:t>
      </w:r>
      <w:r w:rsidRPr="009D695C">
        <w:rPr>
          <w:rFonts w:ascii="Times New Roman" w:hAnsi="Times New Roman" w:cs="Times New Roman"/>
          <w:lang w:val="mk-MK"/>
        </w:rPr>
        <w:t xml:space="preserve">Со оглед на фактот </w:t>
      </w:r>
      <w:r w:rsidRPr="009D695C">
        <w:rPr>
          <w:rFonts w:ascii="Times New Roman" w:hAnsi="Times New Roman" w:cs="Times New Roman"/>
        </w:rPr>
        <w:t>IL</w:t>
      </w:r>
      <w:r w:rsidRPr="00A926CA">
        <w:rPr>
          <w:rFonts w:ascii="Times New Roman" w:hAnsi="Times New Roman" w:cs="Times New Roman"/>
          <w:lang w:val="ru-RU"/>
        </w:rPr>
        <w:t xml:space="preserve">-33 </w:t>
      </w:r>
      <w:r w:rsidRPr="009D695C">
        <w:rPr>
          <w:rFonts w:ascii="Times New Roman" w:hAnsi="Times New Roman" w:cs="Times New Roman"/>
          <w:lang w:val="mk-MK"/>
        </w:rPr>
        <w:t xml:space="preserve">има двојна улога кога станува збор за имунолошки одговор на организмот, се уште не е познато во кој правец би го насочил имунолошкиот одговор, односно конечниот исход на болеста </w:t>
      </w:r>
      <w:r w:rsidRPr="00A926CA">
        <w:rPr>
          <w:rFonts w:ascii="Times New Roman" w:hAnsi="Times New Roman" w:cs="Times New Roman"/>
          <w:lang w:val="ru-RU"/>
        </w:rPr>
        <w:t>(3</w:t>
      </w:r>
      <w:r w:rsidR="00243804">
        <w:rPr>
          <w:rFonts w:ascii="Times New Roman" w:hAnsi="Times New Roman" w:cs="Times New Roman"/>
        </w:rPr>
        <w:t>67</w:t>
      </w:r>
      <w:r w:rsidRPr="00A926CA">
        <w:rPr>
          <w:rFonts w:ascii="Times New Roman" w:hAnsi="Times New Roman" w:cs="Times New Roman"/>
          <w:lang w:val="ru-RU"/>
        </w:rPr>
        <w:t>)</w:t>
      </w:r>
      <w:r w:rsidRPr="009D695C">
        <w:rPr>
          <w:rFonts w:ascii="Times New Roman" w:hAnsi="Times New Roman" w:cs="Times New Roman"/>
          <w:lang w:val="mk-MK"/>
        </w:rPr>
        <w:t xml:space="preserve">. Неопходно е да се анализираат сите карактеристики на имунолошкиот одговор на туморот, за да може имунотерапијата адекватно и прецизно да се синхронизира со потенцијалните флуктуации на имунитетот </w:t>
      </w:r>
      <w:r w:rsidRPr="00A926CA">
        <w:rPr>
          <w:rFonts w:ascii="Times New Roman" w:hAnsi="Times New Roman" w:cs="Times New Roman"/>
          <w:lang w:val="ru-RU"/>
        </w:rPr>
        <w:t>(3</w:t>
      </w:r>
      <w:r w:rsidR="00243804">
        <w:rPr>
          <w:rFonts w:ascii="Times New Roman" w:hAnsi="Times New Roman" w:cs="Times New Roman"/>
        </w:rPr>
        <w:t>68</w:t>
      </w:r>
      <w:r w:rsidRPr="00A926CA">
        <w:rPr>
          <w:rFonts w:ascii="Times New Roman" w:hAnsi="Times New Roman" w:cs="Times New Roman"/>
          <w:lang w:val="ru-RU"/>
        </w:rPr>
        <w:t>)</w:t>
      </w:r>
      <w:r w:rsidRPr="009D695C">
        <w:rPr>
          <w:rFonts w:ascii="Times New Roman" w:hAnsi="Times New Roman" w:cs="Times New Roman"/>
          <w:lang w:val="mk-MK"/>
        </w:rPr>
        <w:t>.</w:t>
      </w:r>
      <w:r w:rsidRPr="00A926CA">
        <w:rPr>
          <w:rFonts w:ascii="Times New Roman" w:hAnsi="Times New Roman" w:cs="Times New Roman"/>
          <w:lang w:val="ru-RU"/>
        </w:rPr>
        <w:t xml:space="preserve"> </w:t>
      </w:r>
    </w:p>
    <w:p w:rsidR="003E1717" w:rsidRPr="003E1717" w:rsidRDefault="00651A0C" w:rsidP="00421E8E">
      <w:pPr>
        <w:shd w:val="clear" w:color="auto" w:fill="FFFFFF"/>
        <w:rPr>
          <w:rFonts w:ascii="Times New Roman" w:hAnsi="Times New Roman" w:cs="Times New Roman"/>
          <w:sz w:val="24"/>
          <w:szCs w:val="24"/>
        </w:rPr>
      </w:pPr>
      <w:r>
        <w:rPr>
          <w:rFonts w:ascii="Times New Roman" w:hAnsi="Times New Roman" w:cs="Times New Roman"/>
          <w:sz w:val="24"/>
          <w:szCs w:val="24"/>
        </w:rPr>
        <w:t>И</w:t>
      </w:r>
      <w:r w:rsidR="003E1717" w:rsidRPr="003E1717">
        <w:rPr>
          <w:rFonts w:ascii="Times New Roman" w:hAnsi="Times New Roman" w:cs="Times New Roman"/>
          <w:sz w:val="24"/>
          <w:szCs w:val="24"/>
        </w:rPr>
        <w:t xml:space="preserve">нфламаторната и имунолошка реакција, одговорни за иницијација и понатамошен раст на туморот, се истите тие кои го онеспособуваат имуниот систем да дејствува деструктивно врз него </w:t>
      </w:r>
    </w:p>
    <w:p w:rsidR="003E1717" w:rsidRPr="003E1717" w:rsidRDefault="003E1717" w:rsidP="00421E8E">
      <w:pPr>
        <w:shd w:val="clear" w:color="auto" w:fill="FFFFFF"/>
        <w:rPr>
          <w:rFonts w:ascii="Times New Roman" w:hAnsi="Times New Roman" w:cs="Times New Roman"/>
          <w:sz w:val="24"/>
          <w:szCs w:val="24"/>
        </w:rPr>
      </w:pPr>
      <w:r w:rsidRPr="003E1717">
        <w:rPr>
          <w:rFonts w:ascii="Times New Roman" w:hAnsi="Times New Roman" w:cs="Times New Roman"/>
          <w:sz w:val="24"/>
          <w:szCs w:val="24"/>
        </w:rPr>
        <w:t>Канцер-специфична и хистолошки униформна, но независна каскада од цитокини лежи во основата на тесната поврзаност помеѓу стадиумот на малигната неоплазма со функционалната состојба на имунолошкиот систем и прогнозата на болеста. Неутрализацијата токму на оваа каскада, претставува цел на терапијата не само на туморите на саливарните жлезди, туку и на останати неоплазми воопшто.</w:t>
      </w: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D20446" w:rsidRDefault="00D20446" w:rsidP="00421E8E">
      <w:pPr>
        <w:shd w:val="clear" w:color="auto" w:fill="FFFFFF"/>
        <w:spacing w:before="400"/>
        <w:outlineLvl w:val="0"/>
        <w:rPr>
          <w:rFonts w:ascii="Times New Roman" w:hAnsi="Times New Roman" w:cs="Times New Roman"/>
          <w:b/>
          <w:sz w:val="24"/>
          <w:szCs w:val="24"/>
        </w:rPr>
      </w:pPr>
    </w:p>
    <w:p w:rsidR="0012693B" w:rsidRDefault="0012693B" w:rsidP="00421E8E">
      <w:pPr>
        <w:shd w:val="clear" w:color="auto" w:fill="FFFFFF"/>
        <w:spacing w:before="400"/>
        <w:outlineLvl w:val="0"/>
        <w:rPr>
          <w:rFonts w:ascii="Times New Roman" w:hAnsi="Times New Roman" w:cs="Times New Roman"/>
          <w:b/>
          <w:sz w:val="24"/>
          <w:szCs w:val="24"/>
        </w:rPr>
      </w:pPr>
    </w:p>
    <w:p w:rsidR="00B9792F" w:rsidRPr="00360664" w:rsidRDefault="00DE3D83" w:rsidP="00421E8E">
      <w:pPr>
        <w:shd w:val="clear" w:color="auto" w:fill="FFFFFF"/>
        <w:spacing w:before="400"/>
        <w:outlineLvl w:val="0"/>
        <w:rPr>
          <w:rFonts w:ascii="Times New Roman" w:hAnsi="Times New Roman" w:cs="Times New Roman"/>
          <w:b/>
          <w:sz w:val="24"/>
          <w:szCs w:val="24"/>
        </w:rPr>
      </w:pPr>
      <w:r w:rsidRPr="00360664">
        <w:rPr>
          <w:rFonts w:ascii="Times New Roman" w:hAnsi="Times New Roman" w:cs="Times New Roman"/>
          <w:b/>
          <w:sz w:val="24"/>
          <w:szCs w:val="24"/>
        </w:rPr>
        <w:t>2.5</w:t>
      </w:r>
      <w:r w:rsidR="00F8237A" w:rsidRPr="00360664">
        <w:rPr>
          <w:rFonts w:ascii="Times New Roman" w:hAnsi="Times New Roman" w:cs="Times New Roman"/>
          <w:b/>
          <w:sz w:val="24"/>
          <w:szCs w:val="24"/>
        </w:rPr>
        <w:t>. САЛИВАОМИКА</w:t>
      </w:r>
    </w:p>
    <w:p w:rsidR="00F8237A" w:rsidRPr="00A926CA" w:rsidRDefault="00F8237A" w:rsidP="00421E8E">
      <w:pPr>
        <w:pStyle w:val="NormalWeb"/>
        <w:spacing w:before="200" w:beforeAutospacing="0" w:after="0" w:afterAutospacing="0"/>
        <w:rPr>
          <w:rFonts w:ascii="Times New Roman" w:hAnsi="Times New Roman" w:cs="Times New Roman"/>
          <w:lang w:val="ru-RU"/>
        </w:rPr>
      </w:pPr>
      <w:r w:rsidRPr="002E17F4">
        <w:rPr>
          <w:rFonts w:ascii="Times New Roman" w:hAnsi="Times New Roman" w:cs="Times New Roman"/>
          <w:color w:val="000000"/>
          <w:kern w:val="24"/>
          <w:lang w:val="mk-MK"/>
        </w:rPr>
        <w:t xml:space="preserve">Под терминот </w:t>
      </w:r>
      <w:r w:rsidRPr="00A926CA">
        <w:rPr>
          <w:rFonts w:ascii="Times New Roman" w:hAnsi="Times New Roman" w:cs="Times New Roman"/>
          <w:color w:val="000000"/>
          <w:kern w:val="24"/>
          <w:lang w:val="ru-RU"/>
        </w:rPr>
        <w:t xml:space="preserve">“ </w:t>
      </w:r>
      <w:r w:rsidRPr="002E17F4">
        <w:rPr>
          <w:rFonts w:ascii="Times New Roman" w:hAnsi="Times New Roman" w:cs="Times New Roman"/>
          <w:color w:val="000000"/>
          <w:kern w:val="24"/>
          <w:lang w:val="mk-MK"/>
        </w:rPr>
        <w:t xml:space="preserve">Саливаомика </w:t>
      </w:r>
      <w:r w:rsidRPr="00A926CA">
        <w:rPr>
          <w:rFonts w:ascii="Times New Roman" w:hAnsi="Times New Roman" w:cs="Times New Roman"/>
          <w:color w:val="000000"/>
          <w:kern w:val="24"/>
          <w:lang w:val="ru-RU"/>
        </w:rPr>
        <w:t xml:space="preserve">“ </w:t>
      </w:r>
      <w:r w:rsidRPr="002E17F4">
        <w:rPr>
          <w:rFonts w:ascii="Times New Roman" w:hAnsi="Times New Roman" w:cs="Times New Roman"/>
          <w:color w:val="000000"/>
          <w:kern w:val="24"/>
          <w:lang w:val="mk-MK"/>
        </w:rPr>
        <w:t xml:space="preserve">се подразбира широк спектар на технологии со кои се испитуваат различни видови на молекули кои што претставуваат составен дел на саливата: епигенетика (наука за метилација на гените), транскриптомика (проучување на </w:t>
      </w:r>
      <w:r w:rsidRPr="002E17F4">
        <w:rPr>
          <w:rFonts w:ascii="Times New Roman" w:hAnsi="Times New Roman" w:cs="Times New Roman"/>
          <w:color w:val="000000"/>
          <w:kern w:val="24"/>
        </w:rPr>
        <w:t>mRNA</w:t>
      </w:r>
      <w:r w:rsidRPr="00A926CA">
        <w:rPr>
          <w:rFonts w:ascii="Times New Roman" w:hAnsi="Times New Roman" w:cs="Times New Roman"/>
          <w:color w:val="000000"/>
          <w:kern w:val="24"/>
          <w:lang w:val="ru-RU"/>
        </w:rPr>
        <w:t xml:space="preserve">), </w:t>
      </w:r>
      <w:r w:rsidRPr="002E17F4">
        <w:rPr>
          <w:rFonts w:ascii="Times New Roman" w:hAnsi="Times New Roman" w:cs="Times New Roman"/>
          <w:color w:val="000000"/>
          <w:kern w:val="24"/>
          <w:lang w:val="mk-MK"/>
        </w:rPr>
        <w:t>микробиота (микробиологија) и метаболом (глобален сеопфатен преглед на метаболниот статус, кој обезбедува ново гледиште за патофизиолошките механизми на разни болести).</w:t>
      </w:r>
    </w:p>
    <w:p w:rsidR="00F8237A" w:rsidRPr="002E17F4" w:rsidRDefault="00F8237A" w:rsidP="00421E8E">
      <w:pPr>
        <w:spacing w:before="200"/>
        <w:rPr>
          <w:rFonts w:ascii="Times New Roman" w:hAnsi="Times New Roman" w:cs="Times New Roman"/>
          <w:sz w:val="24"/>
          <w:szCs w:val="24"/>
        </w:rPr>
      </w:pPr>
      <w:r w:rsidRPr="002E17F4">
        <w:rPr>
          <w:rFonts w:ascii="Times New Roman" w:hAnsi="Times New Roman" w:cs="Times New Roman"/>
          <w:sz w:val="24"/>
          <w:szCs w:val="24"/>
        </w:rPr>
        <w:t>Дијагностиката базирана на анализа на саливата претставува чекор напред во рамките на модерната персонализирана медицина, особено кога станува збор за скрининг, рана дијагноза, терапија, пост терапевтски миниторинг и прогноза на болеста. Саливарната дијагностика се карактеризира со бројни предности во споредба со дијагностиката базирана на собирање на серумс</w:t>
      </w:r>
      <w:r w:rsidR="00243804">
        <w:rPr>
          <w:rFonts w:ascii="Times New Roman" w:hAnsi="Times New Roman" w:cs="Times New Roman"/>
          <w:sz w:val="24"/>
          <w:szCs w:val="24"/>
        </w:rPr>
        <w:t>ки, односно ткивен примерок (3</w:t>
      </w:r>
      <w:r w:rsidR="00243804">
        <w:rPr>
          <w:rFonts w:ascii="Times New Roman" w:hAnsi="Times New Roman" w:cs="Times New Roman"/>
          <w:sz w:val="24"/>
          <w:szCs w:val="24"/>
          <w:lang w:val="en-US"/>
        </w:rPr>
        <w:t>69</w:t>
      </w:r>
      <w:r w:rsidRPr="002E17F4">
        <w:rPr>
          <w:rFonts w:ascii="Times New Roman" w:hAnsi="Times New Roman" w:cs="Times New Roman"/>
          <w:sz w:val="24"/>
          <w:szCs w:val="24"/>
        </w:rPr>
        <w:t>). Освен што не претставува инвазивна процедура која што не бара голем напор од страна на пациентот, анализата на саливарни примероци исто така е релативно лесна процедура кога станува збор за начинот на собирање, трансфер и чување на примерокот. Веќе докажаната корелација помеѓу молекулите содржани во саливата и нивните серумски нивоа, како и поврзаноста со некои системски заболувања, придонесуваат, овој вид на дијагностика да биде во фокусот на дијагностичките и аналитички процедури на денешницата. Саливата претставува медиум, кој што освен содржината која што претставува продукт на секреција на големите и мали плунковни жлезди, содржи и гингивална течност, серум, дексвамирани епителни клетки, бактерии и нивни продукти, вируси и габи, остатоци од храна и други субцелуларни компоненти; своевиден комплексен микс од биохем</w:t>
      </w:r>
      <w:r w:rsidR="00243804">
        <w:rPr>
          <w:rFonts w:ascii="Times New Roman" w:hAnsi="Times New Roman" w:cs="Times New Roman"/>
          <w:sz w:val="24"/>
          <w:szCs w:val="24"/>
        </w:rPr>
        <w:t>иска и молекуларна содржина (3</w:t>
      </w:r>
      <w:r w:rsidR="00243804">
        <w:rPr>
          <w:rFonts w:ascii="Times New Roman" w:hAnsi="Times New Roman" w:cs="Times New Roman"/>
          <w:sz w:val="24"/>
          <w:szCs w:val="24"/>
          <w:lang w:val="en-US"/>
        </w:rPr>
        <w:t>69</w:t>
      </w:r>
      <w:r w:rsidR="00243804">
        <w:rPr>
          <w:rFonts w:ascii="Times New Roman" w:hAnsi="Times New Roman" w:cs="Times New Roman"/>
          <w:sz w:val="24"/>
          <w:szCs w:val="24"/>
        </w:rPr>
        <w:t>,3</w:t>
      </w:r>
      <w:r w:rsidR="00243804">
        <w:rPr>
          <w:rFonts w:ascii="Times New Roman" w:hAnsi="Times New Roman" w:cs="Times New Roman"/>
          <w:sz w:val="24"/>
          <w:szCs w:val="24"/>
          <w:lang w:val="en-US"/>
        </w:rPr>
        <w:t>70</w:t>
      </w:r>
      <w:r w:rsidRPr="002E17F4">
        <w:rPr>
          <w:rFonts w:ascii="Times New Roman" w:hAnsi="Times New Roman" w:cs="Times New Roman"/>
          <w:sz w:val="24"/>
          <w:szCs w:val="24"/>
        </w:rPr>
        <w:t>). 95% од составот на плунката претставува вода, потоа протеини (ензими, антитела, цитокини), хормони, минерали, нуклеински</w:t>
      </w:r>
      <w:r w:rsidR="00243804">
        <w:rPr>
          <w:rFonts w:ascii="Times New Roman" w:hAnsi="Times New Roman" w:cs="Times New Roman"/>
          <w:sz w:val="24"/>
          <w:szCs w:val="24"/>
        </w:rPr>
        <w:t xml:space="preserve"> киселини и електролити (3</w:t>
      </w:r>
      <w:r w:rsidR="00243804">
        <w:rPr>
          <w:rFonts w:ascii="Times New Roman" w:hAnsi="Times New Roman" w:cs="Times New Roman"/>
          <w:sz w:val="24"/>
          <w:szCs w:val="24"/>
          <w:lang w:val="en-US"/>
        </w:rPr>
        <w:t>71,372</w:t>
      </w:r>
      <w:r w:rsidRPr="002E17F4">
        <w:rPr>
          <w:rFonts w:ascii="Times New Roman" w:hAnsi="Times New Roman" w:cs="Times New Roman"/>
          <w:sz w:val="24"/>
          <w:szCs w:val="24"/>
        </w:rPr>
        <w:t xml:space="preserve">). </w:t>
      </w:r>
      <w:r w:rsidRPr="002E17F4">
        <w:rPr>
          <w:rFonts w:ascii="Times New Roman" w:hAnsi="Times New Roman" w:cs="Times New Roman"/>
          <w:color w:val="000000"/>
          <w:kern w:val="24"/>
          <w:sz w:val="24"/>
          <w:szCs w:val="24"/>
        </w:rPr>
        <w:t xml:space="preserve">Овие конституенти на различни начини навлегуваат во плунката: трансцелуларно, со пасивна интрацелуларна дифузија и активен транспорт, или пак преку екстрацелуларна ултрафилтрација во саливарните жлезди, односно сулкусната течност. </w:t>
      </w:r>
      <w:r w:rsidRPr="002E17F4">
        <w:rPr>
          <w:rFonts w:ascii="Times New Roman" w:hAnsi="Times New Roman" w:cs="Times New Roman"/>
          <w:color w:val="000000"/>
          <w:kern w:val="24"/>
          <w:sz w:val="24"/>
          <w:szCs w:val="24"/>
          <w:lang w:val="ru-RU"/>
        </w:rPr>
        <w:t xml:space="preserve">Околу 27% од протеините на плунката се совпаѓаат со тие на крвната плазма </w:t>
      </w:r>
      <w:r w:rsidR="00243804">
        <w:rPr>
          <w:rFonts w:ascii="Times New Roman" w:hAnsi="Times New Roman" w:cs="Times New Roman"/>
          <w:color w:val="000000"/>
          <w:kern w:val="24"/>
          <w:sz w:val="24"/>
          <w:szCs w:val="24"/>
        </w:rPr>
        <w:t>(</w:t>
      </w:r>
      <w:r w:rsidR="00243804">
        <w:rPr>
          <w:rFonts w:ascii="Times New Roman" w:hAnsi="Times New Roman" w:cs="Times New Roman"/>
          <w:color w:val="000000"/>
          <w:kern w:val="24"/>
          <w:sz w:val="24"/>
          <w:szCs w:val="24"/>
          <w:lang w:val="en-US"/>
        </w:rPr>
        <w:t>373</w:t>
      </w:r>
      <w:r w:rsidRPr="002E17F4">
        <w:rPr>
          <w:rFonts w:ascii="Times New Roman" w:hAnsi="Times New Roman" w:cs="Times New Roman"/>
          <w:color w:val="000000"/>
          <w:kern w:val="24"/>
          <w:sz w:val="24"/>
          <w:szCs w:val="24"/>
        </w:rPr>
        <w:t>). Исто така, плунката содржи помалку инхибиторни супстанции и комплекси з</w:t>
      </w:r>
      <w:r w:rsidR="00243804">
        <w:rPr>
          <w:rFonts w:ascii="Times New Roman" w:hAnsi="Times New Roman" w:cs="Times New Roman"/>
          <w:color w:val="000000"/>
          <w:kern w:val="24"/>
          <w:sz w:val="24"/>
          <w:szCs w:val="24"/>
        </w:rPr>
        <w:t>а разлика од крвната плазма (</w:t>
      </w:r>
      <w:r w:rsidR="00243804">
        <w:rPr>
          <w:rFonts w:ascii="Times New Roman" w:hAnsi="Times New Roman" w:cs="Times New Roman"/>
          <w:color w:val="000000"/>
          <w:kern w:val="24"/>
          <w:sz w:val="24"/>
          <w:szCs w:val="24"/>
          <w:lang w:val="en-US"/>
        </w:rPr>
        <w:t>374</w:t>
      </w:r>
      <w:r w:rsidRPr="002E17F4">
        <w:rPr>
          <w:rFonts w:ascii="Times New Roman" w:hAnsi="Times New Roman" w:cs="Times New Roman"/>
          <w:color w:val="000000"/>
          <w:kern w:val="24"/>
          <w:sz w:val="24"/>
          <w:szCs w:val="24"/>
        </w:rPr>
        <w:t>).</w:t>
      </w:r>
      <w:r w:rsidRPr="002E17F4">
        <w:rPr>
          <w:rFonts w:ascii="Times New Roman" w:hAnsi="Times New Roman" w:cs="Times New Roman"/>
          <w:sz w:val="24"/>
          <w:szCs w:val="24"/>
        </w:rPr>
        <w:t xml:space="preserve"> Начинот на кој што се зема примерокот од салива, времето на земање и типот на салива (стимулирана или не стимулирана), претставуваат важни аспекти кои влијаат на конечниот резултат. Полот, возраста, начинот на исхрана, оралната хигиена, имаат големо влијание врз составот на плунката, причина повеќе за стандардизирање на собир</w:t>
      </w:r>
      <w:r w:rsidR="00243804">
        <w:rPr>
          <w:rFonts w:ascii="Times New Roman" w:hAnsi="Times New Roman" w:cs="Times New Roman"/>
          <w:sz w:val="24"/>
          <w:szCs w:val="24"/>
        </w:rPr>
        <w:t>ање на саливарниот примерок (</w:t>
      </w:r>
      <w:r w:rsidR="00243804">
        <w:rPr>
          <w:rFonts w:ascii="Times New Roman" w:hAnsi="Times New Roman" w:cs="Times New Roman"/>
          <w:sz w:val="24"/>
          <w:szCs w:val="24"/>
          <w:lang w:val="en-US"/>
        </w:rPr>
        <w:t>375</w:t>
      </w:r>
      <w:r w:rsidRPr="002E17F4">
        <w:rPr>
          <w:rFonts w:ascii="Times New Roman" w:hAnsi="Times New Roman" w:cs="Times New Roman"/>
          <w:sz w:val="24"/>
          <w:szCs w:val="24"/>
        </w:rPr>
        <w:t xml:space="preserve">). </w:t>
      </w:r>
      <w:r w:rsidRPr="002E17F4">
        <w:rPr>
          <w:rFonts w:ascii="Times New Roman" w:hAnsi="Times New Roman" w:cs="Times New Roman"/>
          <w:color w:val="000000"/>
          <w:kern w:val="24"/>
          <w:sz w:val="24"/>
          <w:szCs w:val="24"/>
        </w:rPr>
        <w:t>Истражувачите кои работат со саливарни биомаркери, честопати се соочуваат со некои дилеми:</w:t>
      </w:r>
    </w:p>
    <w:p w:rsidR="00F8237A" w:rsidRPr="002E17F4" w:rsidRDefault="00F8237A" w:rsidP="00421E8E">
      <w:pPr>
        <w:pStyle w:val="ListParagraph"/>
        <w:numPr>
          <w:ilvl w:val="0"/>
          <w:numId w:val="29"/>
        </w:numPr>
        <w:spacing w:after="160"/>
        <w:contextualSpacing/>
        <w:rPr>
          <w:rFonts w:ascii="Times New Roman" w:hAnsi="Times New Roman" w:cs="Times New Roman"/>
          <w:sz w:val="24"/>
          <w:szCs w:val="24"/>
        </w:rPr>
      </w:pPr>
      <w:r w:rsidRPr="002E17F4">
        <w:rPr>
          <w:rFonts w:ascii="Times New Roman" w:hAnsi="Times New Roman" w:cs="Times New Roman"/>
          <w:color w:val="000000"/>
          <w:kern w:val="24"/>
          <w:sz w:val="24"/>
          <w:szCs w:val="24"/>
        </w:rPr>
        <w:t>дали саливарните нивоа се во корелација со оние во крвната плазма (некои студии покажуваат корелација, од друга страна пак IL-8, потенцијален биомаркер за орален пламоцелуларен карцином, може да покажува повисоки вредности</w:t>
      </w:r>
      <w:r w:rsidR="00243804">
        <w:rPr>
          <w:rFonts w:ascii="Times New Roman" w:hAnsi="Times New Roman" w:cs="Times New Roman"/>
          <w:color w:val="000000"/>
          <w:kern w:val="24"/>
          <w:sz w:val="24"/>
          <w:szCs w:val="24"/>
        </w:rPr>
        <w:t xml:space="preserve"> во плунка, одошто во серум (</w:t>
      </w:r>
      <w:r w:rsidR="00243804">
        <w:rPr>
          <w:rFonts w:ascii="Times New Roman" w:hAnsi="Times New Roman" w:cs="Times New Roman"/>
          <w:color w:val="000000"/>
          <w:kern w:val="24"/>
          <w:sz w:val="24"/>
          <w:szCs w:val="24"/>
          <w:lang w:val="en-US"/>
        </w:rPr>
        <w:t>376</w:t>
      </w:r>
      <w:r w:rsidRPr="002E17F4">
        <w:rPr>
          <w:rFonts w:ascii="Times New Roman" w:hAnsi="Times New Roman" w:cs="Times New Roman"/>
          <w:color w:val="000000"/>
          <w:kern w:val="24"/>
          <w:sz w:val="24"/>
          <w:szCs w:val="24"/>
        </w:rPr>
        <w:t>).</w:t>
      </w:r>
    </w:p>
    <w:p w:rsidR="00D20446" w:rsidRPr="00D20446" w:rsidRDefault="00F8237A" w:rsidP="00421E8E">
      <w:pPr>
        <w:pStyle w:val="ListParagraph"/>
        <w:numPr>
          <w:ilvl w:val="0"/>
          <w:numId w:val="29"/>
        </w:numPr>
        <w:spacing w:after="160"/>
        <w:contextualSpacing/>
        <w:rPr>
          <w:rFonts w:ascii="Times New Roman" w:hAnsi="Times New Roman" w:cs="Times New Roman"/>
          <w:sz w:val="24"/>
          <w:szCs w:val="24"/>
        </w:rPr>
      </w:pPr>
      <w:r w:rsidRPr="002E17F4">
        <w:rPr>
          <w:rFonts w:ascii="Times New Roman" w:hAnsi="Times New Roman" w:cs="Times New Roman"/>
          <w:color w:val="000000"/>
          <w:kern w:val="24"/>
          <w:sz w:val="24"/>
          <w:szCs w:val="24"/>
        </w:rPr>
        <w:t xml:space="preserve">можност за варијација на нивоата на испитуваните биомаркери помеѓу болни и здрави индивидуи. </w:t>
      </w:r>
    </w:p>
    <w:p w:rsidR="00D20446" w:rsidRPr="00D20446" w:rsidRDefault="00D20446" w:rsidP="00D20446">
      <w:pPr>
        <w:pStyle w:val="ListParagraph"/>
        <w:spacing w:after="160"/>
        <w:contextualSpacing/>
        <w:rPr>
          <w:rFonts w:ascii="Times New Roman" w:hAnsi="Times New Roman" w:cs="Times New Roman"/>
          <w:sz w:val="24"/>
          <w:szCs w:val="24"/>
        </w:rPr>
      </w:pPr>
    </w:p>
    <w:p w:rsidR="00D20446" w:rsidRPr="00D20446" w:rsidRDefault="00D20446" w:rsidP="00D20446">
      <w:pPr>
        <w:spacing w:after="160"/>
        <w:ind w:left="360"/>
        <w:contextualSpacing/>
        <w:rPr>
          <w:rFonts w:ascii="Times New Roman" w:hAnsi="Times New Roman" w:cs="Times New Roman"/>
          <w:sz w:val="24"/>
          <w:szCs w:val="24"/>
        </w:rPr>
      </w:pPr>
    </w:p>
    <w:p w:rsidR="00D20446" w:rsidRPr="00D20446" w:rsidRDefault="00D20446" w:rsidP="00D20446">
      <w:pPr>
        <w:spacing w:after="160"/>
        <w:ind w:left="360"/>
        <w:contextualSpacing/>
        <w:rPr>
          <w:rFonts w:ascii="Times New Roman" w:hAnsi="Times New Roman" w:cs="Times New Roman"/>
          <w:sz w:val="24"/>
          <w:szCs w:val="24"/>
        </w:rPr>
      </w:pPr>
    </w:p>
    <w:p w:rsidR="00D20446" w:rsidRDefault="00D20446" w:rsidP="00D20446">
      <w:pPr>
        <w:spacing w:after="160"/>
        <w:contextualSpacing/>
        <w:rPr>
          <w:rFonts w:ascii="Times New Roman" w:hAnsi="Times New Roman" w:cs="Times New Roman"/>
          <w:color w:val="000000"/>
          <w:kern w:val="24"/>
          <w:sz w:val="24"/>
          <w:szCs w:val="24"/>
        </w:rPr>
      </w:pPr>
    </w:p>
    <w:p w:rsidR="00D20446" w:rsidRDefault="00D20446" w:rsidP="00D20446">
      <w:pPr>
        <w:spacing w:after="160"/>
        <w:contextualSpacing/>
        <w:rPr>
          <w:rFonts w:ascii="Times New Roman" w:hAnsi="Times New Roman" w:cs="Times New Roman"/>
          <w:color w:val="000000"/>
          <w:kern w:val="24"/>
          <w:sz w:val="24"/>
          <w:szCs w:val="24"/>
        </w:rPr>
      </w:pPr>
    </w:p>
    <w:p w:rsidR="00F8237A" w:rsidRPr="00D20446" w:rsidRDefault="00F8237A" w:rsidP="00D20446">
      <w:pPr>
        <w:spacing w:after="160"/>
        <w:contextualSpacing/>
        <w:rPr>
          <w:rFonts w:ascii="Times New Roman" w:hAnsi="Times New Roman" w:cs="Times New Roman"/>
          <w:sz w:val="24"/>
          <w:szCs w:val="24"/>
        </w:rPr>
      </w:pPr>
      <w:r w:rsidRPr="00D20446">
        <w:rPr>
          <w:rFonts w:ascii="Times New Roman" w:hAnsi="Times New Roman" w:cs="Times New Roman"/>
          <w:color w:val="000000"/>
          <w:kern w:val="24"/>
          <w:sz w:val="24"/>
          <w:szCs w:val="24"/>
        </w:rPr>
        <w:t>Најдобар пример за ова е варијабилноста во референтните вредности на IL-6 и IL-8, кои што претставуваат потенцијални маркери за ора</w:t>
      </w:r>
      <w:r w:rsidR="00243804" w:rsidRPr="00D20446">
        <w:rPr>
          <w:rFonts w:ascii="Times New Roman" w:hAnsi="Times New Roman" w:cs="Times New Roman"/>
          <w:color w:val="000000"/>
          <w:kern w:val="24"/>
          <w:sz w:val="24"/>
          <w:szCs w:val="24"/>
        </w:rPr>
        <w:t>лен планоцелуларен карцином (</w:t>
      </w:r>
      <w:r w:rsidR="00243804" w:rsidRPr="00D20446">
        <w:rPr>
          <w:rFonts w:ascii="Times New Roman" w:hAnsi="Times New Roman" w:cs="Times New Roman"/>
          <w:color w:val="000000"/>
          <w:kern w:val="24"/>
          <w:sz w:val="24"/>
          <w:szCs w:val="24"/>
          <w:lang w:val="en-US"/>
        </w:rPr>
        <w:t>377</w:t>
      </w:r>
      <w:r w:rsidRPr="00D20446">
        <w:rPr>
          <w:rFonts w:ascii="Times New Roman" w:hAnsi="Times New Roman" w:cs="Times New Roman"/>
          <w:color w:val="000000"/>
          <w:kern w:val="24"/>
          <w:sz w:val="24"/>
          <w:szCs w:val="24"/>
        </w:rPr>
        <w:t>) врз основа на која не може да се постават вистински вредности кои би служеле како потенцијални индикатори. Саливарен IL-1beta, исто така бележи варијации во вредностите но со помал интензитет, во споредба со IL-6 и IL-8.</w:t>
      </w:r>
    </w:p>
    <w:p w:rsidR="00D20446" w:rsidRDefault="00D20446" w:rsidP="00D20446">
      <w:pPr>
        <w:spacing w:before="210" w:after="210"/>
        <w:contextualSpacing/>
        <w:rPr>
          <w:rFonts w:ascii="Times New Roman" w:hAnsi="Times New Roman" w:cs="Times New Roman"/>
          <w:color w:val="000000"/>
          <w:kern w:val="24"/>
          <w:sz w:val="24"/>
          <w:szCs w:val="24"/>
        </w:rPr>
      </w:pPr>
    </w:p>
    <w:p w:rsidR="00F8237A" w:rsidRPr="00D20446" w:rsidRDefault="00D20446" w:rsidP="00D20446">
      <w:pPr>
        <w:spacing w:before="210" w:after="210"/>
        <w:contextualSpacing/>
        <w:rPr>
          <w:rFonts w:ascii="Times New Roman" w:hAnsi="Times New Roman" w:cs="Times New Roman"/>
          <w:sz w:val="24"/>
          <w:szCs w:val="24"/>
        </w:rPr>
      </w:pPr>
      <w:r w:rsidRPr="00D20446">
        <w:rPr>
          <w:rFonts w:ascii="Times New Roman" w:hAnsi="Times New Roman" w:cs="Times New Roman"/>
          <w:color w:val="000000"/>
          <w:kern w:val="24"/>
          <w:sz w:val="24"/>
          <w:szCs w:val="24"/>
        </w:rPr>
        <w:t>В</w:t>
      </w:r>
      <w:r w:rsidR="00F8237A" w:rsidRPr="00D20446">
        <w:rPr>
          <w:rFonts w:ascii="Times New Roman" w:hAnsi="Times New Roman" w:cs="Times New Roman"/>
          <w:color w:val="000000"/>
          <w:kern w:val="24"/>
          <w:sz w:val="24"/>
          <w:szCs w:val="24"/>
        </w:rPr>
        <w:t>редностите  на саливарните маркери, исто така може да варираат во зависност од тоа во кој дел од денот е земен примерокот (повисоки вредности наутро, пониски навечер).Таквиот податок и не треба да изненадува имајќи го во предвид фактот дека и помало нарушување на циркадниот циклус директно влијае на продукцијата</w:t>
      </w:r>
      <w:r w:rsidR="00243804" w:rsidRPr="00D20446">
        <w:rPr>
          <w:rFonts w:ascii="Times New Roman" w:hAnsi="Times New Roman" w:cs="Times New Roman"/>
          <w:color w:val="000000"/>
          <w:kern w:val="24"/>
          <w:sz w:val="24"/>
          <w:szCs w:val="24"/>
        </w:rPr>
        <w:t xml:space="preserve"> на инфламаторните цитокини (</w:t>
      </w:r>
      <w:r w:rsidR="00243804" w:rsidRPr="00D20446">
        <w:rPr>
          <w:rFonts w:ascii="Times New Roman" w:hAnsi="Times New Roman" w:cs="Times New Roman"/>
          <w:color w:val="000000"/>
          <w:kern w:val="24"/>
          <w:sz w:val="24"/>
          <w:szCs w:val="24"/>
          <w:lang w:val="en-US"/>
        </w:rPr>
        <w:t>378</w:t>
      </w:r>
      <w:r w:rsidR="00F8237A" w:rsidRPr="00D20446">
        <w:rPr>
          <w:rFonts w:ascii="Times New Roman" w:hAnsi="Times New Roman" w:cs="Times New Roman"/>
          <w:color w:val="000000"/>
          <w:kern w:val="24"/>
          <w:sz w:val="24"/>
          <w:szCs w:val="24"/>
        </w:rPr>
        <w:t xml:space="preserve">). </w:t>
      </w:r>
      <w:r w:rsidR="00F8237A" w:rsidRPr="00D20446">
        <w:rPr>
          <w:rFonts w:ascii="Times New Roman" w:hAnsi="Times New Roman" w:cs="Times New Roman"/>
          <w:sz w:val="24"/>
          <w:szCs w:val="24"/>
        </w:rPr>
        <w:t xml:space="preserve">Заради дневно-ноќните варијации во секрецијата на плунка, најдобро време за собирање на примерок претставува помеѓу 8 и 10 часот наутро, односно </w:t>
      </w:r>
      <w:r w:rsidR="00243804" w:rsidRPr="00D20446">
        <w:rPr>
          <w:rFonts w:ascii="Times New Roman" w:hAnsi="Times New Roman" w:cs="Times New Roman"/>
          <w:sz w:val="24"/>
          <w:szCs w:val="24"/>
        </w:rPr>
        <w:t>12 часа по последниот оброк (</w:t>
      </w:r>
      <w:r w:rsidR="00243804" w:rsidRPr="00D20446">
        <w:rPr>
          <w:rFonts w:ascii="Times New Roman" w:hAnsi="Times New Roman" w:cs="Times New Roman"/>
          <w:sz w:val="24"/>
          <w:szCs w:val="24"/>
          <w:lang w:val="en-US"/>
        </w:rPr>
        <w:t>379</w:t>
      </w:r>
      <w:r w:rsidR="00F8237A" w:rsidRPr="00D20446">
        <w:rPr>
          <w:rFonts w:ascii="Times New Roman" w:hAnsi="Times New Roman" w:cs="Times New Roman"/>
          <w:sz w:val="24"/>
          <w:szCs w:val="24"/>
        </w:rPr>
        <w:t xml:space="preserve">). </w:t>
      </w:r>
    </w:p>
    <w:p w:rsidR="00F8237A" w:rsidRPr="002E17F4" w:rsidRDefault="00F8237A" w:rsidP="00421E8E">
      <w:pPr>
        <w:spacing w:before="210" w:after="210"/>
        <w:rPr>
          <w:rFonts w:ascii="Times New Roman" w:hAnsi="Times New Roman" w:cs="Times New Roman"/>
          <w:sz w:val="24"/>
          <w:szCs w:val="24"/>
        </w:rPr>
      </w:pPr>
      <w:r w:rsidRPr="002E17F4">
        <w:rPr>
          <w:rFonts w:ascii="Times New Roman" w:hAnsi="Times New Roman" w:cs="Times New Roman"/>
          <w:sz w:val="24"/>
          <w:szCs w:val="24"/>
        </w:rPr>
        <w:t>Иако концентрацијата на некои аналити во плунка кај повеќето патолошки состојби е пониска од истата во серум, тоа не е случај при орален планоцелуларен карцином, затоа што токму лезиите присутни во оралната празнина, се одговорни за специфични пром</w:t>
      </w:r>
      <w:r w:rsidR="00243804">
        <w:rPr>
          <w:rFonts w:ascii="Times New Roman" w:hAnsi="Times New Roman" w:cs="Times New Roman"/>
          <w:sz w:val="24"/>
          <w:szCs w:val="24"/>
        </w:rPr>
        <w:t>ени во составот на плунката (</w:t>
      </w:r>
      <w:r w:rsidR="00243804">
        <w:rPr>
          <w:rFonts w:ascii="Times New Roman" w:hAnsi="Times New Roman" w:cs="Times New Roman"/>
          <w:sz w:val="24"/>
          <w:szCs w:val="24"/>
          <w:lang w:val="en-US"/>
        </w:rPr>
        <w:t>380</w:t>
      </w:r>
      <w:r w:rsidRPr="002E17F4">
        <w:rPr>
          <w:rFonts w:ascii="Times New Roman" w:hAnsi="Times New Roman" w:cs="Times New Roman"/>
          <w:sz w:val="24"/>
          <w:szCs w:val="24"/>
        </w:rPr>
        <w:t>). Кај пациенти со орален планоцелуларен карцином, исто така, најдобро е да се анализира севкупна стимулирана салива, затоа што концентрацијата на неопходните аналити</w:t>
      </w:r>
      <w:r w:rsidR="00243804">
        <w:rPr>
          <w:rFonts w:ascii="Times New Roman" w:hAnsi="Times New Roman" w:cs="Times New Roman"/>
          <w:sz w:val="24"/>
          <w:szCs w:val="24"/>
        </w:rPr>
        <w:t xml:space="preserve"> е по репрезентативна (</w:t>
      </w:r>
      <w:r w:rsidR="00243804">
        <w:rPr>
          <w:rFonts w:ascii="Times New Roman" w:hAnsi="Times New Roman" w:cs="Times New Roman"/>
          <w:sz w:val="24"/>
          <w:szCs w:val="24"/>
          <w:lang w:val="en-US"/>
        </w:rPr>
        <w:t>379</w:t>
      </w:r>
      <w:r w:rsidRPr="002E17F4">
        <w:rPr>
          <w:rFonts w:ascii="Times New Roman" w:hAnsi="Times New Roman" w:cs="Times New Roman"/>
          <w:sz w:val="24"/>
          <w:szCs w:val="24"/>
        </w:rPr>
        <w:t>). За прецизно одредување на концентрацијата на биомаркер, времето на собирање на примерокот не треба д</w:t>
      </w:r>
      <w:r w:rsidR="00243804">
        <w:rPr>
          <w:rFonts w:ascii="Times New Roman" w:hAnsi="Times New Roman" w:cs="Times New Roman"/>
          <w:sz w:val="24"/>
          <w:szCs w:val="24"/>
        </w:rPr>
        <w:t>а биде поголемо од 5 минути (</w:t>
      </w:r>
      <w:r w:rsidR="00243804">
        <w:rPr>
          <w:rFonts w:ascii="Times New Roman" w:hAnsi="Times New Roman" w:cs="Times New Roman"/>
          <w:sz w:val="24"/>
          <w:szCs w:val="24"/>
          <w:lang w:val="en-US"/>
        </w:rPr>
        <w:t>380</w:t>
      </w:r>
      <w:r w:rsidRPr="002E17F4">
        <w:rPr>
          <w:rFonts w:ascii="Times New Roman" w:hAnsi="Times New Roman" w:cs="Times New Roman"/>
          <w:sz w:val="24"/>
          <w:szCs w:val="24"/>
        </w:rPr>
        <w:t>). Идентификацијата на биомаркер во салива зависи од биохемиските, генетски или клеточни промени, како резултат на кои што се манифестира некоја патолошка состојба. Идеален биомаркер би требало да биде високо специфичен и сензитивен за да овозможи прецизна дијагноза. Анализа на протеините во салива, обезбедува нови информации за корелација помеѓу саливарни протеини/пептиди, а особено цитокини и одредени патолошки состојби (</w:t>
      </w:r>
      <w:r w:rsidR="00243804">
        <w:rPr>
          <w:rFonts w:ascii="Times New Roman" w:hAnsi="Times New Roman" w:cs="Times New Roman"/>
          <w:sz w:val="24"/>
          <w:szCs w:val="24"/>
          <w:lang w:val="en-US"/>
        </w:rPr>
        <w:t>381,382,383,384)</w:t>
      </w:r>
      <w:r w:rsidR="00AD426A">
        <w:rPr>
          <w:rFonts w:ascii="Times New Roman" w:hAnsi="Times New Roman" w:cs="Times New Roman"/>
          <w:sz w:val="24"/>
          <w:szCs w:val="24"/>
          <w:lang w:val="en-US"/>
        </w:rPr>
        <w:t>.</w:t>
      </w:r>
      <w:r w:rsidRPr="002E17F4">
        <w:rPr>
          <w:rFonts w:ascii="Times New Roman" w:hAnsi="Times New Roman" w:cs="Times New Roman"/>
          <w:sz w:val="24"/>
          <w:szCs w:val="24"/>
        </w:rPr>
        <w:t xml:space="preserve"> Иако се анализирани бројни биомаркери, најголем аспект се става на цитокините заради нивната улога во интерцелуларна комуникација. Цитокините се одговорни за интеракција помеѓу клетките на локално ниво, имаат влијание како врз клетките чиј што продукт се тие самите, така и врз други видови, далечни или клетки лоцирани во непосредна близина. Различни цитокини може да имаат слична функција и карактеристики и да придонесуваат, таргет клетката да произведува уште поголемо количество на цитокини </w:t>
      </w:r>
      <w:r w:rsidR="00831268">
        <w:rPr>
          <w:rFonts w:ascii="Times New Roman" w:hAnsi="Times New Roman" w:cs="Times New Roman"/>
          <w:sz w:val="24"/>
          <w:szCs w:val="24"/>
        </w:rPr>
        <w:t>(</w:t>
      </w:r>
      <w:r w:rsidR="00AD426A">
        <w:rPr>
          <w:rFonts w:ascii="Times New Roman" w:hAnsi="Times New Roman" w:cs="Times New Roman"/>
          <w:sz w:val="24"/>
          <w:szCs w:val="24"/>
          <w:lang w:val="en-US"/>
        </w:rPr>
        <w:t>385,386</w:t>
      </w:r>
      <w:r w:rsidRPr="002E17F4">
        <w:rPr>
          <w:rFonts w:ascii="Times New Roman" w:hAnsi="Times New Roman" w:cs="Times New Roman"/>
          <w:sz w:val="24"/>
          <w:szCs w:val="24"/>
        </w:rPr>
        <w:t>). Но и покрај горе споменатото, анализа на саливата се уште не може да обезбеди прецизна информација за концентрацијата на специфични биомаркери која што би била потврда за прецизна дијагноза</w:t>
      </w:r>
      <w:r w:rsidR="000E4D8C">
        <w:rPr>
          <w:rFonts w:ascii="Times New Roman" w:hAnsi="Times New Roman" w:cs="Times New Roman"/>
          <w:sz w:val="24"/>
          <w:szCs w:val="24"/>
        </w:rPr>
        <w:t>.</w:t>
      </w:r>
    </w:p>
    <w:p w:rsidR="00D20446" w:rsidRDefault="00F8237A" w:rsidP="00421E8E">
      <w:pPr>
        <w:rPr>
          <w:rFonts w:ascii="Times New Roman" w:hAnsi="Times New Roman" w:cs="Times New Roman"/>
          <w:sz w:val="24"/>
          <w:szCs w:val="24"/>
        </w:rPr>
      </w:pPr>
      <w:r w:rsidRPr="002E17F4">
        <w:rPr>
          <w:rFonts w:ascii="Times New Roman" w:hAnsi="Times New Roman" w:cs="Times New Roman"/>
          <w:sz w:val="24"/>
          <w:szCs w:val="24"/>
        </w:rPr>
        <w:t>Анализа на саливарниот протеом, ветува нов пристап во дијагнозата, мониторингот  и прогнозата на одредени заболувања помеѓу кои п</w:t>
      </w:r>
      <w:r w:rsidR="00AD426A">
        <w:rPr>
          <w:rFonts w:ascii="Times New Roman" w:hAnsi="Times New Roman" w:cs="Times New Roman"/>
          <w:sz w:val="24"/>
          <w:szCs w:val="24"/>
        </w:rPr>
        <w:t>римарно е Сјогрен синдромот (</w:t>
      </w:r>
      <w:r w:rsidR="00AD426A">
        <w:rPr>
          <w:rFonts w:ascii="Times New Roman" w:hAnsi="Times New Roman" w:cs="Times New Roman"/>
          <w:sz w:val="24"/>
          <w:szCs w:val="24"/>
          <w:lang w:val="en-US"/>
        </w:rPr>
        <w:t>387</w:t>
      </w:r>
      <w:r w:rsidRPr="002E17F4">
        <w:rPr>
          <w:rFonts w:ascii="Times New Roman" w:hAnsi="Times New Roman" w:cs="Times New Roman"/>
          <w:sz w:val="24"/>
          <w:szCs w:val="24"/>
        </w:rPr>
        <w:t>). Саливарен протеом всушност претставува колекција од 1166 молекули во плунката која потекнува од паротидните, субмандибуларни, односно од сублингвал</w:t>
      </w:r>
      <w:r w:rsidR="00AD426A">
        <w:rPr>
          <w:rFonts w:ascii="Times New Roman" w:hAnsi="Times New Roman" w:cs="Times New Roman"/>
          <w:sz w:val="24"/>
          <w:szCs w:val="24"/>
        </w:rPr>
        <w:t>ните жлезди (</w:t>
      </w:r>
      <w:r w:rsidR="00AD426A">
        <w:rPr>
          <w:rFonts w:ascii="Times New Roman" w:hAnsi="Times New Roman" w:cs="Times New Roman"/>
          <w:sz w:val="24"/>
          <w:szCs w:val="24"/>
          <w:lang w:val="en-US"/>
        </w:rPr>
        <w:t>388</w:t>
      </w:r>
      <w:r w:rsidRPr="002E17F4">
        <w:rPr>
          <w:rFonts w:ascii="Times New Roman" w:hAnsi="Times New Roman" w:cs="Times New Roman"/>
          <w:sz w:val="24"/>
          <w:szCs w:val="24"/>
        </w:rPr>
        <w:t>). Истражувањата фокусирани на нивоата на саливарни цитокини кај пациенти со примарен Сјогрен синдром и истражувањето</w:t>
      </w:r>
      <w:r w:rsidR="00AD426A">
        <w:rPr>
          <w:rFonts w:ascii="Times New Roman" w:hAnsi="Times New Roman" w:cs="Times New Roman"/>
          <w:sz w:val="24"/>
          <w:szCs w:val="24"/>
        </w:rPr>
        <w:t xml:space="preserve"> на Ohyama  и соработниците (</w:t>
      </w:r>
      <w:r w:rsidR="00AD426A">
        <w:rPr>
          <w:rFonts w:ascii="Times New Roman" w:hAnsi="Times New Roman" w:cs="Times New Roman"/>
          <w:sz w:val="24"/>
          <w:szCs w:val="24"/>
          <w:lang w:val="en-US"/>
        </w:rPr>
        <w:t>389</w:t>
      </w:r>
      <w:r w:rsidRPr="002E17F4">
        <w:rPr>
          <w:rFonts w:ascii="Times New Roman" w:hAnsi="Times New Roman" w:cs="Times New Roman"/>
          <w:sz w:val="24"/>
          <w:szCs w:val="24"/>
        </w:rPr>
        <w:t xml:space="preserve">) резултираат со сигнификантно покачени вредности на Th1 тип на цитокини (IL-2, IL-6, IL-8, TNF, IFN- γ и IL-1α) и Th2 тип на цитокини (IL-10, IL-5 и IL-4) во салива кај пациентите со Сјогрен синдром. </w:t>
      </w:r>
    </w:p>
    <w:p w:rsidR="00D20446" w:rsidRDefault="00D20446" w:rsidP="00421E8E">
      <w:pPr>
        <w:rPr>
          <w:rFonts w:ascii="Times New Roman" w:hAnsi="Times New Roman" w:cs="Times New Roman"/>
          <w:sz w:val="24"/>
          <w:szCs w:val="24"/>
        </w:rPr>
      </w:pPr>
    </w:p>
    <w:p w:rsidR="00D20446" w:rsidRDefault="00D20446" w:rsidP="00421E8E">
      <w:pPr>
        <w:rPr>
          <w:rFonts w:ascii="Times New Roman" w:hAnsi="Times New Roman" w:cs="Times New Roman"/>
          <w:sz w:val="24"/>
          <w:szCs w:val="24"/>
        </w:rPr>
      </w:pPr>
    </w:p>
    <w:p w:rsidR="00D20446" w:rsidRDefault="00D20446" w:rsidP="00421E8E">
      <w:pPr>
        <w:rPr>
          <w:rFonts w:ascii="Times New Roman" w:hAnsi="Times New Roman" w:cs="Times New Roman"/>
          <w:sz w:val="24"/>
          <w:szCs w:val="24"/>
        </w:rPr>
      </w:pPr>
    </w:p>
    <w:p w:rsidR="00D20446" w:rsidRDefault="00D20446" w:rsidP="00421E8E">
      <w:pPr>
        <w:rPr>
          <w:rFonts w:ascii="Times New Roman" w:hAnsi="Times New Roman" w:cs="Times New Roman"/>
          <w:sz w:val="24"/>
          <w:szCs w:val="24"/>
        </w:rPr>
      </w:pPr>
    </w:p>
    <w:p w:rsidR="00D20446" w:rsidRDefault="00D20446" w:rsidP="00421E8E">
      <w:pPr>
        <w:rPr>
          <w:rFonts w:ascii="Times New Roman" w:hAnsi="Times New Roman" w:cs="Times New Roman"/>
          <w:sz w:val="24"/>
          <w:szCs w:val="24"/>
        </w:rPr>
      </w:pPr>
    </w:p>
    <w:p w:rsidR="00F8237A" w:rsidRPr="002E17F4" w:rsidRDefault="00F8237A" w:rsidP="00421E8E">
      <w:pPr>
        <w:rPr>
          <w:rFonts w:ascii="Times New Roman" w:hAnsi="Times New Roman" w:cs="Times New Roman"/>
          <w:sz w:val="24"/>
          <w:szCs w:val="24"/>
        </w:rPr>
      </w:pPr>
      <w:r w:rsidRPr="002E17F4">
        <w:rPr>
          <w:rFonts w:ascii="Times New Roman" w:hAnsi="Times New Roman" w:cs="Times New Roman"/>
          <w:sz w:val="24"/>
          <w:szCs w:val="24"/>
        </w:rPr>
        <w:t xml:space="preserve">Резултатите од истражувањата </w:t>
      </w:r>
      <w:r w:rsidR="00AD426A">
        <w:rPr>
          <w:rFonts w:ascii="Times New Roman" w:hAnsi="Times New Roman" w:cs="Times New Roman"/>
          <w:sz w:val="24"/>
          <w:szCs w:val="24"/>
        </w:rPr>
        <w:t>на Castaldo и соработниците (</w:t>
      </w:r>
      <w:r w:rsidR="00AD426A">
        <w:rPr>
          <w:rFonts w:ascii="Times New Roman" w:hAnsi="Times New Roman" w:cs="Times New Roman"/>
          <w:sz w:val="24"/>
          <w:szCs w:val="24"/>
          <w:lang w:val="en-US"/>
        </w:rPr>
        <w:t>382</w:t>
      </w:r>
      <w:r w:rsidRPr="002E17F4">
        <w:rPr>
          <w:rFonts w:ascii="Times New Roman" w:hAnsi="Times New Roman" w:cs="Times New Roman"/>
          <w:sz w:val="24"/>
          <w:szCs w:val="24"/>
        </w:rPr>
        <w:t xml:space="preserve">) укажуваат на покачени саливарни концентрации на IL-8, IL-6 и TNF-α кај пациенти со цистична фиброза на дишните патишта. </w:t>
      </w:r>
    </w:p>
    <w:p w:rsidR="00F8237A" w:rsidRPr="002E17F4" w:rsidRDefault="00F8237A" w:rsidP="00421E8E">
      <w:pPr>
        <w:rPr>
          <w:rFonts w:ascii="Times New Roman" w:hAnsi="Times New Roman" w:cs="Times New Roman"/>
          <w:sz w:val="24"/>
          <w:szCs w:val="24"/>
        </w:rPr>
      </w:pPr>
      <w:r w:rsidRPr="002E17F4">
        <w:rPr>
          <w:rFonts w:ascii="Times New Roman" w:hAnsi="Times New Roman" w:cs="Times New Roman"/>
          <w:sz w:val="24"/>
          <w:szCs w:val="24"/>
        </w:rPr>
        <w:t>Истражувањата реализирани од страна на Kosaka и соработниците укажуваат на изразена корелација помеѓу покачени саливарни вредности на interleukin (IL)-6 и tumor necrosis factor (TNF)-α и инциденцата на атеросклероза (410). Carvalho  и соработниците, исто така во своите истражувања укажуваат на високи саливарни вредности на цитокини кај пациенти со оралeн лихен планус во споредба со контролните групи (</w:t>
      </w:r>
      <w:r w:rsidR="00AD426A">
        <w:rPr>
          <w:rFonts w:ascii="Times New Roman" w:hAnsi="Times New Roman" w:cs="Times New Roman"/>
          <w:sz w:val="24"/>
          <w:szCs w:val="24"/>
          <w:lang w:val="en-US"/>
        </w:rPr>
        <w:t>383</w:t>
      </w:r>
      <w:r w:rsidRPr="002E17F4">
        <w:rPr>
          <w:rFonts w:ascii="Times New Roman" w:hAnsi="Times New Roman" w:cs="Times New Roman"/>
          <w:sz w:val="24"/>
          <w:szCs w:val="24"/>
        </w:rPr>
        <w:t xml:space="preserve">). </w:t>
      </w:r>
      <w:r w:rsidRPr="002E17F4">
        <w:rPr>
          <w:rFonts w:ascii="Times New Roman" w:hAnsi="Times New Roman" w:cs="Times New Roman"/>
          <w:color w:val="000000"/>
          <w:kern w:val="24"/>
          <w:sz w:val="24"/>
          <w:szCs w:val="24"/>
        </w:rPr>
        <w:t>Саливата може да се користи како медиум за колекција на потенцијални биомаркери и за следниве болести:автоимуни заболувања (Саркоидоза, Мултплекс Склероза), метаболни коскени заболувања, кардиоваскуларни заболувања, дентален кариес и периодонтални заболувања,  болести на адреналниот кортекс, генетски болести, бубрежни заболувања, вирусни, ба</w:t>
      </w:r>
      <w:r w:rsidR="00AD426A">
        <w:rPr>
          <w:rFonts w:ascii="Times New Roman" w:hAnsi="Times New Roman" w:cs="Times New Roman"/>
          <w:color w:val="000000"/>
          <w:kern w:val="24"/>
          <w:sz w:val="24"/>
          <w:szCs w:val="24"/>
        </w:rPr>
        <w:t>ктериски и габични инфекции (</w:t>
      </w:r>
      <w:r w:rsidR="00AD426A">
        <w:rPr>
          <w:rFonts w:ascii="Times New Roman" w:hAnsi="Times New Roman" w:cs="Times New Roman"/>
          <w:color w:val="000000"/>
          <w:kern w:val="24"/>
          <w:sz w:val="24"/>
          <w:szCs w:val="24"/>
          <w:lang w:val="en-US"/>
        </w:rPr>
        <w:t>390</w:t>
      </w:r>
      <w:r w:rsidRPr="002E17F4">
        <w:rPr>
          <w:rFonts w:ascii="Times New Roman" w:hAnsi="Times New Roman" w:cs="Times New Roman"/>
          <w:color w:val="000000"/>
          <w:kern w:val="24"/>
          <w:sz w:val="24"/>
          <w:szCs w:val="24"/>
        </w:rPr>
        <w:t>).</w:t>
      </w:r>
      <w:r w:rsidRPr="002E17F4">
        <w:rPr>
          <w:rFonts w:ascii="Times New Roman" w:hAnsi="Times New Roman" w:cs="Times New Roman"/>
          <w:sz w:val="24"/>
          <w:szCs w:val="24"/>
        </w:rPr>
        <w:t xml:space="preserve"> </w:t>
      </w:r>
    </w:p>
    <w:p w:rsidR="00F8237A" w:rsidRPr="002E17F4" w:rsidRDefault="00F8237A" w:rsidP="00421E8E">
      <w:pPr>
        <w:rPr>
          <w:rFonts w:ascii="Times New Roman" w:hAnsi="Times New Roman" w:cs="Times New Roman"/>
          <w:sz w:val="24"/>
          <w:szCs w:val="24"/>
        </w:rPr>
      </w:pPr>
      <w:r w:rsidRPr="002E17F4">
        <w:rPr>
          <w:rFonts w:ascii="Times New Roman" w:hAnsi="Times New Roman" w:cs="Times New Roman"/>
          <w:color w:val="000000"/>
          <w:kern w:val="24"/>
          <w:sz w:val="24"/>
          <w:szCs w:val="24"/>
        </w:rPr>
        <w:t xml:space="preserve">Саливарна дијагностика, исто така, бележи и голем напредок и во дијагностицирање на малигните заболувања, имајќи го во предвид фактот дека </w:t>
      </w:r>
      <w:r w:rsidRPr="002E17F4">
        <w:rPr>
          <w:rFonts w:ascii="Times New Roman" w:hAnsi="Times New Roman" w:cs="Times New Roman"/>
          <w:sz w:val="24"/>
          <w:szCs w:val="24"/>
        </w:rPr>
        <w:t>составот на плунката всушност ги отсликува туморските карактеристики, преку идентификаци</w:t>
      </w:r>
      <w:r w:rsidR="00AD426A">
        <w:rPr>
          <w:rFonts w:ascii="Times New Roman" w:hAnsi="Times New Roman" w:cs="Times New Roman"/>
          <w:sz w:val="24"/>
          <w:szCs w:val="24"/>
        </w:rPr>
        <w:t>ја на специфични биомаркери (</w:t>
      </w:r>
      <w:r w:rsidR="00AD426A">
        <w:rPr>
          <w:rFonts w:ascii="Times New Roman" w:hAnsi="Times New Roman" w:cs="Times New Roman"/>
          <w:sz w:val="24"/>
          <w:szCs w:val="24"/>
          <w:lang w:val="en-US"/>
        </w:rPr>
        <w:t>374</w:t>
      </w:r>
      <w:r w:rsidRPr="002E17F4">
        <w:rPr>
          <w:rFonts w:ascii="Times New Roman" w:hAnsi="Times New Roman" w:cs="Times New Roman"/>
          <w:sz w:val="24"/>
          <w:szCs w:val="24"/>
        </w:rPr>
        <w:t xml:space="preserve">). </w:t>
      </w:r>
      <w:r w:rsidRPr="002E17F4">
        <w:rPr>
          <w:rFonts w:ascii="Times New Roman" w:hAnsi="Times New Roman" w:cs="Times New Roman"/>
          <w:color w:val="000000"/>
          <w:kern w:val="24"/>
          <w:sz w:val="24"/>
          <w:szCs w:val="24"/>
        </w:rPr>
        <w:t>Вршени се екстензивни испитувања за потенцијални маркери во салива, на ниво на DNA, mRNA и протеинско ниво кај различни типови канцер: орален карцином, малигни неоплазми во регија на глава и врат, како и плунковните жлезди, оваријален карцином, како и карцином на дој</w:t>
      </w:r>
      <w:r w:rsidR="00AD426A">
        <w:rPr>
          <w:rFonts w:ascii="Times New Roman" w:hAnsi="Times New Roman" w:cs="Times New Roman"/>
          <w:color w:val="000000"/>
          <w:kern w:val="24"/>
          <w:sz w:val="24"/>
          <w:szCs w:val="24"/>
        </w:rPr>
        <w:t>ка, желудник и бели дробови (</w:t>
      </w:r>
      <w:r w:rsidR="00AD426A">
        <w:rPr>
          <w:rFonts w:ascii="Times New Roman" w:hAnsi="Times New Roman" w:cs="Times New Roman"/>
          <w:color w:val="000000"/>
          <w:kern w:val="24"/>
          <w:sz w:val="24"/>
          <w:szCs w:val="24"/>
          <w:lang w:val="en-US"/>
        </w:rPr>
        <w:t>391</w:t>
      </w:r>
      <w:r w:rsidRPr="002E17F4">
        <w:rPr>
          <w:rFonts w:ascii="Times New Roman" w:hAnsi="Times New Roman" w:cs="Times New Roman"/>
          <w:color w:val="000000"/>
          <w:kern w:val="24"/>
          <w:sz w:val="24"/>
          <w:szCs w:val="24"/>
        </w:rPr>
        <w:t xml:space="preserve">). </w:t>
      </w:r>
      <w:r w:rsidRPr="002E17F4">
        <w:rPr>
          <w:rFonts w:ascii="Times New Roman" w:hAnsi="Times New Roman" w:cs="Times New Roman"/>
          <w:sz w:val="24"/>
          <w:szCs w:val="24"/>
        </w:rPr>
        <w:t>Koizumi и соработниците, при анализа на вредности на саливарни цитокини, докажале п</w:t>
      </w:r>
      <w:r w:rsidR="00193D0D">
        <w:rPr>
          <w:rFonts w:ascii="Times New Roman" w:hAnsi="Times New Roman" w:cs="Times New Roman"/>
          <w:sz w:val="24"/>
          <w:szCs w:val="24"/>
        </w:rPr>
        <w:t>окачени нивоа на IL-6, IL-8, IL-10, IL-7</w:t>
      </w:r>
      <w:r w:rsidRPr="002E17F4">
        <w:rPr>
          <w:rFonts w:ascii="Times New Roman" w:hAnsi="Times New Roman" w:cs="Times New Roman"/>
          <w:sz w:val="24"/>
          <w:szCs w:val="24"/>
        </w:rPr>
        <w:t xml:space="preserve">, </w:t>
      </w:r>
      <w:r w:rsidR="00193D0D">
        <w:rPr>
          <w:rFonts w:ascii="Times New Roman" w:hAnsi="Times New Roman" w:cs="Times New Roman"/>
          <w:sz w:val="24"/>
          <w:szCs w:val="24"/>
        </w:rPr>
        <w:t>IL-1b</w:t>
      </w:r>
      <w:r w:rsidRPr="002E17F4">
        <w:rPr>
          <w:rFonts w:ascii="Times New Roman" w:hAnsi="Times New Roman" w:cs="Times New Roman"/>
          <w:sz w:val="24"/>
          <w:szCs w:val="24"/>
        </w:rPr>
        <w:t xml:space="preserve">, </w:t>
      </w:r>
      <w:r w:rsidR="00193D0D">
        <w:rPr>
          <w:rFonts w:ascii="Times New Roman" w:hAnsi="Times New Roman" w:cs="Times New Roman"/>
          <w:sz w:val="24"/>
          <w:szCs w:val="24"/>
        </w:rPr>
        <w:t>TNF</w:t>
      </w:r>
      <w:r w:rsidRPr="002E17F4">
        <w:rPr>
          <w:rFonts w:ascii="Times New Roman" w:hAnsi="Times New Roman" w:cs="Times New Roman"/>
          <w:sz w:val="24"/>
          <w:szCs w:val="24"/>
        </w:rPr>
        <w:t xml:space="preserve">, </w:t>
      </w:r>
      <w:r w:rsidR="00193D0D">
        <w:rPr>
          <w:rFonts w:ascii="Times New Roman" w:hAnsi="Times New Roman" w:cs="Times New Roman"/>
          <w:sz w:val="24"/>
          <w:szCs w:val="24"/>
          <w:lang w:val="en-US"/>
        </w:rPr>
        <w:t>PDGF-</w:t>
      </w:r>
      <w:r w:rsidRPr="002E17F4">
        <w:rPr>
          <w:rFonts w:ascii="Times New Roman" w:hAnsi="Times New Roman" w:cs="Times New Roman"/>
          <w:sz w:val="24"/>
          <w:szCs w:val="24"/>
        </w:rPr>
        <w:t xml:space="preserve">platelet-derived growth factor-BB, </w:t>
      </w:r>
      <w:r w:rsidR="00B21C21">
        <w:rPr>
          <w:rFonts w:ascii="Times New Roman" w:hAnsi="Times New Roman" w:cs="Times New Roman"/>
          <w:sz w:val="24"/>
          <w:szCs w:val="24"/>
        </w:rPr>
        <w:t>CXCL10, C</w:t>
      </w:r>
      <w:r w:rsidRPr="002E17F4">
        <w:rPr>
          <w:rFonts w:ascii="Times New Roman" w:hAnsi="Times New Roman" w:cs="Times New Roman"/>
          <w:sz w:val="24"/>
          <w:szCs w:val="24"/>
        </w:rPr>
        <w:t>C</w:t>
      </w:r>
      <w:r w:rsidR="00B21C21">
        <w:rPr>
          <w:rFonts w:ascii="Times New Roman" w:hAnsi="Times New Roman" w:cs="Times New Roman"/>
          <w:sz w:val="24"/>
          <w:szCs w:val="24"/>
          <w:lang w:val="en-US"/>
        </w:rPr>
        <w:t>L</w:t>
      </w:r>
      <w:r w:rsidR="00B21C21">
        <w:rPr>
          <w:rFonts w:ascii="Times New Roman" w:hAnsi="Times New Roman" w:cs="Times New Roman"/>
          <w:sz w:val="24"/>
          <w:szCs w:val="24"/>
        </w:rPr>
        <w:t>3 и CC</w:t>
      </w:r>
      <w:r w:rsidR="00B21C21">
        <w:rPr>
          <w:rFonts w:ascii="Times New Roman" w:hAnsi="Times New Roman" w:cs="Times New Roman"/>
          <w:sz w:val="24"/>
          <w:szCs w:val="24"/>
          <w:lang w:val="en-US"/>
        </w:rPr>
        <w:t>L</w:t>
      </w:r>
      <w:r w:rsidRPr="002E17F4">
        <w:rPr>
          <w:rFonts w:ascii="Times New Roman" w:hAnsi="Times New Roman" w:cs="Times New Roman"/>
          <w:sz w:val="24"/>
          <w:szCs w:val="24"/>
        </w:rPr>
        <w:t>4, кај пациенти со non-small cell</w:t>
      </w:r>
      <w:r w:rsidR="00AD426A">
        <w:rPr>
          <w:rFonts w:ascii="Times New Roman" w:hAnsi="Times New Roman" w:cs="Times New Roman"/>
          <w:sz w:val="24"/>
          <w:szCs w:val="24"/>
        </w:rPr>
        <w:t xml:space="preserve"> карцином на белите дробови (</w:t>
      </w:r>
      <w:r w:rsidR="00AD426A">
        <w:rPr>
          <w:rFonts w:ascii="Times New Roman" w:hAnsi="Times New Roman" w:cs="Times New Roman"/>
          <w:sz w:val="24"/>
          <w:szCs w:val="24"/>
          <w:lang w:val="en-US"/>
        </w:rPr>
        <w:t>384</w:t>
      </w:r>
      <w:r w:rsidRPr="002E17F4">
        <w:rPr>
          <w:rFonts w:ascii="Times New Roman" w:hAnsi="Times New Roman" w:cs="Times New Roman"/>
          <w:sz w:val="24"/>
          <w:szCs w:val="24"/>
        </w:rPr>
        <w:t>).</w:t>
      </w:r>
    </w:p>
    <w:p w:rsidR="004A6119" w:rsidRDefault="00F8237A" w:rsidP="00421E8E">
      <w:pPr>
        <w:rPr>
          <w:rFonts w:ascii="Times New Roman" w:hAnsi="Times New Roman" w:cs="Times New Roman"/>
          <w:sz w:val="24"/>
          <w:szCs w:val="24"/>
        </w:rPr>
      </w:pPr>
      <w:r w:rsidRPr="002E17F4">
        <w:rPr>
          <w:rFonts w:ascii="Times New Roman" w:hAnsi="Times New Roman" w:cs="Times New Roman"/>
          <w:color w:val="000000"/>
          <w:kern w:val="24"/>
          <w:sz w:val="24"/>
          <w:szCs w:val="24"/>
        </w:rPr>
        <w:t>Досегашни истражувања на ниво на саливарни биомаркери за тумори на саливарните жлезди може да се каже дека се пилот студии кои отвараат нови можности за понатамошни испитувања. Таква е на пример студијата за анализа на саливарен лептин во севкупна (мешана) салива, прва таква студија врз основа би можело да се прави во иднина преоперативна диференцијација помеѓу пациенти со тумори на саливарни</w:t>
      </w:r>
      <w:r w:rsidR="00AD426A">
        <w:rPr>
          <w:rFonts w:ascii="Times New Roman" w:hAnsi="Times New Roman" w:cs="Times New Roman"/>
          <w:color w:val="000000"/>
          <w:kern w:val="24"/>
          <w:sz w:val="24"/>
          <w:szCs w:val="24"/>
        </w:rPr>
        <w:t>те жлезди и здрави пациенти (</w:t>
      </w:r>
      <w:r w:rsidR="00AD426A">
        <w:rPr>
          <w:rFonts w:ascii="Times New Roman" w:hAnsi="Times New Roman" w:cs="Times New Roman"/>
          <w:color w:val="000000"/>
          <w:kern w:val="24"/>
          <w:sz w:val="24"/>
          <w:szCs w:val="24"/>
          <w:lang w:val="en-US"/>
        </w:rPr>
        <w:t>392</w:t>
      </w:r>
      <w:r w:rsidRPr="002E17F4">
        <w:rPr>
          <w:rFonts w:ascii="Times New Roman" w:hAnsi="Times New Roman" w:cs="Times New Roman"/>
          <w:color w:val="000000"/>
          <w:kern w:val="24"/>
          <w:sz w:val="24"/>
          <w:szCs w:val="24"/>
        </w:rPr>
        <w:t xml:space="preserve">), потоа студијата која ги испитува саливарните вредности на </w:t>
      </w:r>
      <w:r w:rsidR="00B21C21">
        <w:rPr>
          <w:rFonts w:ascii="Times New Roman" w:hAnsi="Times New Roman" w:cs="Times New Roman"/>
          <w:color w:val="000000"/>
          <w:kern w:val="24"/>
          <w:sz w:val="24"/>
          <w:szCs w:val="24"/>
        </w:rPr>
        <w:t>VEGF</w:t>
      </w:r>
      <w:r w:rsidRPr="002E17F4">
        <w:rPr>
          <w:rFonts w:ascii="Times New Roman" w:hAnsi="Times New Roman" w:cs="Times New Roman"/>
          <w:color w:val="000000"/>
          <w:kern w:val="24"/>
          <w:sz w:val="24"/>
          <w:szCs w:val="24"/>
        </w:rPr>
        <w:t>, a врз основа на која повисоки вредности на VEGF се индикатор за патолошки промени во паротидните жлезди (врз основа на ко</w:t>
      </w:r>
      <w:r w:rsidR="00831268">
        <w:rPr>
          <w:rFonts w:ascii="Times New Roman" w:hAnsi="Times New Roman" w:cs="Times New Roman"/>
          <w:color w:val="000000"/>
          <w:kern w:val="24"/>
          <w:sz w:val="24"/>
          <w:szCs w:val="24"/>
        </w:rPr>
        <w:t>л</w:t>
      </w:r>
      <w:r w:rsidR="00AD426A">
        <w:rPr>
          <w:rFonts w:ascii="Times New Roman" w:hAnsi="Times New Roman" w:cs="Times New Roman"/>
          <w:color w:val="000000"/>
          <w:kern w:val="24"/>
          <w:sz w:val="24"/>
          <w:szCs w:val="24"/>
        </w:rPr>
        <w:t>екција на паротидна салива) (</w:t>
      </w:r>
      <w:r w:rsidR="00AD426A">
        <w:rPr>
          <w:rFonts w:ascii="Times New Roman" w:hAnsi="Times New Roman" w:cs="Times New Roman"/>
          <w:color w:val="000000"/>
          <w:kern w:val="24"/>
          <w:sz w:val="24"/>
          <w:szCs w:val="24"/>
          <w:lang w:val="en-US"/>
        </w:rPr>
        <w:t>393</w:t>
      </w:r>
      <w:r w:rsidRPr="002E17F4">
        <w:rPr>
          <w:rFonts w:ascii="Times New Roman" w:hAnsi="Times New Roman" w:cs="Times New Roman"/>
          <w:color w:val="000000"/>
          <w:kern w:val="24"/>
          <w:sz w:val="24"/>
          <w:szCs w:val="24"/>
        </w:rPr>
        <w:t>) студија за вредности на саливарна хепараназа, како потенцијален биомаркер и прогностички фактор за малигни т</w:t>
      </w:r>
      <w:r w:rsidR="00AD426A">
        <w:rPr>
          <w:rFonts w:ascii="Times New Roman" w:hAnsi="Times New Roman" w:cs="Times New Roman"/>
          <w:color w:val="000000"/>
          <w:kern w:val="24"/>
          <w:sz w:val="24"/>
          <w:szCs w:val="24"/>
        </w:rPr>
        <w:t>умори на саливарните жлезди (</w:t>
      </w:r>
      <w:r w:rsidR="00AD426A">
        <w:rPr>
          <w:rFonts w:ascii="Times New Roman" w:hAnsi="Times New Roman" w:cs="Times New Roman"/>
          <w:color w:val="000000"/>
          <w:kern w:val="24"/>
          <w:sz w:val="24"/>
          <w:szCs w:val="24"/>
          <w:lang w:val="en-US"/>
        </w:rPr>
        <w:t>394</w:t>
      </w:r>
      <w:r w:rsidRPr="002E17F4">
        <w:rPr>
          <w:rFonts w:ascii="Times New Roman" w:hAnsi="Times New Roman" w:cs="Times New Roman"/>
          <w:color w:val="000000"/>
          <w:kern w:val="24"/>
          <w:sz w:val="24"/>
          <w:szCs w:val="24"/>
        </w:rPr>
        <w:t>).</w:t>
      </w:r>
    </w:p>
    <w:p w:rsidR="004A6119" w:rsidRDefault="004A6119" w:rsidP="00421E8E">
      <w:pPr>
        <w:rPr>
          <w:rFonts w:ascii="Times New Roman" w:hAnsi="Times New Roman" w:cs="Times New Roman"/>
          <w:sz w:val="24"/>
          <w:szCs w:val="24"/>
        </w:rPr>
      </w:pPr>
    </w:p>
    <w:p w:rsidR="004A6119" w:rsidRDefault="004A6119"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Pr="0055517E" w:rsidRDefault="007878EF" w:rsidP="00421E8E">
      <w:pPr>
        <w:rPr>
          <w:rFonts w:ascii="Times New Roman" w:hAnsi="Times New Roman" w:cs="Times New Roman"/>
          <w:b/>
          <w:sz w:val="24"/>
          <w:szCs w:val="24"/>
        </w:rPr>
      </w:pPr>
    </w:p>
    <w:p w:rsidR="00910BD3" w:rsidRDefault="00910BD3" w:rsidP="00421E8E">
      <w:pPr>
        <w:pStyle w:val="ListParagraph"/>
        <w:contextualSpacing/>
        <w:jc w:val="both"/>
        <w:rPr>
          <w:rFonts w:ascii="Times New Roman" w:hAnsi="Times New Roman"/>
          <w:b/>
          <w:color w:val="000000" w:themeColor="text1"/>
          <w:sz w:val="24"/>
          <w:szCs w:val="24"/>
        </w:rPr>
      </w:pPr>
    </w:p>
    <w:p w:rsidR="00910BD3" w:rsidRDefault="00910BD3" w:rsidP="00421E8E">
      <w:pPr>
        <w:pStyle w:val="ListParagraph"/>
        <w:contextualSpacing/>
        <w:jc w:val="both"/>
        <w:rPr>
          <w:rFonts w:ascii="Times New Roman" w:hAnsi="Times New Roman"/>
          <w:b/>
          <w:color w:val="000000" w:themeColor="text1"/>
          <w:sz w:val="24"/>
          <w:szCs w:val="24"/>
        </w:rPr>
      </w:pPr>
    </w:p>
    <w:p w:rsidR="00910BD3" w:rsidRPr="00910BD3" w:rsidRDefault="00910BD3"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421E8E">
      <w:pPr>
        <w:ind w:left="360"/>
        <w:contextualSpacing/>
        <w:jc w:val="both"/>
        <w:rPr>
          <w:rFonts w:ascii="Times New Roman" w:hAnsi="Times New Roman"/>
          <w:b/>
          <w:color w:val="000000" w:themeColor="text1"/>
          <w:sz w:val="24"/>
          <w:szCs w:val="24"/>
        </w:rPr>
      </w:pPr>
    </w:p>
    <w:p w:rsidR="00D20446" w:rsidRDefault="00D20446" w:rsidP="00D20446">
      <w:pPr>
        <w:contextualSpacing/>
        <w:jc w:val="both"/>
        <w:rPr>
          <w:rFonts w:ascii="Times New Roman" w:hAnsi="Times New Roman"/>
          <w:b/>
          <w:color w:val="000000" w:themeColor="text1"/>
          <w:sz w:val="24"/>
          <w:szCs w:val="24"/>
        </w:rPr>
      </w:pPr>
    </w:p>
    <w:p w:rsidR="00D20446" w:rsidRDefault="00D20446" w:rsidP="00D20446">
      <w:pPr>
        <w:contextualSpacing/>
        <w:jc w:val="both"/>
        <w:rPr>
          <w:rFonts w:ascii="Times New Roman" w:hAnsi="Times New Roman"/>
          <w:b/>
          <w:color w:val="000000" w:themeColor="text1"/>
          <w:sz w:val="24"/>
          <w:szCs w:val="24"/>
        </w:rPr>
      </w:pPr>
    </w:p>
    <w:p w:rsidR="00836B41" w:rsidRPr="00910BD3" w:rsidRDefault="00910BD3" w:rsidP="00D20446">
      <w:pPr>
        <w:contextualSpacing/>
        <w:jc w:val="both"/>
        <w:rPr>
          <w:rFonts w:ascii="Times New Roman" w:hAnsi="Times New Roman"/>
          <w:b/>
          <w:color w:val="000000" w:themeColor="text1"/>
          <w:sz w:val="24"/>
          <w:szCs w:val="24"/>
        </w:rPr>
      </w:pPr>
      <w:r w:rsidRPr="00910BD3">
        <w:rPr>
          <w:rFonts w:ascii="Times New Roman" w:hAnsi="Times New Roman"/>
          <w:b/>
          <w:color w:val="000000" w:themeColor="text1"/>
          <w:sz w:val="24"/>
          <w:szCs w:val="24"/>
        </w:rPr>
        <w:t>3.</w:t>
      </w:r>
      <w:r>
        <w:rPr>
          <w:rFonts w:ascii="Times New Roman" w:hAnsi="Times New Roman"/>
          <w:b/>
          <w:color w:val="000000" w:themeColor="text1"/>
          <w:sz w:val="24"/>
          <w:szCs w:val="24"/>
        </w:rPr>
        <w:t xml:space="preserve"> </w:t>
      </w:r>
      <w:r w:rsidR="00836B41" w:rsidRPr="00910BD3">
        <w:rPr>
          <w:rFonts w:ascii="Times New Roman" w:hAnsi="Times New Roman"/>
          <w:b/>
          <w:color w:val="000000" w:themeColor="text1"/>
          <w:sz w:val="24"/>
          <w:szCs w:val="24"/>
        </w:rPr>
        <w:t>ЦЕЛИ НА ИСТРАЖУВАЊЕТО</w:t>
      </w:r>
    </w:p>
    <w:p w:rsidR="00836B41" w:rsidRPr="0055517E" w:rsidRDefault="00836B41" w:rsidP="00421E8E">
      <w:pPr>
        <w:jc w:val="both"/>
        <w:rPr>
          <w:rFonts w:ascii="Times New Roman" w:hAnsi="Times New Roman"/>
          <w:i/>
          <w:color w:val="000000" w:themeColor="text1"/>
          <w:sz w:val="24"/>
          <w:szCs w:val="24"/>
        </w:rPr>
      </w:pPr>
    </w:p>
    <w:p w:rsidR="00910BD3" w:rsidRPr="00910BD3" w:rsidRDefault="00910BD3" w:rsidP="00421E8E">
      <w:pPr>
        <w:pStyle w:val="ListParagraph"/>
        <w:contextualSpacing/>
        <w:jc w:val="both"/>
        <w:rPr>
          <w:rFonts w:ascii="Times New Roman" w:hAnsi="Times New Roman"/>
          <w:color w:val="000000" w:themeColor="text1"/>
          <w:sz w:val="24"/>
          <w:szCs w:val="24"/>
        </w:rPr>
      </w:pPr>
    </w:p>
    <w:p w:rsidR="00910BD3" w:rsidRDefault="00910BD3" w:rsidP="00421E8E">
      <w:pPr>
        <w:ind w:left="360"/>
        <w:contextualSpacing/>
        <w:jc w:val="both"/>
        <w:rPr>
          <w:rFonts w:ascii="Times New Roman" w:hAnsi="Times New Roman"/>
          <w:color w:val="000000" w:themeColor="text1"/>
          <w:sz w:val="24"/>
          <w:szCs w:val="24"/>
        </w:rPr>
      </w:pPr>
    </w:p>
    <w:p w:rsidR="00836B41" w:rsidRPr="00910BD3" w:rsidRDefault="00836B41" w:rsidP="00421E8E">
      <w:pPr>
        <w:pStyle w:val="ListParagraph"/>
        <w:numPr>
          <w:ilvl w:val="0"/>
          <w:numId w:val="45"/>
        </w:numPr>
        <w:contextualSpacing/>
        <w:jc w:val="both"/>
        <w:rPr>
          <w:rFonts w:ascii="Times New Roman" w:hAnsi="Times New Roman"/>
          <w:color w:val="000000" w:themeColor="text1"/>
          <w:sz w:val="24"/>
          <w:szCs w:val="24"/>
        </w:rPr>
      </w:pPr>
      <w:r w:rsidRPr="00910BD3">
        <w:rPr>
          <w:rFonts w:ascii="Times New Roman" w:hAnsi="Times New Roman"/>
          <w:color w:val="000000" w:themeColor="text1"/>
          <w:sz w:val="24"/>
          <w:szCs w:val="24"/>
        </w:rPr>
        <w:t>да се компарираат добиените вредности за IL-33 помеѓу пациентите со н</w:t>
      </w:r>
      <w:r w:rsidR="00E4146A" w:rsidRPr="00910BD3">
        <w:rPr>
          <w:rFonts w:ascii="Times New Roman" w:hAnsi="Times New Roman"/>
          <w:color w:val="000000" w:themeColor="text1"/>
          <w:sz w:val="24"/>
          <w:szCs w:val="24"/>
        </w:rPr>
        <w:t xml:space="preserve">еоплазми на паротидните жлезди и контролната група испитаници, </w:t>
      </w:r>
      <w:r w:rsidRPr="00910BD3">
        <w:rPr>
          <w:rFonts w:ascii="Times New Roman" w:hAnsi="Times New Roman"/>
          <w:color w:val="000000" w:themeColor="text1"/>
          <w:sz w:val="24"/>
          <w:szCs w:val="24"/>
        </w:rPr>
        <w:t xml:space="preserve">односно </w:t>
      </w:r>
    </w:p>
    <w:p w:rsidR="00910BD3" w:rsidRPr="00910BD3" w:rsidRDefault="00910BD3" w:rsidP="00421E8E">
      <w:pPr>
        <w:ind w:left="360"/>
        <w:contextualSpacing/>
        <w:jc w:val="both"/>
        <w:rPr>
          <w:rFonts w:ascii="Times New Roman" w:hAnsi="Times New Roman"/>
          <w:color w:val="000000" w:themeColor="text1"/>
          <w:sz w:val="24"/>
          <w:szCs w:val="24"/>
        </w:rPr>
      </w:pPr>
    </w:p>
    <w:p w:rsidR="00910BD3" w:rsidRDefault="00910BD3" w:rsidP="00421E8E">
      <w:pPr>
        <w:ind w:left="360"/>
        <w:contextualSpacing/>
        <w:jc w:val="both"/>
        <w:rPr>
          <w:rFonts w:ascii="Times New Roman" w:hAnsi="Times New Roman"/>
          <w:color w:val="000000" w:themeColor="text1"/>
          <w:sz w:val="24"/>
          <w:szCs w:val="24"/>
        </w:rPr>
      </w:pPr>
    </w:p>
    <w:p w:rsidR="00836B41" w:rsidRPr="00910BD3" w:rsidRDefault="00836B41" w:rsidP="00421E8E">
      <w:pPr>
        <w:pStyle w:val="ListParagraph"/>
        <w:numPr>
          <w:ilvl w:val="0"/>
          <w:numId w:val="45"/>
        </w:numPr>
        <w:contextualSpacing/>
        <w:jc w:val="both"/>
        <w:rPr>
          <w:rFonts w:ascii="Times New Roman" w:hAnsi="Times New Roman"/>
          <w:color w:val="000000" w:themeColor="text1"/>
          <w:sz w:val="24"/>
          <w:szCs w:val="24"/>
        </w:rPr>
      </w:pPr>
      <w:r w:rsidRPr="00910BD3">
        <w:rPr>
          <w:rFonts w:ascii="Times New Roman" w:hAnsi="Times New Roman"/>
          <w:color w:val="000000" w:themeColor="text1"/>
          <w:sz w:val="24"/>
          <w:szCs w:val="24"/>
        </w:rPr>
        <w:t>да се утврди корелацијата помеѓу вредностите на IL-33 кај пациентите со паротидни т</w:t>
      </w:r>
      <w:r w:rsidR="00F407B9" w:rsidRPr="00910BD3">
        <w:rPr>
          <w:rFonts w:ascii="Times New Roman" w:hAnsi="Times New Roman"/>
          <w:color w:val="000000" w:themeColor="text1"/>
          <w:sz w:val="24"/>
          <w:szCs w:val="24"/>
        </w:rPr>
        <w:t>умори со природата на туморот</w:t>
      </w:r>
      <w:r w:rsidR="00F407B9" w:rsidRPr="00910BD3">
        <w:rPr>
          <w:rFonts w:ascii="Times New Roman" w:hAnsi="Times New Roman"/>
          <w:color w:val="000000" w:themeColor="text1"/>
          <w:sz w:val="24"/>
          <w:szCs w:val="24"/>
          <w:lang w:val="en-US"/>
        </w:rPr>
        <w:t xml:space="preserve"> </w:t>
      </w:r>
      <w:r w:rsidR="00F407B9" w:rsidRPr="00910BD3">
        <w:rPr>
          <w:rFonts w:ascii="Times New Roman" w:hAnsi="Times New Roman"/>
          <w:color w:val="000000" w:themeColor="text1"/>
          <w:sz w:val="24"/>
          <w:szCs w:val="24"/>
        </w:rPr>
        <w:t>(бенигни и малигни</w:t>
      </w:r>
      <w:r w:rsidRPr="00910BD3">
        <w:rPr>
          <w:rFonts w:ascii="Times New Roman" w:hAnsi="Times New Roman"/>
          <w:color w:val="000000" w:themeColor="text1"/>
          <w:sz w:val="24"/>
          <w:szCs w:val="24"/>
        </w:rPr>
        <w:t>) и неговата големина.</w:t>
      </w:r>
    </w:p>
    <w:p w:rsidR="00910BD3" w:rsidRDefault="00910BD3" w:rsidP="00421E8E">
      <w:pPr>
        <w:pStyle w:val="ListParagraph"/>
        <w:contextualSpacing/>
        <w:jc w:val="both"/>
        <w:rPr>
          <w:rFonts w:ascii="Times New Roman" w:hAnsi="Times New Roman"/>
          <w:color w:val="000000" w:themeColor="text1"/>
          <w:sz w:val="24"/>
          <w:szCs w:val="24"/>
        </w:rPr>
      </w:pPr>
    </w:p>
    <w:p w:rsidR="00910BD3" w:rsidRDefault="00910BD3" w:rsidP="00421E8E">
      <w:pPr>
        <w:ind w:left="360"/>
        <w:contextualSpacing/>
        <w:jc w:val="both"/>
        <w:rPr>
          <w:rFonts w:ascii="Times New Roman" w:hAnsi="Times New Roman"/>
          <w:color w:val="000000" w:themeColor="text1"/>
          <w:sz w:val="24"/>
          <w:szCs w:val="24"/>
        </w:rPr>
      </w:pPr>
    </w:p>
    <w:p w:rsidR="00836B41" w:rsidRPr="00910BD3" w:rsidRDefault="00836B41" w:rsidP="00421E8E">
      <w:pPr>
        <w:pStyle w:val="ListParagraph"/>
        <w:numPr>
          <w:ilvl w:val="0"/>
          <w:numId w:val="45"/>
        </w:numPr>
        <w:contextualSpacing/>
        <w:jc w:val="both"/>
        <w:rPr>
          <w:rFonts w:ascii="Times New Roman" w:hAnsi="Times New Roman"/>
          <w:color w:val="000000" w:themeColor="text1"/>
          <w:sz w:val="24"/>
          <w:szCs w:val="24"/>
        </w:rPr>
      </w:pPr>
      <w:r w:rsidRPr="00910BD3">
        <w:rPr>
          <w:rFonts w:ascii="Times New Roman" w:hAnsi="Times New Roman"/>
          <w:color w:val="000000" w:themeColor="text1"/>
          <w:sz w:val="24"/>
          <w:szCs w:val="24"/>
        </w:rPr>
        <w:t>да се евалуира и дијагностички корелира патохистолошкиот наод со имиџинг дијагностиката и вредностите на IL-33</w:t>
      </w:r>
    </w:p>
    <w:p w:rsidR="00910BD3" w:rsidRDefault="00910BD3" w:rsidP="00421E8E">
      <w:pPr>
        <w:pStyle w:val="ListParagraph"/>
        <w:contextualSpacing/>
        <w:jc w:val="both"/>
        <w:rPr>
          <w:rFonts w:ascii="Times New Roman" w:hAnsi="Times New Roman"/>
          <w:color w:val="000000" w:themeColor="text1"/>
          <w:sz w:val="24"/>
          <w:szCs w:val="24"/>
        </w:rPr>
      </w:pPr>
    </w:p>
    <w:p w:rsidR="00910BD3" w:rsidRDefault="00910BD3" w:rsidP="00421E8E">
      <w:pPr>
        <w:ind w:left="360"/>
        <w:contextualSpacing/>
        <w:jc w:val="both"/>
        <w:rPr>
          <w:rFonts w:ascii="Times New Roman" w:hAnsi="Times New Roman"/>
          <w:color w:val="000000" w:themeColor="text1"/>
          <w:sz w:val="24"/>
          <w:szCs w:val="24"/>
        </w:rPr>
      </w:pPr>
    </w:p>
    <w:p w:rsidR="00836B41" w:rsidRPr="00910BD3" w:rsidRDefault="00836B41" w:rsidP="00421E8E">
      <w:pPr>
        <w:pStyle w:val="ListParagraph"/>
        <w:numPr>
          <w:ilvl w:val="0"/>
          <w:numId w:val="45"/>
        </w:numPr>
        <w:contextualSpacing/>
        <w:jc w:val="both"/>
        <w:rPr>
          <w:rFonts w:ascii="Times New Roman" w:hAnsi="Times New Roman"/>
          <w:color w:val="000000" w:themeColor="text1"/>
          <w:sz w:val="24"/>
          <w:szCs w:val="24"/>
        </w:rPr>
      </w:pPr>
      <w:r w:rsidRPr="00910BD3">
        <w:rPr>
          <w:rFonts w:ascii="Times New Roman" w:hAnsi="Times New Roman"/>
          <w:color w:val="000000" w:themeColor="text1"/>
          <w:sz w:val="24"/>
          <w:szCs w:val="24"/>
        </w:rPr>
        <w:t xml:space="preserve">да се детерминира IL-33 како потенцијален биомаркер на тумори на паротидни жлезди </w:t>
      </w: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Pr="00836B41" w:rsidRDefault="007878EF" w:rsidP="00421E8E">
      <w:pPr>
        <w:rPr>
          <w:rFonts w:ascii="Times New Roman" w:hAnsi="Times New Roman" w:cs="Times New Roman"/>
          <w:sz w:val="24"/>
          <w:szCs w:val="24"/>
          <w:lang w:val="en-US"/>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7878EF" w:rsidRDefault="007878EF" w:rsidP="00421E8E">
      <w:pPr>
        <w:rPr>
          <w:rFonts w:ascii="Times New Roman" w:hAnsi="Times New Roman" w:cs="Times New Roman"/>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D20446" w:rsidRDefault="00D20446" w:rsidP="00421E8E">
      <w:pPr>
        <w:rPr>
          <w:rFonts w:ascii="Times New Roman" w:hAnsi="Times New Roman" w:cs="Times New Roman"/>
          <w:b/>
          <w:color w:val="000000"/>
          <w:sz w:val="24"/>
          <w:szCs w:val="24"/>
        </w:rPr>
      </w:pPr>
    </w:p>
    <w:p w:rsidR="005951F9" w:rsidRPr="000E4D8C" w:rsidRDefault="00455EB5" w:rsidP="00421E8E">
      <w:pP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10111A" w:rsidRPr="000E4D8C">
        <w:rPr>
          <w:rFonts w:ascii="Times New Roman" w:hAnsi="Times New Roman" w:cs="Times New Roman"/>
          <w:b/>
          <w:color w:val="000000"/>
          <w:sz w:val="24"/>
          <w:szCs w:val="24"/>
        </w:rPr>
        <w:t xml:space="preserve">. </w:t>
      </w:r>
      <w:r w:rsidR="005951F9" w:rsidRPr="000E4D8C">
        <w:rPr>
          <w:rFonts w:ascii="Times New Roman" w:hAnsi="Times New Roman" w:cs="Times New Roman"/>
          <w:b/>
          <w:color w:val="000000"/>
          <w:sz w:val="24"/>
          <w:szCs w:val="24"/>
        </w:rPr>
        <w:t>ХИПОТЕЗИ НА ТРУДОТ</w:t>
      </w:r>
    </w:p>
    <w:p w:rsidR="00FE18D8" w:rsidRDefault="00FE18D8" w:rsidP="00421E8E">
      <w:pPr>
        <w:spacing w:after="600"/>
        <w:jc w:val="both"/>
        <w:rPr>
          <w:rFonts w:ascii="Times New Roman" w:hAnsi="Times New Roman" w:cs="Times New Roman"/>
          <w:color w:val="000000"/>
          <w:sz w:val="24"/>
          <w:szCs w:val="24"/>
        </w:rPr>
      </w:pPr>
    </w:p>
    <w:p w:rsidR="00930DAA" w:rsidRPr="00930DAA" w:rsidRDefault="00930DAA" w:rsidP="00421E8E">
      <w:pPr>
        <w:spacing w:after="600"/>
        <w:jc w:val="both"/>
        <w:rPr>
          <w:rFonts w:ascii="Times New Roman" w:hAnsi="Times New Roman" w:cs="Times New Roman"/>
          <w:color w:val="000000"/>
          <w:sz w:val="24"/>
          <w:szCs w:val="24"/>
        </w:rPr>
      </w:pPr>
      <w:r w:rsidRPr="00930DAA">
        <w:rPr>
          <w:rFonts w:ascii="Times New Roman" w:hAnsi="Times New Roman" w:cs="Times New Roman"/>
          <w:color w:val="000000"/>
          <w:sz w:val="24"/>
          <w:szCs w:val="24"/>
        </w:rPr>
        <w:t>Во оваа докторска дисертација, ке се потврдат или отфрлат следниве хипотези:</w:t>
      </w:r>
    </w:p>
    <w:p w:rsidR="00D25440" w:rsidRPr="00930DAA" w:rsidRDefault="00D25440" w:rsidP="00421E8E">
      <w:pPr>
        <w:pStyle w:val="ListParagraph"/>
        <w:autoSpaceDE w:val="0"/>
        <w:autoSpaceDN w:val="0"/>
        <w:adjustRightInd w:val="0"/>
        <w:ind w:left="1080"/>
        <w:rPr>
          <w:rFonts w:ascii="Times New Roman" w:hAnsi="Times New Roman" w:cs="Times New Roman"/>
          <w:sz w:val="24"/>
          <w:szCs w:val="24"/>
        </w:rPr>
      </w:pPr>
      <w:r w:rsidRPr="00930DAA">
        <w:rPr>
          <w:rFonts w:ascii="Times New Roman" w:hAnsi="Times New Roman" w:cs="Times New Roman"/>
          <w:sz w:val="24"/>
          <w:szCs w:val="24"/>
        </w:rPr>
        <w:t>Х</w:t>
      </w:r>
      <w:r w:rsidRPr="00930DAA">
        <w:rPr>
          <w:rFonts w:ascii="Times New Roman" w:hAnsi="Times New Roman" w:cs="Times New Roman"/>
          <w:sz w:val="24"/>
          <w:szCs w:val="24"/>
          <w:vertAlign w:val="subscript"/>
        </w:rPr>
        <w:t>1</w:t>
      </w:r>
      <w:r w:rsidR="00E4146A">
        <w:rPr>
          <w:rFonts w:ascii="Times New Roman" w:hAnsi="Times New Roman" w:cs="Times New Roman"/>
          <w:sz w:val="24"/>
          <w:szCs w:val="24"/>
        </w:rPr>
        <w:t xml:space="preserve"> В</w:t>
      </w:r>
      <w:r w:rsidRPr="00930DAA">
        <w:rPr>
          <w:rFonts w:ascii="Times New Roman" w:hAnsi="Times New Roman" w:cs="Times New Roman"/>
          <w:sz w:val="24"/>
          <w:szCs w:val="24"/>
        </w:rPr>
        <w:t>редности</w:t>
      </w:r>
      <w:r w:rsidR="00E4146A">
        <w:rPr>
          <w:rFonts w:ascii="Times New Roman" w:hAnsi="Times New Roman" w:cs="Times New Roman"/>
          <w:sz w:val="24"/>
          <w:szCs w:val="24"/>
        </w:rPr>
        <w:t>те</w:t>
      </w:r>
      <w:r w:rsidRPr="00930DAA">
        <w:rPr>
          <w:rFonts w:ascii="Times New Roman" w:hAnsi="Times New Roman" w:cs="Times New Roman"/>
          <w:sz w:val="24"/>
          <w:szCs w:val="24"/>
        </w:rPr>
        <w:t xml:space="preserve"> на IL-33 во серум и салива кај испитаниците со тумори на паротидни жлезди</w:t>
      </w:r>
      <w:r w:rsidR="00E4146A">
        <w:rPr>
          <w:rFonts w:ascii="Times New Roman" w:hAnsi="Times New Roman" w:cs="Times New Roman"/>
          <w:sz w:val="24"/>
          <w:szCs w:val="24"/>
        </w:rPr>
        <w:t xml:space="preserve"> се повисоки во споредба со истите кај контролната група испитаници</w:t>
      </w:r>
    </w:p>
    <w:p w:rsidR="00D25440" w:rsidRPr="00930DAA" w:rsidRDefault="00D25440" w:rsidP="00421E8E">
      <w:pPr>
        <w:pStyle w:val="ListParagraph"/>
        <w:autoSpaceDE w:val="0"/>
        <w:autoSpaceDN w:val="0"/>
        <w:adjustRightInd w:val="0"/>
        <w:ind w:left="1080"/>
        <w:rPr>
          <w:rFonts w:ascii="Times New Roman" w:hAnsi="Times New Roman" w:cs="Times New Roman"/>
          <w:sz w:val="24"/>
          <w:szCs w:val="24"/>
        </w:rPr>
      </w:pPr>
    </w:p>
    <w:p w:rsidR="000E4D8C" w:rsidRDefault="000E4D8C" w:rsidP="00421E8E">
      <w:pPr>
        <w:pStyle w:val="ListParagraph"/>
        <w:autoSpaceDE w:val="0"/>
        <w:autoSpaceDN w:val="0"/>
        <w:adjustRightInd w:val="0"/>
        <w:ind w:left="1080"/>
        <w:rPr>
          <w:rFonts w:ascii="Times New Roman" w:hAnsi="Times New Roman" w:cs="Times New Roman"/>
          <w:sz w:val="24"/>
          <w:szCs w:val="24"/>
        </w:rPr>
      </w:pPr>
    </w:p>
    <w:p w:rsidR="00D25440" w:rsidRPr="00930DAA" w:rsidRDefault="00D25440" w:rsidP="00421E8E">
      <w:pPr>
        <w:pStyle w:val="ListParagraph"/>
        <w:autoSpaceDE w:val="0"/>
        <w:autoSpaceDN w:val="0"/>
        <w:adjustRightInd w:val="0"/>
        <w:ind w:left="1080"/>
        <w:rPr>
          <w:rFonts w:ascii="Times New Roman" w:hAnsi="Times New Roman" w:cs="Times New Roman"/>
          <w:i/>
          <w:sz w:val="24"/>
          <w:szCs w:val="24"/>
        </w:rPr>
      </w:pPr>
      <w:r w:rsidRPr="00930DAA">
        <w:rPr>
          <w:rFonts w:ascii="Times New Roman" w:hAnsi="Times New Roman" w:cs="Times New Roman"/>
          <w:sz w:val="24"/>
          <w:szCs w:val="24"/>
        </w:rPr>
        <w:t>Х</w:t>
      </w:r>
      <w:r w:rsidRPr="00930DAA">
        <w:rPr>
          <w:rFonts w:ascii="Times New Roman" w:hAnsi="Times New Roman" w:cs="Times New Roman"/>
          <w:sz w:val="24"/>
          <w:szCs w:val="24"/>
          <w:vertAlign w:val="subscript"/>
        </w:rPr>
        <w:t>2</w:t>
      </w:r>
      <w:r w:rsidR="00E4146A">
        <w:rPr>
          <w:rFonts w:ascii="Times New Roman" w:hAnsi="Times New Roman" w:cs="Times New Roman"/>
          <w:sz w:val="24"/>
          <w:szCs w:val="24"/>
        </w:rPr>
        <w:t xml:space="preserve"> В</w:t>
      </w:r>
      <w:r w:rsidRPr="00930DAA">
        <w:rPr>
          <w:rFonts w:ascii="Times New Roman" w:hAnsi="Times New Roman" w:cs="Times New Roman"/>
          <w:sz w:val="24"/>
          <w:szCs w:val="24"/>
        </w:rPr>
        <w:t>редности</w:t>
      </w:r>
      <w:r w:rsidR="00E4146A">
        <w:rPr>
          <w:rFonts w:ascii="Times New Roman" w:hAnsi="Times New Roman" w:cs="Times New Roman"/>
          <w:sz w:val="24"/>
          <w:szCs w:val="24"/>
        </w:rPr>
        <w:t>те</w:t>
      </w:r>
      <w:r w:rsidRPr="00930DAA">
        <w:rPr>
          <w:rFonts w:ascii="Times New Roman" w:hAnsi="Times New Roman" w:cs="Times New Roman"/>
          <w:sz w:val="24"/>
          <w:szCs w:val="24"/>
        </w:rPr>
        <w:t xml:space="preserve"> на IL-33 во серум и салива кај пациенти со малигни неоплазми</w:t>
      </w:r>
      <w:r w:rsidR="00E4146A">
        <w:rPr>
          <w:rFonts w:ascii="Times New Roman" w:hAnsi="Times New Roman" w:cs="Times New Roman"/>
          <w:sz w:val="24"/>
          <w:szCs w:val="24"/>
        </w:rPr>
        <w:t xml:space="preserve"> се повисоки во споредба со вредностите на </w:t>
      </w:r>
      <w:r w:rsidR="00E4146A" w:rsidRPr="00930DAA">
        <w:rPr>
          <w:rFonts w:ascii="Times New Roman" w:hAnsi="Times New Roman" w:cs="Times New Roman"/>
          <w:sz w:val="24"/>
          <w:szCs w:val="24"/>
        </w:rPr>
        <w:t>IL-33</w:t>
      </w:r>
      <w:r w:rsidR="00E4146A">
        <w:rPr>
          <w:rFonts w:ascii="Times New Roman" w:hAnsi="Times New Roman" w:cs="Times New Roman"/>
          <w:sz w:val="24"/>
          <w:szCs w:val="24"/>
        </w:rPr>
        <w:t>кај пациентите со бенигни тумори</w:t>
      </w:r>
    </w:p>
    <w:p w:rsidR="00D25440" w:rsidRPr="00930DAA" w:rsidRDefault="00D25440" w:rsidP="00421E8E">
      <w:pPr>
        <w:pStyle w:val="ListParagraph"/>
        <w:autoSpaceDE w:val="0"/>
        <w:autoSpaceDN w:val="0"/>
        <w:adjustRightInd w:val="0"/>
        <w:ind w:left="1080"/>
        <w:rPr>
          <w:rFonts w:ascii="Times New Roman" w:hAnsi="Times New Roman" w:cs="Times New Roman"/>
          <w:sz w:val="24"/>
          <w:szCs w:val="24"/>
        </w:rPr>
      </w:pPr>
    </w:p>
    <w:p w:rsidR="000E4D8C" w:rsidRDefault="000E4D8C" w:rsidP="00421E8E">
      <w:pPr>
        <w:pStyle w:val="ListParagraph"/>
        <w:autoSpaceDE w:val="0"/>
        <w:autoSpaceDN w:val="0"/>
        <w:adjustRightInd w:val="0"/>
        <w:ind w:left="1080"/>
        <w:rPr>
          <w:rFonts w:ascii="Times New Roman" w:hAnsi="Times New Roman" w:cs="Times New Roman"/>
          <w:sz w:val="24"/>
          <w:szCs w:val="24"/>
        </w:rPr>
      </w:pPr>
    </w:p>
    <w:p w:rsidR="0010111A" w:rsidRDefault="00D25440" w:rsidP="00421E8E">
      <w:pPr>
        <w:pStyle w:val="ListParagraph"/>
        <w:autoSpaceDE w:val="0"/>
        <w:autoSpaceDN w:val="0"/>
        <w:adjustRightInd w:val="0"/>
        <w:ind w:left="1080"/>
        <w:rPr>
          <w:rFonts w:ascii="Times New Roman" w:hAnsi="Times New Roman" w:cs="Times New Roman"/>
          <w:sz w:val="24"/>
          <w:szCs w:val="24"/>
        </w:rPr>
      </w:pPr>
      <w:r w:rsidRPr="00930DAA">
        <w:rPr>
          <w:rFonts w:ascii="Times New Roman" w:hAnsi="Times New Roman" w:cs="Times New Roman"/>
          <w:sz w:val="24"/>
          <w:szCs w:val="24"/>
        </w:rPr>
        <w:t>Х</w:t>
      </w:r>
      <w:r w:rsidRPr="00930DAA">
        <w:rPr>
          <w:rFonts w:ascii="Times New Roman" w:hAnsi="Times New Roman" w:cs="Times New Roman"/>
          <w:sz w:val="24"/>
          <w:szCs w:val="24"/>
          <w:vertAlign w:val="subscript"/>
        </w:rPr>
        <w:t>3</w:t>
      </w:r>
      <w:r w:rsidRPr="00930DAA">
        <w:rPr>
          <w:rFonts w:ascii="Times New Roman" w:hAnsi="Times New Roman" w:cs="Times New Roman"/>
          <w:sz w:val="24"/>
          <w:szCs w:val="24"/>
        </w:rPr>
        <w:t xml:space="preserve"> Вредностите на IL-33 во серум и салива корелираат правопропорционално со димензиите на туморот, </w:t>
      </w:r>
      <w:r w:rsidR="00E4146A">
        <w:rPr>
          <w:rFonts w:ascii="Times New Roman" w:hAnsi="Times New Roman" w:cs="Times New Roman"/>
          <w:sz w:val="24"/>
          <w:szCs w:val="24"/>
        </w:rPr>
        <w:t xml:space="preserve">односно </w:t>
      </w:r>
      <w:r w:rsidRPr="00930DAA">
        <w:rPr>
          <w:rFonts w:ascii="Times New Roman" w:hAnsi="Times New Roman" w:cs="Times New Roman"/>
          <w:sz w:val="24"/>
          <w:szCs w:val="24"/>
        </w:rPr>
        <w:t>вредностите во серум</w:t>
      </w:r>
      <w:r w:rsidR="00C12594">
        <w:rPr>
          <w:rFonts w:ascii="Times New Roman" w:hAnsi="Times New Roman" w:cs="Times New Roman"/>
          <w:sz w:val="24"/>
          <w:szCs w:val="24"/>
        </w:rPr>
        <w:t>,</w:t>
      </w:r>
      <w:r w:rsidRPr="00930DAA">
        <w:rPr>
          <w:rFonts w:ascii="Times New Roman" w:hAnsi="Times New Roman" w:cs="Times New Roman"/>
          <w:sz w:val="24"/>
          <w:szCs w:val="24"/>
        </w:rPr>
        <w:t xml:space="preserve"> </w:t>
      </w:r>
      <w:r w:rsidR="00C12594">
        <w:rPr>
          <w:rFonts w:ascii="Times New Roman" w:hAnsi="Times New Roman" w:cs="Times New Roman"/>
          <w:sz w:val="24"/>
          <w:szCs w:val="24"/>
        </w:rPr>
        <w:t xml:space="preserve">корелираат </w:t>
      </w:r>
      <w:r w:rsidR="00CA4030">
        <w:rPr>
          <w:rFonts w:ascii="Times New Roman" w:hAnsi="Times New Roman" w:cs="Times New Roman"/>
          <w:sz w:val="24"/>
          <w:szCs w:val="24"/>
        </w:rPr>
        <w:t xml:space="preserve">правопропорционално </w:t>
      </w:r>
      <w:r w:rsidRPr="00930DAA">
        <w:rPr>
          <w:rFonts w:ascii="Times New Roman" w:hAnsi="Times New Roman" w:cs="Times New Roman"/>
          <w:sz w:val="24"/>
          <w:szCs w:val="24"/>
        </w:rPr>
        <w:t xml:space="preserve">со вредностите </w:t>
      </w:r>
      <w:r w:rsidR="00C12594">
        <w:rPr>
          <w:rFonts w:ascii="Times New Roman" w:hAnsi="Times New Roman" w:cs="Times New Roman"/>
          <w:sz w:val="24"/>
          <w:szCs w:val="24"/>
        </w:rPr>
        <w:t xml:space="preserve">на </w:t>
      </w:r>
      <w:r w:rsidR="00C12594" w:rsidRPr="00930DAA">
        <w:rPr>
          <w:rFonts w:ascii="Times New Roman" w:hAnsi="Times New Roman" w:cs="Times New Roman"/>
          <w:sz w:val="24"/>
          <w:szCs w:val="24"/>
        </w:rPr>
        <w:t xml:space="preserve">IL-33 </w:t>
      </w:r>
      <w:r w:rsidRPr="00930DAA">
        <w:rPr>
          <w:rFonts w:ascii="Times New Roman" w:hAnsi="Times New Roman" w:cs="Times New Roman"/>
          <w:sz w:val="24"/>
          <w:szCs w:val="24"/>
        </w:rPr>
        <w:t>во салива</w:t>
      </w: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0111A" w:rsidRDefault="0010111A" w:rsidP="00421E8E">
      <w:pPr>
        <w:pStyle w:val="ListParagraph"/>
        <w:autoSpaceDE w:val="0"/>
        <w:autoSpaceDN w:val="0"/>
        <w:adjustRightInd w:val="0"/>
        <w:ind w:left="1080"/>
        <w:rPr>
          <w:rFonts w:ascii="Times New Roman" w:hAnsi="Times New Roman" w:cs="Times New Roman"/>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12693B" w:rsidRDefault="0012693B" w:rsidP="00421E8E">
      <w:pPr>
        <w:pStyle w:val="ListParagraph"/>
        <w:autoSpaceDE w:val="0"/>
        <w:autoSpaceDN w:val="0"/>
        <w:adjustRightInd w:val="0"/>
        <w:ind w:left="0"/>
        <w:rPr>
          <w:rFonts w:ascii="Times New Roman" w:hAnsi="Times New Roman" w:cs="Times New Roman"/>
          <w:b/>
          <w:color w:val="000000"/>
          <w:sz w:val="24"/>
          <w:szCs w:val="24"/>
        </w:rPr>
      </w:pPr>
    </w:p>
    <w:p w:rsidR="00356279" w:rsidRDefault="00455EB5" w:rsidP="00421E8E">
      <w:pPr>
        <w:pStyle w:val="ListParagraph"/>
        <w:autoSpaceDE w:val="0"/>
        <w:autoSpaceDN w:val="0"/>
        <w:adjustRightInd w:val="0"/>
        <w:ind w:left="0"/>
        <w:rPr>
          <w:rFonts w:ascii="Times New Roman" w:hAnsi="Times New Roman" w:cs="Times New Roman"/>
          <w:b/>
          <w:color w:val="FF0000"/>
          <w:sz w:val="24"/>
          <w:szCs w:val="24"/>
          <w:lang w:val="en-US"/>
        </w:rPr>
      </w:pPr>
      <w:r>
        <w:rPr>
          <w:rFonts w:ascii="Times New Roman" w:hAnsi="Times New Roman" w:cs="Times New Roman"/>
          <w:b/>
          <w:color w:val="000000"/>
          <w:sz w:val="24"/>
          <w:szCs w:val="24"/>
        </w:rPr>
        <w:t>5</w:t>
      </w:r>
      <w:r w:rsidR="0010111A" w:rsidRPr="000E4D8C">
        <w:rPr>
          <w:rFonts w:ascii="Times New Roman" w:hAnsi="Times New Roman" w:cs="Times New Roman"/>
          <w:b/>
          <w:color w:val="000000"/>
          <w:sz w:val="24"/>
          <w:szCs w:val="24"/>
        </w:rPr>
        <w:t xml:space="preserve">. </w:t>
      </w:r>
      <w:r w:rsidR="00E75C00">
        <w:rPr>
          <w:rFonts w:ascii="Times New Roman" w:hAnsi="Times New Roman" w:cs="Times New Roman"/>
          <w:b/>
          <w:color w:val="FF0000"/>
          <w:sz w:val="24"/>
          <w:szCs w:val="24"/>
          <w:lang w:val="en-US"/>
        </w:rPr>
        <w:t xml:space="preserve"> </w:t>
      </w:r>
      <w:r w:rsidR="00E75C00" w:rsidRPr="00356279">
        <w:rPr>
          <w:rFonts w:ascii="Times New Roman" w:hAnsi="Times New Roman" w:cs="Times New Roman"/>
          <w:b/>
          <w:color w:val="000000" w:themeColor="text1"/>
          <w:sz w:val="24"/>
          <w:szCs w:val="24"/>
        </w:rPr>
        <w:t>ПРИМЕНЕТИ НАУЧНИ МЕТОДИ И НАЧИН НА РАБОТА</w:t>
      </w:r>
    </w:p>
    <w:p w:rsidR="00356279" w:rsidRDefault="00356279" w:rsidP="00421E8E">
      <w:pPr>
        <w:pStyle w:val="ListParagraph"/>
        <w:autoSpaceDE w:val="0"/>
        <w:autoSpaceDN w:val="0"/>
        <w:adjustRightInd w:val="0"/>
        <w:ind w:left="0"/>
        <w:rPr>
          <w:rFonts w:ascii="Times New Roman" w:hAnsi="Times New Roman" w:cs="Times New Roman"/>
          <w:bCs/>
          <w:color w:val="000000"/>
          <w:sz w:val="24"/>
          <w:szCs w:val="24"/>
          <w:lang w:val="en-US"/>
        </w:rPr>
      </w:pPr>
    </w:p>
    <w:p w:rsidR="002104A3" w:rsidRPr="00356279" w:rsidRDefault="002104A3" w:rsidP="00421E8E">
      <w:pPr>
        <w:pStyle w:val="ListParagraph"/>
        <w:autoSpaceDE w:val="0"/>
        <w:autoSpaceDN w:val="0"/>
        <w:adjustRightInd w:val="0"/>
        <w:ind w:left="0"/>
        <w:rPr>
          <w:rFonts w:ascii="Times New Roman" w:hAnsi="Times New Roman" w:cs="Times New Roman"/>
          <w:b/>
          <w:color w:val="FF0000"/>
          <w:sz w:val="24"/>
          <w:szCs w:val="24"/>
        </w:rPr>
      </w:pPr>
      <w:r w:rsidRPr="000C1879">
        <w:rPr>
          <w:rFonts w:ascii="Times New Roman" w:hAnsi="Times New Roman" w:cs="Times New Roman"/>
          <w:bCs/>
          <w:color w:val="000000"/>
          <w:sz w:val="24"/>
          <w:szCs w:val="24"/>
        </w:rPr>
        <w:t>Истражувањето во рамките на оваа</w:t>
      </w:r>
      <w:r>
        <w:rPr>
          <w:rFonts w:ascii="Times New Roman" w:hAnsi="Times New Roman" w:cs="Times New Roman"/>
          <w:bCs/>
          <w:color w:val="000000"/>
          <w:sz w:val="24"/>
          <w:szCs w:val="24"/>
        </w:rPr>
        <w:t xml:space="preserve"> докторска дисертација преставува </w:t>
      </w:r>
      <w:r w:rsidRPr="000C1879">
        <w:rPr>
          <w:rFonts w:ascii="Times New Roman" w:hAnsi="Times New Roman" w:cs="Times New Roman"/>
          <w:bCs/>
          <w:color w:val="000000"/>
          <w:sz w:val="24"/>
          <w:szCs w:val="24"/>
        </w:rPr>
        <w:t>прос</w:t>
      </w:r>
      <w:r w:rsidRPr="00A926CA">
        <w:rPr>
          <w:rFonts w:ascii="Times New Roman" w:hAnsi="Times New Roman" w:cs="Times New Roman"/>
          <w:bCs/>
          <w:color w:val="000000"/>
          <w:sz w:val="24"/>
          <w:szCs w:val="24"/>
          <w:lang w:val="ru-RU"/>
        </w:rPr>
        <w:t>п</w:t>
      </w:r>
      <w:r w:rsidRPr="000C1879">
        <w:rPr>
          <w:rFonts w:ascii="Times New Roman" w:hAnsi="Times New Roman" w:cs="Times New Roman"/>
          <w:bCs/>
          <w:color w:val="000000"/>
          <w:sz w:val="24"/>
          <w:szCs w:val="24"/>
        </w:rPr>
        <w:t xml:space="preserve">ективна рандомизирана клиничка студија, </w:t>
      </w:r>
      <w:r>
        <w:rPr>
          <w:rFonts w:ascii="Times New Roman" w:hAnsi="Times New Roman" w:cs="Times New Roman"/>
          <w:bCs/>
          <w:color w:val="000000"/>
          <w:sz w:val="24"/>
          <w:szCs w:val="24"/>
        </w:rPr>
        <w:t xml:space="preserve">за </w:t>
      </w:r>
      <w:r w:rsidRPr="000C1879">
        <w:rPr>
          <w:rFonts w:ascii="Times New Roman" w:hAnsi="Times New Roman" w:cs="Times New Roman"/>
          <w:color w:val="000000"/>
          <w:sz w:val="24"/>
          <w:szCs w:val="24"/>
        </w:rPr>
        <w:t>утврдување на серумски и саливарни вредности на IL-33 кај пациенти со тумори на паротидни жлезди и контролна група испитаници</w:t>
      </w:r>
      <w:r>
        <w:rPr>
          <w:rFonts w:ascii="Times New Roman" w:hAnsi="Times New Roman" w:cs="Times New Roman"/>
          <w:color w:val="000000"/>
          <w:sz w:val="24"/>
          <w:szCs w:val="24"/>
        </w:rPr>
        <w:t xml:space="preserve">. Студијата </w:t>
      </w:r>
      <w:r w:rsidRPr="000C1879">
        <w:rPr>
          <w:rFonts w:ascii="Times New Roman" w:hAnsi="Times New Roman" w:cs="Times New Roman"/>
          <w:bCs/>
          <w:color w:val="000000"/>
          <w:sz w:val="24"/>
          <w:szCs w:val="24"/>
        </w:rPr>
        <w:t>беше имплементирана во периодот 2021/2022 година на Клиниката за Максилофацијална хирургија</w:t>
      </w:r>
      <w:r w:rsidRPr="00A926CA">
        <w:rPr>
          <w:rFonts w:ascii="Times New Roman" w:hAnsi="Times New Roman" w:cs="Times New Roman"/>
          <w:bCs/>
          <w:color w:val="000000"/>
          <w:sz w:val="24"/>
          <w:szCs w:val="24"/>
          <w:lang w:val="ru-RU"/>
        </w:rPr>
        <w:t xml:space="preserve">, </w:t>
      </w:r>
      <w:r w:rsidRPr="000C1879">
        <w:rPr>
          <w:rFonts w:ascii="Times New Roman" w:hAnsi="Times New Roman" w:cs="Times New Roman"/>
          <w:bCs/>
          <w:color w:val="000000"/>
          <w:sz w:val="24"/>
          <w:szCs w:val="24"/>
        </w:rPr>
        <w:t>Стоматолошки факултет</w:t>
      </w:r>
      <w:r>
        <w:rPr>
          <w:rFonts w:ascii="Times New Roman" w:hAnsi="Times New Roman" w:cs="Times New Roman"/>
          <w:bCs/>
          <w:color w:val="000000"/>
          <w:sz w:val="24"/>
          <w:szCs w:val="24"/>
        </w:rPr>
        <w:t>, УКИМ</w:t>
      </w:r>
      <w:r w:rsidRPr="000C1879">
        <w:rPr>
          <w:rFonts w:ascii="Times New Roman" w:hAnsi="Times New Roman" w:cs="Times New Roman"/>
          <w:bCs/>
          <w:color w:val="000000"/>
          <w:sz w:val="24"/>
          <w:szCs w:val="24"/>
        </w:rPr>
        <w:t xml:space="preserve"> – Скопје во соработка со Институтот за Имунологија и хумана генетика, Медицински факултет, </w:t>
      </w:r>
      <w:r>
        <w:rPr>
          <w:rFonts w:ascii="Times New Roman" w:hAnsi="Times New Roman" w:cs="Times New Roman"/>
          <w:bCs/>
          <w:color w:val="000000"/>
          <w:sz w:val="24"/>
          <w:szCs w:val="24"/>
        </w:rPr>
        <w:t>УКИМ</w:t>
      </w:r>
      <w:r w:rsidRPr="000C1879">
        <w:rPr>
          <w:rFonts w:ascii="Times New Roman" w:hAnsi="Times New Roman" w:cs="Times New Roman"/>
          <w:bCs/>
          <w:color w:val="000000"/>
          <w:sz w:val="24"/>
          <w:szCs w:val="24"/>
        </w:rPr>
        <w:t>– Скопје.</w:t>
      </w:r>
      <w:r w:rsidRPr="002104A3">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Сог</w:t>
      </w:r>
      <w:r w:rsidRPr="0025355D">
        <w:rPr>
          <w:rFonts w:ascii="Times New Roman" w:hAnsi="Times New Roman" w:cs="Times New Roman"/>
          <w:color w:val="212121"/>
          <w:sz w:val="24"/>
          <w:szCs w:val="24"/>
          <w:shd w:val="clear" w:color="auto" w:fill="FFFFFF"/>
        </w:rPr>
        <w:t>ласно однапре</w:t>
      </w:r>
      <w:r>
        <w:rPr>
          <w:rFonts w:ascii="Times New Roman" w:hAnsi="Times New Roman" w:cs="Times New Roman"/>
          <w:color w:val="212121"/>
          <w:sz w:val="24"/>
          <w:szCs w:val="24"/>
          <w:shd w:val="clear" w:color="auto" w:fill="FFFFFF"/>
        </w:rPr>
        <w:t>д одобрениот</w:t>
      </w:r>
      <w:r>
        <w:rPr>
          <w:rFonts w:ascii="Times New Roman" w:hAnsi="Times New Roman" w:cs="Times New Roman"/>
          <w:b/>
          <w:color w:val="FF0000"/>
          <w:sz w:val="24"/>
          <w:szCs w:val="24"/>
        </w:rPr>
        <w:t xml:space="preserve"> </w:t>
      </w:r>
      <w:r w:rsidRPr="002104A3">
        <w:rPr>
          <w:rFonts w:ascii="Times New Roman" w:hAnsi="Times New Roman" w:cs="Times New Roman"/>
          <w:color w:val="000000" w:themeColor="text1"/>
          <w:sz w:val="24"/>
          <w:szCs w:val="24"/>
        </w:rPr>
        <w:t>протокол од Етичка</w:t>
      </w:r>
      <w:r>
        <w:rPr>
          <w:rFonts w:ascii="Times New Roman" w:hAnsi="Times New Roman" w:cs="Times New Roman"/>
          <w:color w:val="000000" w:themeColor="text1"/>
          <w:sz w:val="24"/>
          <w:szCs w:val="24"/>
        </w:rPr>
        <w:t>та</w:t>
      </w:r>
      <w:r w:rsidRPr="002104A3">
        <w:rPr>
          <w:rFonts w:ascii="Times New Roman" w:hAnsi="Times New Roman" w:cs="Times New Roman"/>
          <w:color w:val="000000" w:themeColor="text1"/>
          <w:sz w:val="24"/>
          <w:szCs w:val="24"/>
        </w:rPr>
        <w:t xml:space="preserve"> комисија за медицинско-стоматолошки истражувања при Стоматолошкиот факултет-Скопје,</w:t>
      </w:r>
      <w:r w:rsidRPr="002104A3">
        <w:rPr>
          <w:rFonts w:ascii="Times New Roman" w:hAnsi="Times New Roman" w:cs="Times New Roman"/>
          <w:color w:val="000000" w:themeColor="text1"/>
          <w:sz w:val="24"/>
          <w:szCs w:val="24"/>
          <w:shd w:val="clear" w:color="auto" w:fill="FFFFFF"/>
        </w:rPr>
        <w:t xml:space="preserve"> </w:t>
      </w:r>
      <w:r w:rsidRPr="0025355D">
        <w:rPr>
          <w:rFonts w:ascii="Times New Roman" w:hAnsi="Times New Roman" w:cs="Times New Roman"/>
          <w:color w:val="212121"/>
          <w:sz w:val="24"/>
          <w:szCs w:val="24"/>
          <w:shd w:val="clear" w:color="auto" w:fill="FFFFFF"/>
        </w:rPr>
        <w:t xml:space="preserve">во истражувањето </w:t>
      </w:r>
      <w:r w:rsidR="00455EB5">
        <w:rPr>
          <w:rFonts w:ascii="Times New Roman" w:hAnsi="Times New Roman" w:cs="Times New Roman"/>
          <w:color w:val="212121"/>
          <w:sz w:val="24"/>
          <w:szCs w:val="24"/>
          <w:shd w:val="clear" w:color="auto" w:fill="FFFFFF"/>
        </w:rPr>
        <w:t>партиципираа</w:t>
      </w:r>
      <w:r w:rsidRPr="0025355D">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lang w:val="en-US"/>
        </w:rPr>
        <w:t>1</w:t>
      </w:r>
      <w:r>
        <w:rPr>
          <w:rFonts w:ascii="Times New Roman" w:hAnsi="Times New Roman" w:cs="Times New Roman"/>
          <w:color w:val="212121"/>
          <w:sz w:val="24"/>
          <w:szCs w:val="24"/>
          <w:shd w:val="clear" w:color="auto" w:fill="FFFFFF"/>
        </w:rPr>
        <w:t>20</w:t>
      </w:r>
      <w:r>
        <w:rPr>
          <w:rFonts w:ascii="Times New Roman" w:hAnsi="Times New Roman" w:cs="Times New Roman"/>
          <w:color w:val="212121"/>
          <w:sz w:val="24"/>
          <w:szCs w:val="24"/>
          <w:shd w:val="clear" w:color="auto" w:fill="FFFFFF"/>
          <w:lang w:val="en-US"/>
        </w:rPr>
        <w:t xml:space="preserve"> </w:t>
      </w:r>
      <w:r w:rsidRPr="0025355D">
        <w:rPr>
          <w:rFonts w:ascii="Times New Roman" w:hAnsi="Times New Roman" w:cs="Times New Roman"/>
          <w:color w:val="212121"/>
          <w:sz w:val="24"/>
          <w:szCs w:val="24"/>
          <w:shd w:val="clear" w:color="auto" w:fill="FFFFFF"/>
        </w:rPr>
        <w:t xml:space="preserve">испитаници на </w:t>
      </w:r>
      <w:r w:rsidRPr="0025355D">
        <w:rPr>
          <w:rFonts w:ascii="Times New Roman" w:hAnsi="Times New Roman" w:cs="Times New Roman"/>
          <w:sz w:val="24"/>
          <w:szCs w:val="24"/>
        </w:rPr>
        <w:t xml:space="preserve">возраст </w:t>
      </w:r>
      <w:r>
        <w:rPr>
          <w:rFonts w:ascii="Times New Roman" w:hAnsi="Times New Roman" w:cs="Times New Roman"/>
          <w:sz w:val="24"/>
          <w:szCs w:val="24"/>
          <w:lang w:val="en-US"/>
        </w:rPr>
        <w:t>&gt;</w:t>
      </w:r>
      <w:r w:rsidRPr="0025355D">
        <w:rPr>
          <w:rFonts w:ascii="Times New Roman" w:hAnsi="Times New Roman" w:cs="Times New Roman"/>
          <w:sz w:val="24"/>
          <w:szCs w:val="24"/>
        </w:rPr>
        <w:t>1</w:t>
      </w:r>
      <w:r>
        <w:rPr>
          <w:rFonts w:ascii="Times New Roman" w:hAnsi="Times New Roman" w:cs="Times New Roman"/>
          <w:sz w:val="24"/>
          <w:szCs w:val="24"/>
        </w:rPr>
        <w:t>4 години, независно од полот</w:t>
      </w:r>
      <w:r w:rsidRPr="0025355D">
        <w:rPr>
          <w:rFonts w:ascii="Times New Roman" w:hAnsi="Times New Roman" w:cs="Times New Roman"/>
          <w:sz w:val="24"/>
          <w:szCs w:val="24"/>
        </w:rPr>
        <w:t xml:space="preserve"> и останати социо-демографски карактеристики. </w:t>
      </w:r>
      <w:r w:rsidRPr="0025355D">
        <w:rPr>
          <w:rFonts w:ascii="Times New Roman" w:hAnsi="Times New Roman" w:cs="Times New Roman"/>
          <w:color w:val="000000"/>
          <w:sz w:val="24"/>
          <w:szCs w:val="24"/>
        </w:rPr>
        <w:t>Примерокот беше базиран на методот на прост случаен избор (</w:t>
      </w:r>
      <w:r w:rsidRPr="0025355D">
        <w:rPr>
          <w:rFonts w:ascii="Times New Roman" w:hAnsi="Times New Roman" w:cs="Times New Roman"/>
          <w:color w:val="000000"/>
          <w:sz w:val="24"/>
          <w:szCs w:val="24"/>
          <w:lang w:val="en-US"/>
        </w:rPr>
        <w:t>random sampling)</w:t>
      </w:r>
      <w:r>
        <w:rPr>
          <w:rFonts w:ascii="Times New Roman" w:hAnsi="Times New Roman" w:cs="Times New Roman"/>
          <w:color w:val="000000"/>
          <w:sz w:val="24"/>
          <w:szCs w:val="24"/>
        </w:rPr>
        <w:t>, со испитувана група од 62 пациенти со тумори на паротидните жлезди, и контролна група со 49 здрави испитаници</w:t>
      </w:r>
      <w:r w:rsidRPr="0025355D">
        <w:rPr>
          <w:rFonts w:ascii="Times New Roman" w:hAnsi="Times New Roman" w:cs="Times New Roman"/>
          <w:color w:val="000000"/>
          <w:sz w:val="24"/>
          <w:szCs w:val="24"/>
          <w:lang w:val="en-US"/>
        </w:rPr>
        <w:t>.</w:t>
      </w:r>
      <w:r w:rsidRPr="0025355D">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 xml:space="preserve">За </w:t>
      </w:r>
      <w:r w:rsidRPr="0025355D">
        <w:rPr>
          <w:rFonts w:ascii="Times New Roman" w:hAnsi="Times New Roman" w:cs="Times New Roman"/>
          <w:color w:val="212121"/>
          <w:sz w:val="24"/>
          <w:szCs w:val="24"/>
          <w:shd w:val="clear" w:color="auto" w:fill="FFFFFF"/>
        </w:rPr>
        <w:t>евалуација</w:t>
      </w:r>
      <w:r>
        <w:rPr>
          <w:rFonts w:ascii="Times New Roman" w:hAnsi="Times New Roman" w:cs="Times New Roman"/>
          <w:color w:val="212121"/>
          <w:sz w:val="24"/>
          <w:szCs w:val="24"/>
          <w:shd w:val="clear" w:color="auto" w:fill="FFFFFF"/>
        </w:rPr>
        <w:t xml:space="preserve">та на пациентите согласно целите на истражувањето користени беа податоци од достапната медицинска документација, историјата на болеста, клиничките согледувања на истражувачот и резултатите од имунолошки анализи за </w:t>
      </w:r>
      <w:r w:rsidRPr="000C1879">
        <w:rPr>
          <w:rFonts w:ascii="Times New Roman" w:hAnsi="Times New Roman" w:cs="Times New Roman"/>
          <w:color w:val="000000"/>
          <w:sz w:val="24"/>
          <w:szCs w:val="24"/>
        </w:rPr>
        <w:t xml:space="preserve">IL-33 </w:t>
      </w:r>
      <w:r>
        <w:rPr>
          <w:rFonts w:ascii="Times New Roman" w:hAnsi="Times New Roman" w:cs="Times New Roman"/>
          <w:color w:val="000000"/>
          <w:sz w:val="24"/>
          <w:szCs w:val="24"/>
        </w:rPr>
        <w:t xml:space="preserve">одредувани со </w:t>
      </w:r>
      <w:r w:rsidRPr="007D6D5F">
        <w:rPr>
          <w:rFonts w:ascii="Times New Roman" w:hAnsi="Times New Roman" w:cs="Times New Roman"/>
          <w:color w:val="202124"/>
          <w:sz w:val="24"/>
          <w:szCs w:val="24"/>
        </w:rPr>
        <w:t>мултиплексна ELISA сендвич метода</w:t>
      </w:r>
      <w:r>
        <w:rPr>
          <w:rFonts w:ascii="Times New Roman" w:hAnsi="Times New Roman" w:cs="Times New Roman"/>
          <w:color w:val="212121"/>
          <w:sz w:val="24"/>
          <w:szCs w:val="24"/>
          <w:shd w:val="clear" w:color="auto" w:fill="FFFFFF"/>
        </w:rPr>
        <w:t xml:space="preserve"> примероците од серум и салива за секој испитаник.</w:t>
      </w:r>
    </w:p>
    <w:p w:rsidR="002104A3" w:rsidRPr="001C0242" w:rsidRDefault="002104A3" w:rsidP="00421E8E">
      <w:pPr>
        <w:ind w:firstLine="720"/>
        <w:jc w:val="both"/>
        <w:rPr>
          <w:rFonts w:ascii="Times New Roman" w:hAnsi="Times New Roman" w:cs="Times New Roman"/>
          <w:color w:val="212121"/>
          <w:sz w:val="24"/>
          <w:szCs w:val="24"/>
          <w:shd w:val="clear" w:color="auto" w:fill="FFFFFF"/>
        </w:rPr>
      </w:pPr>
      <w:r>
        <w:rPr>
          <w:rFonts w:ascii="Georgia" w:hAnsi="Georgia"/>
          <w:b/>
          <w:noProof/>
          <w:color w:val="000000"/>
          <w:sz w:val="24"/>
          <w:szCs w:val="24"/>
          <w:lang w:val="en-US"/>
        </w:rPr>
        <w:drawing>
          <wp:inline distT="0" distB="0" distL="0" distR="0">
            <wp:extent cx="4038600" cy="2311400"/>
            <wp:effectExtent l="19050" t="0" r="0" b="0"/>
            <wp:docPr id="5" name="Picture 1" descr="СЛ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ИКА 1"/>
                    <pic:cNvPicPr>
                      <a:picLocks noChangeAspect="1" noChangeArrowheads="1"/>
                    </pic:cNvPicPr>
                  </pic:nvPicPr>
                  <pic:blipFill>
                    <a:blip r:embed="rId14"/>
                    <a:srcRect/>
                    <a:stretch>
                      <a:fillRect/>
                    </a:stretch>
                  </pic:blipFill>
                  <pic:spPr bwMode="auto">
                    <a:xfrm>
                      <a:off x="0" y="0"/>
                      <a:ext cx="4038600" cy="2311400"/>
                    </a:xfrm>
                    <a:prstGeom prst="rect">
                      <a:avLst/>
                    </a:prstGeom>
                    <a:noFill/>
                    <a:ln w="9525">
                      <a:noFill/>
                      <a:miter lim="800000"/>
                      <a:headEnd/>
                      <a:tailEnd/>
                    </a:ln>
                  </pic:spPr>
                </pic:pic>
              </a:graphicData>
            </a:graphic>
          </wp:inline>
        </w:drawing>
      </w:r>
    </w:p>
    <w:p w:rsidR="002104A3" w:rsidRPr="00356279" w:rsidRDefault="002104A3" w:rsidP="00421E8E">
      <w:pPr>
        <w:pStyle w:val="ListParagraph"/>
        <w:ind w:left="0"/>
        <w:contextualSpacing/>
        <w:rPr>
          <w:rFonts w:ascii="Times New Roman" w:hAnsi="Times New Roman" w:cs="Times New Roman"/>
          <w:color w:val="000000"/>
          <w:sz w:val="20"/>
          <w:szCs w:val="20"/>
        </w:rPr>
      </w:pPr>
    </w:p>
    <w:p w:rsidR="002104A3" w:rsidRPr="00356279" w:rsidRDefault="002104A3" w:rsidP="00421E8E">
      <w:pPr>
        <w:pStyle w:val="ListParagraph"/>
        <w:ind w:left="0"/>
        <w:contextualSpacing/>
        <w:rPr>
          <w:rFonts w:ascii="Georgia" w:hAnsi="Georgia"/>
          <w:color w:val="000000"/>
          <w:sz w:val="24"/>
          <w:szCs w:val="24"/>
        </w:rPr>
      </w:pPr>
      <w:r w:rsidRPr="008F7E61">
        <w:rPr>
          <w:rFonts w:ascii="Times New Roman" w:hAnsi="Times New Roman" w:cs="Times New Roman"/>
          <w:b/>
          <w:color w:val="000000"/>
          <w:sz w:val="20"/>
          <w:szCs w:val="20"/>
        </w:rPr>
        <w:t xml:space="preserve">Слика </w:t>
      </w:r>
      <w:r w:rsidR="008F7E61">
        <w:rPr>
          <w:rFonts w:ascii="Times New Roman" w:hAnsi="Times New Roman" w:cs="Times New Roman"/>
          <w:b/>
          <w:color w:val="000000"/>
          <w:sz w:val="20"/>
          <w:szCs w:val="20"/>
        </w:rPr>
        <w:t>4</w:t>
      </w:r>
      <w:r w:rsidRPr="00356279">
        <w:rPr>
          <w:rFonts w:ascii="Times New Roman" w:hAnsi="Times New Roman" w:cs="Times New Roman"/>
          <w:color w:val="000000"/>
          <w:sz w:val="20"/>
          <w:szCs w:val="20"/>
        </w:rPr>
        <w:t>. Приказ на алгоритамот на истражувањето</w:t>
      </w:r>
    </w:p>
    <w:p w:rsidR="00E75C00" w:rsidRPr="00356279" w:rsidRDefault="00E75C00" w:rsidP="00421E8E">
      <w:pPr>
        <w:pStyle w:val="ListParagraph"/>
        <w:autoSpaceDE w:val="0"/>
        <w:autoSpaceDN w:val="0"/>
        <w:adjustRightInd w:val="0"/>
        <w:ind w:left="0"/>
        <w:rPr>
          <w:rFonts w:ascii="Times New Roman" w:hAnsi="Times New Roman" w:cs="Times New Roman"/>
          <w:b/>
          <w:color w:val="000000" w:themeColor="text1"/>
          <w:sz w:val="24"/>
          <w:szCs w:val="24"/>
          <w:lang w:val="en-US"/>
        </w:rPr>
      </w:pPr>
    </w:p>
    <w:p w:rsidR="00B32014" w:rsidRPr="007D6D5F" w:rsidRDefault="00B32014" w:rsidP="00421E8E">
      <w:pPr>
        <w:spacing w:before="200"/>
        <w:rPr>
          <w:rFonts w:ascii="Times New Roman" w:hAnsi="Times New Roman" w:cs="Times New Roman"/>
          <w:sz w:val="24"/>
          <w:szCs w:val="24"/>
        </w:rPr>
      </w:pPr>
      <w:r w:rsidRPr="007D6D5F">
        <w:rPr>
          <w:rFonts w:ascii="Times New Roman" w:hAnsi="Times New Roman" w:cs="Times New Roman"/>
          <w:color w:val="000000"/>
          <w:kern w:val="24"/>
          <w:sz w:val="24"/>
          <w:szCs w:val="24"/>
          <w:lang w:val="ru-RU"/>
        </w:rPr>
        <w:t xml:space="preserve">Земени се примероци од венска крв (2 </w:t>
      </w:r>
      <w:r w:rsidRPr="007D6D5F">
        <w:rPr>
          <w:rFonts w:ascii="Times New Roman" w:hAnsi="Times New Roman" w:cs="Times New Roman"/>
          <w:color w:val="000000"/>
          <w:kern w:val="24"/>
          <w:sz w:val="24"/>
          <w:szCs w:val="24"/>
        </w:rPr>
        <w:t>ml)</w:t>
      </w:r>
      <w:r w:rsidRPr="007D6D5F">
        <w:rPr>
          <w:rFonts w:ascii="Times New Roman" w:hAnsi="Times New Roman" w:cs="Times New Roman"/>
          <w:color w:val="000000"/>
          <w:kern w:val="24"/>
          <w:sz w:val="24"/>
          <w:szCs w:val="24"/>
          <w:lang w:val="ru-RU"/>
        </w:rPr>
        <w:t xml:space="preserve"> и салива кај 62 испитаници– пациенти со целната саливарна патологија (49 пациенти со бенигни тумори, односно 13 пациенти со малигни неоплазми)</w:t>
      </w:r>
      <w:r w:rsidRPr="007D6D5F">
        <w:rPr>
          <w:rFonts w:ascii="Times New Roman" w:hAnsi="Times New Roman" w:cs="Times New Roman"/>
          <w:color w:val="000000"/>
          <w:kern w:val="24"/>
          <w:sz w:val="24"/>
          <w:szCs w:val="24"/>
        </w:rPr>
        <w:t xml:space="preserve">, непосредно пред хируршката интервенција, односно испитаниците немаат внесувано храна и течности 8 часа пред собирањето на примерокот. </w:t>
      </w:r>
    </w:p>
    <w:p w:rsidR="00587379" w:rsidRDefault="00B32014" w:rsidP="00421E8E">
      <w:pPr>
        <w:pStyle w:val="ListParagraph"/>
        <w:autoSpaceDE w:val="0"/>
        <w:autoSpaceDN w:val="0"/>
        <w:adjustRightInd w:val="0"/>
        <w:ind w:left="0"/>
        <w:rPr>
          <w:rFonts w:ascii="Times New Roman" w:hAnsi="Times New Roman" w:cs="Times New Roman"/>
          <w:b/>
          <w:color w:val="000000" w:themeColor="text1"/>
          <w:sz w:val="24"/>
          <w:szCs w:val="24"/>
        </w:rPr>
      </w:pPr>
      <w:r w:rsidRPr="007D6D5F">
        <w:rPr>
          <w:rFonts w:ascii="Times New Roman" w:hAnsi="Times New Roman" w:cs="Times New Roman"/>
          <w:color w:val="000000"/>
          <w:kern w:val="24"/>
          <w:sz w:val="24"/>
          <w:szCs w:val="24"/>
          <w:lang w:val="ru-RU"/>
        </w:rPr>
        <w:t>На ист начин земени се и примероци од 58 контролни испитаници</w:t>
      </w:r>
      <w:r w:rsidR="00F62B74">
        <w:rPr>
          <w:rFonts w:ascii="Times New Roman" w:hAnsi="Times New Roman" w:cs="Times New Roman"/>
          <w:color w:val="000000"/>
          <w:kern w:val="24"/>
          <w:sz w:val="24"/>
          <w:szCs w:val="24"/>
          <w:lang w:val="ru-RU"/>
        </w:rPr>
        <w:t xml:space="preserve">. </w:t>
      </w:r>
      <w:r w:rsidRPr="007D6D5F">
        <w:rPr>
          <w:rFonts w:ascii="Times New Roman" w:hAnsi="Times New Roman" w:cs="Times New Roman"/>
          <w:color w:val="000000"/>
          <w:kern w:val="24"/>
          <w:sz w:val="24"/>
          <w:szCs w:val="24"/>
          <w:lang w:val="ru-RU"/>
        </w:rPr>
        <w:t>Сите испитаници беа комплетно информ</w:t>
      </w:r>
      <w:r w:rsidR="00582023">
        <w:rPr>
          <w:rFonts w:ascii="Times New Roman" w:hAnsi="Times New Roman" w:cs="Times New Roman"/>
          <w:color w:val="000000"/>
          <w:kern w:val="24"/>
          <w:sz w:val="24"/>
          <w:szCs w:val="24"/>
          <w:lang w:val="ru-RU"/>
        </w:rPr>
        <w:t>ирани за постапката и потпишаа И</w:t>
      </w:r>
      <w:r w:rsidRPr="007D6D5F">
        <w:rPr>
          <w:rFonts w:ascii="Times New Roman" w:hAnsi="Times New Roman" w:cs="Times New Roman"/>
          <w:color w:val="000000"/>
          <w:kern w:val="24"/>
          <w:sz w:val="24"/>
          <w:szCs w:val="24"/>
          <w:lang w:val="ru-RU"/>
        </w:rPr>
        <w:t xml:space="preserve">нформирана согласност пред почетокот на испитувањето. </w:t>
      </w:r>
    </w:p>
    <w:p w:rsidR="00587379" w:rsidRDefault="00587379" w:rsidP="00421E8E">
      <w:pPr>
        <w:pStyle w:val="ListParagraph"/>
        <w:autoSpaceDE w:val="0"/>
        <w:autoSpaceDN w:val="0"/>
        <w:adjustRightInd w:val="0"/>
        <w:ind w:left="0"/>
        <w:rPr>
          <w:rFonts w:ascii="Times New Roman" w:hAnsi="Times New Roman" w:cs="Times New Roman"/>
          <w:b/>
          <w:color w:val="000000" w:themeColor="text1"/>
          <w:sz w:val="24"/>
          <w:szCs w:val="24"/>
        </w:rPr>
      </w:pPr>
    </w:p>
    <w:p w:rsidR="00587379" w:rsidRDefault="00455EB5" w:rsidP="00421E8E">
      <w:pPr>
        <w:pStyle w:val="ListParagraph"/>
        <w:autoSpaceDE w:val="0"/>
        <w:autoSpaceDN w:val="0"/>
        <w:adjustRightInd w:val="0"/>
        <w:ind w:left="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5.1</w:t>
      </w:r>
      <w:r w:rsidR="00587379" w:rsidRPr="00587379">
        <w:rPr>
          <w:rFonts w:ascii="Times New Roman" w:hAnsi="Times New Roman" w:cs="Times New Roman"/>
          <w:b/>
          <w:color w:val="000000" w:themeColor="text1"/>
          <w:sz w:val="24"/>
          <w:szCs w:val="24"/>
        </w:rPr>
        <w:t xml:space="preserve"> Инклузиони критериуми:</w:t>
      </w:r>
      <w:r w:rsidR="00587379" w:rsidRPr="00587379">
        <w:rPr>
          <w:rFonts w:ascii="Times New Roman" w:hAnsi="Times New Roman" w:cs="Times New Roman"/>
          <w:color w:val="000000" w:themeColor="text1"/>
          <w:sz w:val="24"/>
          <w:szCs w:val="24"/>
        </w:rPr>
        <w:t xml:space="preserve"> </w:t>
      </w:r>
    </w:p>
    <w:p w:rsidR="00587379" w:rsidRPr="00587379" w:rsidRDefault="00587379" w:rsidP="00421E8E">
      <w:pPr>
        <w:pStyle w:val="ListParagraph"/>
        <w:autoSpaceDE w:val="0"/>
        <w:autoSpaceDN w:val="0"/>
        <w:adjustRightInd w:val="0"/>
        <w:ind w:left="0"/>
        <w:rPr>
          <w:rFonts w:ascii="Times New Roman" w:hAnsi="Times New Roman" w:cs="Times New Roman"/>
          <w:color w:val="000000" w:themeColor="text1"/>
          <w:sz w:val="24"/>
          <w:szCs w:val="24"/>
        </w:rPr>
      </w:pPr>
      <w:r w:rsidRPr="00587379">
        <w:rPr>
          <w:rFonts w:ascii="Times New Roman" w:hAnsi="Times New Roman" w:cs="Times New Roman"/>
          <w:color w:val="000000" w:themeColor="text1"/>
          <w:sz w:val="24"/>
          <w:szCs w:val="24"/>
        </w:rPr>
        <w:t>Пациенти со тумори на паротидните жлезди (бенигни и малигни), постари од 14 години</w:t>
      </w:r>
      <w:r w:rsidR="009C5864">
        <w:rPr>
          <w:rFonts w:ascii="Times New Roman" w:hAnsi="Times New Roman" w:cs="Times New Roman"/>
          <w:color w:val="000000" w:themeColor="text1"/>
          <w:sz w:val="24"/>
          <w:szCs w:val="24"/>
        </w:rPr>
        <w:t>; контролната група испитаници, без дијагностицирана патологија</w:t>
      </w:r>
    </w:p>
    <w:p w:rsidR="00894BA3" w:rsidRDefault="00894BA3" w:rsidP="00421E8E">
      <w:pPr>
        <w:pStyle w:val="ListParagraph"/>
        <w:autoSpaceDE w:val="0"/>
        <w:autoSpaceDN w:val="0"/>
        <w:adjustRightInd w:val="0"/>
        <w:ind w:left="0"/>
        <w:rPr>
          <w:rFonts w:ascii="Times New Roman" w:hAnsi="Times New Roman" w:cs="Times New Roman"/>
          <w:b/>
          <w:color w:val="000000" w:themeColor="text1"/>
          <w:sz w:val="24"/>
          <w:szCs w:val="24"/>
        </w:rPr>
      </w:pPr>
    </w:p>
    <w:p w:rsidR="00587379" w:rsidRDefault="00B44BA0" w:rsidP="00421E8E">
      <w:pPr>
        <w:pStyle w:val="ListParagraph"/>
        <w:autoSpaceDE w:val="0"/>
        <w:autoSpaceDN w:val="0"/>
        <w:adjustRightInd w:val="0"/>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5.2 </w:t>
      </w:r>
      <w:r w:rsidR="00587379" w:rsidRPr="00587379">
        <w:rPr>
          <w:rFonts w:ascii="Times New Roman" w:hAnsi="Times New Roman" w:cs="Times New Roman"/>
          <w:b/>
          <w:color w:val="000000" w:themeColor="text1"/>
          <w:sz w:val="24"/>
          <w:szCs w:val="24"/>
        </w:rPr>
        <w:t xml:space="preserve"> Екслузиони критериуми:</w:t>
      </w:r>
    </w:p>
    <w:p w:rsidR="00587379" w:rsidRPr="00587379" w:rsidRDefault="00587379" w:rsidP="00421E8E">
      <w:pPr>
        <w:pStyle w:val="ListParagraph"/>
        <w:autoSpaceDE w:val="0"/>
        <w:autoSpaceDN w:val="0"/>
        <w:adjustRightInd w:val="0"/>
        <w:ind w:left="0"/>
        <w:rPr>
          <w:rFonts w:ascii="Times New Roman" w:hAnsi="Times New Roman" w:cs="Times New Roman"/>
          <w:color w:val="000000" w:themeColor="text1"/>
          <w:sz w:val="24"/>
          <w:szCs w:val="24"/>
          <w:lang w:val="en-US"/>
        </w:rPr>
      </w:pPr>
      <w:r w:rsidRPr="00587379">
        <w:rPr>
          <w:rFonts w:ascii="Times New Roman" w:hAnsi="Times New Roman" w:cs="Times New Roman"/>
          <w:color w:val="000000" w:themeColor="text1"/>
          <w:sz w:val="24"/>
          <w:szCs w:val="24"/>
        </w:rPr>
        <w:t>Во рамките на ова истражување, не беа вклучени пациенти</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со дијагностициран: </w:t>
      </w:r>
      <w:r w:rsidRPr="007D6D5F">
        <w:rPr>
          <w:rFonts w:ascii="Times New Roman" w:hAnsi="Times New Roman" w:cs="Times New Roman"/>
          <w:color w:val="000000"/>
          <w:kern w:val="24"/>
          <w:sz w:val="24"/>
          <w:szCs w:val="24"/>
          <w:lang w:val="ru-RU"/>
        </w:rPr>
        <w:t>реуматоиден артри</w:t>
      </w:r>
      <w:r>
        <w:rPr>
          <w:rFonts w:ascii="Times New Roman" w:hAnsi="Times New Roman" w:cs="Times New Roman"/>
          <w:color w:val="000000"/>
          <w:kern w:val="24"/>
          <w:sz w:val="24"/>
          <w:szCs w:val="24"/>
          <w:lang w:val="ru-RU"/>
        </w:rPr>
        <w:t xml:space="preserve">т, анкилозен спондилит, астма,псоријаза, </w:t>
      </w:r>
      <w:r w:rsidRPr="007D6D5F">
        <w:rPr>
          <w:rFonts w:ascii="Times New Roman" w:hAnsi="Times New Roman" w:cs="Times New Roman"/>
          <w:color w:val="000000"/>
          <w:kern w:val="24"/>
          <w:sz w:val="24"/>
          <w:szCs w:val="24"/>
          <w:lang w:val="ru-RU"/>
        </w:rPr>
        <w:t>метаболни нарушувања</w:t>
      </w:r>
      <w:r>
        <w:rPr>
          <w:rFonts w:ascii="Times New Roman" w:hAnsi="Times New Roman" w:cs="Times New Roman"/>
          <w:color w:val="000000"/>
          <w:kern w:val="24"/>
          <w:sz w:val="24"/>
          <w:szCs w:val="24"/>
          <w:lang w:val="ru-RU"/>
        </w:rPr>
        <w:t xml:space="preserve"> кардиоваскуларни</w:t>
      </w:r>
      <w:r>
        <w:rPr>
          <w:rFonts w:ascii="Times New Roman" w:hAnsi="Times New Roman" w:cs="Times New Roman"/>
          <w:color w:val="000000" w:themeColor="text1"/>
          <w:sz w:val="24"/>
          <w:szCs w:val="24"/>
        </w:rPr>
        <w:t>, малигни и автоимуни заболувања</w:t>
      </w:r>
      <w:r w:rsidRPr="00587379">
        <w:rPr>
          <w:rFonts w:ascii="Times New Roman" w:hAnsi="Times New Roman" w:cs="Times New Roman"/>
          <w:color w:val="000000" w:themeColor="text1"/>
          <w:sz w:val="24"/>
          <w:szCs w:val="24"/>
        </w:rPr>
        <w:t>.</w:t>
      </w:r>
    </w:p>
    <w:p w:rsidR="00894BA3" w:rsidRDefault="00894BA3" w:rsidP="00421E8E">
      <w:pPr>
        <w:spacing w:before="200"/>
        <w:rPr>
          <w:rFonts w:ascii="Times New Roman" w:hAnsi="Times New Roman" w:cs="Times New Roman"/>
          <w:b/>
          <w:color w:val="000000"/>
          <w:kern w:val="24"/>
          <w:sz w:val="24"/>
          <w:szCs w:val="24"/>
        </w:rPr>
      </w:pPr>
    </w:p>
    <w:p w:rsidR="002104A3" w:rsidRPr="002104A3" w:rsidRDefault="00B44BA0" w:rsidP="00421E8E">
      <w:pPr>
        <w:spacing w:before="200"/>
        <w:rPr>
          <w:rFonts w:ascii="Times New Roman" w:hAnsi="Times New Roman" w:cs="Times New Roman"/>
          <w:b/>
          <w:color w:val="000000"/>
          <w:kern w:val="24"/>
          <w:sz w:val="24"/>
          <w:szCs w:val="24"/>
        </w:rPr>
      </w:pPr>
      <w:r>
        <w:rPr>
          <w:rFonts w:ascii="Times New Roman" w:hAnsi="Times New Roman" w:cs="Times New Roman"/>
          <w:b/>
          <w:color w:val="000000"/>
          <w:kern w:val="24"/>
          <w:sz w:val="24"/>
          <w:szCs w:val="24"/>
        </w:rPr>
        <w:t>5.3</w:t>
      </w:r>
      <w:r w:rsidR="002104A3" w:rsidRPr="002104A3">
        <w:rPr>
          <w:rFonts w:ascii="Times New Roman" w:hAnsi="Times New Roman" w:cs="Times New Roman"/>
          <w:b/>
          <w:color w:val="000000"/>
          <w:kern w:val="24"/>
          <w:sz w:val="24"/>
          <w:szCs w:val="24"/>
        </w:rPr>
        <w:t xml:space="preserve"> Подготовка на примерокот</w:t>
      </w:r>
    </w:p>
    <w:p w:rsidR="00B32014" w:rsidRPr="007D6D5F" w:rsidRDefault="000E4D8C" w:rsidP="00421E8E">
      <w:pPr>
        <w:spacing w:before="200"/>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Примероците се понатаму </w:t>
      </w:r>
      <w:r w:rsidR="00EC28B2">
        <w:rPr>
          <w:rFonts w:ascii="Times New Roman" w:hAnsi="Times New Roman" w:cs="Times New Roman"/>
          <w:color w:val="000000"/>
          <w:kern w:val="24"/>
          <w:sz w:val="24"/>
          <w:szCs w:val="24"/>
        </w:rPr>
        <w:t>процесирани, односно конзервирани на температура од -20°С на Имунологија и хумана генетика</w:t>
      </w:r>
      <w:r w:rsidR="00EC28B2">
        <w:rPr>
          <w:rFonts w:ascii="Times New Roman" w:hAnsi="Times New Roman" w:cs="Times New Roman"/>
          <w:bCs/>
          <w:color w:val="000000"/>
          <w:sz w:val="24"/>
          <w:szCs w:val="24"/>
        </w:rPr>
        <w:t>-</w:t>
      </w:r>
      <w:r w:rsidR="00EC28B2" w:rsidRPr="000C1879">
        <w:rPr>
          <w:rFonts w:ascii="Times New Roman" w:hAnsi="Times New Roman" w:cs="Times New Roman"/>
          <w:bCs/>
          <w:color w:val="000000"/>
          <w:sz w:val="24"/>
          <w:szCs w:val="24"/>
        </w:rPr>
        <w:t xml:space="preserve">Медицински факултет, </w:t>
      </w:r>
      <w:r w:rsidR="00EC28B2">
        <w:rPr>
          <w:rFonts w:ascii="Times New Roman" w:hAnsi="Times New Roman" w:cs="Times New Roman"/>
          <w:bCs/>
          <w:color w:val="000000"/>
          <w:sz w:val="24"/>
          <w:szCs w:val="24"/>
        </w:rPr>
        <w:t>УКИМ</w:t>
      </w:r>
      <w:r w:rsidR="00EC28B2" w:rsidRPr="000C1879">
        <w:rPr>
          <w:rFonts w:ascii="Times New Roman" w:hAnsi="Times New Roman" w:cs="Times New Roman"/>
          <w:bCs/>
          <w:color w:val="000000"/>
          <w:sz w:val="24"/>
          <w:szCs w:val="24"/>
        </w:rPr>
        <w:t>– Скопје.</w:t>
      </w:r>
      <w:r w:rsidR="00EC28B2">
        <w:rPr>
          <w:rFonts w:ascii="Times New Roman" w:hAnsi="Times New Roman" w:cs="Times New Roman"/>
          <w:color w:val="000000"/>
          <w:kern w:val="24"/>
          <w:sz w:val="24"/>
          <w:szCs w:val="24"/>
        </w:rPr>
        <w:t xml:space="preserve"> </w:t>
      </w:r>
    </w:p>
    <w:p w:rsidR="00B32014" w:rsidRPr="007D6D5F" w:rsidRDefault="00B32014" w:rsidP="00421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7D6D5F">
        <w:rPr>
          <w:rFonts w:ascii="Times New Roman" w:hAnsi="Times New Roman" w:cs="Times New Roman"/>
          <w:color w:val="000000"/>
          <w:kern w:val="24"/>
          <w:sz w:val="24"/>
          <w:szCs w:val="24"/>
        </w:rPr>
        <w:t xml:space="preserve">За анализа на примероците, која што е направена на </w:t>
      </w:r>
      <w:r w:rsidR="00EC28B2">
        <w:rPr>
          <w:rFonts w:ascii="Times New Roman" w:hAnsi="Times New Roman" w:cs="Times New Roman"/>
          <w:color w:val="000000"/>
          <w:kern w:val="24"/>
          <w:sz w:val="24"/>
          <w:szCs w:val="24"/>
        </w:rPr>
        <w:t xml:space="preserve">горенаведениот </w:t>
      </w:r>
      <w:r w:rsidRPr="007D6D5F">
        <w:rPr>
          <w:rFonts w:ascii="Times New Roman" w:hAnsi="Times New Roman" w:cs="Times New Roman"/>
          <w:color w:val="000000"/>
          <w:kern w:val="24"/>
          <w:sz w:val="24"/>
          <w:szCs w:val="24"/>
        </w:rPr>
        <w:t>Институт</w:t>
      </w:r>
      <w:r w:rsidR="00EC28B2">
        <w:rPr>
          <w:rFonts w:ascii="Times New Roman" w:hAnsi="Times New Roman" w:cs="Times New Roman"/>
          <w:color w:val="000000"/>
          <w:kern w:val="24"/>
          <w:sz w:val="24"/>
          <w:szCs w:val="24"/>
        </w:rPr>
        <w:t xml:space="preserve">, </w:t>
      </w:r>
      <w:r w:rsidRPr="007D6D5F">
        <w:rPr>
          <w:rFonts w:ascii="Times New Roman" w:hAnsi="Times New Roman" w:cs="Times New Roman"/>
          <w:color w:val="000000"/>
          <w:kern w:val="24"/>
          <w:sz w:val="24"/>
          <w:szCs w:val="24"/>
        </w:rPr>
        <w:t xml:space="preserve">користен е комплет за анализа на IL-33 од </w:t>
      </w:r>
      <w:r w:rsidRPr="0010111A">
        <w:rPr>
          <w:rFonts w:ascii="Times New Roman" w:hAnsi="Times New Roman" w:cs="Times New Roman"/>
          <w:b/>
          <w:sz w:val="24"/>
          <w:szCs w:val="24"/>
        </w:rPr>
        <w:t>RnD Systems, САД</w:t>
      </w:r>
      <w:r w:rsidRPr="007D6D5F">
        <w:rPr>
          <w:rFonts w:ascii="Times New Roman" w:hAnsi="Times New Roman" w:cs="Times New Roman"/>
          <w:sz w:val="24"/>
          <w:szCs w:val="24"/>
        </w:rPr>
        <w:t xml:space="preserve">. </w:t>
      </w:r>
      <w:r w:rsidRPr="007D6D5F">
        <w:rPr>
          <w:rFonts w:ascii="Times New Roman" w:hAnsi="Times New Roman" w:cs="Times New Roman"/>
          <w:color w:val="202124"/>
          <w:sz w:val="24"/>
          <w:szCs w:val="24"/>
        </w:rPr>
        <w:t>RnD Systems комплетот ги содржи сите компоненти потребни за скрининг на 50 хумани биомаркери во клеточен супернатант, примероци од плазма и серум со мултиплексна ELISA сендвич метода.</w:t>
      </w:r>
    </w:p>
    <w:p w:rsidR="00B32014" w:rsidRPr="007D6D5F" w:rsidRDefault="00B32014" w:rsidP="00421E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02124"/>
          <w:sz w:val="24"/>
          <w:szCs w:val="24"/>
        </w:rPr>
      </w:pPr>
      <w:r w:rsidRPr="007D6D5F">
        <w:rPr>
          <w:rFonts w:ascii="Times New Roman" w:hAnsi="Times New Roman" w:cs="Times New Roman"/>
          <w:color w:val="202124"/>
          <w:sz w:val="24"/>
          <w:szCs w:val="24"/>
        </w:rPr>
        <w:t>Постапката на обработка на примероците е опишана во текстот к</w:t>
      </w:r>
      <w:r w:rsidR="006573B8">
        <w:rPr>
          <w:rFonts w:ascii="Times New Roman" w:hAnsi="Times New Roman" w:cs="Times New Roman"/>
          <w:color w:val="202124"/>
          <w:sz w:val="24"/>
          <w:szCs w:val="24"/>
        </w:rPr>
        <w:t>ој следува:</w:t>
      </w:r>
    </w:p>
    <w:p w:rsidR="00B32014" w:rsidRPr="007D6D5F" w:rsidRDefault="00B32014" w:rsidP="00421E8E">
      <w:pPr>
        <w:rPr>
          <w:rFonts w:ascii="Times New Roman" w:hAnsi="Times New Roman" w:cs="Times New Roman"/>
          <w:sz w:val="24"/>
          <w:szCs w:val="24"/>
        </w:rPr>
      </w:pPr>
      <w:r w:rsidRPr="007D6D5F">
        <w:rPr>
          <w:rFonts w:ascii="Times New Roman" w:hAnsi="Times New Roman" w:cs="Times New Roman"/>
          <w:sz w:val="24"/>
          <w:szCs w:val="24"/>
        </w:rPr>
        <w:t>На денот на анализа</w:t>
      </w:r>
      <w:r w:rsidR="00B44BA0">
        <w:rPr>
          <w:rFonts w:ascii="Times New Roman" w:hAnsi="Times New Roman" w:cs="Times New Roman"/>
          <w:sz w:val="24"/>
          <w:szCs w:val="24"/>
        </w:rPr>
        <w:t xml:space="preserve">та, непосредно пред употребата </w:t>
      </w:r>
      <w:r w:rsidRPr="007D6D5F">
        <w:rPr>
          <w:rFonts w:ascii="Times New Roman" w:hAnsi="Times New Roman" w:cs="Times New Roman"/>
          <w:sz w:val="24"/>
          <w:szCs w:val="24"/>
        </w:rPr>
        <w:t>(односно разредувањето) сите замрзнати примероци од серум и плазма се центрифугираат на 16.000 x g во траење од 4 минути. Пред употреба, сите реагенси и примероци треба да бидат на собна температура. Се препорачува сите стандарди и примероци да се анализираат во дупликат.</w:t>
      </w:r>
    </w:p>
    <w:p w:rsidR="00B32014" w:rsidRPr="007D6D5F" w:rsidRDefault="00B32014" w:rsidP="00421E8E">
      <w:pPr>
        <w:rPr>
          <w:rFonts w:ascii="Times New Roman" w:hAnsi="Times New Roman" w:cs="Times New Roman"/>
          <w:sz w:val="24"/>
          <w:szCs w:val="24"/>
        </w:rPr>
      </w:pPr>
      <w:r w:rsidRPr="007D6D5F">
        <w:rPr>
          <w:rFonts w:ascii="Times New Roman" w:hAnsi="Times New Roman" w:cs="Times New Roman"/>
          <w:sz w:val="24"/>
          <w:szCs w:val="24"/>
        </w:rPr>
        <w:t>Супернат</w:t>
      </w:r>
      <w:r w:rsidR="00EC28B2">
        <w:rPr>
          <w:rFonts w:ascii="Times New Roman" w:hAnsi="Times New Roman" w:cs="Times New Roman"/>
          <w:sz w:val="24"/>
          <w:szCs w:val="24"/>
        </w:rPr>
        <w:t>а</w:t>
      </w:r>
      <w:r w:rsidRPr="007D6D5F">
        <w:rPr>
          <w:rFonts w:ascii="Times New Roman" w:hAnsi="Times New Roman" w:cs="Times New Roman"/>
          <w:sz w:val="24"/>
          <w:szCs w:val="24"/>
        </w:rPr>
        <w:t>н</w:t>
      </w:r>
      <w:r w:rsidR="00EC28B2">
        <w:rPr>
          <w:rFonts w:ascii="Times New Roman" w:hAnsi="Times New Roman" w:cs="Times New Roman"/>
          <w:sz w:val="24"/>
          <w:szCs w:val="24"/>
        </w:rPr>
        <w:t>т</w:t>
      </w:r>
      <w:r w:rsidRPr="007D6D5F">
        <w:rPr>
          <w:rFonts w:ascii="Times New Roman" w:hAnsi="Times New Roman" w:cs="Times New Roman"/>
          <w:sz w:val="24"/>
          <w:szCs w:val="24"/>
        </w:rPr>
        <w:t>от на клеточната култура, серумот и плазмата, бараат најмалку двократно разредување. Предложено двократно разредување се постигнува со додавање на 75 µL примерок + 75 µL разредувач за калибратор RD6-52. Потребно е темелно промешување.</w:t>
      </w:r>
    </w:p>
    <w:p w:rsidR="00B32014" w:rsidRPr="007D6D5F" w:rsidRDefault="00B32014" w:rsidP="00421E8E">
      <w:pPr>
        <w:rPr>
          <w:rFonts w:ascii="Times New Roman" w:hAnsi="Times New Roman" w:cs="Times New Roman"/>
          <w:sz w:val="24"/>
          <w:szCs w:val="24"/>
        </w:rPr>
      </w:pPr>
      <w:r w:rsidRPr="007D6D5F">
        <w:rPr>
          <w:rFonts w:ascii="Times New Roman" w:hAnsi="Times New Roman" w:cs="Times New Roman"/>
          <w:sz w:val="24"/>
          <w:szCs w:val="24"/>
        </w:rPr>
        <w:t>Биомаркери за кои се смета дека се затапени во поголемо количество, може да бараат дополнително разредување како 50-,200-, 4000 или 40,000 пати.</w:t>
      </w:r>
      <w:r w:rsidR="00EC28B2">
        <w:rPr>
          <w:rFonts w:ascii="Times New Roman" w:hAnsi="Times New Roman" w:cs="Times New Roman"/>
          <w:sz w:val="24"/>
          <w:szCs w:val="24"/>
        </w:rPr>
        <w:t xml:space="preserve"> </w:t>
      </w:r>
      <w:r w:rsidRPr="007D6D5F">
        <w:rPr>
          <w:rFonts w:ascii="Times New Roman" w:hAnsi="Times New Roman" w:cs="Times New Roman"/>
          <w:sz w:val="24"/>
          <w:szCs w:val="24"/>
        </w:rPr>
        <w:t>Предложено 50-кратно разредување е 10µL примерок + 490µL разредувач за калибратор RD6-52. Предложено 200-кратно разредување може да се постигне со додавање на 10µL примерок на 90µL разредувач на калибратор RD6-52. 200-кратното разредување се завршува со додавање 10µL од разредената мостра на 190µL калибраторски разредувач RD6-52.</w:t>
      </w:r>
      <w:r w:rsidR="00B44BA0">
        <w:rPr>
          <w:rFonts w:ascii="Times New Roman" w:hAnsi="Times New Roman" w:cs="Times New Roman"/>
          <w:sz w:val="24"/>
          <w:szCs w:val="24"/>
        </w:rPr>
        <w:t xml:space="preserve"> </w:t>
      </w:r>
      <w:r w:rsidRPr="007D6D5F">
        <w:rPr>
          <w:rFonts w:ascii="Times New Roman" w:hAnsi="Times New Roman" w:cs="Times New Roman"/>
          <w:sz w:val="24"/>
          <w:szCs w:val="24"/>
        </w:rPr>
        <w:t>Предложено 4000-кратно разредување може да се постигне со додавање на 10µL од 200-кратно разредена мостра на 190µL разредувач на калибратор RD6-52.Предложено разредување од 40.000 пати може да се постигне со додавање на 20 µL од 4000 пати разредена мостра на 180 µL калибраторски разредувач RD6-52.</w:t>
      </w:r>
    </w:p>
    <w:p w:rsidR="0010111A" w:rsidRDefault="0010111A" w:rsidP="00421E8E">
      <w:pPr>
        <w:pStyle w:val="HTMLPreformatted"/>
        <w:shd w:val="clear" w:color="auto" w:fill="FFFFFF"/>
        <w:rPr>
          <w:rStyle w:val="y2iqfc"/>
          <w:rFonts w:ascii="Times New Roman" w:hAnsi="Times New Roman" w:cs="Times New Roman"/>
          <w:b/>
          <w:color w:val="202124"/>
          <w:sz w:val="24"/>
          <w:szCs w:val="24"/>
          <w:lang w:val="mk-MK"/>
        </w:rPr>
      </w:pPr>
    </w:p>
    <w:p w:rsidR="00894BA3" w:rsidRDefault="00894BA3" w:rsidP="00421E8E">
      <w:pPr>
        <w:pStyle w:val="HTMLPreformatted"/>
        <w:shd w:val="clear" w:color="auto" w:fill="FFFFFF"/>
        <w:rPr>
          <w:rFonts w:ascii="Times New Roman" w:hAnsi="Times New Roman" w:cs="Times New Roman"/>
          <w:b/>
          <w:color w:val="202124"/>
          <w:sz w:val="24"/>
          <w:szCs w:val="24"/>
          <w:lang w:val="mk-MK"/>
        </w:rPr>
      </w:pPr>
    </w:p>
    <w:p w:rsidR="006573B8" w:rsidRPr="006573B8" w:rsidRDefault="00B44BA0" w:rsidP="00421E8E">
      <w:pPr>
        <w:pStyle w:val="HTMLPreformatted"/>
        <w:shd w:val="clear" w:color="auto" w:fill="FFFFFF"/>
        <w:rPr>
          <w:rFonts w:ascii="Times New Roman" w:hAnsi="Times New Roman" w:cs="Times New Roman"/>
          <w:b/>
          <w:color w:val="202124"/>
          <w:sz w:val="24"/>
          <w:szCs w:val="24"/>
        </w:rPr>
      </w:pPr>
      <w:r>
        <w:rPr>
          <w:rFonts w:ascii="Times New Roman" w:hAnsi="Times New Roman" w:cs="Times New Roman"/>
          <w:b/>
          <w:color w:val="202124"/>
          <w:sz w:val="24"/>
          <w:szCs w:val="24"/>
          <w:lang w:val="mk-MK"/>
        </w:rPr>
        <w:t>5.4</w:t>
      </w:r>
      <w:r w:rsidR="006573B8" w:rsidRPr="006573B8">
        <w:rPr>
          <w:rFonts w:ascii="Times New Roman" w:hAnsi="Times New Roman" w:cs="Times New Roman"/>
          <w:b/>
          <w:color w:val="202124"/>
          <w:sz w:val="24"/>
          <w:szCs w:val="24"/>
        </w:rPr>
        <w:t xml:space="preserve"> Методолошка процедура за анализа</w:t>
      </w:r>
    </w:p>
    <w:p w:rsidR="00B32014" w:rsidRPr="0010111A" w:rsidRDefault="00B32014" w:rsidP="00421E8E">
      <w:pPr>
        <w:pStyle w:val="HTMLPreformatted"/>
        <w:shd w:val="clear" w:color="auto" w:fill="FFFFFF"/>
        <w:rPr>
          <w:rStyle w:val="y2iqfc"/>
          <w:rFonts w:ascii="Times New Roman" w:hAnsi="Times New Roman" w:cs="Times New Roman"/>
          <w:b/>
          <w:color w:val="202124"/>
          <w:sz w:val="24"/>
          <w:szCs w:val="24"/>
          <w:lang w:val="mk-MK"/>
        </w:rPr>
      </w:pP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1.Се подготвуваат сите реагенси и примероци како што е претходно наведено.</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 xml:space="preserve">2. Се додава 50 µL примерок по празнина на микроплочката. </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3. Повторно се раствара разредениот коктел со микрочестички. Се додава 50 µL од коктелот со микрочестички во секоја празнина на микроплочката. Се покрива со фолија. Се инкубира 2 часа на собна температура на хоризонтален орбитален шејкер со микроплоча поставен на 800 ± 50 вртежи во минута.</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 xml:space="preserve">4. Користејќи магнетен уред дизајниран за микроплоча, се врши промивање со нанесување магнет на дното на микроплочката, се остава 1 минута пред да се извади течноста, се полни секоја празнина на микроплочката со пуфер за промивање (100µL) и </w:t>
      </w:r>
      <w:r w:rsidRPr="007D6D5F">
        <w:rPr>
          <w:rStyle w:val="y2iqfc"/>
          <w:rFonts w:ascii="Times New Roman" w:hAnsi="Times New Roman" w:cs="Times New Roman"/>
          <w:color w:val="202124"/>
          <w:sz w:val="24"/>
          <w:szCs w:val="24"/>
          <w:lang w:val="mk-MK"/>
        </w:rPr>
        <w:lastRenderedPageBreak/>
        <w:t>се остава 1 минута пред повторно да се отстраани течноста. Постапката се повторува три пати.</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5. Се додава 50 µL разреден коктел биотин-антитела во секоја празнина на плочката.Се покрива со фолија се инкубира 1 час на собна температура на шејкер поставен на 800 ± 50 вртежи во минута.</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6. Се повторува постапката под број 4.</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7. Се додава 50 µL разреден Streptavidin-PE во секоја празнина. По покрибвање со фолија, се инкубира на собна температура 30 минути на шејкер поставен на 800 ± 50 вртежи во минута.</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8. Се повторува постапката под број 4.</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9. Повторно се раствараат микрочестичките со додавање на 100 µL пуфер во секоја празнина на микроплочката. Се инкубира 2 минути на шејкер поставен на 800 ± 50 вртежи во минута.</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r w:rsidRPr="007D6D5F">
        <w:rPr>
          <w:rStyle w:val="y2iqfc"/>
          <w:rFonts w:ascii="Times New Roman" w:hAnsi="Times New Roman" w:cs="Times New Roman"/>
          <w:color w:val="202124"/>
          <w:sz w:val="24"/>
          <w:szCs w:val="24"/>
          <w:lang w:val="mk-MK"/>
        </w:rPr>
        <w:t xml:space="preserve">10. Резултатите се читаат во период од 90 минути со користење на Luminex 200. </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p>
    <w:p w:rsidR="00894BA3" w:rsidRDefault="00894BA3" w:rsidP="00421E8E">
      <w:pPr>
        <w:pStyle w:val="HTMLPreformatted"/>
        <w:shd w:val="clear" w:color="auto" w:fill="FFFFFF"/>
        <w:rPr>
          <w:rStyle w:val="y2iqfc"/>
          <w:rFonts w:ascii="Times New Roman" w:hAnsi="Times New Roman" w:cs="Times New Roman"/>
          <w:b/>
          <w:color w:val="000000" w:themeColor="text1"/>
          <w:sz w:val="24"/>
          <w:szCs w:val="24"/>
          <w:lang w:val="mk-MK"/>
        </w:rPr>
      </w:pPr>
    </w:p>
    <w:p w:rsidR="00B32014" w:rsidRPr="00B44BA0" w:rsidRDefault="00B44BA0" w:rsidP="00421E8E">
      <w:pPr>
        <w:pStyle w:val="HTMLPreformatted"/>
        <w:shd w:val="clear" w:color="auto" w:fill="FFFFFF"/>
        <w:rPr>
          <w:rStyle w:val="y2iqfc"/>
          <w:rFonts w:ascii="Times New Roman" w:hAnsi="Times New Roman" w:cs="Times New Roman"/>
          <w:b/>
          <w:color w:val="000000" w:themeColor="text1"/>
          <w:sz w:val="24"/>
          <w:szCs w:val="24"/>
          <w:lang w:val="mk-MK"/>
        </w:rPr>
      </w:pPr>
      <w:r w:rsidRPr="00B44BA0">
        <w:rPr>
          <w:rStyle w:val="y2iqfc"/>
          <w:rFonts w:ascii="Times New Roman" w:hAnsi="Times New Roman" w:cs="Times New Roman"/>
          <w:b/>
          <w:color w:val="000000" w:themeColor="text1"/>
          <w:sz w:val="24"/>
          <w:szCs w:val="24"/>
          <w:lang w:val="mk-MK"/>
        </w:rPr>
        <w:t>5.5</w:t>
      </w:r>
      <w:r w:rsidR="006573B8" w:rsidRPr="00B44BA0">
        <w:rPr>
          <w:rFonts w:ascii="Times New Roman" w:hAnsi="Times New Roman" w:cs="Times New Roman"/>
          <w:b/>
          <w:color w:val="000000" w:themeColor="text1"/>
          <w:sz w:val="24"/>
          <w:szCs w:val="24"/>
        </w:rPr>
        <w:t xml:space="preserve"> Принцип на евалуација</w:t>
      </w:r>
    </w:p>
    <w:p w:rsidR="00B32014" w:rsidRPr="007D6D5F" w:rsidRDefault="00B32014" w:rsidP="00421E8E">
      <w:pPr>
        <w:pStyle w:val="HTMLPreformatted"/>
        <w:shd w:val="clear" w:color="auto" w:fill="FFFFFF"/>
        <w:rPr>
          <w:rStyle w:val="y2iqfc"/>
          <w:rFonts w:ascii="Times New Roman" w:hAnsi="Times New Roman" w:cs="Times New Roman"/>
          <w:color w:val="202124"/>
          <w:sz w:val="24"/>
          <w:szCs w:val="24"/>
          <w:lang w:val="mk-MK"/>
        </w:rPr>
      </w:pPr>
    </w:p>
    <w:p w:rsidR="00B32014" w:rsidRPr="00A926CA" w:rsidRDefault="00B32014" w:rsidP="00421E8E">
      <w:pPr>
        <w:pStyle w:val="HTMLPreformatted"/>
        <w:shd w:val="clear" w:color="auto" w:fill="FFFFFF"/>
        <w:rPr>
          <w:rFonts w:ascii="Times New Roman" w:hAnsi="Times New Roman" w:cs="Times New Roman"/>
          <w:color w:val="202124"/>
          <w:sz w:val="24"/>
          <w:szCs w:val="24"/>
          <w:lang w:val="ru-RU"/>
        </w:rPr>
      </w:pPr>
      <w:r w:rsidRPr="007D6D5F">
        <w:rPr>
          <w:rStyle w:val="y2iqfc"/>
          <w:rFonts w:ascii="Times New Roman" w:hAnsi="Times New Roman" w:cs="Times New Roman"/>
          <w:color w:val="202124"/>
          <w:sz w:val="24"/>
          <w:szCs w:val="24"/>
          <w:lang w:val="mk-MK"/>
        </w:rPr>
        <w:t xml:space="preserve">Антителата специфични за аналитот се претходно обложени со магнетни микрочестички збогатени со флуорофори во одредени соодноси за секој единствен регион на микрочестички. Микрочестичките, стандардите и примероците се пипетаат на микроплочки (т.н. </w:t>
      </w:r>
      <w:r w:rsidRPr="007D6D5F">
        <w:rPr>
          <w:rStyle w:val="y2iqfc"/>
          <w:rFonts w:ascii="Times New Roman" w:hAnsi="Times New Roman" w:cs="Times New Roman"/>
          <w:color w:val="202124"/>
          <w:sz w:val="24"/>
          <w:szCs w:val="24"/>
        </w:rPr>
        <w:t>well</w:t>
      </w:r>
      <w:r w:rsidRPr="00A926CA">
        <w:rPr>
          <w:rStyle w:val="y2iqfc"/>
          <w:rFonts w:ascii="Times New Roman" w:hAnsi="Times New Roman" w:cs="Times New Roman"/>
          <w:color w:val="202124"/>
          <w:sz w:val="24"/>
          <w:szCs w:val="24"/>
          <w:lang w:val="ru-RU"/>
        </w:rPr>
        <w:t xml:space="preserve"> </w:t>
      </w:r>
      <w:r w:rsidRPr="007D6D5F">
        <w:rPr>
          <w:rStyle w:val="y2iqfc"/>
          <w:rFonts w:ascii="Times New Roman" w:hAnsi="Times New Roman" w:cs="Times New Roman"/>
          <w:color w:val="202124"/>
          <w:sz w:val="24"/>
          <w:szCs w:val="24"/>
        </w:rPr>
        <w:t>plates</w:t>
      </w:r>
      <w:r w:rsidRPr="007D6D5F">
        <w:rPr>
          <w:rStyle w:val="y2iqfc"/>
          <w:rFonts w:ascii="Times New Roman" w:hAnsi="Times New Roman" w:cs="Times New Roman"/>
          <w:color w:val="202124"/>
          <w:sz w:val="24"/>
          <w:szCs w:val="24"/>
          <w:lang w:val="mk-MK"/>
        </w:rPr>
        <w:t>)</w:t>
      </w:r>
      <w:r w:rsidRPr="00A926CA">
        <w:rPr>
          <w:rStyle w:val="y2iqfc"/>
          <w:rFonts w:ascii="Times New Roman" w:hAnsi="Times New Roman" w:cs="Times New Roman"/>
          <w:color w:val="202124"/>
          <w:sz w:val="24"/>
          <w:szCs w:val="24"/>
          <w:lang w:val="ru-RU"/>
        </w:rPr>
        <w:t xml:space="preserve"> </w:t>
      </w:r>
      <w:r w:rsidRPr="007D6D5F">
        <w:rPr>
          <w:rStyle w:val="y2iqfc"/>
          <w:rFonts w:ascii="Times New Roman" w:hAnsi="Times New Roman" w:cs="Times New Roman"/>
          <w:color w:val="202124"/>
          <w:sz w:val="24"/>
          <w:szCs w:val="24"/>
          <w:lang w:val="mk-MK"/>
        </w:rPr>
        <w:t xml:space="preserve">и имобилизираните антитела ги врзуваат аналитите од интерес. Откако ќе се отсранат сите неврзани супстанции, во секоја празнина на микроплочката се додава коктел од биотинилирани антитела специфичен за аналитите од интерес. По промивањето, за да се отстранат неврзаните биотинилирани антитела, во секоја празнина на микроплочката се додава </w:t>
      </w:r>
      <w:r w:rsidRPr="00A926CA">
        <w:rPr>
          <w:rFonts w:ascii="Times New Roman" w:hAnsi="Times New Roman" w:cs="Times New Roman"/>
          <w:sz w:val="24"/>
          <w:szCs w:val="24"/>
          <w:lang w:val="mk-MK"/>
        </w:rPr>
        <w:t>streptavidin-phycoerythrin</w:t>
      </w:r>
      <w:r w:rsidRPr="007D6D5F">
        <w:rPr>
          <w:rFonts w:ascii="Times New Roman" w:hAnsi="Times New Roman" w:cs="Times New Roman"/>
          <w:sz w:val="24"/>
          <w:szCs w:val="24"/>
          <w:lang w:val="mk-MK"/>
        </w:rPr>
        <w:t xml:space="preserve"> </w:t>
      </w:r>
      <w:r w:rsidRPr="007D6D5F">
        <w:rPr>
          <w:rStyle w:val="y2iqfc"/>
          <w:rFonts w:ascii="Times New Roman" w:hAnsi="Times New Roman" w:cs="Times New Roman"/>
          <w:color w:val="202124"/>
          <w:sz w:val="24"/>
          <w:szCs w:val="24"/>
          <w:lang w:val="mk-MK"/>
        </w:rPr>
        <w:t xml:space="preserve">конјугат (Streptavidin-PE), кој се врзува за биотинилираното антитело. Последните промивања го отстрануваат неврзаниот Streptavidin-PE, микрочестичките повторно се суспендираат во пуфер и се читаат со помош на анализаторот Luminex 200. </w:t>
      </w:r>
    </w:p>
    <w:p w:rsidR="00B2014B" w:rsidRDefault="00B32014" w:rsidP="00421E8E">
      <w:pPr>
        <w:pStyle w:val="HTMLPreformatted"/>
        <w:shd w:val="clear" w:color="auto" w:fill="FFFFFF"/>
        <w:rPr>
          <w:rFonts w:ascii="Times New Roman" w:hAnsi="Times New Roman" w:cs="Times New Roman"/>
          <w:sz w:val="24"/>
          <w:szCs w:val="24"/>
          <w:lang w:val="mk-MK"/>
        </w:rPr>
      </w:pPr>
      <w:r w:rsidRPr="007D6D5F">
        <w:rPr>
          <w:rStyle w:val="y2iqfc"/>
          <w:rFonts w:ascii="Times New Roman" w:hAnsi="Times New Roman" w:cs="Times New Roman"/>
          <w:color w:val="202124"/>
          <w:sz w:val="24"/>
          <w:szCs w:val="24"/>
          <w:lang w:val="mk-MK"/>
        </w:rPr>
        <w:t xml:space="preserve">Анализата со Luminex 200 користи еден ласер за ексцитација на боите во секоја микрочестичка за да го идентификува регионот на микрочестичката, односно друг ласер за да го ексцитира PE за да го измери количеството на аналит врзан за микрочестичката. Секоја микрочестичка емитира флуоросценција додека минува низ ќелијата за проток, а потоа се анализираат различните нивоа на емитирање со помош на </w:t>
      </w:r>
      <w:r w:rsidRPr="00A926CA">
        <w:rPr>
          <w:rFonts w:ascii="Times New Roman" w:hAnsi="Times New Roman" w:cs="Times New Roman"/>
          <w:sz w:val="24"/>
          <w:szCs w:val="24"/>
          <w:lang w:val="mk-MK"/>
        </w:rPr>
        <w:t xml:space="preserve">Photomultipliaer Tube </w:t>
      </w:r>
      <w:r w:rsidRPr="007D6D5F">
        <w:rPr>
          <w:rFonts w:ascii="Times New Roman" w:hAnsi="Times New Roman" w:cs="Times New Roman"/>
          <w:sz w:val="24"/>
          <w:szCs w:val="24"/>
          <w:lang w:val="mk-MK"/>
        </w:rPr>
        <w:t>и</w:t>
      </w:r>
      <w:r w:rsidRPr="00A926CA">
        <w:rPr>
          <w:rFonts w:ascii="Times New Roman" w:hAnsi="Times New Roman" w:cs="Times New Roman"/>
          <w:sz w:val="24"/>
          <w:szCs w:val="24"/>
          <w:lang w:val="mk-MK"/>
        </w:rPr>
        <w:t xml:space="preserve"> Avalanche Photodiode.</w:t>
      </w:r>
    </w:p>
    <w:p w:rsidR="00B2014B" w:rsidRDefault="00B2014B" w:rsidP="00421E8E">
      <w:pPr>
        <w:pStyle w:val="HTMLPreformatted"/>
        <w:shd w:val="clear" w:color="auto" w:fill="FFFFFF"/>
        <w:rPr>
          <w:rFonts w:ascii="Times New Roman" w:hAnsi="Times New Roman" w:cs="Times New Roman"/>
          <w:sz w:val="24"/>
          <w:szCs w:val="24"/>
          <w:lang w:val="mk-MK"/>
        </w:rPr>
      </w:pPr>
    </w:p>
    <w:p w:rsidR="00894BA3" w:rsidRDefault="00894BA3" w:rsidP="00421E8E">
      <w:pPr>
        <w:pStyle w:val="HTMLPreformatted"/>
        <w:shd w:val="clear" w:color="auto" w:fill="FFFFFF"/>
        <w:rPr>
          <w:rFonts w:ascii="Times New Roman" w:hAnsi="Times New Roman" w:cs="Times New Roman"/>
          <w:b/>
          <w:color w:val="000000"/>
          <w:sz w:val="24"/>
          <w:szCs w:val="24"/>
          <w:lang w:val="mk-MK"/>
        </w:rPr>
      </w:pPr>
    </w:p>
    <w:p w:rsidR="005951F9" w:rsidRPr="00894BA3" w:rsidRDefault="00B44BA0" w:rsidP="00421E8E">
      <w:pPr>
        <w:pStyle w:val="HTMLPreformatted"/>
        <w:shd w:val="clear" w:color="auto" w:fill="FFFFFF"/>
        <w:rPr>
          <w:rFonts w:ascii="Times New Roman" w:hAnsi="Times New Roman" w:cs="Times New Roman"/>
          <w:color w:val="202124"/>
          <w:sz w:val="24"/>
          <w:szCs w:val="24"/>
          <w:lang w:val="mk-MK"/>
        </w:rPr>
      </w:pPr>
      <w:r>
        <w:rPr>
          <w:rFonts w:ascii="Times New Roman" w:hAnsi="Times New Roman" w:cs="Times New Roman"/>
          <w:b/>
          <w:color w:val="000000"/>
          <w:sz w:val="24"/>
          <w:szCs w:val="24"/>
        </w:rPr>
        <w:t>5.6</w:t>
      </w:r>
      <w:r w:rsidR="005951F9" w:rsidRPr="00EC28B2">
        <w:rPr>
          <w:rFonts w:ascii="Times New Roman" w:hAnsi="Times New Roman" w:cs="Times New Roman"/>
          <w:b/>
          <w:color w:val="000000"/>
          <w:sz w:val="24"/>
          <w:szCs w:val="24"/>
        </w:rPr>
        <w:t xml:space="preserve"> С</w:t>
      </w:r>
      <w:r w:rsidR="00894BA3">
        <w:rPr>
          <w:rFonts w:ascii="Times New Roman" w:hAnsi="Times New Roman" w:cs="Times New Roman"/>
          <w:b/>
          <w:color w:val="000000"/>
          <w:sz w:val="24"/>
          <w:szCs w:val="24"/>
          <w:lang w:val="mk-MK"/>
        </w:rPr>
        <w:t>татистичка обработка</w:t>
      </w:r>
    </w:p>
    <w:p w:rsidR="00894BA3" w:rsidRDefault="00894BA3" w:rsidP="00421E8E">
      <w:pPr>
        <w:spacing w:after="200"/>
        <w:rPr>
          <w:rFonts w:ascii="Times New Roman" w:hAnsi="Times New Roman"/>
          <w:color w:val="000000"/>
          <w:sz w:val="24"/>
          <w:szCs w:val="24"/>
        </w:rPr>
      </w:pPr>
    </w:p>
    <w:p w:rsidR="00B44BA0" w:rsidRDefault="00C57E17" w:rsidP="00421E8E">
      <w:pPr>
        <w:spacing w:after="200"/>
        <w:rPr>
          <w:rFonts w:ascii="Times New Roman" w:hAnsi="Times New Roman"/>
          <w:color w:val="000000"/>
          <w:sz w:val="24"/>
          <w:szCs w:val="24"/>
        </w:rPr>
      </w:pPr>
      <w:r w:rsidRPr="007F3B83">
        <w:rPr>
          <w:rFonts w:ascii="Times New Roman" w:hAnsi="Times New Roman"/>
          <w:color w:val="000000"/>
          <w:sz w:val="24"/>
          <w:szCs w:val="24"/>
        </w:rPr>
        <w:t>За обработка на п</w:t>
      </w:r>
      <w:r w:rsidR="00500692" w:rsidRPr="007F3B83">
        <w:rPr>
          <w:rFonts w:ascii="Times New Roman" w:hAnsi="Times New Roman"/>
          <w:color w:val="000000"/>
          <w:sz w:val="24"/>
          <w:szCs w:val="24"/>
        </w:rPr>
        <w:t xml:space="preserve">одатоците </w:t>
      </w:r>
      <w:r w:rsidRPr="007F3B83">
        <w:rPr>
          <w:rFonts w:ascii="Times New Roman" w:hAnsi="Times New Roman"/>
          <w:color w:val="000000"/>
          <w:sz w:val="24"/>
          <w:szCs w:val="24"/>
        </w:rPr>
        <w:t>од</w:t>
      </w:r>
      <w:r w:rsidR="00500692" w:rsidRPr="007F3B83">
        <w:rPr>
          <w:rFonts w:ascii="Times New Roman" w:hAnsi="Times New Roman"/>
          <w:color w:val="000000"/>
          <w:sz w:val="24"/>
          <w:szCs w:val="24"/>
        </w:rPr>
        <w:t xml:space="preserve"> истражувањето </w:t>
      </w:r>
      <w:r w:rsidRPr="007F3B83">
        <w:rPr>
          <w:rFonts w:ascii="Times New Roman" w:hAnsi="Times New Roman"/>
          <w:color w:val="000000"/>
          <w:sz w:val="24"/>
          <w:szCs w:val="24"/>
        </w:rPr>
        <w:t xml:space="preserve">беше користен </w:t>
      </w:r>
      <w:r w:rsidR="006F04D8" w:rsidRPr="007F3B83">
        <w:rPr>
          <w:rFonts w:ascii="Times New Roman" w:hAnsi="Times New Roman"/>
          <w:color w:val="000000"/>
          <w:sz w:val="24"/>
          <w:szCs w:val="24"/>
        </w:rPr>
        <w:t>SPSS software package, version 22.0 for W</w:t>
      </w:r>
      <w:r w:rsidR="006113A4" w:rsidRPr="007F3B83">
        <w:rPr>
          <w:rFonts w:ascii="Times New Roman" w:hAnsi="Times New Roman"/>
          <w:color w:val="000000"/>
          <w:sz w:val="24"/>
          <w:szCs w:val="24"/>
        </w:rPr>
        <w:t>indows (SPSS, Chicago, IL, USA)</w:t>
      </w:r>
      <w:r w:rsidR="00500692" w:rsidRPr="007F3B83">
        <w:rPr>
          <w:rFonts w:ascii="Times New Roman" w:hAnsi="Times New Roman"/>
          <w:color w:val="000000"/>
          <w:sz w:val="24"/>
          <w:szCs w:val="24"/>
        </w:rPr>
        <w:t xml:space="preserve">. </w:t>
      </w:r>
      <w:r w:rsidR="007F3B83" w:rsidRPr="007F3B83">
        <w:rPr>
          <w:rFonts w:ascii="Times New Roman" w:hAnsi="Times New Roman"/>
          <w:color w:val="000000"/>
          <w:sz w:val="24"/>
          <w:szCs w:val="24"/>
        </w:rPr>
        <w:t>Кај к</w:t>
      </w:r>
      <w:r w:rsidR="006F04D8" w:rsidRPr="007F3B83">
        <w:rPr>
          <w:rFonts w:ascii="Times New Roman" w:hAnsi="Times New Roman"/>
          <w:color w:val="000000"/>
          <w:sz w:val="24"/>
          <w:szCs w:val="24"/>
        </w:rPr>
        <w:t>валитативни</w:t>
      </w:r>
      <w:r w:rsidR="007B3DFE" w:rsidRPr="007F3B83">
        <w:rPr>
          <w:rFonts w:ascii="Times New Roman" w:hAnsi="Times New Roman"/>
          <w:color w:val="000000"/>
          <w:sz w:val="24"/>
          <w:szCs w:val="24"/>
        </w:rPr>
        <w:t>те</w:t>
      </w:r>
      <w:r w:rsidR="006F04D8" w:rsidRPr="007F3B83">
        <w:rPr>
          <w:rFonts w:ascii="Times New Roman" w:hAnsi="Times New Roman"/>
          <w:color w:val="000000"/>
          <w:sz w:val="24"/>
          <w:szCs w:val="24"/>
        </w:rPr>
        <w:t xml:space="preserve"> серии беше одредува</w:t>
      </w:r>
      <w:r w:rsidR="007F3B83" w:rsidRPr="007F3B83">
        <w:rPr>
          <w:rFonts w:ascii="Times New Roman" w:hAnsi="Times New Roman"/>
          <w:color w:val="000000"/>
          <w:sz w:val="24"/>
          <w:szCs w:val="24"/>
        </w:rPr>
        <w:t xml:space="preserve">н </w:t>
      </w:r>
      <w:r w:rsidR="006F04D8" w:rsidRPr="007F3B83">
        <w:rPr>
          <w:rFonts w:ascii="Times New Roman" w:hAnsi="Times New Roman"/>
          <w:color w:val="000000"/>
          <w:sz w:val="24"/>
          <w:szCs w:val="24"/>
        </w:rPr>
        <w:t xml:space="preserve">коефициент на односи, пропорции и стапки, а </w:t>
      </w:r>
      <w:r w:rsidR="007F3B83" w:rsidRPr="007F3B83">
        <w:rPr>
          <w:rFonts w:ascii="Times New Roman" w:hAnsi="Times New Roman"/>
          <w:color w:val="000000"/>
          <w:sz w:val="24"/>
          <w:szCs w:val="24"/>
        </w:rPr>
        <w:t>к</w:t>
      </w:r>
      <w:r w:rsidR="006F04D8" w:rsidRPr="007F3B83">
        <w:rPr>
          <w:rFonts w:ascii="Times New Roman" w:hAnsi="Times New Roman"/>
          <w:color w:val="000000"/>
          <w:sz w:val="24"/>
          <w:szCs w:val="24"/>
        </w:rPr>
        <w:t>вантитативни</w:t>
      </w:r>
      <w:r w:rsidR="007B3DFE" w:rsidRPr="007F3B83">
        <w:rPr>
          <w:rFonts w:ascii="Times New Roman" w:hAnsi="Times New Roman"/>
          <w:color w:val="000000"/>
          <w:sz w:val="24"/>
          <w:szCs w:val="24"/>
        </w:rPr>
        <w:t>те</w:t>
      </w:r>
      <w:r w:rsidR="006F04D8" w:rsidRPr="007F3B83">
        <w:rPr>
          <w:rFonts w:ascii="Times New Roman" w:hAnsi="Times New Roman"/>
          <w:color w:val="000000"/>
          <w:sz w:val="24"/>
          <w:szCs w:val="24"/>
        </w:rPr>
        <w:t xml:space="preserve"> серии беа анализирани со употреба на мерките на централна тенденција (просек, медијана, минималми вредности, максимални вредности), како и со мерки на дисперзија (стандардна девијација, </w:t>
      </w:r>
      <w:r w:rsidR="007F3B83" w:rsidRPr="007F3B83">
        <w:rPr>
          <w:rFonts w:ascii="Times New Roman" w:hAnsi="Times New Roman"/>
          <w:color w:val="000000"/>
          <w:sz w:val="24"/>
          <w:szCs w:val="24"/>
        </w:rPr>
        <w:t xml:space="preserve">и </w:t>
      </w:r>
      <w:r w:rsidR="006F04D8" w:rsidRPr="007F3B83">
        <w:rPr>
          <w:rFonts w:ascii="Times New Roman" w:hAnsi="Times New Roman"/>
          <w:color w:val="000000"/>
          <w:sz w:val="24"/>
          <w:szCs w:val="24"/>
        </w:rPr>
        <w:t>стандардна грешка).</w:t>
      </w:r>
    </w:p>
    <w:p w:rsidR="006F04D8" w:rsidRPr="007F3B83" w:rsidRDefault="006F04D8" w:rsidP="00421E8E">
      <w:pPr>
        <w:spacing w:after="200"/>
        <w:rPr>
          <w:rFonts w:ascii="Times New Roman" w:hAnsi="Times New Roman"/>
          <w:color w:val="000000"/>
          <w:sz w:val="24"/>
          <w:szCs w:val="24"/>
        </w:rPr>
      </w:pPr>
      <w:r w:rsidRPr="007F3B83">
        <w:rPr>
          <w:rFonts w:ascii="Times New Roman" w:hAnsi="Times New Roman"/>
          <w:color w:val="000000"/>
          <w:kern w:val="1"/>
          <w:sz w:val="24"/>
          <w:szCs w:val="24"/>
          <w:lang w:eastAsia="mk-MK"/>
        </w:rPr>
        <w:t>Shapiro</w:t>
      </w:r>
      <w:r w:rsidRPr="007F3B83">
        <w:rPr>
          <w:rFonts w:ascii="Times New Roman" w:hAnsi="Times New Roman"/>
          <w:color w:val="000000"/>
          <w:kern w:val="1"/>
          <w:sz w:val="24"/>
          <w:szCs w:val="24"/>
          <w:lang w:val="ru-RU" w:eastAsia="mk-MK"/>
        </w:rPr>
        <w:t>-</w:t>
      </w:r>
      <w:r w:rsidRPr="007F3B83">
        <w:rPr>
          <w:rFonts w:ascii="Times New Roman" w:hAnsi="Times New Roman"/>
          <w:color w:val="000000"/>
          <w:kern w:val="1"/>
          <w:sz w:val="24"/>
          <w:szCs w:val="24"/>
          <w:lang w:eastAsia="mk-MK"/>
        </w:rPr>
        <w:t>Wilk</w:t>
      </w:r>
      <w:r w:rsidRPr="007F3B83">
        <w:rPr>
          <w:rFonts w:ascii="Times New Roman" w:hAnsi="Times New Roman"/>
          <w:color w:val="000000"/>
          <w:kern w:val="1"/>
          <w:sz w:val="24"/>
          <w:szCs w:val="24"/>
          <w:lang w:val="ru-RU" w:eastAsia="mk-MK"/>
        </w:rPr>
        <w:t xml:space="preserve"> </w:t>
      </w:r>
      <w:r w:rsidRPr="007F3B83">
        <w:rPr>
          <w:rFonts w:ascii="Times New Roman" w:hAnsi="Times New Roman"/>
          <w:color w:val="000000"/>
          <w:kern w:val="1"/>
          <w:sz w:val="24"/>
          <w:szCs w:val="24"/>
          <w:lang w:eastAsia="mk-MK"/>
        </w:rPr>
        <w:t>W</w:t>
      </w:r>
      <w:r w:rsidRPr="007F3B83">
        <w:rPr>
          <w:rFonts w:ascii="Times New Roman" w:hAnsi="Times New Roman"/>
          <w:color w:val="000000"/>
          <w:kern w:val="1"/>
          <w:sz w:val="24"/>
          <w:szCs w:val="24"/>
          <w:lang w:val="ru-RU" w:eastAsia="mk-MK"/>
        </w:rPr>
        <w:t xml:space="preserve"> тест</w:t>
      </w:r>
      <w:r w:rsidRPr="007F3B83">
        <w:rPr>
          <w:rFonts w:ascii="Times New Roman" w:hAnsi="Times New Roman"/>
          <w:color w:val="000000"/>
          <w:sz w:val="24"/>
          <w:szCs w:val="24"/>
          <w:lang w:val="ru-RU"/>
        </w:rPr>
        <w:t xml:space="preserve"> беше користен за утврдување на правилноста на дистрибуцијата на фреквенцијата на испитуваните </w:t>
      </w:r>
      <w:r w:rsidR="007F3B83" w:rsidRPr="007F3B83">
        <w:rPr>
          <w:rFonts w:ascii="Times New Roman" w:hAnsi="Times New Roman"/>
          <w:color w:val="000000"/>
          <w:sz w:val="24"/>
          <w:szCs w:val="24"/>
          <w:lang w:val="ru-RU"/>
        </w:rPr>
        <w:t xml:space="preserve">нумерички </w:t>
      </w:r>
      <w:r w:rsidRPr="007F3B83">
        <w:rPr>
          <w:rFonts w:ascii="Times New Roman" w:hAnsi="Times New Roman"/>
          <w:color w:val="000000"/>
          <w:sz w:val="24"/>
          <w:szCs w:val="24"/>
          <w:lang w:val="ru-RU"/>
        </w:rPr>
        <w:t>варијабли</w:t>
      </w:r>
      <w:r w:rsidRPr="007F3B83">
        <w:rPr>
          <w:rFonts w:ascii="Times New Roman" w:hAnsi="Times New Roman"/>
          <w:color w:val="000000"/>
          <w:kern w:val="1"/>
          <w:sz w:val="24"/>
          <w:szCs w:val="24"/>
          <w:lang w:val="ru-RU" w:eastAsia="mk-MK"/>
        </w:rPr>
        <w:t>.</w:t>
      </w:r>
      <w:r w:rsidRPr="007F3B83">
        <w:rPr>
          <w:rFonts w:ascii="Times New Roman" w:hAnsi="Times New Roman"/>
          <w:color w:val="000000"/>
          <w:kern w:val="1"/>
          <w:sz w:val="24"/>
          <w:szCs w:val="24"/>
          <w:lang w:eastAsia="mk-MK"/>
        </w:rPr>
        <w:t xml:space="preserve"> </w:t>
      </w:r>
      <w:r w:rsidRPr="007F3B83">
        <w:rPr>
          <w:rFonts w:ascii="Times New Roman" w:hAnsi="Times New Roman"/>
          <w:color w:val="000000"/>
          <w:sz w:val="24"/>
          <w:szCs w:val="24"/>
        </w:rPr>
        <w:t xml:space="preserve">Pearson Chi square test, Fisher </w:t>
      </w:r>
      <w:r w:rsidRPr="007F3B83">
        <w:rPr>
          <w:rFonts w:ascii="Times New Roman" w:hAnsi="Times New Roman"/>
          <w:color w:val="000000"/>
          <w:sz w:val="24"/>
          <w:szCs w:val="24"/>
        </w:rPr>
        <w:lastRenderedPageBreak/>
        <w:t>exact test и Fisher F</w:t>
      </w:r>
      <w:r w:rsidR="003E73FD" w:rsidRPr="007F3B83">
        <w:rPr>
          <w:rFonts w:ascii="Times New Roman" w:hAnsi="Times New Roman"/>
          <w:color w:val="000000"/>
          <w:sz w:val="24"/>
          <w:szCs w:val="24"/>
        </w:rPr>
        <w:t>r</w:t>
      </w:r>
      <w:r w:rsidRPr="007F3B83">
        <w:rPr>
          <w:rFonts w:ascii="Times New Roman" w:hAnsi="Times New Roman"/>
          <w:color w:val="000000"/>
          <w:sz w:val="24"/>
          <w:szCs w:val="24"/>
        </w:rPr>
        <w:t>eeman Halton test беа користени за утврдување на асоцијацијата меѓу одредени атрибутивни дихотомни белези.</w:t>
      </w:r>
    </w:p>
    <w:p w:rsidR="00BD2D8C" w:rsidRDefault="006F04D8" w:rsidP="00421E8E">
      <w:pPr>
        <w:spacing w:after="200"/>
        <w:rPr>
          <w:rFonts w:ascii="Times New Roman" w:hAnsi="Times New Roman" w:cs="Times New Roman"/>
          <w:color w:val="000000"/>
          <w:sz w:val="24"/>
          <w:szCs w:val="24"/>
          <w:lang w:val="ru-RU"/>
        </w:rPr>
      </w:pPr>
      <w:r w:rsidRPr="007F3B83">
        <w:rPr>
          <w:rFonts w:ascii="Times New Roman" w:hAnsi="Times New Roman" w:cs="Times New Roman"/>
          <w:color w:val="000000"/>
          <w:sz w:val="24"/>
          <w:szCs w:val="24"/>
        </w:rPr>
        <w:t>За тестирање на разликата меѓу два или повеќе независни нумерички параметри со неправилна дистрибуција на фреквенции беа користени консеквентно Mann</w:t>
      </w:r>
      <w:r w:rsidRPr="007F3B83">
        <w:rPr>
          <w:rFonts w:ascii="Times New Roman" w:hAnsi="Times New Roman" w:cs="Times New Roman"/>
          <w:color w:val="000000"/>
          <w:sz w:val="24"/>
          <w:szCs w:val="24"/>
          <w:lang w:val="ru-RU"/>
        </w:rPr>
        <w:t xml:space="preserve"> </w:t>
      </w:r>
      <w:r w:rsidRPr="007F3B83">
        <w:rPr>
          <w:rFonts w:ascii="Times New Roman" w:hAnsi="Times New Roman" w:cs="Times New Roman"/>
          <w:color w:val="000000"/>
          <w:sz w:val="24"/>
          <w:szCs w:val="24"/>
        </w:rPr>
        <w:t>Whitney</w:t>
      </w:r>
      <w:r w:rsidRPr="007F3B83">
        <w:rPr>
          <w:rFonts w:ascii="Times New Roman" w:hAnsi="Times New Roman" w:cs="Times New Roman"/>
          <w:color w:val="000000"/>
          <w:sz w:val="24"/>
          <w:szCs w:val="24"/>
          <w:lang w:val="ru-RU"/>
        </w:rPr>
        <w:t xml:space="preserve"> </w:t>
      </w:r>
      <w:r w:rsidRPr="007F3B83">
        <w:rPr>
          <w:rFonts w:ascii="Times New Roman" w:hAnsi="Times New Roman" w:cs="Times New Roman"/>
          <w:color w:val="000000"/>
          <w:sz w:val="24"/>
          <w:szCs w:val="24"/>
        </w:rPr>
        <w:t>U</w:t>
      </w:r>
      <w:r w:rsidRPr="007F3B83">
        <w:rPr>
          <w:rFonts w:ascii="Times New Roman" w:hAnsi="Times New Roman" w:cs="Times New Roman"/>
          <w:color w:val="000000"/>
          <w:sz w:val="24"/>
          <w:szCs w:val="24"/>
          <w:lang w:val="ru-RU"/>
        </w:rPr>
        <w:t xml:space="preserve"> </w:t>
      </w:r>
      <w:r w:rsidR="007B3DFE" w:rsidRPr="007F3B83">
        <w:rPr>
          <w:rFonts w:ascii="Times New Roman" w:hAnsi="Times New Roman" w:cs="Times New Roman"/>
          <w:color w:val="000000"/>
          <w:sz w:val="24"/>
          <w:szCs w:val="24"/>
        </w:rPr>
        <w:t>тест и Kruskal-Wallis H test</w:t>
      </w:r>
      <w:r w:rsidR="007B3DFE" w:rsidRPr="00A926CA">
        <w:rPr>
          <w:rFonts w:ascii="Times New Roman" w:hAnsi="Times New Roman" w:cs="Times New Roman"/>
          <w:color w:val="000000"/>
          <w:sz w:val="24"/>
          <w:szCs w:val="24"/>
          <w:lang w:val="ru-RU"/>
        </w:rPr>
        <w:t>.</w:t>
      </w:r>
      <w:r w:rsidRPr="007F3B83">
        <w:rPr>
          <w:rFonts w:ascii="Times New Roman" w:hAnsi="Times New Roman" w:cs="Times New Roman"/>
          <w:color w:val="000000"/>
          <w:sz w:val="24"/>
          <w:szCs w:val="24"/>
          <w:lang w:val="ru-RU"/>
        </w:rPr>
        <w:t xml:space="preserve"> Факторите на ризик беа квантифицирани преку користење на однос на веројатности (</w:t>
      </w:r>
      <w:r w:rsidRPr="007F3B83">
        <w:rPr>
          <w:rFonts w:ascii="Times New Roman" w:hAnsi="Times New Roman" w:cs="Times New Roman"/>
          <w:color w:val="000000"/>
          <w:sz w:val="24"/>
          <w:szCs w:val="24"/>
        </w:rPr>
        <w:t>Odd</w:t>
      </w:r>
      <w:r w:rsidRPr="007F3B83">
        <w:rPr>
          <w:rFonts w:ascii="Times New Roman" w:hAnsi="Times New Roman" w:cs="Times New Roman"/>
          <w:color w:val="000000"/>
          <w:sz w:val="24"/>
          <w:szCs w:val="24"/>
          <w:lang w:val="ru-RU"/>
        </w:rPr>
        <w:t xml:space="preserve"> </w:t>
      </w:r>
      <w:r w:rsidRPr="007F3B83">
        <w:rPr>
          <w:rFonts w:ascii="Times New Roman" w:hAnsi="Times New Roman" w:cs="Times New Roman"/>
          <w:color w:val="000000"/>
          <w:sz w:val="24"/>
          <w:szCs w:val="24"/>
        </w:rPr>
        <w:t>ratio</w:t>
      </w:r>
      <w:r w:rsidRPr="007F3B83">
        <w:rPr>
          <w:rFonts w:ascii="Times New Roman" w:hAnsi="Times New Roman" w:cs="Times New Roman"/>
          <w:color w:val="000000"/>
          <w:sz w:val="24"/>
          <w:szCs w:val="24"/>
          <w:lang w:val="ru-RU"/>
        </w:rPr>
        <w:t xml:space="preserve"> – </w:t>
      </w:r>
      <w:r w:rsidRPr="007F3B83">
        <w:rPr>
          <w:rFonts w:ascii="Times New Roman" w:hAnsi="Times New Roman" w:cs="Times New Roman"/>
          <w:color w:val="000000"/>
          <w:sz w:val="24"/>
          <w:szCs w:val="24"/>
        </w:rPr>
        <w:t>OR</w:t>
      </w:r>
      <w:r w:rsidRPr="007F3B83">
        <w:rPr>
          <w:rFonts w:ascii="Times New Roman" w:hAnsi="Times New Roman" w:cs="Times New Roman"/>
          <w:color w:val="000000"/>
          <w:sz w:val="24"/>
          <w:szCs w:val="24"/>
          <w:lang w:val="ru-RU"/>
        </w:rPr>
        <w:t xml:space="preserve">) и интервалите на доверба - </w:t>
      </w:r>
      <w:r w:rsidRPr="007F3B83">
        <w:rPr>
          <w:rFonts w:ascii="Times New Roman" w:hAnsi="Times New Roman" w:cs="Times New Roman"/>
          <w:color w:val="000000"/>
          <w:sz w:val="24"/>
          <w:szCs w:val="24"/>
        </w:rPr>
        <w:t>confidence</w:t>
      </w:r>
      <w:r w:rsidRPr="007F3B83">
        <w:rPr>
          <w:rFonts w:ascii="Times New Roman" w:hAnsi="Times New Roman" w:cs="Times New Roman"/>
          <w:color w:val="000000"/>
          <w:sz w:val="24"/>
          <w:szCs w:val="24"/>
          <w:lang w:val="ru-RU"/>
        </w:rPr>
        <w:t xml:space="preserve"> </w:t>
      </w:r>
      <w:r w:rsidRPr="007F3B83">
        <w:rPr>
          <w:rFonts w:ascii="Times New Roman" w:hAnsi="Times New Roman" w:cs="Times New Roman"/>
          <w:color w:val="000000"/>
          <w:sz w:val="24"/>
          <w:szCs w:val="24"/>
        </w:rPr>
        <w:t>intervals</w:t>
      </w:r>
      <w:r w:rsidRPr="007F3B83">
        <w:rPr>
          <w:rFonts w:ascii="Times New Roman" w:hAnsi="Times New Roman" w:cs="Times New Roman"/>
          <w:color w:val="000000"/>
          <w:sz w:val="24"/>
          <w:szCs w:val="24"/>
          <w:lang w:val="ru-RU"/>
        </w:rPr>
        <w:t xml:space="preserve"> (</w:t>
      </w:r>
      <w:r w:rsidRPr="007F3B83">
        <w:rPr>
          <w:rFonts w:ascii="Times New Roman" w:hAnsi="Times New Roman" w:cs="Times New Roman"/>
          <w:color w:val="000000"/>
          <w:sz w:val="24"/>
          <w:szCs w:val="24"/>
        </w:rPr>
        <w:t>CI</w:t>
      </w:r>
      <w:r w:rsidRPr="007F3B83">
        <w:rPr>
          <w:rFonts w:ascii="Times New Roman" w:hAnsi="Times New Roman" w:cs="Times New Roman"/>
          <w:color w:val="000000"/>
          <w:sz w:val="24"/>
          <w:szCs w:val="24"/>
          <w:lang w:val="ru-RU"/>
        </w:rPr>
        <w:t xml:space="preserve">). </w:t>
      </w:r>
      <w:r w:rsidR="00BD2D8C" w:rsidRPr="007F3B83">
        <w:rPr>
          <w:rFonts w:ascii="Times New Roman" w:hAnsi="Times New Roman" w:cs="Times New Roman"/>
          <w:color w:val="000000"/>
          <w:sz w:val="24"/>
          <w:szCs w:val="24"/>
        </w:rPr>
        <w:t>За споредба на пропорциите беше користен Difference test.</w:t>
      </w:r>
    </w:p>
    <w:p w:rsidR="006F04D8" w:rsidRPr="00BD2D8C" w:rsidRDefault="00BD2D8C" w:rsidP="00421E8E">
      <w:pPr>
        <w:spacing w:after="200"/>
        <w:rPr>
          <w:rFonts w:ascii="Times New Roman" w:hAnsi="Times New Roman" w:cs="Times New Roman"/>
          <w:color w:val="000000"/>
          <w:sz w:val="24"/>
          <w:szCs w:val="24"/>
        </w:rPr>
      </w:pPr>
      <w:r w:rsidRPr="00BD2D8C">
        <w:rPr>
          <w:rFonts w:ascii="Times New Roman" w:hAnsi="Times New Roman" w:cs="Times New Roman"/>
          <w:sz w:val="24"/>
          <w:szCs w:val="24"/>
        </w:rPr>
        <w:t xml:space="preserve">Spearman коефициентот на ранг корелација беше употребен за утврдување на асоцијацијата помеѓу нумеричките белези со неправилна дистрибуција на фреквенции. </w:t>
      </w:r>
      <w:r w:rsidRPr="00BD2D8C">
        <w:rPr>
          <w:rFonts w:ascii="Times New Roman" w:hAnsi="Times New Roman" w:cs="Times New Roman"/>
          <w:color w:val="000000"/>
          <w:sz w:val="24"/>
          <w:szCs w:val="24"/>
        </w:rPr>
        <w:t>Споредба на корелационите коефициенти беше направена со z-statistics.</w:t>
      </w:r>
    </w:p>
    <w:p w:rsidR="00240EAF" w:rsidRPr="00BD2D8C" w:rsidRDefault="006113A4" w:rsidP="00421E8E">
      <w:pPr>
        <w:pStyle w:val="ecxmsonormal"/>
        <w:spacing w:before="0" w:beforeAutospacing="0" w:after="200" w:afterAutospacing="0"/>
        <w:rPr>
          <w:rFonts w:ascii="Times New Roman" w:hAnsi="Times New Roman"/>
          <w:color w:val="000000"/>
          <w:lang w:val="mk-MK"/>
        </w:rPr>
      </w:pPr>
      <w:r w:rsidRPr="00BD2D8C">
        <w:rPr>
          <w:rFonts w:ascii="Times New Roman" w:hAnsi="Times New Roman"/>
          <w:color w:val="000000"/>
          <w:lang w:val="mk-MK"/>
        </w:rPr>
        <w:t xml:space="preserve">Дијагностична ефикасност на </w:t>
      </w:r>
      <w:r w:rsidR="00BD2D8C" w:rsidRPr="00BD2D8C">
        <w:rPr>
          <w:rFonts w:ascii="Times New Roman" w:hAnsi="Times New Roman"/>
          <w:color w:val="000000"/>
        </w:rPr>
        <w:t>IL</w:t>
      </w:r>
      <w:r w:rsidR="00BD2D8C" w:rsidRPr="00A926CA">
        <w:rPr>
          <w:rFonts w:ascii="Times New Roman" w:hAnsi="Times New Roman"/>
          <w:color w:val="000000"/>
          <w:lang w:val="ru-RU"/>
        </w:rPr>
        <w:t xml:space="preserve">-33 во серум и плазма за тумори на паритидните жлезди </w:t>
      </w:r>
      <w:r w:rsidRPr="00BD2D8C">
        <w:rPr>
          <w:rFonts w:ascii="Times New Roman" w:hAnsi="Times New Roman"/>
          <w:color w:val="000000"/>
          <w:lang w:val="mk-MK"/>
        </w:rPr>
        <w:t xml:space="preserve">беше проценета согласно </w:t>
      </w:r>
      <w:r w:rsidRPr="00BD2D8C">
        <w:rPr>
          <w:rFonts w:ascii="Times New Roman" w:hAnsi="Times New Roman"/>
          <w:color w:val="000000"/>
        </w:rPr>
        <w:t>ROC</w:t>
      </w:r>
      <w:r w:rsidRPr="00A926CA">
        <w:rPr>
          <w:rFonts w:ascii="Times New Roman" w:hAnsi="Times New Roman"/>
          <w:color w:val="000000"/>
          <w:lang w:val="ru-RU"/>
        </w:rPr>
        <w:t xml:space="preserve"> </w:t>
      </w:r>
      <w:r w:rsidRPr="00BD2D8C">
        <w:rPr>
          <w:rFonts w:ascii="Times New Roman" w:hAnsi="Times New Roman"/>
          <w:color w:val="000000"/>
          <w:lang w:val="mk-MK"/>
        </w:rPr>
        <w:t>анализата и</w:t>
      </w:r>
      <w:r w:rsidR="00BD2D8C" w:rsidRPr="00BD2D8C">
        <w:rPr>
          <w:rFonts w:ascii="Times New Roman" w:hAnsi="Times New Roman"/>
          <w:color w:val="000000"/>
          <w:lang w:val="mk-MK"/>
        </w:rPr>
        <w:t xml:space="preserve"> </w:t>
      </w:r>
      <w:r w:rsidRPr="00BD2D8C">
        <w:rPr>
          <w:rFonts w:ascii="Times New Roman" w:hAnsi="Times New Roman"/>
          <w:color w:val="000000"/>
          <w:lang w:val="mk-MK"/>
        </w:rPr>
        <w:t xml:space="preserve">добиените </w:t>
      </w:r>
      <w:r w:rsidRPr="00BD2D8C">
        <w:rPr>
          <w:rFonts w:ascii="Times New Roman" w:hAnsi="Times New Roman"/>
          <w:color w:val="000000"/>
        </w:rPr>
        <w:t>AUC</w:t>
      </w:r>
      <w:r w:rsidRPr="00A926CA">
        <w:rPr>
          <w:rFonts w:ascii="Times New Roman" w:hAnsi="Times New Roman"/>
          <w:color w:val="000000"/>
          <w:lang w:val="ru-RU"/>
        </w:rPr>
        <w:t xml:space="preserve"> </w:t>
      </w:r>
      <w:r w:rsidRPr="00BD2D8C">
        <w:rPr>
          <w:rFonts w:ascii="Times New Roman" w:hAnsi="Times New Roman"/>
          <w:color w:val="000000"/>
          <w:lang w:val="mk-MK"/>
        </w:rPr>
        <w:t>вредности.</w:t>
      </w:r>
    </w:p>
    <w:p w:rsidR="006F04D8" w:rsidRPr="00A926CA" w:rsidRDefault="006F04D8" w:rsidP="00421E8E">
      <w:pPr>
        <w:pStyle w:val="ecxmsonormal"/>
        <w:spacing w:before="0" w:beforeAutospacing="0" w:after="0" w:afterAutospacing="0"/>
        <w:rPr>
          <w:rFonts w:ascii="Times New Roman" w:hAnsi="Times New Roman"/>
          <w:color w:val="000000"/>
          <w:lang w:val="ru-RU"/>
        </w:rPr>
      </w:pPr>
      <w:r w:rsidRPr="00BD2D8C">
        <w:rPr>
          <w:rFonts w:ascii="Times New Roman" w:hAnsi="Times New Roman"/>
          <w:color w:val="000000"/>
          <w:lang w:val="ru-RU"/>
        </w:rPr>
        <w:t xml:space="preserve">За утврдување на статистичка значајност користена беше двострана анализа со ниво на сигнификантност од </w:t>
      </w:r>
      <w:r w:rsidRPr="00BD2D8C">
        <w:rPr>
          <w:rFonts w:ascii="Times New Roman" w:hAnsi="Times New Roman"/>
          <w:color w:val="000000"/>
        </w:rPr>
        <w:t>p</w:t>
      </w:r>
      <w:r w:rsidRPr="00BD2D8C">
        <w:rPr>
          <w:rFonts w:ascii="Times New Roman" w:hAnsi="Times New Roman"/>
          <w:color w:val="000000"/>
          <w:lang w:val="ru-RU"/>
        </w:rPr>
        <w:t>&lt;0,05.</w:t>
      </w:r>
    </w:p>
    <w:p w:rsidR="003340D7" w:rsidRPr="00496B18" w:rsidRDefault="003340D7" w:rsidP="006F04D8">
      <w:pPr>
        <w:spacing w:line="360" w:lineRule="auto"/>
        <w:jc w:val="both"/>
        <w:rPr>
          <w:rFonts w:ascii="Times New Roman" w:hAnsi="Times New Roman" w:cs="Times New Roman"/>
          <w:color w:val="000000"/>
          <w:sz w:val="24"/>
          <w:szCs w:val="24"/>
          <w:lang w:val="ru-RU"/>
        </w:rPr>
      </w:pPr>
    </w:p>
    <w:p w:rsidR="001153B3" w:rsidRPr="00496B18" w:rsidRDefault="001153B3" w:rsidP="00534F3B">
      <w:pPr>
        <w:spacing w:line="360" w:lineRule="auto"/>
        <w:jc w:val="both"/>
        <w:rPr>
          <w:rFonts w:ascii="Times New Roman" w:hAnsi="Times New Roman" w:cs="Times New Roman"/>
          <w:color w:val="000000"/>
          <w:lang w:val="ru-RU"/>
        </w:rPr>
      </w:pPr>
    </w:p>
    <w:p w:rsidR="00D41B9C" w:rsidRDefault="006113A4" w:rsidP="00D41B9C">
      <w:pPr>
        <w:spacing w:after="600"/>
        <w:jc w:val="both"/>
        <w:rPr>
          <w:rFonts w:ascii="Times New Roman" w:hAnsi="Times New Roman" w:cs="Times New Roman"/>
          <w:b/>
          <w:bCs/>
          <w:color w:val="943634"/>
          <w:sz w:val="28"/>
          <w:szCs w:val="28"/>
          <w:lang w:val="ru-RU"/>
        </w:rPr>
      </w:pPr>
      <w:r w:rsidRPr="00A926CA">
        <w:rPr>
          <w:rFonts w:ascii="Times New Roman" w:hAnsi="Times New Roman" w:cs="Times New Roman"/>
          <w:b/>
          <w:bCs/>
          <w:color w:val="943634"/>
          <w:sz w:val="28"/>
          <w:szCs w:val="28"/>
          <w:lang w:val="ru-RU"/>
        </w:rPr>
        <w:br w:type="page"/>
      </w:r>
    </w:p>
    <w:p w:rsidR="00D41B9C" w:rsidRDefault="00D41B9C" w:rsidP="00D41B9C">
      <w:pPr>
        <w:spacing w:after="600"/>
        <w:jc w:val="both"/>
        <w:rPr>
          <w:rFonts w:ascii="Times New Roman" w:hAnsi="Times New Roman" w:cs="Times New Roman"/>
          <w:b/>
          <w:bCs/>
          <w:color w:val="943634"/>
          <w:sz w:val="28"/>
          <w:szCs w:val="28"/>
          <w:lang w:val="ru-RU"/>
        </w:rPr>
      </w:pPr>
    </w:p>
    <w:p w:rsidR="00BC0126" w:rsidRPr="00D41B9C" w:rsidRDefault="0076051F" w:rsidP="00D41B9C">
      <w:pPr>
        <w:spacing w:after="600"/>
        <w:jc w:val="both"/>
        <w:rPr>
          <w:rFonts w:ascii="Times New Roman" w:hAnsi="Times New Roman" w:cs="Times New Roman"/>
          <w:b/>
          <w:bCs/>
          <w:color w:val="943634"/>
          <w:sz w:val="28"/>
          <w:szCs w:val="28"/>
          <w:lang w:val="ru-RU"/>
        </w:rPr>
      </w:pPr>
      <w:r w:rsidRPr="0076051F">
        <w:rPr>
          <w:rFonts w:ascii="Times New Roman" w:hAnsi="Times New Roman" w:cs="Times New Roman"/>
          <w:b/>
          <w:bCs/>
          <w:color w:val="000000" w:themeColor="text1"/>
          <w:sz w:val="24"/>
          <w:szCs w:val="24"/>
        </w:rPr>
        <w:t>6</w:t>
      </w:r>
      <w:r w:rsidR="00DB75DA" w:rsidRPr="0076051F">
        <w:rPr>
          <w:rFonts w:ascii="Times New Roman" w:hAnsi="Times New Roman" w:cs="Times New Roman"/>
          <w:b/>
          <w:bCs/>
          <w:color w:val="000000" w:themeColor="text1"/>
          <w:sz w:val="24"/>
          <w:szCs w:val="24"/>
        </w:rPr>
        <w:t xml:space="preserve">. </w:t>
      </w:r>
      <w:r w:rsidR="00F50F86">
        <w:rPr>
          <w:rFonts w:ascii="Times New Roman" w:hAnsi="Times New Roman" w:cs="Times New Roman"/>
          <w:b/>
          <w:bCs/>
          <w:color w:val="000000" w:themeColor="text1"/>
          <w:sz w:val="24"/>
          <w:szCs w:val="24"/>
        </w:rPr>
        <w:t>ДЕСКРИПТИВНА СТАТИСТИЧКА АНАЛИЗА</w:t>
      </w:r>
    </w:p>
    <w:p w:rsidR="00817AE2" w:rsidRPr="00894BA3" w:rsidRDefault="0025355D" w:rsidP="00D41B9C">
      <w:pPr>
        <w:spacing w:after="600"/>
        <w:jc w:val="both"/>
        <w:rPr>
          <w:rFonts w:ascii="Times New Roman" w:hAnsi="Times New Roman" w:cs="Times New Roman"/>
          <w:b/>
          <w:bCs/>
          <w:color w:val="000000" w:themeColor="text1"/>
          <w:sz w:val="24"/>
          <w:szCs w:val="24"/>
        </w:rPr>
      </w:pPr>
      <w:r w:rsidRPr="00EC28B2">
        <w:rPr>
          <w:rFonts w:ascii="Times New Roman" w:hAnsi="Times New Roman" w:cs="Times New Roman"/>
          <w:b/>
          <w:color w:val="000000"/>
          <w:sz w:val="24"/>
          <w:szCs w:val="24"/>
        </w:rPr>
        <w:t>6</w:t>
      </w:r>
      <w:r w:rsidR="00F50F86">
        <w:rPr>
          <w:rFonts w:ascii="Times New Roman" w:hAnsi="Times New Roman" w:cs="Times New Roman"/>
          <w:b/>
          <w:color w:val="000000"/>
          <w:sz w:val="24"/>
          <w:szCs w:val="24"/>
        </w:rPr>
        <w:t>.1</w:t>
      </w:r>
      <w:r w:rsidR="00705869" w:rsidRPr="00EC28B2">
        <w:rPr>
          <w:rFonts w:ascii="Times New Roman" w:hAnsi="Times New Roman" w:cs="Times New Roman"/>
          <w:b/>
          <w:color w:val="000000"/>
          <w:sz w:val="24"/>
          <w:szCs w:val="24"/>
        </w:rPr>
        <w:t xml:space="preserve"> </w:t>
      </w:r>
      <w:r w:rsidR="0007652E" w:rsidRPr="00EC28B2">
        <w:rPr>
          <w:rFonts w:ascii="Times New Roman" w:hAnsi="Times New Roman" w:cs="Times New Roman"/>
          <w:b/>
          <w:color w:val="000000"/>
          <w:sz w:val="24"/>
          <w:szCs w:val="24"/>
        </w:rPr>
        <w:t>Генерални</w:t>
      </w:r>
      <w:r w:rsidR="00705869" w:rsidRPr="00EC28B2">
        <w:rPr>
          <w:rFonts w:ascii="Times New Roman" w:hAnsi="Times New Roman" w:cs="Times New Roman"/>
          <w:b/>
          <w:color w:val="000000"/>
          <w:sz w:val="24"/>
          <w:szCs w:val="24"/>
        </w:rPr>
        <w:t xml:space="preserve"> к</w:t>
      </w:r>
      <w:r w:rsidR="008D37B6" w:rsidRPr="00EC28B2">
        <w:rPr>
          <w:rFonts w:ascii="Times New Roman" w:hAnsi="Times New Roman" w:cs="Times New Roman"/>
          <w:b/>
          <w:color w:val="000000"/>
          <w:sz w:val="24"/>
          <w:szCs w:val="24"/>
        </w:rPr>
        <w:t xml:space="preserve">арактеристики </w:t>
      </w:r>
      <w:r w:rsidR="00AB2E5D" w:rsidRPr="00EC28B2">
        <w:rPr>
          <w:rFonts w:ascii="Times New Roman" w:hAnsi="Times New Roman" w:cs="Times New Roman"/>
          <w:b/>
          <w:color w:val="000000"/>
          <w:sz w:val="24"/>
          <w:szCs w:val="24"/>
        </w:rPr>
        <w:t>на примерокот</w:t>
      </w:r>
    </w:p>
    <w:p w:rsidR="004D2F91" w:rsidRDefault="00DC3D6D" w:rsidP="00D41B9C">
      <w:pPr>
        <w:ind w:firstLine="720"/>
        <w:jc w:val="both"/>
        <w:rPr>
          <w:rFonts w:ascii="Times New Roman" w:hAnsi="Times New Roman" w:cs="Times New Roman"/>
          <w:color w:val="000000"/>
          <w:sz w:val="24"/>
          <w:szCs w:val="24"/>
        </w:rPr>
      </w:pPr>
      <w:r w:rsidRPr="00DC3D6D">
        <w:rPr>
          <w:rFonts w:ascii="Times New Roman" w:hAnsi="Times New Roman" w:cs="Times New Roman"/>
          <w:color w:val="000000"/>
          <w:sz w:val="24"/>
          <w:szCs w:val="24"/>
        </w:rPr>
        <w:t xml:space="preserve">Примерокот на истражувањето </w:t>
      </w:r>
      <w:r w:rsidR="00FE6BC6">
        <w:rPr>
          <w:rFonts w:ascii="Times New Roman" w:hAnsi="Times New Roman" w:cs="Times New Roman"/>
          <w:color w:val="000000"/>
          <w:sz w:val="24"/>
          <w:szCs w:val="24"/>
        </w:rPr>
        <w:t>од</w:t>
      </w:r>
      <w:r w:rsidR="00DF64B1">
        <w:rPr>
          <w:rFonts w:ascii="Times New Roman" w:hAnsi="Times New Roman" w:cs="Times New Roman"/>
          <w:color w:val="000000"/>
          <w:sz w:val="24"/>
          <w:szCs w:val="24"/>
        </w:rPr>
        <w:t xml:space="preserve"> 120</w:t>
      </w:r>
      <w:r w:rsidR="00B5503D">
        <w:rPr>
          <w:rFonts w:ascii="Times New Roman" w:hAnsi="Times New Roman" w:cs="Times New Roman"/>
          <w:color w:val="000000"/>
          <w:sz w:val="24"/>
          <w:szCs w:val="24"/>
        </w:rPr>
        <w:t xml:space="preserve"> </w:t>
      </w:r>
      <w:r w:rsidRPr="00DC3D6D">
        <w:rPr>
          <w:rFonts w:ascii="Times New Roman" w:hAnsi="Times New Roman" w:cs="Times New Roman"/>
          <w:color w:val="000000"/>
          <w:sz w:val="24"/>
          <w:szCs w:val="24"/>
        </w:rPr>
        <w:t>(100%) испитаници</w:t>
      </w:r>
      <w:r w:rsidR="00DF64B1">
        <w:rPr>
          <w:rFonts w:ascii="Times New Roman" w:hAnsi="Times New Roman" w:cs="Times New Roman"/>
          <w:color w:val="000000"/>
          <w:sz w:val="24"/>
          <w:szCs w:val="24"/>
        </w:rPr>
        <w:t xml:space="preserve"> </w:t>
      </w:r>
      <w:r w:rsidR="00FE6BC6">
        <w:rPr>
          <w:rFonts w:ascii="Times New Roman" w:hAnsi="Times New Roman" w:cs="Times New Roman"/>
          <w:color w:val="000000"/>
          <w:sz w:val="24"/>
          <w:szCs w:val="24"/>
        </w:rPr>
        <w:t xml:space="preserve">беше </w:t>
      </w:r>
      <w:r w:rsidR="00DF64B1">
        <w:rPr>
          <w:rFonts w:ascii="Times New Roman" w:hAnsi="Times New Roman" w:cs="Times New Roman"/>
          <w:color w:val="000000"/>
          <w:sz w:val="24"/>
          <w:szCs w:val="24"/>
        </w:rPr>
        <w:t xml:space="preserve">поделен во испитувана и контролна група. Испитуваната група </w:t>
      </w:r>
      <w:r w:rsidR="00F361F5">
        <w:rPr>
          <w:rFonts w:ascii="Times New Roman" w:hAnsi="Times New Roman" w:cs="Times New Roman"/>
          <w:color w:val="000000"/>
          <w:sz w:val="24"/>
          <w:szCs w:val="24"/>
        </w:rPr>
        <w:t xml:space="preserve">ја сочинуваа 62 (51,67%) </w:t>
      </w:r>
      <w:r w:rsidR="00DF64B1">
        <w:rPr>
          <w:rFonts w:ascii="Times New Roman" w:hAnsi="Times New Roman" w:cs="Times New Roman"/>
          <w:color w:val="000000"/>
          <w:sz w:val="24"/>
          <w:szCs w:val="24"/>
        </w:rPr>
        <w:t xml:space="preserve">пациенти со </w:t>
      </w:r>
      <w:r w:rsidR="00F361F5">
        <w:rPr>
          <w:rFonts w:ascii="Times New Roman" w:hAnsi="Times New Roman" w:cs="Times New Roman"/>
          <w:color w:val="000000"/>
          <w:sz w:val="24"/>
          <w:szCs w:val="24"/>
        </w:rPr>
        <w:t>тумори на паротидните жлезди, а во к</w:t>
      </w:r>
      <w:r w:rsidR="00B74466">
        <w:rPr>
          <w:rFonts w:ascii="Times New Roman" w:hAnsi="Times New Roman" w:cs="Times New Roman"/>
          <w:color w:val="000000"/>
          <w:sz w:val="24"/>
          <w:szCs w:val="24"/>
        </w:rPr>
        <w:t>онтролната група партиципираа 58 (58,3</w:t>
      </w:r>
      <w:r w:rsidR="00F361F5">
        <w:rPr>
          <w:rFonts w:ascii="Times New Roman" w:hAnsi="Times New Roman" w:cs="Times New Roman"/>
          <w:color w:val="000000"/>
          <w:sz w:val="24"/>
          <w:szCs w:val="24"/>
        </w:rPr>
        <w:t xml:space="preserve">3%) </w:t>
      </w:r>
      <w:r w:rsidR="00F361F5" w:rsidRPr="00DC3D6D">
        <w:rPr>
          <w:rFonts w:ascii="Times New Roman" w:hAnsi="Times New Roman" w:cs="Times New Roman"/>
          <w:color w:val="000000"/>
          <w:sz w:val="24"/>
          <w:szCs w:val="24"/>
        </w:rPr>
        <w:t xml:space="preserve"> </w:t>
      </w:r>
      <w:r w:rsidR="00F361F5">
        <w:rPr>
          <w:rFonts w:ascii="Times New Roman" w:hAnsi="Times New Roman" w:cs="Times New Roman"/>
          <w:color w:val="000000"/>
          <w:sz w:val="24"/>
          <w:szCs w:val="24"/>
        </w:rPr>
        <w:t>здрави пациенти</w:t>
      </w:r>
      <w:r w:rsidRPr="00DC3D6D">
        <w:rPr>
          <w:rFonts w:ascii="Times New Roman" w:hAnsi="Times New Roman" w:cs="Times New Roman"/>
          <w:color w:val="000000"/>
          <w:sz w:val="24"/>
          <w:szCs w:val="24"/>
        </w:rPr>
        <w:t xml:space="preserve">. </w:t>
      </w:r>
    </w:p>
    <w:p w:rsidR="004D2F91" w:rsidRDefault="004D2F91" w:rsidP="00D41B9C">
      <w:pPr>
        <w:ind w:firstLine="720"/>
        <w:jc w:val="both"/>
        <w:rPr>
          <w:rFonts w:ascii="Times New Roman" w:hAnsi="Times New Roman" w:cs="Times New Roman"/>
          <w:color w:val="000000"/>
          <w:sz w:val="24"/>
          <w:szCs w:val="24"/>
        </w:rPr>
      </w:pPr>
    </w:p>
    <w:p w:rsidR="00DC3D6D" w:rsidRPr="00DC3D6D" w:rsidRDefault="00DC3D6D" w:rsidP="00D41B9C">
      <w:pPr>
        <w:ind w:firstLine="720"/>
        <w:jc w:val="both"/>
        <w:rPr>
          <w:rFonts w:ascii="Times New Roman" w:hAnsi="Times New Roman" w:cs="Times New Roman"/>
          <w:color w:val="000000"/>
          <w:sz w:val="24"/>
          <w:szCs w:val="24"/>
        </w:rPr>
      </w:pPr>
      <w:r w:rsidRPr="00DC3D6D">
        <w:rPr>
          <w:rFonts w:ascii="Times New Roman" w:hAnsi="Times New Roman" w:cs="Times New Roman"/>
          <w:color w:val="000000"/>
          <w:sz w:val="24"/>
          <w:szCs w:val="24"/>
        </w:rPr>
        <w:t xml:space="preserve">Анализата во однос на генералните карактеристики </w:t>
      </w:r>
      <w:r w:rsidR="00F361F5">
        <w:rPr>
          <w:rFonts w:ascii="Times New Roman" w:hAnsi="Times New Roman" w:cs="Times New Roman"/>
          <w:color w:val="000000"/>
          <w:sz w:val="24"/>
          <w:szCs w:val="24"/>
        </w:rPr>
        <w:t>на примерокот се однеуваше на</w:t>
      </w:r>
      <w:r w:rsidR="00107641">
        <w:rPr>
          <w:rFonts w:ascii="Times New Roman" w:hAnsi="Times New Roman" w:cs="Times New Roman"/>
          <w:color w:val="000000"/>
          <w:sz w:val="24"/>
          <w:szCs w:val="24"/>
        </w:rPr>
        <w:t xml:space="preserve"> два аспекти и тоа</w:t>
      </w:r>
      <w:r w:rsidR="00FE6BC6">
        <w:rPr>
          <w:rFonts w:ascii="Times New Roman" w:hAnsi="Times New Roman" w:cs="Times New Roman"/>
          <w:color w:val="000000"/>
          <w:sz w:val="24"/>
          <w:szCs w:val="24"/>
        </w:rPr>
        <w:t xml:space="preserve">: а) </w:t>
      </w:r>
      <w:r w:rsidR="00F361F5">
        <w:rPr>
          <w:rFonts w:ascii="Times New Roman" w:hAnsi="Times New Roman" w:cs="Times New Roman"/>
          <w:color w:val="000000"/>
          <w:sz w:val="24"/>
          <w:szCs w:val="24"/>
        </w:rPr>
        <w:t xml:space="preserve"> </w:t>
      </w:r>
      <w:r w:rsidR="00FE6BC6">
        <w:rPr>
          <w:rFonts w:ascii="Times New Roman" w:hAnsi="Times New Roman" w:cs="Times New Roman"/>
          <w:color w:val="000000"/>
          <w:sz w:val="24"/>
          <w:szCs w:val="24"/>
        </w:rPr>
        <w:t xml:space="preserve">демографски карактеристики на испитаниците </w:t>
      </w:r>
      <w:r w:rsidR="009743FA">
        <w:rPr>
          <w:rFonts w:ascii="Times New Roman" w:hAnsi="Times New Roman" w:cs="Times New Roman"/>
          <w:color w:val="000000"/>
          <w:sz w:val="24"/>
          <w:szCs w:val="24"/>
        </w:rPr>
        <w:t xml:space="preserve">од двете групи </w:t>
      </w:r>
      <w:r w:rsidR="00FE6BC6">
        <w:rPr>
          <w:rFonts w:ascii="Times New Roman" w:hAnsi="Times New Roman" w:cs="Times New Roman"/>
          <w:color w:val="000000"/>
          <w:sz w:val="24"/>
          <w:szCs w:val="24"/>
        </w:rPr>
        <w:t xml:space="preserve">во однос на </w:t>
      </w:r>
      <w:r w:rsidRPr="00DC3D6D">
        <w:rPr>
          <w:rFonts w:ascii="Times New Roman" w:hAnsi="Times New Roman" w:cs="Times New Roman"/>
          <w:color w:val="000000"/>
          <w:sz w:val="24"/>
          <w:szCs w:val="24"/>
        </w:rPr>
        <w:t>полот и возраст</w:t>
      </w:r>
      <w:r w:rsidR="00FE6BC6">
        <w:rPr>
          <w:rFonts w:ascii="Times New Roman" w:hAnsi="Times New Roman" w:cs="Times New Roman"/>
          <w:color w:val="000000"/>
          <w:sz w:val="24"/>
          <w:szCs w:val="24"/>
        </w:rPr>
        <w:t>а (години)</w:t>
      </w:r>
      <w:r w:rsidR="009743FA">
        <w:rPr>
          <w:rFonts w:ascii="Times New Roman" w:hAnsi="Times New Roman" w:cs="Times New Roman"/>
          <w:color w:val="000000"/>
          <w:sz w:val="24"/>
          <w:szCs w:val="24"/>
        </w:rPr>
        <w:t>;</w:t>
      </w:r>
      <w:r w:rsidR="00FE6BC6">
        <w:rPr>
          <w:rFonts w:ascii="Times New Roman" w:hAnsi="Times New Roman" w:cs="Times New Roman"/>
          <w:color w:val="000000"/>
          <w:sz w:val="24"/>
          <w:szCs w:val="24"/>
        </w:rPr>
        <w:t xml:space="preserve"> </w:t>
      </w:r>
      <w:r w:rsidR="009743FA">
        <w:rPr>
          <w:rFonts w:ascii="Times New Roman" w:hAnsi="Times New Roman" w:cs="Times New Roman"/>
          <w:color w:val="000000"/>
          <w:sz w:val="24"/>
          <w:szCs w:val="24"/>
        </w:rPr>
        <w:t xml:space="preserve">и </w:t>
      </w:r>
      <w:r w:rsidR="00FE6BC6">
        <w:rPr>
          <w:rFonts w:ascii="Times New Roman" w:hAnsi="Times New Roman" w:cs="Times New Roman"/>
          <w:color w:val="000000"/>
          <w:sz w:val="24"/>
          <w:szCs w:val="24"/>
        </w:rPr>
        <w:t xml:space="preserve">б) карактеристики на туморите на паротидните жлезди </w:t>
      </w:r>
      <w:r w:rsidR="009743FA">
        <w:rPr>
          <w:rFonts w:ascii="Times New Roman" w:hAnsi="Times New Roman" w:cs="Times New Roman"/>
          <w:color w:val="000000"/>
          <w:sz w:val="24"/>
          <w:szCs w:val="24"/>
        </w:rPr>
        <w:t xml:space="preserve">кај пациентите од </w:t>
      </w:r>
      <w:r w:rsidR="00FE6BC6">
        <w:rPr>
          <w:rFonts w:ascii="Times New Roman" w:hAnsi="Times New Roman" w:cs="Times New Roman"/>
          <w:color w:val="000000"/>
          <w:sz w:val="24"/>
          <w:szCs w:val="24"/>
        </w:rPr>
        <w:t>испитуваната група</w:t>
      </w:r>
      <w:r w:rsidR="004D2F91">
        <w:rPr>
          <w:rFonts w:ascii="Times New Roman" w:hAnsi="Times New Roman" w:cs="Times New Roman"/>
          <w:color w:val="000000"/>
          <w:sz w:val="24"/>
          <w:szCs w:val="24"/>
        </w:rPr>
        <w:t>.</w:t>
      </w:r>
    </w:p>
    <w:p w:rsidR="00DC3D6D" w:rsidRPr="00DC3D6D" w:rsidRDefault="00DC3D6D" w:rsidP="00D41B9C">
      <w:pPr>
        <w:rPr>
          <w:rFonts w:ascii="Times New Roman" w:hAnsi="Times New Roman" w:cs="Times New Roman"/>
          <w:color w:val="000000"/>
          <w:sz w:val="24"/>
          <w:szCs w:val="24"/>
        </w:rPr>
      </w:pPr>
    </w:p>
    <w:p w:rsidR="009743FA" w:rsidRDefault="009743FA" w:rsidP="00D41B9C">
      <w:pPr>
        <w:ind w:firstLine="720"/>
        <w:jc w:val="both"/>
        <w:rPr>
          <w:rFonts w:ascii="Times New Roman" w:hAnsi="Times New Roman" w:cs="Times New Roman"/>
          <w:color w:val="000000"/>
          <w:sz w:val="24"/>
          <w:szCs w:val="24"/>
          <w:highlight w:val="yellow"/>
        </w:rPr>
      </w:pPr>
    </w:p>
    <w:p w:rsidR="009743FA" w:rsidRPr="00EC28B2" w:rsidRDefault="00F50F86" w:rsidP="00D41B9C">
      <w:pPr>
        <w:pStyle w:val="ListParagraph"/>
        <w:spacing w:after="480"/>
        <w:ind w:left="0"/>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6.1.1</w:t>
      </w:r>
      <w:r w:rsidR="009743FA" w:rsidRPr="00EC28B2">
        <w:rPr>
          <w:rFonts w:ascii="Times New Roman" w:hAnsi="Times New Roman" w:cs="Times New Roman"/>
          <w:b/>
          <w:color w:val="000000"/>
          <w:sz w:val="24"/>
          <w:szCs w:val="24"/>
        </w:rPr>
        <w:t xml:space="preserve"> Демографски карактеристики </w:t>
      </w:r>
    </w:p>
    <w:p w:rsidR="00AF30CC" w:rsidRPr="004C54E9" w:rsidRDefault="00915591" w:rsidP="00D41B9C">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009743FA" w:rsidRPr="009743FA">
        <w:rPr>
          <w:rFonts w:ascii="Times New Roman" w:hAnsi="Times New Roman" w:cs="Times New Roman"/>
          <w:color w:val="000000"/>
          <w:sz w:val="24"/>
          <w:szCs w:val="24"/>
        </w:rPr>
        <w:t>нализа</w:t>
      </w:r>
      <w:r>
        <w:rPr>
          <w:rFonts w:ascii="Times New Roman" w:hAnsi="Times New Roman" w:cs="Times New Roman"/>
          <w:color w:val="000000"/>
          <w:sz w:val="24"/>
          <w:szCs w:val="24"/>
        </w:rPr>
        <w:t>та</w:t>
      </w:r>
      <w:r w:rsidR="009743FA" w:rsidRPr="009743FA">
        <w:rPr>
          <w:rFonts w:ascii="Times New Roman" w:hAnsi="Times New Roman" w:cs="Times New Roman"/>
          <w:color w:val="000000"/>
          <w:sz w:val="24"/>
          <w:szCs w:val="24"/>
        </w:rPr>
        <w:t xml:space="preserve"> на демографските карактеристики се однесуваше на целиот примерок како </w:t>
      </w:r>
      <w:r w:rsidR="004D2F91">
        <w:rPr>
          <w:rFonts w:ascii="Times New Roman" w:hAnsi="Times New Roman" w:cs="Times New Roman"/>
          <w:color w:val="000000"/>
          <w:sz w:val="24"/>
          <w:szCs w:val="24"/>
        </w:rPr>
        <w:t>и</w:t>
      </w:r>
      <w:r w:rsidR="009743FA" w:rsidRPr="009743FA">
        <w:rPr>
          <w:rFonts w:ascii="Times New Roman" w:hAnsi="Times New Roman" w:cs="Times New Roman"/>
          <w:color w:val="000000"/>
          <w:sz w:val="24"/>
          <w:szCs w:val="24"/>
        </w:rPr>
        <w:t xml:space="preserve"> поединечно за секоја од двете групи (испитувана и контролна) во однос на </w:t>
      </w:r>
      <w:r w:rsidR="00AF30CC" w:rsidRPr="004C54E9">
        <w:rPr>
          <w:rFonts w:ascii="Times New Roman" w:hAnsi="Times New Roman" w:cs="Times New Roman"/>
          <w:color w:val="000000"/>
          <w:sz w:val="24"/>
          <w:szCs w:val="24"/>
        </w:rPr>
        <w:t>пол</w:t>
      </w:r>
      <w:r w:rsidR="009743FA" w:rsidRPr="004C54E9">
        <w:rPr>
          <w:rFonts w:ascii="Times New Roman" w:hAnsi="Times New Roman" w:cs="Times New Roman"/>
          <w:color w:val="000000"/>
          <w:sz w:val="24"/>
          <w:szCs w:val="24"/>
        </w:rPr>
        <w:t>от</w:t>
      </w:r>
      <w:r w:rsidR="00AF30CC" w:rsidRPr="004C54E9">
        <w:rPr>
          <w:rFonts w:ascii="Times New Roman" w:hAnsi="Times New Roman" w:cs="Times New Roman"/>
          <w:color w:val="000000"/>
          <w:sz w:val="24"/>
          <w:szCs w:val="24"/>
        </w:rPr>
        <w:t xml:space="preserve"> (мажи/жени) и возраст</w:t>
      </w:r>
      <w:r w:rsidR="009743FA" w:rsidRPr="004C54E9">
        <w:rPr>
          <w:rFonts w:ascii="Times New Roman" w:hAnsi="Times New Roman" w:cs="Times New Roman"/>
          <w:color w:val="000000"/>
          <w:sz w:val="24"/>
          <w:szCs w:val="24"/>
        </w:rPr>
        <w:t>а</w:t>
      </w:r>
      <w:r w:rsidR="00AF30CC" w:rsidRPr="004C54E9">
        <w:rPr>
          <w:rFonts w:ascii="Times New Roman" w:hAnsi="Times New Roman" w:cs="Times New Roman"/>
          <w:color w:val="000000"/>
          <w:sz w:val="24"/>
          <w:szCs w:val="24"/>
        </w:rPr>
        <w:t xml:space="preserve"> (години) </w:t>
      </w:r>
      <w:r w:rsidRPr="004C54E9">
        <w:rPr>
          <w:rFonts w:ascii="Times New Roman" w:hAnsi="Times New Roman" w:cs="Times New Roman"/>
          <w:color w:val="000000"/>
          <w:sz w:val="24"/>
          <w:szCs w:val="24"/>
        </w:rPr>
        <w:t xml:space="preserve">на испитаниците </w:t>
      </w:r>
      <w:r w:rsidR="00CA361F" w:rsidRPr="004C54E9">
        <w:rPr>
          <w:rFonts w:ascii="Times New Roman" w:hAnsi="Times New Roman" w:cs="Times New Roman"/>
          <w:color w:val="000000"/>
          <w:sz w:val="24"/>
          <w:szCs w:val="24"/>
        </w:rPr>
        <w:t>(Табела 1</w:t>
      </w:r>
      <w:r w:rsidR="00AA6E78" w:rsidRPr="004C54E9">
        <w:rPr>
          <w:rFonts w:ascii="Times New Roman" w:hAnsi="Times New Roman" w:cs="Times New Roman"/>
          <w:color w:val="000000"/>
          <w:sz w:val="24"/>
          <w:szCs w:val="24"/>
        </w:rPr>
        <w:t xml:space="preserve"> – 2 </w:t>
      </w:r>
      <w:r w:rsidR="00CA361F" w:rsidRPr="004C54E9">
        <w:rPr>
          <w:rFonts w:ascii="Times New Roman" w:hAnsi="Times New Roman" w:cs="Times New Roman"/>
          <w:color w:val="000000"/>
          <w:sz w:val="24"/>
          <w:szCs w:val="24"/>
        </w:rPr>
        <w:t>и График 1</w:t>
      </w:r>
      <w:r w:rsidR="00AA6E78" w:rsidRPr="004C54E9">
        <w:rPr>
          <w:rFonts w:ascii="Times New Roman" w:hAnsi="Times New Roman" w:cs="Times New Roman"/>
          <w:color w:val="000000"/>
          <w:sz w:val="24"/>
          <w:szCs w:val="24"/>
        </w:rPr>
        <w:t xml:space="preserve"> - </w:t>
      </w:r>
      <w:r w:rsidR="004C54E9" w:rsidRPr="004C54E9">
        <w:rPr>
          <w:rFonts w:ascii="Times New Roman" w:hAnsi="Times New Roman" w:cs="Times New Roman"/>
          <w:color w:val="000000"/>
          <w:sz w:val="24"/>
          <w:szCs w:val="24"/>
        </w:rPr>
        <w:t>3</w:t>
      </w:r>
      <w:r w:rsidR="00CA361F" w:rsidRPr="004C54E9">
        <w:rPr>
          <w:rFonts w:ascii="Times New Roman" w:hAnsi="Times New Roman" w:cs="Times New Roman"/>
          <w:color w:val="000000"/>
          <w:sz w:val="24"/>
          <w:szCs w:val="24"/>
        </w:rPr>
        <w:t>)</w:t>
      </w:r>
      <w:r w:rsidR="00AF30CC" w:rsidRPr="004C54E9">
        <w:rPr>
          <w:rFonts w:ascii="Times New Roman" w:hAnsi="Times New Roman" w:cs="Times New Roman"/>
          <w:color w:val="000000"/>
          <w:sz w:val="24"/>
          <w:szCs w:val="24"/>
        </w:rPr>
        <w:t>.</w:t>
      </w:r>
    </w:p>
    <w:p w:rsidR="00DC3D6D" w:rsidRDefault="00DC3D6D" w:rsidP="00D41B9C">
      <w:pPr>
        <w:ind w:firstLine="720"/>
        <w:jc w:val="both"/>
        <w:rPr>
          <w:rFonts w:ascii="Times New Roman" w:hAnsi="Times New Roman" w:cs="Times New Roman"/>
          <w:color w:val="000000"/>
          <w:sz w:val="24"/>
          <w:szCs w:val="24"/>
          <w:highlight w:val="yellow"/>
        </w:rPr>
      </w:pPr>
    </w:p>
    <w:p w:rsidR="0042185F" w:rsidRPr="001007E6" w:rsidRDefault="0042185F" w:rsidP="00D41B9C">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ПОЛ -</w:t>
      </w:r>
      <w:r w:rsidRPr="00906463">
        <w:rPr>
          <w:rFonts w:ascii="Times New Roman" w:hAnsi="Times New Roman" w:cs="Times New Roman"/>
          <w:b/>
          <w:color w:val="000000"/>
          <w:sz w:val="24"/>
          <w:szCs w:val="24"/>
        </w:rPr>
        <w:t xml:space="preserve"> </w:t>
      </w:r>
      <w:r w:rsidRPr="00906463">
        <w:rPr>
          <w:rFonts w:ascii="Times New Roman" w:hAnsi="Times New Roman" w:cs="Times New Roman"/>
          <w:color w:val="000000"/>
          <w:sz w:val="24"/>
          <w:szCs w:val="24"/>
        </w:rPr>
        <w:t xml:space="preserve">Од вкупно </w:t>
      </w:r>
      <w:r w:rsidR="0056672A" w:rsidRPr="00906463">
        <w:rPr>
          <w:rFonts w:ascii="Times New Roman" w:hAnsi="Times New Roman" w:cs="Times New Roman"/>
          <w:color w:val="000000"/>
          <w:sz w:val="24"/>
          <w:szCs w:val="24"/>
        </w:rPr>
        <w:t>120</w:t>
      </w:r>
      <w:r w:rsidRPr="00906463">
        <w:rPr>
          <w:rFonts w:ascii="Times New Roman" w:hAnsi="Times New Roman" w:cs="Times New Roman"/>
          <w:color w:val="000000"/>
          <w:sz w:val="24"/>
          <w:szCs w:val="24"/>
        </w:rPr>
        <w:t xml:space="preserve"> (100%) испитаници во примерокот, </w:t>
      </w:r>
      <w:r w:rsidR="00C26E65" w:rsidRPr="00906463">
        <w:rPr>
          <w:rFonts w:ascii="Times New Roman" w:hAnsi="Times New Roman" w:cs="Times New Roman"/>
          <w:color w:val="000000"/>
          <w:sz w:val="24"/>
          <w:szCs w:val="24"/>
        </w:rPr>
        <w:t>63 (52,5</w:t>
      </w:r>
      <w:r w:rsidR="00E0391F">
        <w:rPr>
          <w:rFonts w:ascii="Times New Roman" w:hAnsi="Times New Roman" w:cs="Times New Roman"/>
          <w:color w:val="000000"/>
          <w:sz w:val="24"/>
          <w:szCs w:val="24"/>
        </w:rPr>
        <w:t>0</w:t>
      </w:r>
      <w:r w:rsidR="00C26E65" w:rsidRPr="00906463">
        <w:rPr>
          <w:rFonts w:ascii="Times New Roman" w:hAnsi="Times New Roman" w:cs="Times New Roman"/>
          <w:color w:val="000000"/>
          <w:sz w:val="24"/>
          <w:szCs w:val="24"/>
        </w:rPr>
        <w:t>%) беа од машки, а 57 (47,5</w:t>
      </w:r>
      <w:r w:rsidR="00E0391F">
        <w:rPr>
          <w:rFonts w:ascii="Times New Roman" w:hAnsi="Times New Roman" w:cs="Times New Roman"/>
          <w:color w:val="000000"/>
          <w:sz w:val="24"/>
          <w:szCs w:val="24"/>
        </w:rPr>
        <w:t>0</w:t>
      </w:r>
      <w:r w:rsidR="00C26E65" w:rsidRPr="00906463">
        <w:rPr>
          <w:rFonts w:ascii="Times New Roman" w:hAnsi="Times New Roman" w:cs="Times New Roman"/>
          <w:color w:val="000000"/>
          <w:sz w:val="24"/>
          <w:szCs w:val="24"/>
        </w:rPr>
        <w:t>%) беа од женски пол</w:t>
      </w:r>
      <w:r w:rsidR="004D2F91">
        <w:rPr>
          <w:rFonts w:ascii="Times New Roman" w:hAnsi="Times New Roman" w:cs="Times New Roman"/>
          <w:color w:val="000000"/>
          <w:sz w:val="24"/>
          <w:szCs w:val="24"/>
        </w:rPr>
        <w:t xml:space="preserve"> (Табела 1)</w:t>
      </w:r>
      <w:r w:rsidR="00C26E65" w:rsidRPr="00906463">
        <w:rPr>
          <w:rFonts w:ascii="Times New Roman" w:hAnsi="Times New Roman" w:cs="Times New Roman"/>
          <w:color w:val="000000"/>
          <w:sz w:val="24"/>
          <w:szCs w:val="24"/>
        </w:rPr>
        <w:t xml:space="preserve">. </w:t>
      </w:r>
    </w:p>
    <w:p w:rsidR="0042185F" w:rsidRDefault="0042185F" w:rsidP="00DC3D6D">
      <w:pPr>
        <w:spacing w:line="360" w:lineRule="auto"/>
        <w:rPr>
          <w:rFonts w:ascii="Times New Roman" w:hAnsi="Times New Roman" w:cs="Times New Roman"/>
          <w:b/>
          <w:color w:val="000000"/>
          <w:sz w:val="18"/>
          <w:szCs w:val="18"/>
          <w:highlight w:val="yellow"/>
        </w:rPr>
      </w:pPr>
    </w:p>
    <w:p w:rsidR="00894BA3" w:rsidRDefault="00894BA3" w:rsidP="00DC3D6D">
      <w:pPr>
        <w:spacing w:line="360" w:lineRule="auto"/>
        <w:rPr>
          <w:rFonts w:ascii="Times New Roman" w:hAnsi="Times New Roman" w:cs="Times New Roman"/>
          <w:b/>
          <w:color w:val="000000"/>
          <w:sz w:val="20"/>
          <w:szCs w:val="20"/>
        </w:rPr>
      </w:pPr>
    </w:p>
    <w:p w:rsidR="00DC3D6D" w:rsidRPr="004D2F91" w:rsidRDefault="00DC3D6D" w:rsidP="00DC3D6D">
      <w:pPr>
        <w:spacing w:line="360" w:lineRule="auto"/>
        <w:rPr>
          <w:rFonts w:ascii="Times New Roman" w:hAnsi="Times New Roman" w:cs="Times New Roman"/>
          <w:b/>
          <w:color w:val="000000"/>
          <w:sz w:val="20"/>
          <w:szCs w:val="20"/>
        </w:rPr>
      </w:pPr>
      <w:r w:rsidRPr="004D2F91">
        <w:rPr>
          <w:rFonts w:ascii="Times New Roman" w:hAnsi="Times New Roman" w:cs="Times New Roman"/>
          <w:b/>
          <w:color w:val="000000"/>
          <w:sz w:val="20"/>
          <w:szCs w:val="20"/>
        </w:rPr>
        <w:t xml:space="preserve">Табела 1. Анализа на примерокот според </w:t>
      </w:r>
      <w:r w:rsidR="001007E6" w:rsidRPr="004D2F91">
        <w:rPr>
          <w:rFonts w:ascii="Times New Roman" w:hAnsi="Times New Roman" w:cs="Times New Roman"/>
          <w:b/>
          <w:color w:val="000000"/>
          <w:sz w:val="20"/>
          <w:szCs w:val="20"/>
        </w:rPr>
        <w:t>групи</w:t>
      </w:r>
      <w:r w:rsidR="0042185F" w:rsidRPr="004D2F91">
        <w:rPr>
          <w:rFonts w:ascii="Times New Roman" w:hAnsi="Times New Roman" w:cs="Times New Roman"/>
          <w:b/>
          <w:color w:val="000000"/>
          <w:sz w:val="20"/>
          <w:szCs w:val="20"/>
        </w:rPr>
        <w:t xml:space="preserve"> и пол</w:t>
      </w:r>
    </w:p>
    <w:tbl>
      <w:tblPr>
        <w:tblW w:w="893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2"/>
        <w:gridCol w:w="709"/>
        <w:gridCol w:w="1464"/>
        <w:gridCol w:w="1464"/>
        <w:gridCol w:w="1465"/>
        <w:gridCol w:w="1986"/>
      </w:tblGrid>
      <w:tr w:rsidR="001007E6" w:rsidRPr="00DC3D6D" w:rsidTr="0056672A">
        <w:trPr>
          <w:trHeight w:val="465"/>
        </w:trPr>
        <w:tc>
          <w:tcPr>
            <w:tcW w:w="2551" w:type="dxa"/>
            <w:gridSpan w:val="2"/>
            <w:vMerge w:val="restart"/>
            <w:tcBorders>
              <w:left w:val="single" w:sz="4" w:space="0" w:color="FFFFFF"/>
            </w:tcBorders>
            <w:shd w:val="clear" w:color="auto" w:fill="31849B"/>
            <w:vAlign w:val="center"/>
          </w:tcPr>
          <w:p w:rsidR="001007E6" w:rsidRDefault="001007E6" w:rsidP="000A7EFF">
            <w:pPr>
              <w:autoSpaceDE w:val="0"/>
              <w:autoSpaceDN w:val="0"/>
              <w:adjustRightInd w:val="0"/>
              <w:jc w:val="center"/>
              <w:rPr>
                <w:rFonts w:ascii="Times New Roman" w:hAnsi="Times New Roman" w:cs="Times New Roman"/>
                <w:b/>
                <w:color w:val="FFFFFF"/>
                <w:sz w:val="18"/>
                <w:szCs w:val="18"/>
              </w:rPr>
            </w:pPr>
            <w:r>
              <w:rPr>
                <w:rFonts w:ascii="Times New Roman" w:hAnsi="Times New Roman" w:cs="Times New Roman"/>
                <w:b/>
                <w:color w:val="FFFFFF"/>
                <w:sz w:val="18"/>
                <w:szCs w:val="18"/>
              </w:rPr>
              <w:t>Групи</w:t>
            </w:r>
          </w:p>
        </w:tc>
        <w:tc>
          <w:tcPr>
            <w:tcW w:w="2928" w:type="dxa"/>
            <w:gridSpan w:val="2"/>
            <w:shd w:val="clear" w:color="auto" w:fill="31849B"/>
            <w:vAlign w:val="center"/>
          </w:tcPr>
          <w:p w:rsidR="001007E6" w:rsidRPr="00DC3D6D" w:rsidRDefault="001007E6" w:rsidP="001007E6">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Пол</w:t>
            </w:r>
          </w:p>
        </w:tc>
        <w:tc>
          <w:tcPr>
            <w:tcW w:w="1465" w:type="dxa"/>
            <w:vMerge w:val="restart"/>
            <w:shd w:val="clear" w:color="auto" w:fill="31849B"/>
            <w:vAlign w:val="center"/>
          </w:tcPr>
          <w:p w:rsidR="001007E6" w:rsidRDefault="001007E6" w:rsidP="000A7EFF">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Вкупно</w:t>
            </w:r>
          </w:p>
        </w:tc>
        <w:tc>
          <w:tcPr>
            <w:tcW w:w="1986" w:type="dxa"/>
            <w:vMerge w:val="restart"/>
            <w:tcBorders>
              <w:right w:val="single" w:sz="4" w:space="0" w:color="31849B"/>
            </w:tcBorders>
            <w:shd w:val="clear" w:color="auto" w:fill="31849B"/>
            <w:vAlign w:val="center"/>
          </w:tcPr>
          <w:p w:rsidR="001007E6" w:rsidRPr="00DC3D6D" w:rsidRDefault="001007E6" w:rsidP="000A7EFF">
            <w:pPr>
              <w:jc w:val="center"/>
              <w:rPr>
                <w:rFonts w:ascii="Times New Roman" w:hAnsi="Times New Roman" w:cs="Times New Roman"/>
                <w:b/>
                <w:color w:val="FFFFFF"/>
                <w:sz w:val="18"/>
                <w:szCs w:val="18"/>
                <w:vertAlign w:val="superscript"/>
              </w:rPr>
            </w:pPr>
            <w:r w:rsidRPr="00DC3D6D">
              <w:rPr>
                <w:rFonts w:ascii="Times New Roman" w:hAnsi="Times New Roman" w:cs="Times New Roman"/>
                <w:b/>
                <w:color w:val="FFFFFF"/>
                <w:sz w:val="18"/>
                <w:szCs w:val="18"/>
              </w:rPr>
              <w:t>p</w:t>
            </w:r>
          </w:p>
        </w:tc>
      </w:tr>
      <w:tr w:rsidR="001007E6" w:rsidRPr="00DC3D6D" w:rsidTr="001007E6">
        <w:trPr>
          <w:trHeight w:val="479"/>
        </w:trPr>
        <w:tc>
          <w:tcPr>
            <w:tcW w:w="2551" w:type="dxa"/>
            <w:gridSpan w:val="2"/>
            <w:vMerge/>
            <w:tcBorders>
              <w:left w:val="single" w:sz="4" w:space="0" w:color="FFFFFF"/>
            </w:tcBorders>
            <w:shd w:val="clear" w:color="auto" w:fill="31849B"/>
            <w:vAlign w:val="center"/>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p>
        </w:tc>
        <w:tc>
          <w:tcPr>
            <w:tcW w:w="1464" w:type="dxa"/>
            <w:shd w:val="clear" w:color="auto" w:fill="31849B"/>
            <w:vAlign w:val="center"/>
          </w:tcPr>
          <w:p w:rsidR="001007E6" w:rsidRPr="00DC3D6D" w:rsidRDefault="001007E6" w:rsidP="001007E6">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Мажи</w:t>
            </w:r>
          </w:p>
        </w:tc>
        <w:tc>
          <w:tcPr>
            <w:tcW w:w="1464" w:type="dxa"/>
            <w:shd w:val="clear" w:color="auto" w:fill="31849B"/>
            <w:vAlign w:val="center"/>
          </w:tcPr>
          <w:p w:rsidR="001007E6" w:rsidRPr="00DC3D6D" w:rsidRDefault="001007E6" w:rsidP="001007E6">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Жени</w:t>
            </w:r>
          </w:p>
        </w:tc>
        <w:tc>
          <w:tcPr>
            <w:tcW w:w="1465" w:type="dxa"/>
            <w:vMerge/>
            <w:tcBorders>
              <w:bottom w:val="single" w:sz="4" w:space="0" w:color="FFFFFF"/>
            </w:tcBorders>
            <w:shd w:val="clear" w:color="auto" w:fill="31849B"/>
            <w:vAlign w:val="center"/>
          </w:tcPr>
          <w:p w:rsidR="001007E6" w:rsidRPr="00DC3D6D" w:rsidRDefault="001007E6" w:rsidP="000A7EFF">
            <w:pPr>
              <w:jc w:val="center"/>
              <w:rPr>
                <w:rFonts w:ascii="Times New Roman" w:hAnsi="Times New Roman" w:cs="Times New Roman"/>
                <w:b/>
                <w:color w:val="FFFFFF"/>
                <w:sz w:val="18"/>
                <w:szCs w:val="18"/>
              </w:rPr>
            </w:pPr>
          </w:p>
        </w:tc>
        <w:tc>
          <w:tcPr>
            <w:tcW w:w="1986" w:type="dxa"/>
            <w:vMerge/>
            <w:tcBorders>
              <w:bottom w:val="single" w:sz="4" w:space="0" w:color="FFFFFF"/>
              <w:right w:val="single" w:sz="4" w:space="0" w:color="31849B"/>
            </w:tcBorders>
            <w:shd w:val="clear" w:color="auto" w:fill="31849B"/>
            <w:vAlign w:val="center"/>
          </w:tcPr>
          <w:p w:rsidR="001007E6" w:rsidRPr="00DC3D6D" w:rsidRDefault="001007E6" w:rsidP="000A7EFF">
            <w:pPr>
              <w:jc w:val="center"/>
              <w:rPr>
                <w:rFonts w:ascii="Times New Roman" w:hAnsi="Times New Roman" w:cs="Times New Roman"/>
                <w:b/>
                <w:color w:val="FFFFFF"/>
                <w:sz w:val="18"/>
                <w:szCs w:val="18"/>
                <w:highlight w:val="yellow"/>
              </w:rPr>
            </w:pPr>
          </w:p>
        </w:tc>
      </w:tr>
      <w:tr w:rsidR="001007E6" w:rsidRPr="00DC3D6D" w:rsidTr="00373F8E">
        <w:trPr>
          <w:trHeight w:val="214"/>
        </w:trPr>
        <w:tc>
          <w:tcPr>
            <w:tcW w:w="1842" w:type="dxa"/>
            <w:vMerge w:val="restart"/>
            <w:tcBorders>
              <w:left w:val="single" w:sz="4" w:space="0" w:color="FFFFFF"/>
            </w:tcBorders>
            <w:shd w:val="clear" w:color="auto" w:fill="31849B"/>
            <w:vAlign w:val="center"/>
          </w:tcPr>
          <w:p w:rsidR="001007E6" w:rsidRPr="00DC3D6D" w:rsidRDefault="001007E6" w:rsidP="000A7EFF">
            <w:pPr>
              <w:autoSpaceDE w:val="0"/>
              <w:autoSpaceDN w:val="0"/>
              <w:adjustRightInd w:val="0"/>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Испитувана</w:t>
            </w: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N</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32</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30</w:t>
            </w:r>
          </w:p>
        </w:tc>
        <w:tc>
          <w:tcPr>
            <w:tcW w:w="1465" w:type="dxa"/>
            <w:tcBorders>
              <w:right w:val="single" w:sz="4" w:space="0" w:color="31849B"/>
            </w:tcBorders>
            <w:shd w:val="clear" w:color="auto" w:fill="auto"/>
            <w:vAlign w:val="center"/>
          </w:tcPr>
          <w:p w:rsidR="001007E6" w:rsidRPr="00DC3D6D" w:rsidRDefault="001007E6" w:rsidP="00373F8E">
            <w:pPr>
              <w:jc w:val="center"/>
              <w:rPr>
                <w:rFonts w:ascii="Times New Roman" w:hAnsi="Times New Roman" w:cs="Times New Roman"/>
                <w:sz w:val="18"/>
                <w:szCs w:val="18"/>
              </w:rPr>
            </w:pPr>
            <w:r>
              <w:rPr>
                <w:rFonts w:ascii="Times New Roman" w:hAnsi="Times New Roman" w:cs="Times New Roman"/>
                <w:sz w:val="18"/>
                <w:szCs w:val="18"/>
              </w:rPr>
              <w:t>62</w:t>
            </w:r>
          </w:p>
        </w:tc>
        <w:tc>
          <w:tcPr>
            <w:tcW w:w="1986" w:type="dxa"/>
            <w:vMerge w:val="restart"/>
            <w:tcBorders>
              <w:left w:val="single" w:sz="4" w:space="0" w:color="31849B"/>
              <w:right w:val="single" w:sz="4" w:space="0" w:color="31849B"/>
            </w:tcBorders>
            <w:vAlign w:val="center"/>
          </w:tcPr>
          <w:p w:rsidR="001007E6" w:rsidRPr="00373F8E" w:rsidRDefault="00373F8E" w:rsidP="00373F8E">
            <w:pPr>
              <w:jc w:val="center"/>
              <w:rPr>
                <w:rFonts w:ascii="Times New Roman" w:hAnsi="Times New Roman"/>
                <w:color w:val="000000"/>
                <w:sz w:val="18"/>
                <w:szCs w:val="18"/>
                <w:highlight w:val="yellow"/>
              </w:rPr>
            </w:pPr>
            <w:r w:rsidRPr="00373F8E">
              <w:rPr>
                <w:rFonts w:ascii="Times New Roman" w:hAnsi="Times New Roman"/>
                <w:color w:val="000000"/>
                <w:sz w:val="18"/>
                <w:szCs w:val="18"/>
                <w:lang w:val="en-US"/>
              </w:rPr>
              <w:t>X</w:t>
            </w:r>
            <w:r w:rsidRPr="00373F8E">
              <w:rPr>
                <w:rFonts w:ascii="Times New Roman" w:hAnsi="Times New Roman"/>
                <w:color w:val="000000"/>
                <w:sz w:val="18"/>
                <w:szCs w:val="18"/>
                <w:vertAlign w:val="superscript"/>
                <w:lang w:val="en-US"/>
              </w:rPr>
              <w:t>2</w:t>
            </w:r>
            <w:r w:rsidRPr="00373F8E">
              <w:rPr>
                <w:rFonts w:ascii="Times New Roman" w:hAnsi="Times New Roman"/>
                <w:color w:val="000000"/>
                <w:sz w:val="18"/>
                <w:szCs w:val="18"/>
                <w:lang w:val="en-US"/>
              </w:rPr>
              <w:t>=</w:t>
            </w:r>
            <w:r w:rsidRPr="00373F8E">
              <w:rPr>
                <w:rFonts w:ascii="Times New Roman" w:hAnsi="Times New Roman"/>
                <w:color w:val="000000"/>
                <w:sz w:val="18"/>
                <w:szCs w:val="18"/>
              </w:rPr>
              <w:t>0,041</w:t>
            </w:r>
            <w:r w:rsidRPr="00373F8E">
              <w:rPr>
                <w:rFonts w:ascii="Times New Roman" w:hAnsi="Times New Roman"/>
                <w:color w:val="000000"/>
                <w:sz w:val="18"/>
                <w:szCs w:val="18"/>
                <w:lang w:val="en-US"/>
              </w:rPr>
              <w:t>; df=1; p=0,</w:t>
            </w:r>
            <w:r w:rsidRPr="00373F8E">
              <w:rPr>
                <w:rFonts w:ascii="Times New Roman" w:hAnsi="Times New Roman"/>
                <w:color w:val="000000"/>
                <w:sz w:val="18"/>
                <w:szCs w:val="18"/>
              </w:rPr>
              <w:t>8405</w:t>
            </w:r>
          </w:p>
        </w:tc>
      </w:tr>
      <w:tr w:rsidR="001007E6" w:rsidRPr="00DC3D6D" w:rsidTr="00373F8E">
        <w:trPr>
          <w:trHeight w:val="214"/>
        </w:trPr>
        <w:tc>
          <w:tcPr>
            <w:tcW w:w="1842" w:type="dxa"/>
            <w:vMerge/>
            <w:shd w:val="clear" w:color="auto" w:fill="31849B"/>
            <w:vAlign w:val="center"/>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51,61%</w:t>
            </w:r>
          </w:p>
        </w:tc>
        <w:tc>
          <w:tcPr>
            <w:tcW w:w="1464" w:type="dxa"/>
            <w:shd w:val="clear" w:color="auto" w:fill="DAEEF3"/>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48,39%</w:t>
            </w:r>
          </w:p>
        </w:tc>
        <w:tc>
          <w:tcPr>
            <w:tcW w:w="1465" w:type="dxa"/>
            <w:tcBorders>
              <w:right w:val="single" w:sz="4" w:space="0" w:color="31849B"/>
            </w:tcBorders>
            <w:shd w:val="clear" w:color="auto" w:fill="DAEEF3"/>
            <w:vAlign w:val="center"/>
          </w:tcPr>
          <w:p w:rsidR="001007E6" w:rsidRPr="00DC3D6D" w:rsidRDefault="001007E6" w:rsidP="00373F8E">
            <w:pPr>
              <w:jc w:val="center"/>
              <w:rPr>
                <w:rFonts w:ascii="Times New Roman" w:hAnsi="Times New Roman" w:cs="Times New Roman"/>
                <w:sz w:val="18"/>
                <w:szCs w:val="18"/>
              </w:rPr>
            </w:pPr>
            <w:r>
              <w:rPr>
                <w:rFonts w:ascii="Times New Roman" w:hAnsi="Times New Roman" w:cs="Times New Roman"/>
                <w:sz w:val="18"/>
                <w:szCs w:val="18"/>
              </w:rPr>
              <w:t>51,67%</w:t>
            </w:r>
          </w:p>
        </w:tc>
        <w:tc>
          <w:tcPr>
            <w:tcW w:w="1986" w:type="dxa"/>
            <w:vMerge/>
            <w:tcBorders>
              <w:left w:val="single" w:sz="4" w:space="0" w:color="31849B"/>
              <w:right w:val="single" w:sz="4" w:space="0" w:color="31849B"/>
            </w:tcBorders>
            <w:shd w:val="clear" w:color="auto" w:fill="E5DFEC"/>
          </w:tcPr>
          <w:p w:rsidR="001007E6" w:rsidRPr="00DC3D6D" w:rsidRDefault="001007E6" w:rsidP="000A7EFF">
            <w:pPr>
              <w:jc w:val="center"/>
              <w:rPr>
                <w:rFonts w:ascii="Times New Roman" w:hAnsi="Times New Roman" w:cs="Times New Roman"/>
                <w:color w:val="000000"/>
                <w:sz w:val="18"/>
                <w:szCs w:val="18"/>
                <w:highlight w:val="yellow"/>
              </w:rPr>
            </w:pPr>
          </w:p>
        </w:tc>
      </w:tr>
      <w:tr w:rsidR="001007E6" w:rsidRPr="00DC3D6D" w:rsidTr="00373F8E">
        <w:trPr>
          <w:trHeight w:val="214"/>
        </w:trPr>
        <w:tc>
          <w:tcPr>
            <w:tcW w:w="1842" w:type="dxa"/>
            <w:vMerge w:val="restart"/>
            <w:shd w:val="clear" w:color="auto" w:fill="31849B"/>
            <w:vAlign w:val="center"/>
          </w:tcPr>
          <w:p w:rsidR="001007E6" w:rsidRPr="00DC3D6D" w:rsidRDefault="001007E6" w:rsidP="000A7EFF">
            <w:pPr>
              <w:autoSpaceDE w:val="0"/>
              <w:autoSpaceDN w:val="0"/>
              <w:adjustRightInd w:val="0"/>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Контролна</w:t>
            </w: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N</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31</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27</w:t>
            </w:r>
          </w:p>
        </w:tc>
        <w:tc>
          <w:tcPr>
            <w:tcW w:w="1465" w:type="dxa"/>
            <w:tcBorders>
              <w:right w:val="single" w:sz="4" w:space="0" w:color="31849B"/>
            </w:tcBorders>
            <w:shd w:val="clear" w:color="auto" w:fill="auto"/>
            <w:vAlign w:val="center"/>
          </w:tcPr>
          <w:p w:rsidR="001007E6" w:rsidRPr="00DC3D6D" w:rsidRDefault="00906463" w:rsidP="00373F8E">
            <w:pPr>
              <w:jc w:val="center"/>
              <w:rPr>
                <w:rFonts w:ascii="Times New Roman" w:hAnsi="Times New Roman" w:cs="Times New Roman"/>
                <w:sz w:val="18"/>
                <w:szCs w:val="18"/>
              </w:rPr>
            </w:pPr>
            <w:r>
              <w:rPr>
                <w:rFonts w:ascii="Times New Roman" w:hAnsi="Times New Roman" w:cs="Times New Roman"/>
                <w:sz w:val="18"/>
                <w:szCs w:val="18"/>
              </w:rPr>
              <w:t>58</w:t>
            </w:r>
          </w:p>
        </w:tc>
        <w:tc>
          <w:tcPr>
            <w:tcW w:w="1986" w:type="dxa"/>
            <w:vMerge/>
            <w:tcBorders>
              <w:left w:val="single" w:sz="4" w:space="0" w:color="31849B"/>
              <w:right w:val="single" w:sz="4" w:space="0" w:color="31849B"/>
            </w:tcBorders>
          </w:tcPr>
          <w:p w:rsidR="001007E6" w:rsidRPr="00DC3D6D" w:rsidRDefault="001007E6" w:rsidP="000A7EFF">
            <w:pPr>
              <w:jc w:val="center"/>
              <w:rPr>
                <w:rFonts w:ascii="Times New Roman" w:hAnsi="Times New Roman" w:cs="Times New Roman"/>
                <w:color w:val="000000"/>
                <w:sz w:val="18"/>
                <w:szCs w:val="18"/>
                <w:highlight w:val="yellow"/>
              </w:rPr>
            </w:pPr>
          </w:p>
        </w:tc>
      </w:tr>
      <w:tr w:rsidR="001007E6" w:rsidRPr="00DC3D6D" w:rsidTr="00373F8E">
        <w:trPr>
          <w:trHeight w:val="214"/>
        </w:trPr>
        <w:tc>
          <w:tcPr>
            <w:tcW w:w="1842" w:type="dxa"/>
            <w:vMerge/>
            <w:shd w:val="clear" w:color="auto" w:fill="31849B"/>
            <w:vAlign w:val="center"/>
          </w:tcPr>
          <w:p w:rsidR="001007E6" w:rsidRPr="00DC3D6D" w:rsidRDefault="001007E6" w:rsidP="000A7EFF">
            <w:pPr>
              <w:autoSpaceDE w:val="0"/>
              <w:autoSpaceDN w:val="0"/>
              <w:adjustRightInd w:val="0"/>
              <w:rPr>
                <w:rFonts w:ascii="Times New Roman" w:hAnsi="Times New Roman" w:cs="Times New Roman"/>
                <w:b/>
                <w:color w:val="FFFFFF"/>
                <w:sz w:val="18"/>
                <w:szCs w:val="18"/>
                <w:lang w:eastAsia="mk-MK"/>
              </w:rPr>
            </w:pP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53,45%</w:t>
            </w:r>
          </w:p>
        </w:tc>
        <w:tc>
          <w:tcPr>
            <w:tcW w:w="1464" w:type="dxa"/>
            <w:shd w:val="clear" w:color="auto" w:fill="DAEEF3"/>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46,55%</w:t>
            </w:r>
          </w:p>
        </w:tc>
        <w:tc>
          <w:tcPr>
            <w:tcW w:w="1465" w:type="dxa"/>
            <w:tcBorders>
              <w:right w:val="single" w:sz="4" w:space="0" w:color="31849B"/>
            </w:tcBorders>
            <w:shd w:val="clear" w:color="auto" w:fill="DAEEF3"/>
            <w:vAlign w:val="center"/>
          </w:tcPr>
          <w:p w:rsidR="001007E6" w:rsidRPr="00DC3D6D" w:rsidRDefault="00906463" w:rsidP="00373F8E">
            <w:pPr>
              <w:jc w:val="center"/>
              <w:rPr>
                <w:rFonts w:ascii="Times New Roman" w:hAnsi="Times New Roman" w:cs="Times New Roman"/>
                <w:sz w:val="18"/>
                <w:szCs w:val="18"/>
              </w:rPr>
            </w:pPr>
            <w:r>
              <w:rPr>
                <w:rFonts w:ascii="Times New Roman" w:hAnsi="Times New Roman" w:cs="Times New Roman"/>
                <w:sz w:val="18"/>
                <w:szCs w:val="18"/>
              </w:rPr>
              <w:t>48,33</w:t>
            </w:r>
            <w:r w:rsidR="001007E6">
              <w:rPr>
                <w:rFonts w:ascii="Times New Roman" w:hAnsi="Times New Roman" w:cs="Times New Roman"/>
                <w:sz w:val="18"/>
                <w:szCs w:val="18"/>
              </w:rPr>
              <w:t>%</w:t>
            </w:r>
          </w:p>
        </w:tc>
        <w:tc>
          <w:tcPr>
            <w:tcW w:w="1986" w:type="dxa"/>
            <w:vMerge/>
            <w:tcBorders>
              <w:left w:val="single" w:sz="4" w:space="0" w:color="31849B"/>
              <w:right w:val="single" w:sz="4" w:space="0" w:color="31849B"/>
            </w:tcBorders>
            <w:shd w:val="clear" w:color="auto" w:fill="E5DFEC"/>
          </w:tcPr>
          <w:p w:rsidR="001007E6" w:rsidRPr="00DC3D6D" w:rsidRDefault="001007E6" w:rsidP="000A7EFF">
            <w:pPr>
              <w:jc w:val="center"/>
              <w:rPr>
                <w:rFonts w:ascii="Times New Roman" w:hAnsi="Times New Roman" w:cs="Times New Roman"/>
                <w:color w:val="000000"/>
                <w:sz w:val="18"/>
                <w:szCs w:val="18"/>
                <w:highlight w:val="yellow"/>
              </w:rPr>
            </w:pPr>
          </w:p>
        </w:tc>
      </w:tr>
      <w:tr w:rsidR="001007E6" w:rsidRPr="00DC3D6D" w:rsidTr="00373F8E">
        <w:trPr>
          <w:trHeight w:val="214"/>
        </w:trPr>
        <w:tc>
          <w:tcPr>
            <w:tcW w:w="1842" w:type="dxa"/>
            <w:vMerge w:val="restart"/>
            <w:shd w:val="clear" w:color="auto" w:fill="31849B"/>
            <w:vAlign w:val="center"/>
          </w:tcPr>
          <w:p w:rsidR="001007E6" w:rsidRPr="00DC3D6D" w:rsidRDefault="001007E6" w:rsidP="000A7EFF">
            <w:pPr>
              <w:autoSpaceDE w:val="0"/>
              <w:autoSpaceDN w:val="0"/>
              <w:adjustRightInd w:val="0"/>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Вкупно</w:t>
            </w: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 xml:space="preserve">N </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63</w:t>
            </w:r>
          </w:p>
        </w:tc>
        <w:tc>
          <w:tcPr>
            <w:tcW w:w="1464" w:type="dxa"/>
            <w:vAlign w:val="center"/>
          </w:tcPr>
          <w:p w:rsidR="001007E6" w:rsidRDefault="00373F8E" w:rsidP="00373F8E">
            <w:pPr>
              <w:jc w:val="center"/>
              <w:rPr>
                <w:rFonts w:ascii="Times New Roman" w:hAnsi="Times New Roman" w:cs="Times New Roman"/>
                <w:sz w:val="18"/>
                <w:szCs w:val="18"/>
              </w:rPr>
            </w:pPr>
            <w:r>
              <w:rPr>
                <w:rFonts w:ascii="Times New Roman" w:hAnsi="Times New Roman" w:cs="Times New Roman"/>
                <w:sz w:val="18"/>
                <w:szCs w:val="18"/>
              </w:rPr>
              <w:t>57</w:t>
            </w:r>
          </w:p>
        </w:tc>
        <w:tc>
          <w:tcPr>
            <w:tcW w:w="1465" w:type="dxa"/>
            <w:tcBorders>
              <w:right w:val="single" w:sz="4" w:space="0" w:color="31849B"/>
            </w:tcBorders>
            <w:shd w:val="clear" w:color="auto" w:fill="auto"/>
            <w:vAlign w:val="center"/>
          </w:tcPr>
          <w:p w:rsidR="001007E6" w:rsidRPr="00DC3D6D" w:rsidRDefault="001007E6" w:rsidP="00373F8E">
            <w:pPr>
              <w:jc w:val="center"/>
              <w:rPr>
                <w:rFonts w:ascii="Times New Roman" w:hAnsi="Times New Roman" w:cs="Times New Roman"/>
                <w:sz w:val="18"/>
                <w:szCs w:val="18"/>
              </w:rPr>
            </w:pPr>
            <w:r>
              <w:rPr>
                <w:rFonts w:ascii="Times New Roman" w:hAnsi="Times New Roman" w:cs="Times New Roman"/>
                <w:sz w:val="18"/>
                <w:szCs w:val="18"/>
              </w:rPr>
              <w:t>120</w:t>
            </w:r>
          </w:p>
        </w:tc>
        <w:tc>
          <w:tcPr>
            <w:tcW w:w="1986" w:type="dxa"/>
            <w:vMerge/>
            <w:tcBorders>
              <w:left w:val="single" w:sz="4" w:space="0" w:color="31849B"/>
              <w:right w:val="single" w:sz="4" w:space="0" w:color="31849B"/>
            </w:tcBorders>
          </w:tcPr>
          <w:p w:rsidR="001007E6" w:rsidRPr="00DC3D6D" w:rsidRDefault="001007E6" w:rsidP="000A7EFF">
            <w:pPr>
              <w:jc w:val="center"/>
              <w:rPr>
                <w:rFonts w:ascii="Times New Roman" w:hAnsi="Times New Roman" w:cs="Times New Roman"/>
                <w:color w:val="000000"/>
                <w:sz w:val="18"/>
                <w:szCs w:val="18"/>
                <w:highlight w:val="yellow"/>
              </w:rPr>
            </w:pPr>
          </w:p>
        </w:tc>
      </w:tr>
      <w:tr w:rsidR="001007E6" w:rsidRPr="00DC3D6D" w:rsidTr="00373F8E">
        <w:trPr>
          <w:trHeight w:val="214"/>
        </w:trPr>
        <w:tc>
          <w:tcPr>
            <w:tcW w:w="1842" w:type="dxa"/>
            <w:vMerge/>
            <w:shd w:val="clear" w:color="auto" w:fill="31849B"/>
            <w:vAlign w:val="center"/>
          </w:tcPr>
          <w:p w:rsidR="001007E6" w:rsidRPr="00DC3D6D" w:rsidRDefault="001007E6" w:rsidP="000A7EFF">
            <w:pPr>
              <w:autoSpaceDE w:val="0"/>
              <w:autoSpaceDN w:val="0"/>
              <w:adjustRightInd w:val="0"/>
              <w:rPr>
                <w:rFonts w:ascii="Times New Roman" w:hAnsi="Times New Roman" w:cs="Times New Roman"/>
                <w:b/>
                <w:color w:val="FFFFFF"/>
                <w:sz w:val="18"/>
                <w:szCs w:val="18"/>
                <w:lang w:eastAsia="mk-MK"/>
              </w:rPr>
            </w:pPr>
          </w:p>
        </w:tc>
        <w:tc>
          <w:tcPr>
            <w:tcW w:w="709" w:type="dxa"/>
            <w:shd w:val="clear" w:color="auto" w:fill="31849B"/>
            <w:vAlign w:val="bottom"/>
          </w:tcPr>
          <w:p w:rsidR="001007E6" w:rsidRPr="00DC3D6D" w:rsidRDefault="001007E6"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1007E6" w:rsidRPr="00DC3D6D" w:rsidRDefault="00373F8E" w:rsidP="00373F8E">
            <w:pPr>
              <w:jc w:val="center"/>
              <w:rPr>
                <w:rFonts w:ascii="Times New Roman" w:hAnsi="Times New Roman" w:cs="Times New Roman"/>
                <w:sz w:val="18"/>
                <w:szCs w:val="18"/>
              </w:rPr>
            </w:pPr>
            <w:r>
              <w:rPr>
                <w:rFonts w:ascii="Times New Roman" w:hAnsi="Times New Roman" w:cs="Times New Roman"/>
                <w:sz w:val="18"/>
                <w:szCs w:val="18"/>
              </w:rPr>
              <w:t>52,50%</w:t>
            </w:r>
          </w:p>
        </w:tc>
        <w:tc>
          <w:tcPr>
            <w:tcW w:w="1464" w:type="dxa"/>
            <w:shd w:val="clear" w:color="auto" w:fill="DAEEF3"/>
            <w:vAlign w:val="center"/>
          </w:tcPr>
          <w:p w:rsidR="001007E6" w:rsidRPr="00DC3D6D" w:rsidRDefault="00373F8E" w:rsidP="00373F8E">
            <w:pPr>
              <w:jc w:val="center"/>
              <w:rPr>
                <w:rFonts w:ascii="Times New Roman" w:hAnsi="Times New Roman" w:cs="Times New Roman"/>
                <w:sz w:val="18"/>
                <w:szCs w:val="18"/>
              </w:rPr>
            </w:pPr>
            <w:r>
              <w:rPr>
                <w:rFonts w:ascii="Times New Roman" w:hAnsi="Times New Roman" w:cs="Times New Roman"/>
                <w:sz w:val="18"/>
                <w:szCs w:val="18"/>
              </w:rPr>
              <w:t>47,50%</w:t>
            </w:r>
          </w:p>
        </w:tc>
        <w:tc>
          <w:tcPr>
            <w:tcW w:w="1465" w:type="dxa"/>
            <w:tcBorders>
              <w:right w:val="single" w:sz="4" w:space="0" w:color="31849B"/>
            </w:tcBorders>
            <w:shd w:val="clear" w:color="auto" w:fill="DAEEF3"/>
            <w:vAlign w:val="center"/>
          </w:tcPr>
          <w:p w:rsidR="001007E6" w:rsidRPr="00DC3D6D" w:rsidRDefault="001007E6" w:rsidP="00373F8E">
            <w:pPr>
              <w:jc w:val="center"/>
              <w:rPr>
                <w:rFonts w:ascii="Times New Roman" w:hAnsi="Times New Roman" w:cs="Times New Roman"/>
                <w:sz w:val="18"/>
                <w:szCs w:val="18"/>
              </w:rPr>
            </w:pPr>
            <w:r w:rsidRPr="00DC3D6D">
              <w:rPr>
                <w:rFonts w:ascii="Times New Roman" w:hAnsi="Times New Roman" w:cs="Times New Roman"/>
                <w:sz w:val="18"/>
                <w:szCs w:val="18"/>
              </w:rPr>
              <w:t>100%</w:t>
            </w:r>
          </w:p>
        </w:tc>
        <w:tc>
          <w:tcPr>
            <w:tcW w:w="1986" w:type="dxa"/>
            <w:vMerge/>
            <w:tcBorders>
              <w:left w:val="single" w:sz="4" w:space="0" w:color="31849B"/>
              <w:right w:val="single" w:sz="4" w:space="0" w:color="31849B"/>
            </w:tcBorders>
            <w:shd w:val="clear" w:color="auto" w:fill="E5DFEC"/>
          </w:tcPr>
          <w:p w:rsidR="001007E6" w:rsidRPr="00DC3D6D" w:rsidRDefault="001007E6" w:rsidP="000A7EFF">
            <w:pPr>
              <w:jc w:val="center"/>
              <w:rPr>
                <w:rFonts w:ascii="Times New Roman" w:hAnsi="Times New Roman" w:cs="Times New Roman"/>
                <w:color w:val="000000"/>
                <w:sz w:val="18"/>
                <w:szCs w:val="18"/>
                <w:highlight w:val="yellow"/>
              </w:rPr>
            </w:pPr>
          </w:p>
        </w:tc>
      </w:tr>
      <w:tr w:rsidR="001007E6" w:rsidRPr="00DC3D6D" w:rsidTr="009D52AD">
        <w:trPr>
          <w:trHeight w:val="688"/>
        </w:trPr>
        <w:tc>
          <w:tcPr>
            <w:tcW w:w="8930" w:type="dxa"/>
            <w:gridSpan w:val="6"/>
            <w:tcBorders>
              <w:right w:val="single" w:sz="4" w:space="0" w:color="31849B"/>
            </w:tcBorders>
            <w:shd w:val="clear" w:color="auto" w:fill="31849B"/>
            <w:vAlign w:val="center"/>
          </w:tcPr>
          <w:p w:rsidR="00ED6827" w:rsidRPr="00A91112" w:rsidRDefault="00ED6827" w:rsidP="00ED6827">
            <w:pPr>
              <w:spacing w:line="276" w:lineRule="auto"/>
              <w:jc w:val="center"/>
              <w:rPr>
                <w:rFonts w:ascii="Times New Roman" w:hAnsi="Times New Roman" w:cs="Times New Roman"/>
                <w:color w:val="FFFFFF"/>
                <w:sz w:val="18"/>
                <w:szCs w:val="18"/>
              </w:rPr>
            </w:pPr>
            <w:r w:rsidRPr="00BE64B0">
              <w:rPr>
                <w:rFonts w:ascii="Times New Roman" w:hAnsi="Times New Roman" w:cs="Times New Roman"/>
                <w:bCs/>
                <w:color w:val="FFFFFF"/>
                <w:sz w:val="18"/>
                <w:szCs w:val="18"/>
              </w:rPr>
              <w:t>Испитувана група</w:t>
            </w:r>
            <w:r>
              <w:rPr>
                <w:rFonts w:ascii="Times New Roman" w:hAnsi="Times New Roman" w:cs="Times New Roman"/>
                <w:bCs/>
                <w:color w:val="FFFFFF"/>
                <w:sz w:val="18"/>
                <w:szCs w:val="18"/>
              </w:rPr>
              <w:t>:пациенти со тумори на паротидни жлезди;</w:t>
            </w:r>
            <w:r w:rsidRPr="00BE64B0">
              <w:rPr>
                <w:rFonts w:ascii="Times New Roman" w:hAnsi="Times New Roman" w:cs="Times New Roman"/>
                <w:color w:val="FFFFFF"/>
                <w:sz w:val="18"/>
                <w:szCs w:val="18"/>
              </w:rPr>
              <w:t xml:space="preserve">  </w:t>
            </w:r>
            <w:r w:rsidRPr="00BE64B0">
              <w:rPr>
                <w:rFonts w:ascii="Times New Roman" w:hAnsi="Times New Roman" w:cs="Times New Roman"/>
                <w:bCs/>
                <w:color w:val="FFFFFF"/>
                <w:sz w:val="18"/>
                <w:szCs w:val="18"/>
              </w:rPr>
              <w:t>Контролна група</w:t>
            </w:r>
            <w:r>
              <w:rPr>
                <w:rFonts w:ascii="Times New Roman" w:hAnsi="Times New Roman" w:cs="Times New Roman"/>
                <w:bCs/>
                <w:color w:val="FFFFFF"/>
                <w:sz w:val="18"/>
                <w:szCs w:val="18"/>
              </w:rPr>
              <w:t xml:space="preserve">: </w:t>
            </w:r>
            <w:r>
              <w:rPr>
                <w:rFonts w:ascii="Times New Roman" w:hAnsi="Times New Roman" w:cs="Times New Roman"/>
                <w:color w:val="FFFFFF"/>
                <w:sz w:val="18"/>
                <w:szCs w:val="18"/>
              </w:rPr>
              <w:t>здрави испитаници</w:t>
            </w:r>
            <w:r w:rsidRPr="00BE64B0">
              <w:rPr>
                <w:rFonts w:ascii="Times New Roman" w:hAnsi="Times New Roman" w:cs="Times New Roman"/>
                <w:color w:val="FFFFFF"/>
                <w:sz w:val="18"/>
                <w:szCs w:val="18"/>
              </w:rPr>
              <w:t>;</w:t>
            </w:r>
          </w:p>
          <w:p w:rsidR="001007E6" w:rsidRPr="00373F8E" w:rsidRDefault="00373F8E" w:rsidP="00373F8E">
            <w:pPr>
              <w:jc w:val="center"/>
              <w:rPr>
                <w:rFonts w:ascii="Times New Roman" w:hAnsi="Times New Roman" w:cs="Times New Roman"/>
                <w:color w:val="FFFFFF"/>
                <w:sz w:val="18"/>
                <w:szCs w:val="18"/>
                <w:highlight w:val="yellow"/>
              </w:rPr>
            </w:pPr>
            <w:r w:rsidRPr="00373F8E">
              <w:rPr>
                <w:rFonts w:ascii="Times New Roman" w:hAnsi="Times New Roman"/>
                <w:color w:val="FFFFFF"/>
                <w:sz w:val="18"/>
                <w:szCs w:val="18"/>
                <w:lang w:val="en-US"/>
              </w:rPr>
              <w:t>X</w:t>
            </w:r>
            <w:r w:rsidRPr="00373F8E">
              <w:rPr>
                <w:rFonts w:ascii="Times New Roman" w:hAnsi="Times New Roman"/>
                <w:color w:val="FFFFFF"/>
                <w:sz w:val="18"/>
                <w:szCs w:val="18"/>
                <w:vertAlign w:val="superscript"/>
                <w:lang w:val="en-US"/>
              </w:rPr>
              <w:t>2</w:t>
            </w:r>
            <w:r w:rsidRPr="00373F8E">
              <w:rPr>
                <w:rFonts w:ascii="Times New Roman" w:hAnsi="Times New Roman"/>
                <w:color w:val="FFFFFF"/>
                <w:sz w:val="18"/>
                <w:szCs w:val="18"/>
                <w:lang w:val="en-US"/>
              </w:rPr>
              <w:t>=</w:t>
            </w:r>
            <w:r w:rsidRPr="00373F8E">
              <w:rPr>
                <w:rFonts w:ascii="Times New Roman" w:hAnsi="Times New Roman"/>
                <w:color w:val="FFFFFF"/>
                <w:sz w:val="18"/>
                <w:szCs w:val="18"/>
              </w:rPr>
              <w:t xml:space="preserve"> </w:t>
            </w:r>
            <w:r w:rsidRPr="00373F8E">
              <w:rPr>
                <w:rFonts w:ascii="Times New Roman" w:hAnsi="Times New Roman"/>
                <w:color w:val="FFFFFF"/>
                <w:sz w:val="18"/>
                <w:szCs w:val="18"/>
                <w:lang w:val="en-US"/>
              </w:rPr>
              <w:t>Pearson Chi square test</w:t>
            </w:r>
            <w:r w:rsidRPr="00373F8E">
              <w:rPr>
                <w:rFonts w:ascii="Times New Roman" w:hAnsi="Times New Roman" w:cs="Times New Roman"/>
                <w:color w:val="FFFFFF"/>
                <w:sz w:val="18"/>
                <w:szCs w:val="18"/>
                <w:lang w:val="en-US"/>
              </w:rPr>
              <w:t>;</w:t>
            </w:r>
            <w:r w:rsidRPr="00A926CA">
              <w:rPr>
                <w:rFonts w:ascii="Times New Roman" w:hAnsi="Times New Roman" w:cs="Times New Roman"/>
                <w:b/>
                <w:color w:val="FFFFFF"/>
                <w:sz w:val="18"/>
                <w:szCs w:val="18"/>
                <w:lang w:val="en-US" w:eastAsia="mk-MK"/>
              </w:rPr>
              <w:t xml:space="preserve"> </w:t>
            </w:r>
            <w:r w:rsidRPr="00373F8E">
              <w:rPr>
                <w:rFonts w:ascii="Times New Roman" w:hAnsi="Times New Roman" w:cs="Times New Roman"/>
                <w:b/>
                <w:color w:val="FFFFFF"/>
                <w:sz w:val="18"/>
                <w:szCs w:val="18"/>
                <w:lang w:val="en-US" w:eastAsia="mk-MK"/>
              </w:rPr>
              <w:t xml:space="preserve">          </w:t>
            </w:r>
            <w:r w:rsidRPr="00373F8E">
              <w:rPr>
                <w:rFonts w:ascii="Times New Roman" w:hAnsi="Times New Roman" w:cs="Times New Roman"/>
                <w:color w:val="FFFFFF"/>
                <w:sz w:val="18"/>
                <w:szCs w:val="18"/>
              </w:rPr>
              <w:t xml:space="preserve">*сигнификантно за </w:t>
            </w:r>
            <w:r w:rsidRPr="00373F8E">
              <w:rPr>
                <w:rFonts w:ascii="Times New Roman" w:hAnsi="Times New Roman" w:cs="Times New Roman"/>
                <w:color w:val="FFFFFF"/>
                <w:sz w:val="18"/>
                <w:szCs w:val="18"/>
                <w:lang w:val="it-IT"/>
              </w:rPr>
              <w:t>p&lt;0,05</w:t>
            </w:r>
          </w:p>
        </w:tc>
      </w:tr>
    </w:tbl>
    <w:p w:rsidR="00DC3D6D" w:rsidRDefault="00DC3D6D" w:rsidP="00DC3D6D"/>
    <w:p w:rsidR="0012693B" w:rsidRDefault="004D2F91" w:rsidP="00D41B9C">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2693B" w:rsidRDefault="0012693B" w:rsidP="00D41B9C">
      <w:pPr>
        <w:ind w:firstLine="720"/>
        <w:jc w:val="both"/>
        <w:rPr>
          <w:rFonts w:ascii="Times New Roman" w:hAnsi="Times New Roman" w:cs="Times New Roman"/>
          <w:color w:val="000000"/>
          <w:sz w:val="24"/>
          <w:szCs w:val="24"/>
        </w:rPr>
      </w:pPr>
    </w:p>
    <w:p w:rsidR="0012693B" w:rsidRDefault="0012693B" w:rsidP="00D41B9C">
      <w:pPr>
        <w:ind w:firstLine="720"/>
        <w:jc w:val="both"/>
        <w:rPr>
          <w:rFonts w:ascii="Times New Roman" w:hAnsi="Times New Roman" w:cs="Times New Roman"/>
          <w:color w:val="000000"/>
          <w:sz w:val="24"/>
          <w:szCs w:val="24"/>
        </w:rPr>
      </w:pPr>
    </w:p>
    <w:p w:rsidR="0056672A" w:rsidRPr="00026D1A" w:rsidRDefault="004D2F91" w:rsidP="00D41B9C">
      <w:pPr>
        <w:ind w:firstLine="720"/>
        <w:jc w:val="both"/>
        <w:rPr>
          <w:rFonts w:ascii="Times New Roman" w:hAnsi="Times New Roman" w:cs="Times New Roman"/>
          <w:color w:val="000000"/>
          <w:sz w:val="24"/>
          <w:szCs w:val="24"/>
        </w:rPr>
      </w:pPr>
      <w:r w:rsidRPr="00026D1A">
        <w:rPr>
          <w:rFonts w:ascii="Times New Roman" w:hAnsi="Times New Roman" w:cs="Times New Roman"/>
          <w:color w:val="000000"/>
          <w:sz w:val="24"/>
          <w:szCs w:val="24"/>
        </w:rPr>
        <w:t xml:space="preserve">Во испитуваната група од 62 (100%) испитаници, мажи односно жени беа консеквентно 32 (51,61%) vs. 30 (48,39%) со однос помеѓу половите (мажи:жени) од 1,1:1. Во контролната група, од вкупно 58 (100%), испитаници, од машки пол беа 31 (53,45%), а од женски пол беа 27 (46,55%). Односот помеѓу половите (мажи:жени) во контролната група изнесуваше 1,1:1 (Табела 1 и График 1). </w:t>
      </w:r>
      <w:r w:rsidRPr="00026D1A">
        <w:rPr>
          <w:rFonts w:ascii="Times New Roman" w:hAnsi="Times New Roman" w:cs="Times New Roman"/>
          <w:color w:val="000000"/>
          <w:sz w:val="24"/>
          <w:szCs w:val="24"/>
          <w:lang w:eastAsia="mk-MK"/>
        </w:rPr>
        <w:t>За p&gt;</w:t>
      </w:r>
      <w:r w:rsidR="0056672A" w:rsidRPr="00026D1A">
        <w:rPr>
          <w:rFonts w:ascii="Times New Roman" w:hAnsi="Times New Roman" w:cs="Times New Roman"/>
          <w:color w:val="000000"/>
          <w:sz w:val="24"/>
          <w:szCs w:val="24"/>
          <w:lang w:eastAsia="mk-MK"/>
        </w:rPr>
        <w:t xml:space="preserve">0,05, </w:t>
      </w:r>
      <w:r w:rsidRPr="00026D1A">
        <w:rPr>
          <w:rFonts w:ascii="Times New Roman" w:hAnsi="Times New Roman" w:cs="Times New Roman"/>
          <w:color w:val="000000"/>
          <w:sz w:val="24"/>
          <w:szCs w:val="24"/>
          <w:lang w:eastAsia="mk-MK"/>
        </w:rPr>
        <w:t xml:space="preserve">немаше </w:t>
      </w:r>
      <w:r w:rsidR="0056672A" w:rsidRPr="00026D1A">
        <w:rPr>
          <w:rFonts w:ascii="Times New Roman" w:hAnsi="Times New Roman" w:cs="Times New Roman"/>
          <w:color w:val="000000"/>
          <w:sz w:val="24"/>
          <w:szCs w:val="24"/>
          <w:lang w:eastAsia="mk-MK"/>
        </w:rPr>
        <w:t xml:space="preserve">сигнификантна асоцијација помеѓу </w:t>
      </w:r>
      <w:r w:rsidRPr="00026D1A">
        <w:rPr>
          <w:rFonts w:ascii="Times New Roman" w:hAnsi="Times New Roman" w:cs="Times New Roman"/>
          <w:color w:val="000000"/>
          <w:sz w:val="24"/>
          <w:szCs w:val="24"/>
          <w:lang w:eastAsia="mk-MK"/>
        </w:rPr>
        <w:t>полот на испитаниците и групата на која и припаѓаат</w:t>
      </w:r>
      <w:r w:rsidR="0056672A" w:rsidRPr="00026D1A">
        <w:rPr>
          <w:rFonts w:ascii="Times New Roman" w:hAnsi="Times New Roman" w:cs="Times New Roman"/>
          <w:color w:val="000000"/>
          <w:sz w:val="24"/>
          <w:szCs w:val="24"/>
          <w:lang w:eastAsia="mk-MK"/>
        </w:rPr>
        <w:t xml:space="preserve"> (</w:t>
      </w:r>
      <w:r w:rsidR="0056672A" w:rsidRPr="00026D1A">
        <w:rPr>
          <w:rFonts w:ascii="Times New Roman" w:hAnsi="Times New Roman"/>
          <w:color w:val="000000"/>
          <w:sz w:val="24"/>
          <w:szCs w:val="24"/>
          <w:lang w:eastAsia="mk-MK"/>
        </w:rPr>
        <w:t xml:space="preserve">Pearson Chi-square test: </w:t>
      </w:r>
      <w:r w:rsidR="0056672A" w:rsidRPr="00A926CA">
        <w:rPr>
          <w:rFonts w:ascii="Times New Roman" w:hAnsi="Times New Roman"/>
          <w:color w:val="000000"/>
          <w:sz w:val="24"/>
          <w:szCs w:val="24"/>
        </w:rPr>
        <w:t>X</w:t>
      </w:r>
      <w:r w:rsidR="0056672A" w:rsidRPr="00A926CA">
        <w:rPr>
          <w:rFonts w:ascii="Times New Roman" w:hAnsi="Times New Roman"/>
          <w:color w:val="000000"/>
          <w:sz w:val="24"/>
          <w:szCs w:val="24"/>
          <w:vertAlign w:val="superscript"/>
        </w:rPr>
        <w:t>2</w:t>
      </w:r>
      <w:r w:rsidR="0056672A" w:rsidRPr="00A926CA">
        <w:rPr>
          <w:rFonts w:ascii="Times New Roman" w:hAnsi="Times New Roman"/>
          <w:color w:val="000000"/>
          <w:sz w:val="24"/>
          <w:szCs w:val="24"/>
        </w:rPr>
        <w:t>=</w:t>
      </w:r>
      <w:r w:rsidR="00026D1A" w:rsidRPr="00026D1A">
        <w:rPr>
          <w:rFonts w:ascii="Times New Roman" w:hAnsi="Times New Roman"/>
          <w:color w:val="000000"/>
          <w:sz w:val="24"/>
          <w:szCs w:val="24"/>
        </w:rPr>
        <w:t>0,041</w:t>
      </w:r>
      <w:r w:rsidR="0056672A" w:rsidRPr="00A926CA">
        <w:rPr>
          <w:rFonts w:ascii="Times New Roman" w:hAnsi="Times New Roman"/>
          <w:color w:val="000000"/>
          <w:sz w:val="24"/>
          <w:szCs w:val="24"/>
        </w:rPr>
        <w:t>; df=1; p=0,</w:t>
      </w:r>
      <w:r w:rsidR="00026D1A" w:rsidRPr="00026D1A">
        <w:rPr>
          <w:rFonts w:ascii="Times New Roman" w:hAnsi="Times New Roman"/>
          <w:color w:val="000000"/>
          <w:sz w:val="24"/>
          <w:szCs w:val="24"/>
        </w:rPr>
        <w:t>8405</w:t>
      </w:r>
      <w:r w:rsidR="0056672A" w:rsidRPr="00026D1A">
        <w:rPr>
          <w:rFonts w:ascii="Times New Roman" w:hAnsi="Times New Roman"/>
          <w:color w:val="000000"/>
          <w:sz w:val="24"/>
          <w:szCs w:val="24"/>
          <w:lang w:eastAsia="mk-MK"/>
        </w:rPr>
        <w:t xml:space="preserve">). </w:t>
      </w:r>
    </w:p>
    <w:p w:rsidR="0056672A" w:rsidRPr="00026D1A" w:rsidRDefault="0056672A" w:rsidP="0056672A">
      <w:pPr>
        <w:spacing w:line="360" w:lineRule="auto"/>
        <w:jc w:val="both"/>
        <w:rPr>
          <w:rFonts w:ascii="Times New Roman" w:hAnsi="Times New Roman"/>
          <w:color w:val="000000"/>
          <w:sz w:val="24"/>
          <w:szCs w:val="24"/>
          <w:lang w:eastAsia="mk-MK"/>
        </w:rPr>
      </w:pPr>
    </w:p>
    <w:p w:rsidR="0056672A" w:rsidRDefault="00446A60" w:rsidP="0056672A">
      <w:pPr>
        <w:spacing w:line="360" w:lineRule="auto"/>
        <w:jc w:val="both"/>
        <w:rPr>
          <w:rFonts w:ascii="Times New Roman" w:hAnsi="Times New Roman"/>
          <w:color w:val="000000"/>
          <w:sz w:val="24"/>
          <w:szCs w:val="24"/>
          <w:highlight w:val="yellow"/>
          <w:lang w:eastAsia="mk-MK"/>
        </w:rPr>
      </w:pPr>
      <w:r>
        <w:rPr>
          <w:noProof/>
          <w:lang w:val="en-US"/>
        </w:rPr>
        <w:drawing>
          <wp:anchor distT="0" distB="0" distL="114300" distR="114300" simplePos="0" relativeHeight="251643392" behindDoc="1" locked="0" layoutInCell="1" allowOverlap="1">
            <wp:simplePos x="0" y="0"/>
            <wp:positionH relativeFrom="column">
              <wp:posOffset>559435</wp:posOffset>
            </wp:positionH>
            <wp:positionV relativeFrom="paragraph">
              <wp:posOffset>110490</wp:posOffset>
            </wp:positionV>
            <wp:extent cx="4458970" cy="3949065"/>
            <wp:effectExtent l="19050" t="0" r="0" b="0"/>
            <wp:wrapTight wrapText="bothSides">
              <wp:wrapPolygon edited="0">
                <wp:start x="5629" y="208"/>
                <wp:lineTo x="5537" y="10211"/>
                <wp:lineTo x="646" y="10941"/>
                <wp:lineTo x="-92" y="11149"/>
                <wp:lineTo x="-92" y="21360"/>
                <wp:lineTo x="10705" y="21360"/>
                <wp:lineTo x="21594" y="21360"/>
                <wp:lineTo x="21594" y="11045"/>
                <wp:lineTo x="20856" y="10836"/>
                <wp:lineTo x="16149" y="10211"/>
                <wp:lineTo x="16149" y="208"/>
                <wp:lineTo x="5629" y="208"/>
              </wp:wrapPolygon>
            </wp:wrapTight>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5"/>
                    <a:srcRect/>
                    <a:stretch>
                      <a:fillRect/>
                    </a:stretch>
                  </pic:blipFill>
                  <pic:spPr bwMode="auto">
                    <a:xfrm>
                      <a:off x="0" y="0"/>
                      <a:ext cx="4458970" cy="3949065"/>
                    </a:xfrm>
                    <a:prstGeom prst="rect">
                      <a:avLst/>
                    </a:prstGeom>
                    <a:noFill/>
                    <a:ln w="9525">
                      <a:noFill/>
                      <a:miter lim="800000"/>
                      <a:headEnd/>
                      <a:tailEnd/>
                    </a:ln>
                  </pic:spPr>
                </pic:pic>
              </a:graphicData>
            </a:graphic>
          </wp:anchor>
        </w:drawing>
      </w: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026D1A" w:rsidRDefault="00026D1A" w:rsidP="0056672A">
      <w:pPr>
        <w:spacing w:line="360" w:lineRule="auto"/>
        <w:jc w:val="both"/>
        <w:rPr>
          <w:rFonts w:ascii="Times New Roman" w:hAnsi="Times New Roman"/>
          <w:color w:val="000000"/>
          <w:sz w:val="24"/>
          <w:szCs w:val="24"/>
          <w:highlight w:val="yellow"/>
          <w:lang w:eastAsia="mk-MK"/>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AA6E78">
      <w:pPr>
        <w:spacing w:line="360" w:lineRule="auto"/>
        <w:jc w:val="center"/>
        <w:rPr>
          <w:rFonts w:ascii="Times New Roman" w:hAnsi="Times New Roman" w:cs="Times New Roman"/>
          <w:b/>
          <w:color w:val="000000"/>
          <w:sz w:val="20"/>
          <w:szCs w:val="20"/>
        </w:rPr>
      </w:pPr>
    </w:p>
    <w:p w:rsidR="00AA6E78" w:rsidRPr="004D2F91" w:rsidRDefault="00AA6E78" w:rsidP="00AA6E78">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Pr="004D2F91">
        <w:rPr>
          <w:rFonts w:ascii="Times New Roman" w:hAnsi="Times New Roman" w:cs="Times New Roman"/>
          <w:b/>
          <w:color w:val="000000"/>
          <w:sz w:val="20"/>
          <w:szCs w:val="20"/>
        </w:rPr>
        <w:t xml:space="preserve"> 1. </w:t>
      </w:r>
      <w:r>
        <w:rPr>
          <w:rFonts w:ascii="Times New Roman" w:hAnsi="Times New Roman" w:cs="Times New Roman"/>
          <w:b/>
          <w:color w:val="000000"/>
          <w:sz w:val="20"/>
          <w:szCs w:val="20"/>
        </w:rPr>
        <w:t xml:space="preserve">Дистрибуција </w:t>
      </w:r>
      <w:r w:rsidRPr="004D2F91">
        <w:rPr>
          <w:rFonts w:ascii="Times New Roman" w:hAnsi="Times New Roman" w:cs="Times New Roman"/>
          <w:b/>
          <w:color w:val="000000"/>
          <w:sz w:val="20"/>
          <w:szCs w:val="20"/>
        </w:rPr>
        <w:t>на примерокот според групи и пол</w:t>
      </w: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AA6E78" w:rsidRDefault="00AA6E78" w:rsidP="0056672A">
      <w:pPr>
        <w:spacing w:line="360" w:lineRule="auto"/>
        <w:jc w:val="both"/>
        <w:rPr>
          <w:rFonts w:ascii="Times New Roman" w:hAnsi="Times New Roman" w:cs="Times New Roman"/>
          <w:b/>
          <w:color w:val="000000"/>
          <w:sz w:val="20"/>
          <w:szCs w:val="20"/>
          <w:highlight w:val="yellow"/>
        </w:rPr>
      </w:pPr>
    </w:p>
    <w:p w:rsidR="00D41B9C" w:rsidRDefault="00D41B9C" w:rsidP="00630C09">
      <w:pPr>
        <w:spacing w:line="360" w:lineRule="auto"/>
        <w:ind w:firstLine="720"/>
        <w:jc w:val="both"/>
        <w:rPr>
          <w:rFonts w:ascii="Times New Roman" w:hAnsi="Times New Roman" w:cs="Times New Roman"/>
          <w:b/>
          <w:bCs/>
          <w:color w:val="000000"/>
          <w:sz w:val="24"/>
          <w:szCs w:val="24"/>
        </w:rPr>
      </w:pPr>
    </w:p>
    <w:p w:rsidR="00D41B9C" w:rsidRDefault="00D41B9C" w:rsidP="00630C09">
      <w:pPr>
        <w:spacing w:line="360" w:lineRule="auto"/>
        <w:ind w:firstLine="720"/>
        <w:jc w:val="both"/>
        <w:rPr>
          <w:rFonts w:ascii="Times New Roman" w:hAnsi="Times New Roman" w:cs="Times New Roman"/>
          <w:b/>
          <w:bCs/>
          <w:color w:val="000000"/>
          <w:sz w:val="24"/>
          <w:szCs w:val="24"/>
        </w:rPr>
      </w:pPr>
    </w:p>
    <w:p w:rsidR="00D41B9C" w:rsidRDefault="00D41B9C" w:rsidP="00630C09">
      <w:pPr>
        <w:spacing w:line="360" w:lineRule="auto"/>
        <w:ind w:firstLine="720"/>
        <w:jc w:val="both"/>
        <w:rPr>
          <w:rFonts w:ascii="Times New Roman" w:hAnsi="Times New Roman" w:cs="Times New Roman"/>
          <w:b/>
          <w:bCs/>
          <w:color w:val="000000"/>
          <w:sz w:val="24"/>
          <w:szCs w:val="24"/>
        </w:rPr>
      </w:pPr>
    </w:p>
    <w:p w:rsidR="00630C09" w:rsidRDefault="00630C09" w:rsidP="00D41B9C">
      <w:pPr>
        <w:ind w:firstLine="720"/>
        <w:jc w:val="both"/>
        <w:rPr>
          <w:rFonts w:ascii="Times New Roman" w:hAnsi="Times New Roman" w:cs="Times New Roman"/>
          <w:color w:val="000000"/>
          <w:kern w:val="1"/>
          <w:sz w:val="24"/>
          <w:szCs w:val="24"/>
          <w:lang w:eastAsia="mk-MK"/>
        </w:rPr>
      </w:pPr>
      <w:r w:rsidRPr="00EC28B2">
        <w:rPr>
          <w:rFonts w:ascii="Times New Roman" w:hAnsi="Times New Roman" w:cs="Times New Roman"/>
          <w:b/>
          <w:bCs/>
          <w:color w:val="000000"/>
          <w:sz w:val="24"/>
          <w:szCs w:val="24"/>
        </w:rPr>
        <w:t xml:space="preserve">ВОЗРАСТ </w:t>
      </w:r>
      <w:r w:rsidRPr="00EC28B2">
        <w:rPr>
          <w:rFonts w:ascii="Times New Roman" w:hAnsi="Times New Roman" w:cs="Times New Roman"/>
          <w:b/>
          <w:color w:val="000000"/>
          <w:sz w:val="24"/>
          <w:szCs w:val="24"/>
        </w:rPr>
        <w:t>–</w:t>
      </w:r>
      <w:r w:rsidRPr="00F0180C">
        <w:rPr>
          <w:rFonts w:ascii="Times New Roman" w:hAnsi="Times New Roman" w:cs="Times New Roman"/>
          <w:color w:val="215868"/>
          <w:sz w:val="24"/>
          <w:szCs w:val="24"/>
        </w:rPr>
        <w:t xml:space="preserve"> </w:t>
      </w:r>
      <w:r w:rsidRPr="00F0180C">
        <w:rPr>
          <w:rFonts w:ascii="Times New Roman" w:hAnsi="Times New Roman" w:cs="Times New Roman"/>
          <w:color w:val="000000"/>
          <w:sz w:val="24"/>
          <w:szCs w:val="24"/>
          <w:lang w:eastAsia="en-GB"/>
        </w:rPr>
        <w:t xml:space="preserve">Поединечната </w:t>
      </w:r>
      <w:r w:rsidR="00364632">
        <w:rPr>
          <w:rFonts w:ascii="Times New Roman" w:hAnsi="Times New Roman" w:cs="Times New Roman"/>
          <w:color w:val="000000"/>
          <w:sz w:val="24"/>
          <w:szCs w:val="24"/>
          <w:lang w:val="en-US" w:eastAsia="en-GB"/>
        </w:rPr>
        <w:t>a</w:t>
      </w:r>
      <w:r w:rsidRPr="00F0180C">
        <w:rPr>
          <w:rFonts w:ascii="Times New Roman" w:hAnsi="Times New Roman" w:cs="Times New Roman"/>
          <w:color w:val="000000"/>
          <w:sz w:val="24"/>
          <w:szCs w:val="24"/>
          <w:lang w:eastAsia="en-GB"/>
        </w:rPr>
        <w:t xml:space="preserve">нализа </w:t>
      </w:r>
      <w:r w:rsidRPr="00F0180C">
        <w:rPr>
          <w:rFonts w:ascii="Times New Roman" w:hAnsi="Times New Roman" w:cs="Times New Roman"/>
          <w:color w:val="000000"/>
          <w:sz w:val="24"/>
          <w:szCs w:val="24"/>
        </w:rPr>
        <w:t xml:space="preserve">на добиените податоци за </w:t>
      </w:r>
      <w:r w:rsidRPr="00F0180C">
        <w:rPr>
          <w:rFonts w:ascii="Times New Roman" w:hAnsi="Times New Roman" w:cs="Times New Roman"/>
          <w:color w:val="000000"/>
          <w:sz w:val="24"/>
          <w:szCs w:val="24"/>
          <w:lang w:eastAsia="en-GB"/>
        </w:rPr>
        <w:t>в</w:t>
      </w:r>
      <w:r w:rsidRPr="00F0180C">
        <w:rPr>
          <w:rFonts w:ascii="Times New Roman" w:hAnsi="Times New Roman" w:cs="Times New Roman"/>
          <w:color w:val="000000"/>
          <w:sz w:val="24"/>
          <w:szCs w:val="24"/>
        </w:rPr>
        <w:t xml:space="preserve">озраста (години) на испитаниците од двете групи </w:t>
      </w:r>
      <w:r w:rsidRPr="00F0180C">
        <w:rPr>
          <w:rFonts w:ascii="Times New Roman" w:hAnsi="Times New Roman" w:cs="Times New Roman"/>
          <w:color w:val="000000"/>
          <w:sz w:val="24"/>
          <w:szCs w:val="24"/>
          <w:lang w:eastAsia="en-GB"/>
        </w:rPr>
        <w:t xml:space="preserve">укажа на неправилна дистрибуција на фреквенциите </w:t>
      </w:r>
      <w:r>
        <w:rPr>
          <w:rFonts w:ascii="Times New Roman" w:hAnsi="Times New Roman" w:cs="Times New Roman"/>
          <w:color w:val="000000"/>
          <w:sz w:val="24"/>
          <w:szCs w:val="24"/>
          <w:lang w:eastAsia="en-GB"/>
        </w:rPr>
        <w:t xml:space="preserve">и тоа </w:t>
      </w:r>
      <w:r w:rsidRPr="00F0180C">
        <w:rPr>
          <w:rFonts w:ascii="Times New Roman" w:hAnsi="Times New Roman" w:cs="Times New Roman"/>
          <w:color w:val="000000"/>
          <w:sz w:val="24"/>
          <w:szCs w:val="24"/>
          <w:lang w:eastAsia="en-GB"/>
        </w:rPr>
        <w:t>за</w:t>
      </w:r>
      <w:r>
        <w:rPr>
          <w:rFonts w:ascii="Times New Roman" w:hAnsi="Times New Roman" w:cs="Times New Roman"/>
          <w:color w:val="000000"/>
          <w:sz w:val="24"/>
          <w:szCs w:val="24"/>
          <w:lang w:eastAsia="en-GB"/>
        </w:rPr>
        <w:t>: а)</w:t>
      </w:r>
      <w:r w:rsidRPr="00F0180C">
        <w:rPr>
          <w:rFonts w:ascii="Times New Roman" w:hAnsi="Times New Roman" w:cs="Times New Roman"/>
          <w:color w:val="000000"/>
          <w:sz w:val="24"/>
          <w:szCs w:val="24"/>
          <w:lang w:eastAsia="en-GB"/>
        </w:rPr>
        <w:t xml:space="preserve"> вкупно целиот примерок - </w:t>
      </w:r>
      <w:r w:rsidRPr="00F0180C">
        <w:rPr>
          <w:rFonts w:ascii="Times New Roman" w:hAnsi="Times New Roman" w:cs="Times New Roman"/>
          <w:color w:val="000000"/>
          <w:kern w:val="1"/>
          <w:sz w:val="24"/>
          <w:szCs w:val="24"/>
          <w:lang w:eastAsia="mk-MK"/>
        </w:rPr>
        <w:t xml:space="preserve">Shapiro-Wilk: </w:t>
      </w:r>
      <w:r w:rsidR="00BE6AE5" w:rsidRPr="00F0180C">
        <w:rPr>
          <w:rFonts w:ascii="Times New Roman" w:hAnsi="Times New Roman" w:cs="Times New Roman"/>
          <w:color w:val="000000"/>
          <w:kern w:val="1"/>
          <w:sz w:val="24"/>
          <w:szCs w:val="24"/>
          <w:lang w:eastAsia="mk-MK"/>
        </w:rPr>
        <w:t>W=0,9</w:t>
      </w:r>
      <w:r w:rsidR="00BE6AE5">
        <w:rPr>
          <w:rFonts w:ascii="Times New Roman" w:hAnsi="Times New Roman" w:cs="Times New Roman"/>
          <w:color w:val="000000"/>
          <w:kern w:val="1"/>
          <w:sz w:val="24"/>
          <w:szCs w:val="24"/>
          <w:lang w:eastAsia="mk-MK"/>
        </w:rPr>
        <w:t>669</w:t>
      </w:r>
      <w:r w:rsidR="00BE6AE5" w:rsidRPr="00F0180C">
        <w:rPr>
          <w:rFonts w:ascii="Times New Roman" w:hAnsi="Times New Roman" w:cs="Times New Roman"/>
          <w:color w:val="000000"/>
          <w:kern w:val="1"/>
          <w:sz w:val="24"/>
          <w:szCs w:val="24"/>
          <w:lang w:val="ru-RU" w:eastAsia="mk-MK"/>
        </w:rPr>
        <w:t>;</w:t>
      </w:r>
      <w:r w:rsidR="00BE6AE5">
        <w:rPr>
          <w:rFonts w:ascii="Times New Roman" w:hAnsi="Times New Roman" w:cs="Times New Roman"/>
          <w:color w:val="000000"/>
          <w:kern w:val="1"/>
          <w:sz w:val="24"/>
          <w:szCs w:val="24"/>
          <w:lang w:eastAsia="mk-MK"/>
        </w:rPr>
        <w:t xml:space="preserve"> p=0,0055</w:t>
      </w:r>
      <w:r>
        <w:rPr>
          <w:rFonts w:ascii="Times New Roman" w:hAnsi="Times New Roman" w:cs="Times New Roman"/>
          <w:color w:val="000000"/>
          <w:kern w:val="1"/>
          <w:sz w:val="24"/>
          <w:szCs w:val="24"/>
          <w:lang w:eastAsia="mk-MK"/>
        </w:rPr>
        <w:t>;</w:t>
      </w:r>
      <w:r w:rsidRPr="00F0180C">
        <w:rPr>
          <w:rFonts w:ascii="Times New Roman" w:hAnsi="Times New Roman" w:cs="Times New Roman"/>
          <w:color w:val="000000"/>
          <w:kern w:val="1"/>
          <w:sz w:val="24"/>
          <w:szCs w:val="24"/>
          <w:lang w:eastAsia="mk-MK"/>
        </w:rPr>
        <w:t xml:space="preserve"> </w:t>
      </w:r>
      <w:r>
        <w:rPr>
          <w:rFonts w:ascii="Times New Roman" w:hAnsi="Times New Roman" w:cs="Times New Roman"/>
          <w:color w:val="000000"/>
          <w:kern w:val="1"/>
          <w:sz w:val="24"/>
          <w:szCs w:val="24"/>
          <w:lang w:eastAsia="mk-MK"/>
        </w:rPr>
        <w:t xml:space="preserve">б) </w:t>
      </w:r>
      <w:r w:rsidR="00BE6AE5">
        <w:rPr>
          <w:rFonts w:ascii="Times New Roman" w:hAnsi="Times New Roman" w:cs="Times New Roman"/>
          <w:color w:val="000000"/>
          <w:kern w:val="1"/>
          <w:sz w:val="24"/>
          <w:szCs w:val="24"/>
          <w:lang w:eastAsia="mk-MK"/>
        </w:rPr>
        <w:t>И</w:t>
      </w:r>
      <w:r w:rsidRPr="00F0180C">
        <w:rPr>
          <w:rFonts w:ascii="Times New Roman" w:hAnsi="Times New Roman" w:cs="Times New Roman"/>
          <w:color w:val="000000"/>
          <w:kern w:val="1"/>
          <w:sz w:val="24"/>
          <w:szCs w:val="24"/>
          <w:lang w:eastAsia="mk-MK"/>
        </w:rPr>
        <w:t xml:space="preserve">спитуваната група за Shapiro-Wilk: </w:t>
      </w:r>
      <w:r w:rsidR="00BE6AE5" w:rsidRPr="00431904">
        <w:rPr>
          <w:rFonts w:ascii="Times New Roman" w:hAnsi="Times New Roman" w:cs="Times New Roman"/>
          <w:color w:val="000000"/>
          <w:kern w:val="1"/>
          <w:sz w:val="24"/>
          <w:szCs w:val="24"/>
          <w:lang w:eastAsia="mk-MK"/>
        </w:rPr>
        <w:t>W=0,</w:t>
      </w:r>
      <w:r w:rsidR="00BE6AE5">
        <w:rPr>
          <w:rFonts w:ascii="Times New Roman" w:hAnsi="Times New Roman" w:cs="Times New Roman"/>
          <w:color w:val="000000"/>
          <w:kern w:val="1"/>
          <w:sz w:val="24"/>
          <w:szCs w:val="24"/>
          <w:lang w:eastAsia="mk-MK"/>
        </w:rPr>
        <w:t>9450</w:t>
      </w:r>
      <w:r w:rsidR="00BE6AE5" w:rsidRPr="00431904">
        <w:rPr>
          <w:rFonts w:ascii="Times New Roman" w:hAnsi="Times New Roman" w:cs="Times New Roman"/>
          <w:color w:val="000000"/>
          <w:kern w:val="1"/>
          <w:sz w:val="24"/>
          <w:szCs w:val="24"/>
          <w:lang w:val="ru-RU" w:eastAsia="mk-MK"/>
        </w:rPr>
        <w:t>;</w:t>
      </w:r>
      <w:r w:rsidR="00BE6AE5" w:rsidRPr="00431904">
        <w:rPr>
          <w:rFonts w:ascii="Times New Roman" w:hAnsi="Times New Roman" w:cs="Times New Roman"/>
          <w:color w:val="000000"/>
          <w:kern w:val="1"/>
          <w:sz w:val="24"/>
          <w:szCs w:val="24"/>
          <w:lang w:eastAsia="mk-MK"/>
        </w:rPr>
        <w:t xml:space="preserve"> p=0,</w:t>
      </w:r>
      <w:r w:rsidR="00BE6AE5">
        <w:rPr>
          <w:rFonts w:ascii="Times New Roman" w:hAnsi="Times New Roman" w:cs="Times New Roman"/>
          <w:color w:val="000000"/>
          <w:kern w:val="1"/>
          <w:sz w:val="24"/>
          <w:szCs w:val="24"/>
          <w:lang w:eastAsia="mk-MK"/>
        </w:rPr>
        <w:t>0092</w:t>
      </w:r>
      <w:r>
        <w:rPr>
          <w:rFonts w:ascii="Times New Roman" w:hAnsi="Times New Roman" w:cs="Times New Roman"/>
          <w:color w:val="000000"/>
          <w:kern w:val="1"/>
          <w:sz w:val="24"/>
          <w:szCs w:val="24"/>
          <w:lang w:eastAsia="mk-MK"/>
        </w:rPr>
        <w:t>;</w:t>
      </w:r>
      <w:r w:rsidRPr="00F0180C">
        <w:rPr>
          <w:rFonts w:ascii="Times New Roman" w:hAnsi="Times New Roman" w:cs="Times New Roman"/>
          <w:color w:val="000000"/>
          <w:kern w:val="1"/>
          <w:sz w:val="24"/>
          <w:szCs w:val="24"/>
          <w:lang w:eastAsia="mk-MK"/>
        </w:rPr>
        <w:t xml:space="preserve"> и </w:t>
      </w:r>
      <w:r>
        <w:rPr>
          <w:rFonts w:ascii="Times New Roman" w:hAnsi="Times New Roman" w:cs="Times New Roman"/>
          <w:color w:val="000000"/>
          <w:kern w:val="1"/>
          <w:sz w:val="24"/>
          <w:szCs w:val="24"/>
          <w:lang w:eastAsia="mk-MK"/>
        </w:rPr>
        <w:t xml:space="preserve">в) </w:t>
      </w:r>
      <w:r w:rsidR="00BE6AE5">
        <w:rPr>
          <w:rFonts w:ascii="Times New Roman" w:hAnsi="Times New Roman" w:cs="Times New Roman"/>
          <w:color w:val="000000"/>
          <w:sz w:val="24"/>
          <w:szCs w:val="24"/>
        </w:rPr>
        <w:t>К</w:t>
      </w:r>
      <w:r w:rsidRPr="00F0180C">
        <w:rPr>
          <w:rFonts w:ascii="Times New Roman" w:hAnsi="Times New Roman" w:cs="Times New Roman"/>
          <w:color w:val="000000"/>
          <w:sz w:val="24"/>
          <w:szCs w:val="24"/>
        </w:rPr>
        <w:t>онтролната група</w:t>
      </w:r>
      <w:r>
        <w:rPr>
          <w:rFonts w:ascii="Times New Roman" w:hAnsi="Times New Roman" w:cs="Times New Roman"/>
          <w:color w:val="000000"/>
          <w:kern w:val="1"/>
          <w:sz w:val="24"/>
          <w:szCs w:val="24"/>
          <w:lang w:eastAsia="mk-MK"/>
        </w:rPr>
        <w:t xml:space="preserve"> за </w:t>
      </w:r>
      <w:r w:rsidRPr="00431904">
        <w:rPr>
          <w:rFonts w:ascii="Times New Roman" w:hAnsi="Times New Roman" w:cs="Times New Roman"/>
          <w:color w:val="000000"/>
          <w:kern w:val="1"/>
          <w:sz w:val="24"/>
          <w:szCs w:val="24"/>
          <w:lang w:eastAsia="mk-MK"/>
        </w:rPr>
        <w:t>Shapiro-Wilk: W=0,</w:t>
      </w:r>
      <w:r w:rsidR="00BE6AE5">
        <w:rPr>
          <w:rFonts w:ascii="Times New Roman" w:hAnsi="Times New Roman" w:cs="Times New Roman"/>
          <w:color w:val="000000"/>
          <w:kern w:val="1"/>
          <w:sz w:val="24"/>
          <w:szCs w:val="24"/>
          <w:lang w:eastAsia="mk-MK"/>
        </w:rPr>
        <w:t>94</w:t>
      </w:r>
      <w:r w:rsidR="002752DF">
        <w:rPr>
          <w:rFonts w:ascii="Times New Roman" w:hAnsi="Times New Roman" w:cs="Times New Roman"/>
          <w:color w:val="000000"/>
          <w:kern w:val="1"/>
          <w:sz w:val="24"/>
          <w:szCs w:val="24"/>
          <w:lang w:eastAsia="mk-MK"/>
        </w:rPr>
        <w:t>46</w:t>
      </w:r>
      <w:r w:rsidRPr="00431904">
        <w:rPr>
          <w:rFonts w:ascii="Times New Roman" w:hAnsi="Times New Roman" w:cs="Times New Roman"/>
          <w:color w:val="000000"/>
          <w:kern w:val="1"/>
          <w:sz w:val="24"/>
          <w:szCs w:val="24"/>
          <w:lang w:val="ru-RU" w:eastAsia="mk-MK"/>
        </w:rPr>
        <w:t>;</w:t>
      </w:r>
      <w:r w:rsidRPr="00431904">
        <w:rPr>
          <w:rFonts w:ascii="Times New Roman" w:hAnsi="Times New Roman" w:cs="Times New Roman"/>
          <w:color w:val="000000"/>
          <w:kern w:val="1"/>
          <w:sz w:val="24"/>
          <w:szCs w:val="24"/>
          <w:lang w:eastAsia="mk-MK"/>
        </w:rPr>
        <w:t xml:space="preserve"> p=0,</w:t>
      </w:r>
      <w:r>
        <w:rPr>
          <w:rFonts w:ascii="Times New Roman" w:hAnsi="Times New Roman" w:cs="Times New Roman"/>
          <w:color w:val="000000"/>
          <w:kern w:val="1"/>
          <w:sz w:val="24"/>
          <w:szCs w:val="24"/>
          <w:lang w:eastAsia="mk-MK"/>
        </w:rPr>
        <w:t>0</w:t>
      </w:r>
      <w:r w:rsidR="002752DF">
        <w:rPr>
          <w:rFonts w:ascii="Times New Roman" w:hAnsi="Times New Roman" w:cs="Times New Roman"/>
          <w:color w:val="000000"/>
          <w:kern w:val="1"/>
          <w:sz w:val="24"/>
          <w:szCs w:val="24"/>
          <w:lang w:eastAsia="mk-MK"/>
        </w:rPr>
        <w:t>320 (График 2)</w:t>
      </w:r>
      <w:r>
        <w:rPr>
          <w:rFonts w:ascii="Times New Roman" w:hAnsi="Times New Roman" w:cs="Times New Roman"/>
          <w:color w:val="000000"/>
          <w:kern w:val="1"/>
          <w:sz w:val="24"/>
          <w:szCs w:val="24"/>
          <w:lang w:eastAsia="mk-MK"/>
        </w:rPr>
        <w:t xml:space="preserve">. </w:t>
      </w:r>
      <w:r w:rsidRPr="00431904">
        <w:rPr>
          <w:rFonts w:ascii="Times New Roman" w:hAnsi="Times New Roman" w:cs="Times New Roman"/>
          <w:color w:val="000000"/>
          <w:kern w:val="1"/>
          <w:sz w:val="24"/>
          <w:szCs w:val="24"/>
          <w:lang w:eastAsia="mk-MK"/>
        </w:rPr>
        <w:t>Согласно утврдената дистрибуција за возраста</w:t>
      </w:r>
      <w:r>
        <w:rPr>
          <w:rFonts w:ascii="Times New Roman" w:hAnsi="Times New Roman" w:cs="Times New Roman"/>
          <w:color w:val="000000"/>
          <w:kern w:val="1"/>
          <w:sz w:val="24"/>
          <w:szCs w:val="24"/>
          <w:lang w:eastAsia="mk-MK"/>
        </w:rPr>
        <w:t xml:space="preserve"> (години)</w:t>
      </w:r>
      <w:r w:rsidRPr="00431904">
        <w:rPr>
          <w:rFonts w:ascii="Times New Roman" w:hAnsi="Times New Roman" w:cs="Times New Roman"/>
          <w:color w:val="000000"/>
          <w:kern w:val="1"/>
          <w:sz w:val="24"/>
          <w:szCs w:val="24"/>
          <w:lang w:eastAsia="mk-MK"/>
        </w:rPr>
        <w:t xml:space="preserve">, во понатамошната анализа беа користени </w:t>
      </w:r>
      <w:r>
        <w:rPr>
          <w:rFonts w:ascii="Times New Roman" w:hAnsi="Times New Roman" w:cs="Times New Roman"/>
          <w:color w:val="000000"/>
          <w:kern w:val="1"/>
          <w:sz w:val="24"/>
          <w:szCs w:val="24"/>
          <w:lang w:eastAsia="mk-MK"/>
        </w:rPr>
        <w:t>соодветни непараметарски тестови.</w:t>
      </w:r>
    </w:p>
    <w:p w:rsidR="00AA6E78" w:rsidRDefault="00446A60" w:rsidP="0056672A">
      <w:pPr>
        <w:spacing w:line="360" w:lineRule="auto"/>
        <w:jc w:val="both"/>
        <w:rPr>
          <w:rFonts w:ascii="Times New Roman" w:hAnsi="Times New Roman" w:cs="Times New Roman"/>
          <w:b/>
          <w:color w:val="000000"/>
          <w:sz w:val="20"/>
          <w:szCs w:val="20"/>
          <w:highlight w:val="yellow"/>
        </w:rPr>
      </w:pPr>
      <w:r>
        <w:rPr>
          <w:noProof/>
          <w:lang w:val="en-US"/>
        </w:rPr>
        <w:drawing>
          <wp:anchor distT="0" distB="0" distL="114300" distR="114300" simplePos="0" relativeHeight="251644416" behindDoc="1" locked="0" layoutInCell="1" allowOverlap="1">
            <wp:simplePos x="0" y="0"/>
            <wp:positionH relativeFrom="column">
              <wp:posOffset>-76200</wp:posOffset>
            </wp:positionH>
            <wp:positionV relativeFrom="paragraph">
              <wp:posOffset>546100</wp:posOffset>
            </wp:positionV>
            <wp:extent cx="5940425" cy="1454150"/>
            <wp:effectExtent l="19050" t="0" r="3175" b="0"/>
            <wp:wrapTight wrapText="bothSides">
              <wp:wrapPolygon edited="0">
                <wp:start x="-69" y="0"/>
                <wp:lineTo x="-69" y="20940"/>
                <wp:lineTo x="21612" y="20940"/>
                <wp:lineTo x="21612" y="0"/>
                <wp:lineTo x="-69" y="0"/>
              </wp:wrapPolygon>
            </wp:wrapTight>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6"/>
                    <a:srcRect/>
                    <a:stretch>
                      <a:fillRect/>
                    </a:stretch>
                  </pic:blipFill>
                  <pic:spPr bwMode="auto">
                    <a:xfrm>
                      <a:off x="0" y="0"/>
                      <a:ext cx="5940425" cy="1454150"/>
                    </a:xfrm>
                    <a:prstGeom prst="rect">
                      <a:avLst/>
                    </a:prstGeom>
                    <a:noFill/>
                    <a:ln w="9525">
                      <a:noFill/>
                      <a:miter lim="800000"/>
                      <a:headEnd/>
                      <a:tailEnd/>
                    </a:ln>
                  </pic:spPr>
                </pic:pic>
              </a:graphicData>
            </a:graphic>
          </wp:anchor>
        </w:drawing>
      </w:r>
    </w:p>
    <w:p w:rsidR="00AA6E78" w:rsidRDefault="00AA6E78" w:rsidP="0056672A">
      <w:pPr>
        <w:spacing w:line="360" w:lineRule="auto"/>
        <w:jc w:val="both"/>
        <w:rPr>
          <w:rFonts w:ascii="Times New Roman" w:hAnsi="Times New Roman" w:cs="Times New Roman"/>
          <w:b/>
          <w:color w:val="000000"/>
          <w:sz w:val="20"/>
          <w:szCs w:val="20"/>
          <w:highlight w:val="yellow"/>
        </w:rPr>
      </w:pPr>
    </w:p>
    <w:p w:rsidR="00D41B9C" w:rsidRDefault="00D41B9C" w:rsidP="002752DF">
      <w:pPr>
        <w:spacing w:line="360" w:lineRule="auto"/>
        <w:jc w:val="center"/>
        <w:rPr>
          <w:rFonts w:ascii="Times New Roman" w:hAnsi="Times New Roman" w:cs="Times New Roman"/>
          <w:b/>
          <w:color w:val="000000"/>
          <w:sz w:val="20"/>
          <w:szCs w:val="20"/>
        </w:rPr>
      </w:pPr>
    </w:p>
    <w:p w:rsidR="002752DF" w:rsidRPr="004D2F91" w:rsidRDefault="002752DF" w:rsidP="002752DF">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2</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Дистрибуција </w:t>
      </w:r>
      <w:r w:rsidRPr="004D2F91">
        <w:rPr>
          <w:rFonts w:ascii="Times New Roman" w:hAnsi="Times New Roman" w:cs="Times New Roman"/>
          <w:b/>
          <w:color w:val="000000"/>
          <w:sz w:val="20"/>
          <w:szCs w:val="20"/>
        </w:rPr>
        <w:t xml:space="preserve">на </w:t>
      </w:r>
      <w:r>
        <w:rPr>
          <w:rFonts w:ascii="Times New Roman" w:hAnsi="Times New Roman" w:cs="Times New Roman"/>
          <w:b/>
          <w:color w:val="000000"/>
          <w:sz w:val="20"/>
          <w:szCs w:val="20"/>
        </w:rPr>
        <w:t>фреквенции на возр</w:t>
      </w:r>
      <w:r w:rsidR="00D41B9C">
        <w:rPr>
          <w:rFonts w:ascii="Times New Roman" w:hAnsi="Times New Roman" w:cs="Times New Roman"/>
          <w:b/>
          <w:color w:val="000000"/>
          <w:sz w:val="20"/>
          <w:szCs w:val="20"/>
        </w:rPr>
        <w:t>аст (го</w:t>
      </w:r>
      <w:r>
        <w:rPr>
          <w:rFonts w:ascii="Times New Roman" w:hAnsi="Times New Roman" w:cs="Times New Roman"/>
          <w:b/>
          <w:color w:val="000000"/>
          <w:sz w:val="20"/>
          <w:szCs w:val="20"/>
        </w:rPr>
        <w:t xml:space="preserve">дини) според групи </w:t>
      </w:r>
    </w:p>
    <w:p w:rsidR="002752DF" w:rsidRDefault="002752DF" w:rsidP="0056672A">
      <w:pPr>
        <w:spacing w:line="360" w:lineRule="auto"/>
        <w:jc w:val="both"/>
        <w:rPr>
          <w:rFonts w:ascii="Times New Roman" w:hAnsi="Times New Roman" w:cs="Times New Roman"/>
          <w:b/>
          <w:color w:val="000000"/>
          <w:sz w:val="20"/>
          <w:szCs w:val="20"/>
          <w:highlight w:val="yellow"/>
        </w:rPr>
      </w:pPr>
    </w:p>
    <w:p w:rsidR="002752DF" w:rsidRDefault="002752DF" w:rsidP="0056672A">
      <w:pPr>
        <w:spacing w:line="360" w:lineRule="auto"/>
        <w:jc w:val="both"/>
        <w:rPr>
          <w:rFonts w:ascii="Times New Roman" w:hAnsi="Times New Roman" w:cs="Times New Roman"/>
          <w:b/>
          <w:color w:val="000000"/>
          <w:sz w:val="20"/>
          <w:szCs w:val="20"/>
          <w:highlight w:val="yellow"/>
        </w:rPr>
      </w:pPr>
    </w:p>
    <w:p w:rsidR="00397AD4" w:rsidRPr="00397AD4" w:rsidRDefault="00397AD4" w:rsidP="00D41B9C">
      <w:pPr>
        <w:spacing w:after="200"/>
        <w:ind w:firstLine="720"/>
        <w:jc w:val="both"/>
        <w:rPr>
          <w:rFonts w:ascii="Times New Roman" w:hAnsi="Times New Roman" w:cs="Times New Roman"/>
          <w:color w:val="000000"/>
          <w:sz w:val="24"/>
          <w:szCs w:val="24"/>
          <w:lang w:eastAsia="en-GB"/>
        </w:rPr>
      </w:pPr>
      <w:r w:rsidRPr="00EC28B2">
        <w:rPr>
          <w:rFonts w:ascii="Times New Roman" w:hAnsi="Times New Roman" w:cs="Times New Roman"/>
          <w:b/>
          <w:color w:val="000000"/>
          <w:sz w:val="24"/>
          <w:szCs w:val="24"/>
        </w:rPr>
        <w:t>ИСПИТУВАНА ГРУПА -</w:t>
      </w:r>
      <w:r w:rsidRPr="00397AD4">
        <w:rPr>
          <w:rFonts w:ascii="Times New Roman" w:hAnsi="Times New Roman" w:cs="Times New Roman"/>
          <w:sz w:val="24"/>
          <w:szCs w:val="24"/>
        </w:rPr>
        <w:t xml:space="preserve"> </w:t>
      </w:r>
      <w:r w:rsidRPr="00397AD4">
        <w:rPr>
          <w:rFonts w:ascii="Times New Roman" w:hAnsi="Times New Roman" w:cs="Times New Roman"/>
          <w:color w:val="000000"/>
          <w:sz w:val="24"/>
          <w:szCs w:val="24"/>
        </w:rPr>
        <w:t>П</w:t>
      </w:r>
      <w:r w:rsidRPr="00397AD4">
        <w:rPr>
          <w:rFonts w:ascii="Times New Roman" w:hAnsi="Times New Roman" w:cs="Times New Roman"/>
          <w:color w:val="000000"/>
          <w:sz w:val="24"/>
          <w:szCs w:val="24"/>
          <w:lang w:eastAsia="en-GB"/>
        </w:rPr>
        <w:t xml:space="preserve">росечната возраст на пациентите од </w:t>
      </w:r>
      <w:r w:rsidRPr="00397AD4">
        <w:rPr>
          <w:rFonts w:ascii="Times New Roman" w:hAnsi="Times New Roman" w:cs="Times New Roman"/>
          <w:sz w:val="24"/>
          <w:szCs w:val="24"/>
        </w:rPr>
        <w:t xml:space="preserve">испитуваната група на пациенти со тумори на паротидните жлезди </w:t>
      </w:r>
      <w:r w:rsidRPr="00397AD4">
        <w:rPr>
          <w:rFonts w:ascii="Times New Roman" w:hAnsi="Times New Roman" w:cs="Times New Roman"/>
          <w:color w:val="000000"/>
          <w:sz w:val="24"/>
          <w:szCs w:val="24"/>
          <w:lang w:eastAsia="en-GB"/>
        </w:rPr>
        <w:t xml:space="preserve">изнесуваше </w:t>
      </w:r>
      <w:r w:rsidRPr="00397AD4">
        <w:rPr>
          <w:rFonts w:ascii="Times New Roman" w:hAnsi="Times New Roman" w:cs="Times New Roman"/>
          <w:sz w:val="24"/>
          <w:szCs w:val="24"/>
          <w:lang w:eastAsia="mk-MK"/>
        </w:rPr>
        <w:t>55,4±15,2</w:t>
      </w:r>
      <w:r w:rsidRPr="00397AD4">
        <w:rPr>
          <w:rFonts w:ascii="Times New Roman" w:hAnsi="Times New Roman" w:cs="Times New Roman"/>
          <w:color w:val="000000"/>
          <w:sz w:val="24"/>
          <w:szCs w:val="24"/>
          <w:lang w:val="ru-RU" w:eastAsia="en-GB"/>
        </w:rPr>
        <w:t xml:space="preserve"> [95% </w:t>
      </w:r>
      <w:r w:rsidRPr="00397AD4">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mean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51,51</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59,39</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 xml:space="preserve">години со мин/мак возраст од 16,84 години. Анализата укажа дека 50% од испитаниците во </w:t>
      </w:r>
      <w:r w:rsidRPr="00397AD4">
        <w:rPr>
          <w:rFonts w:ascii="Times New Roman" w:hAnsi="Times New Roman" w:cs="Times New Roman"/>
          <w:sz w:val="24"/>
          <w:szCs w:val="24"/>
        </w:rPr>
        <w:t>испитуваната група</w:t>
      </w:r>
      <w:r w:rsidRPr="00397AD4">
        <w:rPr>
          <w:rFonts w:ascii="Times New Roman" w:hAnsi="Times New Roman" w:cs="Times New Roman"/>
          <w:color w:val="000000"/>
          <w:sz w:val="24"/>
          <w:szCs w:val="24"/>
          <w:lang w:eastAsia="en-GB"/>
        </w:rPr>
        <w:t xml:space="preserve"> беа постари од 58 година за </w:t>
      </w:r>
      <w:r w:rsidRPr="00397AD4">
        <w:rPr>
          <w:rFonts w:ascii="Times New Roman" w:hAnsi="Times New Roman" w:cs="Times New Roman"/>
          <w:color w:val="000000"/>
          <w:sz w:val="24"/>
          <w:szCs w:val="24"/>
          <w:lang w:val="en-US" w:eastAsia="en-GB"/>
        </w:rPr>
        <w:t>Median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IQR</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w:t>
      </w:r>
      <w:r w:rsidRPr="00397AD4">
        <w:rPr>
          <w:rFonts w:ascii="Times New Roman" w:hAnsi="Times New Roman" w:cs="Times New Roman"/>
          <w:sz w:val="24"/>
          <w:szCs w:val="24"/>
          <w:lang w:eastAsia="mk-MK"/>
        </w:rPr>
        <w:t>58 (49,5-64)</w:t>
      </w:r>
      <w:r w:rsidRPr="00397AD4">
        <w:rPr>
          <w:rFonts w:ascii="Times New Roman" w:hAnsi="Times New Roman" w:cs="Times New Roman"/>
          <w:color w:val="000000"/>
          <w:sz w:val="24"/>
          <w:szCs w:val="24"/>
          <w:lang w:eastAsia="en-GB"/>
        </w:rPr>
        <w:t xml:space="preserve"> (Табела 2 и График </w:t>
      </w:r>
      <w:r>
        <w:rPr>
          <w:rFonts w:ascii="Times New Roman" w:hAnsi="Times New Roman" w:cs="Times New Roman"/>
          <w:color w:val="000000"/>
          <w:sz w:val="24"/>
          <w:szCs w:val="24"/>
          <w:lang w:eastAsia="en-GB"/>
        </w:rPr>
        <w:t>3</w:t>
      </w:r>
      <w:r w:rsidRPr="00397AD4">
        <w:rPr>
          <w:rFonts w:ascii="Times New Roman" w:hAnsi="Times New Roman" w:cs="Times New Roman"/>
          <w:color w:val="000000"/>
          <w:sz w:val="24"/>
          <w:szCs w:val="24"/>
          <w:lang w:eastAsia="en-GB"/>
        </w:rPr>
        <w:t xml:space="preserve">). </w:t>
      </w:r>
    </w:p>
    <w:p w:rsidR="00D41B9C" w:rsidRDefault="00397AD4" w:rsidP="00D41B9C">
      <w:pPr>
        <w:spacing w:after="200"/>
        <w:ind w:firstLine="720"/>
        <w:jc w:val="both"/>
        <w:rPr>
          <w:rFonts w:ascii="Times New Roman" w:hAnsi="Times New Roman" w:cs="Times New Roman"/>
          <w:color w:val="000000"/>
          <w:sz w:val="24"/>
          <w:szCs w:val="24"/>
          <w:lang w:eastAsia="en-GB"/>
        </w:rPr>
      </w:pPr>
      <w:r w:rsidRPr="00397AD4">
        <w:rPr>
          <w:rFonts w:ascii="Times New Roman" w:hAnsi="Times New Roman" w:cs="Times New Roman"/>
          <w:color w:val="000000"/>
          <w:sz w:val="24"/>
          <w:szCs w:val="24"/>
          <w:lang w:eastAsia="en-GB"/>
        </w:rPr>
        <w:t xml:space="preserve">Дополнително, анализата на просечната возраст на пациентите од машки пол во </w:t>
      </w:r>
      <w:r w:rsidRPr="00397AD4">
        <w:rPr>
          <w:rFonts w:ascii="Times New Roman" w:hAnsi="Times New Roman" w:cs="Times New Roman"/>
          <w:color w:val="000000"/>
          <w:sz w:val="24"/>
          <w:szCs w:val="24"/>
        </w:rPr>
        <w:t xml:space="preserve">испитуваната со тумори на паротидните жлезди </w:t>
      </w:r>
      <w:r w:rsidRPr="00397AD4">
        <w:rPr>
          <w:rFonts w:ascii="Times New Roman" w:hAnsi="Times New Roman" w:cs="Times New Roman"/>
          <w:color w:val="000000"/>
          <w:sz w:val="24"/>
          <w:szCs w:val="24"/>
          <w:lang w:eastAsia="en-GB"/>
        </w:rPr>
        <w:t xml:space="preserve">изнесуваше </w:t>
      </w:r>
      <w:r w:rsidRPr="00397AD4">
        <w:rPr>
          <w:rFonts w:ascii="Times New Roman" w:hAnsi="Times New Roman" w:cs="Times New Roman"/>
          <w:color w:val="000000"/>
          <w:sz w:val="24"/>
          <w:szCs w:val="24"/>
          <w:lang w:eastAsia="mk-MK"/>
        </w:rPr>
        <w:t>53,7±15,9</w:t>
      </w:r>
      <w:r w:rsidRPr="00397AD4">
        <w:rPr>
          <w:rFonts w:ascii="Times New Roman" w:hAnsi="Times New Roman" w:cs="Times New Roman"/>
          <w:color w:val="000000"/>
          <w:sz w:val="24"/>
          <w:szCs w:val="24"/>
          <w:lang w:val="ru-RU" w:eastAsia="en-GB"/>
        </w:rPr>
        <w:t xml:space="preserve"> [95% </w:t>
      </w:r>
      <w:r w:rsidRPr="00397AD4">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mean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47,89</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59,56</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 xml:space="preserve">години со мин/мак возраст од 17/79 години. </w:t>
      </w:r>
    </w:p>
    <w:p w:rsidR="00D41B9C" w:rsidRDefault="00397AD4" w:rsidP="00D41B9C">
      <w:pPr>
        <w:spacing w:after="200"/>
        <w:ind w:firstLine="720"/>
        <w:jc w:val="both"/>
        <w:rPr>
          <w:rFonts w:ascii="Times New Roman" w:hAnsi="Times New Roman" w:cs="Times New Roman"/>
          <w:color w:val="000000"/>
          <w:sz w:val="24"/>
          <w:szCs w:val="24"/>
          <w:lang w:eastAsia="mk-MK"/>
        </w:rPr>
      </w:pPr>
      <w:r w:rsidRPr="00397AD4">
        <w:rPr>
          <w:rFonts w:ascii="Times New Roman" w:hAnsi="Times New Roman" w:cs="Times New Roman"/>
          <w:color w:val="000000"/>
          <w:sz w:val="24"/>
          <w:szCs w:val="24"/>
          <w:lang w:eastAsia="en-GB"/>
        </w:rPr>
        <w:t xml:space="preserve">Анализата укажа дека 50% од испитаниците од машки пол во испитуваната група беа постари од 56 година за </w:t>
      </w:r>
      <w:r w:rsidRPr="00397AD4">
        <w:rPr>
          <w:rFonts w:ascii="Times New Roman" w:hAnsi="Times New Roman" w:cs="Times New Roman"/>
          <w:color w:val="000000"/>
          <w:sz w:val="24"/>
          <w:szCs w:val="24"/>
          <w:lang w:val="en-US" w:eastAsia="en-GB"/>
        </w:rPr>
        <w:t>Median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IQR</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w:t>
      </w:r>
      <w:r w:rsidRPr="00397AD4">
        <w:rPr>
          <w:rFonts w:ascii="Times New Roman" w:hAnsi="Times New Roman" w:cs="Times New Roman"/>
          <w:color w:val="000000"/>
          <w:sz w:val="24"/>
          <w:szCs w:val="24"/>
          <w:lang w:eastAsia="mk-MK"/>
        </w:rPr>
        <w:t xml:space="preserve"> 56 (45-64). </w:t>
      </w:r>
    </w:p>
    <w:p w:rsidR="003628B9" w:rsidRDefault="00397AD4" w:rsidP="00D41B9C">
      <w:pPr>
        <w:spacing w:after="200"/>
        <w:ind w:firstLine="720"/>
        <w:jc w:val="both"/>
        <w:rPr>
          <w:rFonts w:ascii="Times New Roman" w:hAnsi="Times New Roman" w:cs="Times New Roman"/>
          <w:color w:val="000000"/>
          <w:sz w:val="24"/>
          <w:szCs w:val="24"/>
          <w:lang w:eastAsia="mk-MK"/>
        </w:rPr>
      </w:pPr>
      <w:r w:rsidRPr="00397AD4">
        <w:rPr>
          <w:rFonts w:ascii="Times New Roman" w:hAnsi="Times New Roman" w:cs="Times New Roman"/>
          <w:color w:val="000000"/>
          <w:sz w:val="24"/>
          <w:szCs w:val="24"/>
          <w:lang w:eastAsia="en-GB"/>
        </w:rPr>
        <w:t xml:space="preserve">Просечната возраст на пациентите од женскиот пол во </w:t>
      </w:r>
      <w:r w:rsidRPr="00397AD4">
        <w:rPr>
          <w:rFonts w:ascii="Times New Roman" w:hAnsi="Times New Roman" w:cs="Times New Roman"/>
          <w:color w:val="000000"/>
          <w:sz w:val="24"/>
          <w:szCs w:val="24"/>
        </w:rPr>
        <w:t xml:space="preserve">оваа група </w:t>
      </w:r>
      <w:r w:rsidRPr="00397AD4">
        <w:rPr>
          <w:rFonts w:ascii="Times New Roman" w:hAnsi="Times New Roman" w:cs="Times New Roman"/>
          <w:color w:val="000000"/>
          <w:sz w:val="24"/>
          <w:szCs w:val="24"/>
          <w:lang w:eastAsia="en-GB"/>
        </w:rPr>
        <w:t xml:space="preserve">изнесуваше </w:t>
      </w:r>
      <w:r w:rsidRPr="00397AD4">
        <w:rPr>
          <w:rFonts w:ascii="Times New Roman" w:hAnsi="Times New Roman" w:cs="Times New Roman"/>
          <w:color w:val="000000"/>
          <w:sz w:val="24"/>
          <w:szCs w:val="24"/>
          <w:lang w:eastAsia="mk-MK"/>
        </w:rPr>
        <w:t>57,3±14,5</w:t>
      </w:r>
      <w:r w:rsidRPr="00397AD4">
        <w:rPr>
          <w:rFonts w:ascii="Times New Roman" w:hAnsi="Times New Roman" w:cs="Times New Roman"/>
          <w:color w:val="000000"/>
          <w:sz w:val="24"/>
          <w:szCs w:val="24"/>
          <w:lang w:val="ru-RU" w:eastAsia="en-GB"/>
        </w:rPr>
        <w:t xml:space="preserve"> [95% </w:t>
      </w:r>
      <w:r w:rsidRPr="00397AD4">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mean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51,75</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62,79</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eastAsia="en-GB"/>
        </w:rPr>
        <w:t xml:space="preserve">години со мин/мак возраст од 17/84 години. Анализата укажа дека 50% од женските испитаници во испитуваната група беа постари од 58 година за </w:t>
      </w:r>
      <w:r w:rsidRPr="00397AD4">
        <w:rPr>
          <w:rFonts w:ascii="Times New Roman" w:hAnsi="Times New Roman" w:cs="Times New Roman"/>
          <w:color w:val="000000"/>
          <w:sz w:val="24"/>
          <w:szCs w:val="24"/>
          <w:lang w:val="en-US" w:eastAsia="en-GB"/>
        </w:rPr>
        <w:t>Median</w:t>
      </w:r>
      <w:r w:rsidRPr="00397AD4">
        <w:rPr>
          <w:rFonts w:ascii="Times New Roman" w:hAnsi="Times New Roman" w:cs="Times New Roman"/>
          <w:color w:val="000000"/>
          <w:sz w:val="24"/>
          <w:szCs w:val="24"/>
          <w:lang w:val="ru-RU" w:eastAsia="en-GB"/>
        </w:rPr>
        <w:t xml:space="preserve"> (</w:t>
      </w:r>
      <w:r w:rsidRPr="00397AD4">
        <w:rPr>
          <w:rFonts w:ascii="Times New Roman" w:hAnsi="Times New Roman" w:cs="Times New Roman"/>
          <w:color w:val="000000"/>
          <w:sz w:val="24"/>
          <w:szCs w:val="24"/>
          <w:lang w:val="en-US" w:eastAsia="en-GB"/>
        </w:rPr>
        <w:t>IQR</w:t>
      </w:r>
      <w:r w:rsidRPr="00397AD4">
        <w:rPr>
          <w:rFonts w:ascii="Times New Roman" w:hAnsi="Times New Roman" w:cs="Times New Roman"/>
          <w:color w:val="000000"/>
          <w:sz w:val="24"/>
          <w:szCs w:val="24"/>
          <w:lang w:val="ru-RU" w:eastAsia="en-GB"/>
        </w:rPr>
        <w:t>)</w:t>
      </w:r>
      <w:r w:rsidRPr="00397AD4">
        <w:rPr>
          <w:rFonts w:ascii="Times New Roman" w:hAnsi="Times New Roman" w:cs="Times New Roman"/>
          <w:color w:val="000000"/>
          <w:sz w:val="24"/>
          <w:szCs w:val="24"/>
          <w:lang w:eastAsia="en-GB"/>
        </w:rPr>
        <w:t>=</w:t>
      </w:r>
      <w:r w:rsidRPr="00397AD4">
        <w:rPr>
          <w:rFonts w:ascii="Times New Roman" w:hAnsi="Times New Roman" w:cs="Times New Roman"/>
          <w:color w:val="000000"/>
          <w:sz w:val="24"/>
          <w:szCs w:val="24"/>
          <w:lang w:eastAsia="mk-MK"/>
        </w:rPr>
        <w:t xml:space="preserve">58 (51-64) </w:t>
      </w:r>
      <w:r w:rsidRPr="00397AD4">
        <w:rPr>
          <w:rFonts w:ascii="Times New Roman" w:hAnsi="Times New Roman" w:cs="Times New Roman"/>
          <w:color w:val="000000"/>
          <w:sz w:val="24"/>
          <w:szCs w:val="24"/>
          <w:lang w:eastAsia="en-GB"/>
        </w:rPr>
        <w:t>(Табела 2 и График 2)</w:t>
      </w:r>
      <w:r w:rsidRPr="00397AD4">
        <w:rPr>
          <w:rFonts w:ascii="Times New Roman" w:hAnsi="Times New Roman" w:cs="Times New Roman"/>
          <w:color w:val="000000"/>
          <w:sz w:val="24"/>
          <w:szCs w:val="24"/>
          <w:lang w:eastAsia="mk-MK"/>
        </w:rPr>
        <w:t xml:space="preserve">. </w:t>
      </w:r>
    </w:p>
    <w:p w:rsidR="00397AD4" w:rsidRPr="00397AD4" w:rsidRDefault="00397AD4" w:rsidP="00D41B9C">
      <w:pPr>
        <w:spacing w:after="200"/>
        <w:ind w:firstLine="720"/>
        <w:jc w:val="both"/>
        <w:rPr>
          <w:rFonts w:ascii="Times New Roman" w:hAnsi="Times New Roman" w:cs="Times New Roman"/>
          <w:color w:val="000000"/>
          <w:sz w:val="24"/>
          <w:szCs w:val="24"/>
          <w:lang w:eastAsia="en-GB"/>
        </w:rPr>
      </w:pPr>
      <w:r w:rsidRPr="00397AD4">
        <w:rPr>
          <w:rFonts w:ascii="Times New Roman" w:hAnsi="Times New Roman" w:cs="Times New Roman"/>
          <w:color w:val="000000"/>
          <w:sz w:val="24"/>
          <w:szCs w:val="24"/>
          <w:lang w:eastAsia="mk-MK"/>
        </w:rPr>
        <w:t>В</w:t>
      </w:r>
      <w:r w:rsidRPr="00A926CA">
        <w:rPr>
          <w:rFonts w:ascii="Times New Roman" w:hAnsi="Times New Roman" w:cs="Times New Roman"/>
          <w:color w:val="000000"/>
          <w:sz w:val="24"/>
          <w:szCs w:val="24"/>
          <w:lang w:val="ru-RU" w:eastAsia="en-GB"/>
        </w:rPr>
        <w:t xml:space="preserve">о </w:t>
      </w:r>
      <w:r w:rsidRPr="00397AD4">
        <w:rPr>
          <w:rFonts w:ascii="Times New Roman" w:hAnsi="Times New Roman" w:cs="Times New Roman"/>
          <w:color w:val="000000"/>
          <w:sz w:val="24"/>
          <w:szCs w:val="24"/>
        </w:rPr>
        <w:t>испитуваната група на пациенти со тумори на паротидните жлезди, з</w:t>
      </w:r>
      <w:r w:rsidRPr="00397AD4">
        <w:rPr>
          <w:rFonts w:ascii="Times New Roman" w:hAnsi="Times New Roman" w:cs="Times New Roman"/>
          <w:color w:val="000000"/>
          <w:sz w:val="24"/>
          <w:szCs w:val="24"/>
          <w:lang w:eastAsia="en-GB"/>
        </w:rPr>
        <w:t xml:space="preserve">а </w:t>
      </w:r>
      <w:r w:rsidRPr="00397AD4">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&gt;0,05, </w:t>
      </w:r>
      <w:r w:rsidRPr="00397AD4">
        <w:rPr>
          <w:rFonts w:ascii="Times New Roman" w:hAnsi="Times New Roman" w:cs="Times New Roman"/>
          <w:color w:val="000000"/>
          <w:sz w:val="24"/>
          <w:szCs w:val="24"/>
          <w:lang w:eastAsia="mk-MK"/>
        </w:rPr>
        <w:t>немаше сигнификантна разлика помеѓу двата пола во однос на возраста  (</w:t>
      </w:r>
      <w:r w:rsidRPr="00397AD4">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397AD4">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397AD4">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397AD4">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397AD4">
        <w:rPr>
          <w:rFonts w:ascii="Times New Roman" w:hAnsi="Times New Roman" w:cs="Times New Roman"/>
          <w:color w:val="000000"/>
          <w:sz w:val="24"/>
          <w:szCs w:val="24"/>
          <w:lang w:val="en-US" w:eastAsia="mk-MK"/>
        </w:rPr>
        <w:t>Z</w:t>
      </w:r>
      <w:r w:rsidRPr="00A926CA">
        <w:rPr>
          <w:rFonts w:ascii="Times New Roman" w:hAnsi="Times New Roman" w:cs="Times New Roman"/>
          <w:color w:val="000000"/>
          <w:sz w:val="24"/>
          <w:szCs w:val="24"/>
          <w:lang w:val="ru-RU" w:eastAsia="mk-MK"/>
        </w:rPr>
        <w:t>=-0,</w:t>
      </w:r>
      <w:r w:rsidRPr="00397AD4">
        <w:rPr>
          <w:rFonts w:ascii="Times New Roman" w:hAnsi="Times New Roman" w:cs="Times New Roman"/>
          <w:color w:val="000000"/>
          <w:sz w:val="24"/>
          <w:szCs w:val="24"/>
          <w:lang w:eastAsia="mk-MK"/>
        </w:rPr>
        <w:t>902</w:t>
      </w:r>
      <w:r w:rsidRPr="00A926CA">
        <w:rPr>
          <w:rFonts w:ascii="Times New Roman" w:hAnsi="Times New Roman" w:cs="Times New Roman"/>
          <w:color w:val="000000"/>
          <w:sz w:val="24"/>
          <w:szCs w:val="24"/>
          <w:lang w:val="ru-RU" w:eastAsia="mk-MK"/>
        </w:rPr>
        <w:t xml:space="preserve">; </w:t>
      </w:r>
      <w:r w:rsidRPr="00397AD4">
        <w:rPr>
          <w:rFonts w:ascii="Times New Roman" w:hAnsi="Times New Roman" w:cs="Times New Roman"/>
          <w:color w:val="000000"/>
          <w:sz w:val="24"/>
          <w:szCs w:val="24"/>
          <w:lang w:val="en-US" w:eastAsia="mk-MK"/>
        </w:rPr>
        <w:t>p</w:t>
      </w:r>
      <w:r w:rsidRPr="00A926CA">
        <w:rPr>
          <w:rFonts w:ascii="Times New Roman" w:hAnsi="Times New Roman" w:cs="Times New Roman"/>
          <w:color w:val="000000"/>
          <w:sz w:val="24"/>
          <w:szCs w:val="24"/>
          <w:lang w:val="ru-RU" w:eastAsia="mk-MK"/>
        </w:rPr>
        <w:t>=0,</w:t>
      </w:r>
      <w:r w:rsidRPr="00397AD4">
        <w:rPr>
          <w:rFonts w:ascii="Times New Roman" w:hAnsi="Times New Roman" w:cs="Times New Roman"/>
          <w:color w:val="000000"/>
          <w:sz w:val="24"/>
          <w:szCs w:val="24"/>
          <w:lang w:eastAsia="mk-MK"/>
        </w:rPr>
        <w:t>3669)</w:t>
      </w:r>
      <w:r w:rsidRPr="00397AD4">
        <w:rPr>
          <w:rFonts w:ascii="Times New Roman" w:hAnsi="Times New Roman" w:cs="Times New Roman"/>
          <w:color w:val="000000"/>
          <w:sz w:val="24"/>
          <w:szCs w:val="24"/>
          <w:lang w:eastAsia="en-GB"/>
        </w:rPr>
        <w:t xml:space="preserve"> (Табела 2 и График </w:t>
      </w:r>
      <w:r>
        <w:rPr>
          <w:rFonts w:ascii="Times New Roman" w:hAnsi="Times New Roman" w:cs="Times New Roman"/>
          <w:color w:val="000000"/>
          <w:sz w:val="24"/>
          <w:szCs w:val="24"/>
          <w:lang w:eastAsia="en-GB"/>
        </w:rPr>
        <w:t>3</w:t>
      </w:r>
      <w:r w:rsidRPr="00397AD4">
        <w:rPr>
          <w:rFonts w:ascii="Times New Roman" w:hAnsi="Times New Roman" w:cs="Times New Roman"/>
          <w:color w:val="000000"/>
          <w:sz w:val="24"/>
          <w:szCs w:val="24"/>
          <w:lang w:eastAsia="en-GB"/>
        </w:rPr>
        <w:t>)</w:t>
      </w:r>
      <w:r w:rsidRPr="00397AD4">
        <w:rPr>
          <w:rFonts w:ascii="Times New Roman" w:hAnsi="Times New Roman" w:cs="Times New Roman"/>
          <w:color w:val="000000"/>
          <w:sz w:val="24"/>
          <w:szCs w:val="24"/>
          <w:lang w:eastAsia="mk-MK"/>
        </w:rPr>
        <w:t>.</w:t>
      </w:r>
    </w:p>
    <w:p w:rsidR="00D41B9C" w:rsidRDefault="00D41B9C" w:rsidP="00A57DD8">
      <w:pPr>
        <w:spacing w:line="360" w:lineRule="auto"/>
        <w:jc w:val="both"/>
        <w:rPr>
          <w:rFonts w:ascii="Times New Roman" w:hAnsi="Times New Roman" w:cs="Times New Roman"/>
          <w:b/>
          <w:color w:val="000000"/>
          <w:sz w:val="20"/>
          <w:szCs w:val="20"/>
        </w:rPr>
      </w:pPr>
    </w:p>
    <w:p w:rsidR="00D41B9C" w:rsidRDefault="00D41B9C" w:rsidP="00A57DD8">
      <w:pPr>
        <w:spacing w:line="360" w:lineRule="auto"/>
        <w:jc w:val="both"/>
        <w:rPr>
          <w:rFonts w:ascii="Times New Roman" w:hAnsi="Times New Roman" w:cs="Times New Roman"/>
          <w:b/>
          <w:color w:val="000000"/>
          <w:sz w:val="20"/>
          <w:szCs w:val="20"/>
        </w:rPr>
      </w:pPr>
    </w:p>
    <w:p w:rsidR="00D41B9C" w:rsidRDefault="00D41B9C" w:rsidP="00A57DD8">
      <w:pPr>
        <w:spacing w:line="360" w:lineRule="auto"/>
        <w:jc w:val="both"/>
        <w:rPr>
          <w:rFonts w:ascii="Times New Roman" w:hAnsi="Times New Roman" w:cs="Times New Roman"/>
          <w:b/>
          <w:color w:val="000000"/>
          <w:sz w:val="20"/>
          <w:szCs w:val="20"/>
        </w:rPr>
      </w:pPr>
    </w:p>
    <w:p w:rsidR="00D41B9C" w:rsidRDefault="00D41B9C" w:rsidP="00A57DD8">
      <w:pPr>
        <w:spacing w:line="360" w:lineRule="auto"/>
        <w:jc w:val="both"/>
        <w:rPr>
          <w:rFonts w:ascii="Times New Roman" w:hAnsi="Times New Roman" w:cs="Times New Roman"/>
          <w:b/>
          <w:color w:val="000000"/>
          <w:sz w:val="20"/>
          <w:szCs w:val="20"/>
        </w:rPr>
      </w:pPr>
    </w:p>
    <w:p w:rsidR="00D41B9C" w:rsidRDefault="00D41B9C" w:rsidP="00A57DD8">
      <w:pPr>
        <w:spacing w:line="360" w:lineRule="auto"/>
        <w:jc w:val="both"/>
        <w:rPr>
          <w:rFonts w:ascii="Times New Roman" w:hAnsi="Times New Roman" w:cs="Times New Roman"/>
          <w:b/>
          <w:color w:val="000000"/>
          <w:sz w:val="20"/>
          <w:szCs w:val="20"/>
        </w:rPr>
      </w:pPr>
    </w:p>
    <w:p w:rsidR="00D41B9C" w:rsidRDefault="00D41B9C" w:rsidP="00A57DD8">
      <w:pPr>
        <w:spacing w:line="360" w:lineRule="auto"/>
        <w:jc w:val="both"/>
        <w:rPr>
          <w:rFonts w:ascii="Times New Roman" w:hAnsi="Times New Roman" w:cs="Times New Roman"/>
          <w:b/>
          <w:color w:val="000000"/>
          <w:sz w:val="20"/>
          <w:szCs w:val="20"/>
        </w:rPr>
      </w:pPr>
    </w:p>
    <w:p w:rsidR="00A57DD8" w:rsidRPr="00D44E4F" w:rsidRDefault="00A57DD8" w:rsidP="00A57DD8">
      <w:pPr>
        <w:spacing w:line="360" w:lineRule="auto"/>
        <w:jc w:val="both"/>
        <w:rPr>
          <w:rFonts w:ascii="Times New Roman" w:hAnsi="Times New Roman" w:cs="Times New Roman"/>
          <w:b/>
          <w:color w:val="000000"/>
          <w:sz w:val="20"/>
          <w:szCs w:val="20"/>
        </w:rPr>
      </w:pPr>
      <w:r w:rsidRPr="00D44E4F">
        <w:rPr>
          <w:rFonts w:ascii="Times New Roman" w:hAnsi="Times New Roman" w:cs="Times New Roman"/>
          <w:b/>
          <w:color w:val="000000"/>
          <w:sz w:val="20"/>
          <w:szCs w:val="20"/>
        </w:rPr>
        <w:t xml:space="preserve">Табела 2. Анализа на </w:t>
      </w:r>
      <w:r>
        <w:rPr>
          <w:rFonts w:ascii="Times New Roman" w:hAnsi="Times New Roman" w:cs="Times New Roman"/>
          <w:b/>
          <w:color w:val="000000"/>
          <w:sz w:val="20"/>
          <w:szCs w:val="20"/>
        </w:rPr>
        <w:t xml:space="preserve">примерокот според групи, пол и </w:t>
      </w:r>
      <w:r w:rsidRPr="00D44E4F">
        <w:rPr>
          <w:rFonts w:ascii="Times New Roman" w:hAnsi="Times New Roman" w:cs="Times New Roman"/>
          <w:b/>
          <w:color w:val="000000"/>
          <w:sz w:val="20"/>
          <w:szCs w:val="20"/>
        </w:rPr>
        <w:t xml:space="preserve">возраст </w:t>
      </w:r>
      <w:r w:rsidRPr="00D44E4F">
        <w:rPr>
          <w:rFonts w:ascii="Times New Roman" w:hAnsi="Times New Roman" w:cs="Times New Roman"/>
          <w:b/>
          <w:color w:val="000000"/>
          <w:sz w:val="20"/>
          <w:szCs w:val="20"/>
          <w:lang w:val="ru-RU"/>
        </w:rPr>
        <w:t>(</w:t>
      </w:r>
      <w:r w:rsidRPr="00D44E4F">
        <w:rPr>
          <w:rFonts w:ascii="Times New Roman" w:hAnsi="Times New Roman" w:cs="Times New Roman"/>
          <w:b/>
          <w:color w:val="000000"/>
          <w:sz w:val="20"/>
          <w:szCs w:val="20"/>
        </w:rPr>
        <w:t>години</w:t>
      </w:r>
      <w:r w:rsidRPr="00D44E4F">
        <w:rPr>
          <w:rFonts w:ascii="Times New Roman" w:hAnsi="Times New Roman" w:cs="Times New Roman"/>
          <w:b/>
          <w:color w:val="000000"/>
          <w:sz w:val="20"/>
          <w:szCs w:val="20"/>
          <w:lang w:val="ru-RU"/>
        </w:rPr>
        <w:t>)</w:t>
      </w:r>
    </w:p>
    <w:tbl>
      <w:tblPr>
        <w:tblW w:w="880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95B3D7"/>
        <w:tblLayout w:type="fixed"/>
        <w:tblCellMar>
          <w:left w:w="0" w:type="dxa"/>
          <w:right w:w="0" w:type="dxa"/>
        </w:tblCellMar>
        <w:tblLook w:val="0000" w:firstRow="0" w:lastRow="0" w:firstColumn="0" w:lastColumn="0" w:noHBand="0" w:noVBand="0"/>
      </w:tblPr>
      <w:tblGrid>
        <w:gridCol w:w="709"/>
        <w:gridCol w:w="2380"/>
        <w:gridCol w:w="1164"/>
        <w:gridCol w:w="1417"/>
        <w:gridCol w:w="1566"/>
        <w:gridCol w:w="1567"/>
      </w:tblGrid>
      <w:tr w:rsidR="00A57DD8" w:rsidRPr="00254500" w:rsidTr="00A57DD8">
        <w:trPr>
          <w:cantSplit/>
          <w:trHeight w:val="463"/>
        </w:trPr>
        <w:tc>
          <w:tcPr>
            <w:tcW w:w="3089" w:type="dxa"/>
            <w:gridSpan w:val="2"/>
            <w:vMerge w:val="restart"/>
            <w:shd w:val="clear" w:color="auto" w:fill="31849B"/>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eastAsia="mk-MK"/>
              </w:rPr>
            </w:pPr>
            <w:r w:rsidRPr="0079259A">
              <w:rPr>
                <w:rFonts w:ascii="Times New Roman" w:hAnsi="Times New Roman" w:cs="Times New Roman"/>
                <w:b/>
                <w:color w:val="FFFFFF"/>
                <w:sz w:val="18"/>
                <w:szCs w:val="18"/>
                <w:lang w:eastAsia="mk-MK"/>
              </w:rPr>
              <w:t>Возраст</w:t>
            </w:r>
          </w:p>
        </w:tc>
        <w:tc>
          <w:tcPr>
            <w:tcW w:w="1164" w:type="dxa"/>
            <w:vMerge w:val="restart"/>
            <w:shd w:val="clear" w:color="auto" w:fill="31849B"/>
            <w:vAlign w:val="center"/>
          </w:tcPr>
          <w:p w:rsidR="00A57DD8" w:rsidRPr="0079259A" w:rsidRDefault="00A57DD8" w:rsidP="000A7EFF">
            <w:pPr>
              <w:autoSpaceDE w:val="0"/>
              <w:autoSpaceDN w:val="0"/>
              <w:adjustRightInd w:val="0"/>
              <w:ind w:right="60"/>
              <w:jc w:val="center"/>
              <w:rPr>
                <w:rFonts w:ascii="Times New Roman" w:hAnsi="Times New Roman" w:cs="Times New Roman"/>
                <w:b/>
                <w:color w:val="FFFFFF"/>
                <w:sz w:val="18"/>
                <w:szCs w:val="18"/>
                <w:lang w:eastAsia="mk-MK"/>
              </w:rPr>
            </w:pPr>
            <w:r w:rsidRPr="0079259A">
              <w:rPr>
                <w:rFonts w:ascii="Times New Roman" w:hAnsi="Times New Roman" w:cs="Times New Roman"/>
                <w:b/>
                <w:color w:val="FFFFFF"/>
                <w:sz w:val="18"/>
                <w:szCs w:val="18"/>
                <w:lang w:eastAsia="mk-MK"/>
              </w:rPr>
              <w:t>Statistic</w:t>
            </w:r>
          </w:p>
        </w:tc>
        <w:tc>
          <w:tcPr>
            <w:tcW w:w="1417" w:type="dxa"/>
            <w:vMerge w:val="restart"/>
            <w:shd w:val="clear" w:color="auto" w:fill="31849B"/>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eastAsia="mk-MK"/>
              </w:rPr>
            </w:pPr>
            <w:r w:rsidRPr="0079259A">
              <w:rPr>
                <w:rFonts w:ascii="Times New Roman" w:hAnsi="Times New Roman" w:cs="Times New Roman"/>
                <w:b/>
                <w:color w:val="FFFFFF"/>
                <w:sz w:val="18"/>
                <w:szCs w:val="18"/>
                <w:lang w:eastAsia="mk-MK"/>
              </w:rPr>
              <w:t>Std. Error</w:t>
            </w:r>
          </w:p>
        </w:tc>
        <w:tc>
          <w:tcPr>
            <w:tcW w:w="3133" w:type="dxa"/>
            <w:gridSpan w:val="2"/>
            <w:shd w:val="clear" w:color="auto" w:fill="31849B"/>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val="en-US" w:eastAsia="mk-MK"/>
              </w:rPr>
            </w:pPr>
            <w:r w:rsidRPr="0079259A">
              <w:rPr>
                <w:rFonts w:ascii="Times New Roman" w:hAnsi="Times New Roman" w:cs="Times New Roman"/>
                <w:b/>
                <w:color w:val="FFFFFF"/>
                <w:sz w:val="18"/>
                <w:szCs w:val="18"/>
                <w:lang w:eastAsia="mk-MK"/>
              </w:rPr>
              <w:t xml:space="preserve">95% Confidence Interval </w:t>
            </w:r>
            <w:r w:rsidRPr="0079259A">
              <w:rPr>
                <w:rFonts w:ascii="Times New Roman" w:hAnsi="Times New Roman" w:cs="Times New Roman"/>
                <w:b/>
                <w:color w:val="FFFFFF"/>
                <w:sz w:val="18"/>
                <w:szCs w:val="18"/>
                <w:lang w:val="en-US" w:eastAsia="mk-MK"/>
              </w:rPr>
              <w:t>for Mean</w:t>
            </w:r>
          </w:p>
        </w:tc>
      </w:tr>
      <w:tr w:rsidR="00A57DD8" w:rsidRPr="00254500" w:rsidTr="00A57DD8">
        <w:trPr>
          <w:cantSplit/>
          <w:trHeight w:val="297"/>
        </w:trPr>
        <w:tc>
          <w:tcPr>
            <w:tcW w:w="3089" w:type="dxa"/>
            <w:gridSpan w:val="2"/>
            <w:vMerge/>
            <w:shd w:val="clear" w:color="auto" w:fill="31849B"/>
          </w:tcPr>
          <w:p w:rsidR="00A57DD8" w:rsidRPr="0079259A" w:rsidRDefault="00A57DD8" w:rsidP="000A7EFF">
            <w:pPr>
              <w:autoSpaceDE w:val="0"/>
              <w:autoSpaceDN w:val="0"/>
              <w:adjustRightInd w:val="0"/>
              <w:rPr>
                <w:rFonts w:ascii="Times New Roman" w:hAnsi="Times New Roman" w:cs="Times New Roman"/>
                <w:color w:val="FFFFFF"/>
                <w:sz w:val="18"/>
                <w:szCs w:val="18"/>
                <w:lang w:eastAsia="mk-MK"/>
              </w:rPr>
            </w:pPr>
          </w:p>
        </w:tc>
        <w:tc>
          <w:tcPr>
            <w:tcW w:w="1164" w:type="dxa"/>
            <w:vMerge/>
            <w:shd w:val="clear" w:color="auto" w:fill="215868"/>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1417" w:type="dxa"/>
            <w:vMerge/>
            <w:shd w:val="clear" w:color="auto" w:fill="31849B"/>
          </w:tcPr>
          <w:p w:rsidR="00A57DD8" w:rsidRPr="0079259A" w:rsidRDefault="00A57DD8" w:rsidP="000A7EFF">
            <w:pPr>
              <w:autoSpaceDE w:val="0"/>
              <w:autoSpaceDN w:val="0"/>
              <w:adjustRightInd w:val="0"/>
              <w:jc w:val="center"/>
              <w:rPr>
                <w:rFonts w:ascii="Times New Roman" w:hAnsi="Times New Roman" w:cs="Times New Roman"/>
                <w:b/>
                <w:color w:val="FFFFFF"/>
                <w:sz w:val="18"/>
                <w:szCs w:val="18"/>
                <w:lang w:eastAsia="mk-MK"/>
              </w:rPr>
            </w:pPr>
          </w:p>
        </w:tc>
        <w:tc>
          <w:tcPr>
            <w:tcW w:w="1566" w:type="dxa"/>
            <w:shd w:val="clear" w:color="auto" w:fill="31849B"/>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eastAsia="mk-MK"/>
              </w:rPr>
            </w:pPr>
            <w:r w:rsidRPr="0079259A">
              <w:rPr>
                <w:rFonts w:ascii="Times New Roman" w:hAnsi="Times New Roman" w:cs="Times New Roman"/>
                <w:b/>
                <w:color w:val="FFFFFF"/>
                <w:sz w:val="18"/>
                <w:szCs w:val="18"/>
                <w:lang w:eastAsia="mk-MK"/>
              </w:rPr>
              <w:t>Lower</w:t>
            </w:r>
          </w:p>
        </w:tc>
        <w:tc>
          <w:tcPr>
            <w:tcW w:w="1567" w:type="dxa"/>
            <w:shd w:val="clear" w:color="auto" w:fill="31849B"/>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val="en-US" w:eastAsia="mk-MK"/>
              </w:rPr>
            </w:pPr>
            <w:r w:rsidRPr="0079259A">
              <w:rPr>
                <w:rFonts w:ascii="Times New Roman" w:hAnsi="Times New Roman" w:cs="Times New Roman"/>
                <w:b/>
                <w:color w:val="FFFFFF"/>
                <w:sz w:val="18"/>
                <w:szCs w:val="18"/>
                <w:lang w:val="en-US" w:eastAsia="mk-MK"/>
              </w:rPr>
              <w:t>Upper</w:t>
            </w:r>
          </w:p>
        </w:tc>
      </w:tr>
      <w:tr w:rsidR="00A57DD8" w:rsidRPr="00254500" w:rsidTr="00A57DD8">
        <w:trPr>
          <w:cantSplit/>
          <w:trHeight w:val="250"/>
        </w:trPr>
        <w:tc>
          <w:tcPr>
            <w:tcW w:w="709" w:type="dxa"/>
            <w:vMerge w:val="restart"/>
            <w:shd w:val="clear" w:color="auto" w:fill="31849B"/>
            <w:textDirection w:val="btLr"/>
            <w:vAlign w:val="center"/>
          </w:tcPr>
          <w:p w:rsidR="00A57DD8" w:rsidRPr="0079259A" w:rsidRDefault="00A57DD8" w:rsidP="000A7EFF">
            <w:pPr>
              <w:autoSpaceDE w:val="0"/>
              <w:autoSpaceDN w:val="0"/>
              <w:adjustRightInd w:val="0"/>
              <w:ind w:left="60" w:right="60"/>
              <w:jc w:val="cente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Испитувана група</w:t>
            </w:r>
          </w:p>
        </w:tc>
        <w:tc>
          <w:tcPr>
            <w:tcW w:w="8094" w:type="dxa"/>
            <w:gridSpan w:val="5"/>
            <w:shd w:val="clear" w:color="auto" w:fill="B6DDE8"/>
            <w:vAlign w:val="center"/>
          </w:tcPr>
          <w:p w:rsidR="00A57DD8" w:rsidRPr="00F6699B" w:rsidRDefault="00246AB8" w:rsidP="000A7EFF">
            <w:pPr>
              <w:autoSpaceDE w:val="0"/>
              <w:autoSpaceDN w:val="0"/>
              <w:adjustRightInd w:val="0"/>
              <w:ind w:left="60" w:right="60"/>
              <w:rPr>
                <w:rFonts w:ascii="Times New Roman" w:hAnsi="Times New Roman" w:cs="Times New Roman"/>
                <w:b/>
                <w:sz w:val="18"/>
                <w:szCs w:val="18"/>
                <w:lang w:eastAsia="mk-MK"/>
              </w:rPr>
            </w:pPr>
            <w:r>
              <w:rPr>
                <w:rFonts w:ascii="Times New Roman" w:hAnsi="Times New Roman" w:cs="Times New Roman"/>
                <w:b/>
                <w:sz w:val="18"/>
                <w:szCs w:val="18"/>
              </w:rPr>
              <w:t>Мажи</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ind w:left="60" w:right="6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F6699B"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31</w:t>
            </w:r>
          </w:p>
        </w:tc>
        <w:tc>
          <w:tcPr>
            <w:tcW w:w="1417" w:type="dxa"/>
            <w:shd w:val="clear" w:color="auto" w:fill="DAEEF3"/>
            <w:vAlign w:val="center"/>
          </w:tcPr>
          <w:p w:rsidR="00A57DD8" w:rsidRPr="007F0B39" w:rsidRDefault="00246AB8" w:rsidP="00246AB8">
            <w:pPr>
              <w:autoSpaceDE w:val="0"/>
              <w:autoSpaceDN w:val="0"/>
              <w:adjustRightInd w:val="0"/>
              <w:ind w:left="60" w:right="127"/>
              <w:jc w:val="right"/>
              <w:rPr>
                <w:rFonts w:ascii="Times New Roman" w:hAnsi="Times New Roman" w:cs="Times New Roman"/>
                <w:sz w:val="18"/>
                <w:szCs w:val="18"/>
                <w:lang w:eastAsia="mk-MK"/>
              </w:rPr>
            </w:pPr>
            <w:r>
              <w:rPr>
                <w:rFonts w:ascii="Times New Roman" w:hAnsi="Times New Roman" w:cs="Times New Roman"/>
                <w:sz w:val="18"/>
                <w:szCs w:val="18"/>
                <w:lang w:eastAsia="mk-MK"/>
              </w:rPr>
              <w:t>2,86</w:t>
            </w:r>
          </w:p>
        </w:tc>
        <w:tc>
          <w:tcPr>
            <w:tcW w:w="1566"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47,89</w:t>
            </w:r>
          </w:p>
        </w:tc>
        <w:tc>
          <w:tcPr>
            <w:tcW w:w="1567"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59,56</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0180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53,7±15,9</w:t>
            </w:r>
          </w:p>
        </w:tc>
        <w:tc>
          <w:tcPr>
            <w:tcW w:w="1417" w:type="dxa"/>
            <w:shd w:val="clear" w:color="auto" w:fill="DAEEF3"/>
          </w:tcPr>
          <w:p w:rsidR="00A57DD8" w:rsidRPr="00F6699B" w:rsidRDefault="00A57DD8" w:rsidP="000A7EFF">
            <w:pPr>
              <w:autoSpaceDE w:val="0"/>
              <w:autoSpaceDN w:val="0"/>
              <w:adjustRightInd w:val="0"/>
              <w:ind w:right="127"/>
              <w:jc w:val="right"/>
              <w:rPr>
                <w:rFonts w:ascii="Times New Roman" w:hAnsi="Times New Roman" w:cs="Times New Roman"/>
                <w:sz w:val="18"/>
                <w:szCs w:val="18"/>
                <w:lang w:val="en-US" w:eastAsia="mk-MK"/>
              </w:rPr>
            </w:pPr>
          </w:p>
        </w:tc>
        <w:tc>
          <w:tcPr>
            <w:tcW w:w="1566" w:type="dxa"/>
            <w:shd w:val="clear" w:color="auto" w:fill="DAEEF3"/>
          </w:tcPr>
          <w:p w:rsidR="00A57DD8" w:rsidRPr="00F6699B" w:rsidRDefault="00A57DD8" w:rsidP="000A7EFF">
            <w:pPr>
              <w:autoSpaceDE w:val="0"/>
              <w:autoSpaceDN w:val="0"/>
              <w:adjustRightInd w:val="0"/>
              <w:rPr>
                <w:rFonts w:ascii="Times New Roman" w:hAnsi="Times New Roman" w:cs="Times New Roman"/>
                <w:sz w:val="18"/>
                <w:szCs w:val="18"/>
                <w:lang w:eastAsia="mk-MK"/>
              </w:rPr>
            </w:pPr>
          </w:p>
        </w:tc>
        <w:tc>
          <w:tcPr>
            <w:tcW w:w="1567" w:type="dxa"/>
            <w:shd w:val="clear" w:color="auto" w:fill="DAEEF3"/>
          </w:tcPr>
          <w:p w:rsidR="00A57DD8" w:rsidRPr="00F6699B" w:rsidRDefault="00A57DD8" w:rsidP="000A7EFF">
            <w:pPr>
              <w:autoSpaceDE w:val="0"/>
              <w:autoSpaceDN w:val="0"/>
              <w:adjustRightInd w:val="0"/>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17/79</w:t>
            </w:r>
          </w:p>
        </w:tc>
        <w:tc>
          <w:tcPr>
            <w:tcW w:w="1417" w:type="dxa"/>
            <w:shd w:val="clear" w:color="auto" w:fill="DAEEF3"/>
            <w:vAlign w:val="center"/>
          </w:tcPr>
          <w:p w:rsidR="00A57DD8" w:rsidRPr="00F6699B" w:rsidRDefault="00A57DD8" w:rsidP="000A7EFF">
            <w:pPr>
              <w:autoSpaceDE w:val="0"/>
              <w:autoSpaceDN w:val="0"/>
              <w:adjustRightInd w:val="0"/>
              <w:ind w:left="60" w:right="127"/>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56 (45-64)</w:t>
            </w:r>
          </w:p>
        </w:tc>
        <w:tc>
          <w:tcPr>
            <w:tcW w:w="1417" w:type="dxa"/>
            <w:shd w:val="clear" w:color="auto" w:fill="DAEEF3"/>
            <w:vAlign w:val="center"/>
          </w:tcPr>
          <w:p w:rsidR="00A57DD8" w:rsidRPr="00F6699B" w:rsidRDefault="00A57DD8" w:rsidP="000A7EFF">
            <w:pPr>
              <w:autoSpaceDE w:val="0"/>
              <w:autoSpaceDN w:val="0"/>
              <w:adjustRightInd w:val="0"/>
              <w:ind w:left="60" w:right="127"/>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22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8094" w:type="dxa"/>
            <w:gridSpan w:val="5"/>
            <w:shd w:val="clear" w:color="auto" w:fill="B6DDE8"/>
            <w:vAlign w:val="center"/>
          </w:tcPr>
          <w:p w:rsidR="00A57DD8" w:rsidRPr="00F6699B" w:rsidRDefault="00246AB8" w:rsidP="000A7EFF">
            <w:pPr>
              <w:autoSpaceDE w:val="0"/>
              <w:autoSpaceDN w:val="0"/>
              <w:adjustRightInd w:val="0"/>
              <w:ind w:left="60" w:right="60"/>
              <w:rPr>
                <w:rFonts w:ascii="Times New Roman" w:hAnsi="Times New Roman" w:cs="Times New Roman"/>
                <w:sz w:val="18"/>
                <w:szCs w:val="18"/>
                <w:lang w:val="en-US" w:eastAsia="mk-MK"/>
              </w:rPr>
            </w:pPr>
            <w:r>
              <w:rPr>
                <w:rFonts w:ascii="Times New Roman" w:hAnsi="Times New Roman" w:cs="Times New Roman"/>
                <w:b/>
                <w:sz w:val="18"/>
                <w:szCs w:val="18"/>
              </w:rPr>
              <w:t>Жени</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29</w:t>
            </w:r>
          </w:p>
        </w:tc>
        <w:tc>
          <w:tcPr>
            <w:tcW w:w="1417"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2,69</w:t>
            </w:r>
          </w:p>
        </w:tc>
        <w:tc>
          <w:tcPr>
            <w:tcW w:w="1566"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51,75</w:t>
            </w:r>
          </w:p>
        </w:tc>
        <w:tc>
          <w:tcPr>
            <w:tcW w:w="1567"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62,79</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0180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57,3±14,5</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17/84</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val="en-US"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7F0B39"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58 (51-64)</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219"/>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8094" w:type="dxa"/>
            <w:gridSpan w:val="5"/>
            <w:shd w:val="clear" w:color="auto" w:fill="B6DDE8"/>
            <w:vAlign w:val="center"/>
          </w:tcPr>
          <w:p w:rsidR="00A57DD8" w:rsidRPr="00F6699B" w:rsidRDefault="00A57DD8" w:rsidP="000A7EFF">
            <w:pPr>
              <w:autoSpaceDE w:val="0"/>
              <w:autoSpaceDN w:val="0"/>
              <w:adjustRightInd w:val="0"/>
              <w:ind w:left="60" w:right="60"/>
              <w:rPr>
                <w:rFonts w:ascii="Times New Roman" w:hAnsi="Times New Roman" w:cs="Times New Roman"/>
                <w:sz w:val="18"/>
                <w:szCs w:val="18"/>
                <w:lang w:val="en-US" w:eastAsia="mk-MK"/>
              </w:rPr>
            </w:pPr>
            <w:r>
              <w:rPr>
                <w:rFonts w:ascii="Times New Roman" w:hAnsi="Times New Roman" w:cs="Times New Roman"/>
                <w:b/>
                <w:sz w:val="18"/>
                <w:szCs w:val="18"/>
              </w:rPr>
              <w:t>Вкупно</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F5652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60</w:t>
            </w:r>
          </w:p>
        </w:tc>
        <w:tc>
          <w:tcPr>
            <w:tcW w:w="1417" w:type="dxa"/>
            <w:shd w:val="clear" w:color="auto" w:fill="DAEEF3"/>
            <w:vAlign w:val="center"/>
          </w:tcPr>
          <w:p w:rsidR="00A57DD8" w:rsidRPr="00F5652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1,97</w:t>
            </w:r>
          </w:p>
        </w:tc>
        <w:tc>
          <w:tcPr>
            <w:tcW w:w="1566" w:type="dxa"/>
            <w:shd w:val="clear" w:color="auto" w:fill="DAEEF3"/>
            <w:vAlign w:val="center"/>
          </w:tcPr>
          <w:p w:rsidR="00A57DD8" w:rsidRPr="00F0180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51,51</w:t>
            </w:r>
          </w:p>
        </w:tc>
        <w:tc>
          <w:tcPr>
            <w:tcW w:w="1567" w:type="dxa"/>
            <w:shd w:val="clear" w:color="auto" w:fill="DAEEF3"/>
            <w:vAlign w:val="center"/>
          </w:tcPr>
          <w:p w:rsidR="00A57DD8" w:rsidRPr="00F5652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59,39</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0180C" w:rsidRDefault="00246AB8" w:rsidP="00246AB8">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55,4±15,2</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F5652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16/84</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val="en-US"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F6699B"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F5652C" w:rsidRDefault="00246AB8"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58 (49,5-64)</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A57DD8" w:rsidTr="00A57DD8">
        <w:trPr>
          <w:cantSplit/>
          <w:trHeight w:val="379"/>
        </w:trPr>
        <w:tc>
          <w:tcPr>
            <w:tcW w:w="709" w:type="dxa"/>
            <w:shd w:val="clear" w:color="auto" w:fill="31849B"/>
            <w:vAlign w:val="center"/>
          </w:tcPr>
          <w:p w:rsidR="00A57DD8" w:rsidRPr="00A57DD8" w:rsidRDefault="00A57DD8" w:rsidP="000A7EFF">
            <w:pPr>
              <w:autoSpaceDE w:val="0"/>
              <w:autoSpaceDN w:val="0"/>
              <w:adjustRightInd w:val="0"/>
              <w:jc w:val="center"/>
              <w:rPr>
                <w:rFonts w:ascii="Times New Roman" w:hAnsi="Times New Roman" w:cs="Times New Roman"/>
                <w:b/>
                <w:color w:val="FFFFFF"/>
                <w:sz w:val="18"/>
                <w:szCs w:val="18"/>
                <w:lang w:val="en-US" w:eastAsia="mk-MK"/>
              </w:rPr>
            </w:pPr>
            <w:r w:rsidRPr="00A57DD8">
              <w:rPr>
                <w:rFonts w:ascii="Times New Roman" w:hAnsi="Times New Roman" w:cs="Times New Roman"/>
                <w:b/>
                <w:color w:val="FFFFFF"/>
                <w:sz w:val="18"/>
                <w:szCs w:val="18"/>
                <w:lang w:val="en-US" w:eastAsia="mk-MK"/>
              </w:rPr>
              <w:t>p</w:t>
            </w:r>
          </w:p>
        </w:tc>
        <w:tc>
          <w:tcPr>
            <w:tcW w:w="8094" w:type="dxa"/>
            <w:gridSpan w:val="5"/>
            <w:shd w:val="clear" w:color="auto" w:fill="31849B"/>
            <w:vAlign w:val="center"/>
          </w:tcPr>
          <w:p w:rsidR="00A57DD8" w:rsidRPr="00246AB8" w:rsidRDefault="00246AB8" w:rsidP="00246AB8">
            <w:pPr>
              <w:autoSpaceDE w:val="0"/>
              <w:autoSpaceDN w:val="0"/>
              <w:adjustRightInd w:val="0"/>
              <w:ind w:left="60" w:right="60"/>
              <w:jc w:val="center"/>
              <w:rPr>
                <w:rFonts w:ascii="Times New Roman" w:hAnsi="Times New Roman" w:cs="Times New Roman"/>
                <w:color w:val="FFFFFF"/>
                <w:sz w:val="16"/>
                <w:szCs w:val="16"/>
                <w:lang w:eastAsia="mk-MK"/>
              </w:rPr>
            </w:pPr>
            <w:r>
              <w:rPr>
                <w:rFonts w:ascii="Times New Roman" w:hAnsi="Times New Roman" w:cs="Times New Roman"/>
                <w:color w:val="FFFFFF"/>
                <w:sz w:val="16"/>
                <w:szCs w:val="16"/>
              </w:rPr>
              <w:t xml:space="preserve">Испитувана група </w:t>
            </w:r>
            <w:r w:rsidR="00A57DD8" w:rsidRPr="00A57DD8">
              <w:rPr>
                <w:rFonts w:ascii="Times New Roman" w:hAnsi="Times New Roman" w:cs="Times New Roman"/>
                <w:color w:val="FFFFFF"/>
                <w:sz w:val="16"/>
                <w:szCs w:val="16"/>
                <w:lang w:eastAsia="mk-MK"/>
              </w:rPr>
              <w:t xml:space="preserve">– жени/мажи: </w:t>
            </w:r>
            <w:r w:rsidR="00A57DD8" w:rsidRPr="00A57DD8">
              <w:rPr>
                <w:rFonts w:ascii="Times New Roman" w:hAnsi="Times New Roman" w:cs="Times New Roman"/>
                <w:color w:val="FFFFFF"/>
                <w:sz w:val="16"/>
                <w:szCs w:val="16"/>
                <w:lang w:val="en-US" w:eastAsia="mk-MK"/>
              </w:rPr>
              <w:t>Mann Whitney U test: Z=-0,</w:t>
            </w:r>
            <w:r>
              <w:rPr>
                <w:rFonts w:ascii="Times New Roman" w:hAnsi="Times New Roman" w:cs="Times New Roman"/>
                <w:color w:val="FFFFFF"/>
                <w:sz w:val="16"/>
                <w:szCs w:val="16"/>
                <w:lang w:eastAsia="mk-MK"/>
              </w:rPr>
              <w:t>902</w:t>
            </w:r>
            <w:r w:rsidR="00A57DD8" w:rsidRPr="00A57DD8">
              <w:rPr>
                <w:rFonts w:ascii="Times New Roman" w:hAnsi="Times New Roman" w:cs="Times New Roman"/>
                <w:color w:val="FFFFFF"/>
                <w:sz w:val="16"/>
                <w:szCs w:val="16"/>
                <w:lang w:val="en-US" w:eastAsia="mk-MK"/>
              </w:rPr>
              <w:t>; p=0,</w:t>
            </w:r>
            <w:r>
              <w:rPr>
                <w:rFonts w:ascii="Times New Roman" w:hAnsi="Times New Roman" w:cs="Times New Roman"/>
                <w:color w:val="FFFFFF"/>
                <w:sz w:val="16"/>
                <w:szCs w:val="16"/>
                <w:lang w:eastAsia="mk-MK"/>
              </w:rPr>
              <w:t>3669</w:t>
            </w:r>
          </w:p>
        </w:tc>
      </w:tr>
      <w:tr w:rsidR="00A57DD8" w:rsidRPr="00254500" w:rsidTr="00A57DD8">
        <w:trPr>
          <w:cantSplit/>
          <w:trHeight w:val="250"/>
        </w:trPr>
        <w:tc>
          <w:tcPr>
            <w:tcW w:w="709" w:type="dxa"/>
            <w:vMerge w:val="restart"/>
            <w:shd w:val="clear" w:color="auto" w:fill="31849B"/>
            <w:textDirection w:val="btLr"/>
            <w:vAlign w:val="center"/>
          </w:tcPr>
          <w:p w:rsidR="00A57DD8" w:rsidRPr="0079259A" w:rsidRDefault="00A57DD8" w:rsidP="000A7EFF">
            <w:pPr>
              <w:autoSpaceDE w:val="0"/>
              <w:autoSpaceDN w:val="0"/>
              <w:adjustRightInd w:val="0"/>
              <w:ind w:left="113" w:right="60"/>
              <w:jc w:val="cente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rPr>
              <w:t>Контролна група</w:t>
            </w:r>
          </w:p>
        </w:tc>
        <w:tc>
          <w:tcPr>
            <w:tcW w:w="8094" w:type="dxa"/>
            <w:gridSpan w:val="5"/>
            <w:shd w:val="clear" w:color="auto" w:fill="B6DDE8"/>
            <w:vAlign w:val="bottom"/>
          </w:tcPr>
          <w:p w:rsidR="00A57DD8" w:rsidRPr="00F6699B" w:rsidRDefault="00246AB8" w:rsidP="000A7EFF">
            <w:pPr>
              <w:autoSpaceDE w:val="0"/>
              <w:autoSpaceDN w:val="0"/>
              <w:adjustRightInd w:val="0"/>
              <w:ind w:left="60" w:right="60"/>
              <w:rPr>
                <w:rFonts w:ascii="Times New Roman" w:hAnsi="Times New Roman" w:cs="Times New Roman"/>
                <w:sz w:val="18"/>
                <w:szCs w:val="18"/>
                <w:lang w:eastAsia="mk-MK"/>
              </w:rPr>
            </w:pPr>
            <w:r>
              <w:rPr>
                <w:rFonts w:ascii="Times New Roman" w:hAnsi="Times New Roman" w:cs="Times New Roman"/>
                <w:b/>
                <w:sz w:val="18"/>
                <w:szCs w:val="18"/>
              </w:rPr>
              <w:t>Мажи</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ind w:left="60" w:right="6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31</w:t>
            </w:r>
          </w:p>
        </w:tc>
        <w:tc>
          <w:tcPr>
            <w:tcW w:w="1417" w:type="dxa"/>
            <w:shd w:val="clear" w:color="auto" w:fill="DAEEF3"/>
            <w:vAlign w:val="center"/>
          </w:tcPr>
          <w:p w:rsidR="00A57DD8" w:rsidRPr="009D52AD" w:rsidRDefault="009D52AD" w:rsidP="000A7EFF">
            <w:pPr>
              <w:autoSpaceDE w:val="0"/>
              <w:autoSpaceDN w:val="0"/>
              <w:adjustRightInd w:val="0"/>
              <w:ind w:left="60" w:right="127"/>
              <w:jc w:val="right"/>
              <w:rPr>
                <w:rFonts w:ascii="Times New Roman" w:hAnsi="Times New Roman" w:cs="Times New Roman"/>
                <w:sz w:val="18"/>
                <w:szCs w:val="18"/>
                <w:lang w:eastAsia="mk-MK"/>
              </w:rPr>
            </w:pPr>
            <w:r>
              <w:rPr>
                <w:rFonts w:ascii="Times New Roman" w:hAnsi="Times New Roman" w:cs="Times New Roman"/>
                <w:sz w:val="18"/>
                <w:szCs w:val="18"/>
                <w:lang w:eastAsia="mk-MK"/>
              </w:rPr>
              <w:t>3,12</w:t>
            </w:r>
          </w:p>
        </w:tc>
        <w:tc>
          <w:tcPr>
            <w:tcW w:w="1566"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40,13</w:t>
            </w:r>
          </w:p>
        </w:tc>
        <w:tc>
          <w:tcPr>
            <w:tcW w:w="1567"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52,90</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46,5±17,4</w:t>
            </w:r>
          </w:p>
        </w:tc>
        <w:tc>
          <w:tcPr>
            <w:tcW w:w="1417" w:type="dxa"/>
            <w:shd w:val="clear" w:color="auto" w:fill="DAEEF3"/>
          </w:tcPr>
          <w:p w:rsidR="00A57DD8" w:rsidRPr="00F6699B" w:rsidRDefault="00A57DD8" w:rsidP="000A7EFF">
            <w:pPr>
              <w:autoSpaceDE w:val="0"/>
              <w:autoSpaceDN w:val="0"/>
              <w:adjustRightInd w:val="0"/>
              <w:ind w:right="127"/>
              <w:jc w:val="right"/>
              <w:rPr>
                <w:rFonts w:ascii="Times New Roman" w:hAnsi="Times New Roman" w:cs="Times New Roman"/>
                <w:sz w:val="18"/>
                <w:szCs w:val="18"/>
                <w:lang w:val="en-US" w:eastAsia="mk-MK"/>
              </w:rPr>
            </w:pPr>
          </w:p>
        </w:tc>
        <w:tc>
          <w:tcPr>
            <w:tcW w:w="1566" w:type="dxa"/>
            <w:shd w:val="clear" w:color="auto" w:fill="DAEEF3"/>
          </w:tcPr>
          <w:p w:rsidR="00A57DD8" w:rsidRPr="00F6699B" w:rsidRDefault="00A57DD8" w:rsidP="000A7EFF">
            <w:pPr>
              <w:autoSpaceDE w:val="0"/>
              <w:autoSpaceDN w:val="0"/>
              <w:adjustRightInd w:val="0"/>
              <w:rPr>
                <w:rFonts w:ascii="Times New Roman" w:hAnsi="Times New Roman" w:cs="Times New Roman"/>
                <w:sz w:val="18"/>
                <w:szCs w:val="18"/>
                <w:lang w:eastAsia="mk-MK"/>
              </w:rPr>
            </w:pPr>
          </w:p>
        </w:tc>
        <w:tc>
          <w:tcPr>
            <w:tcW w:w="1567" w:type="dxa"/>
            <w:shd w:val="clear" w:color="auto" w:fill="DAEEF3"/>
          </w:tcPr>
          <w:p w:rsidR="00A57DD8" w:rsidRPr="00F6699B" w:rsidRDefault="00A57DD8" w:rsidP="000A7EFF">
            <w:pPr>
              <w:autoSpaceDE w:val="0"/>
              <w:autoSpaceDN w:val="0"/>
              <w:adjustRightInd w:val="0"/>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19/76</w:t>
            </w:r>
          </w:p>
        </w:tc>
        <w:tc>
          <w:tcPr>
            <w:tcW w:w="1417" w:type="dxa"/>
            <w:shd w:val="clear" w:color="auto" w:fill="DAEEF3"/>
            <w:vAlign w:val="center"/>
          </w:tcPr>
          <w:p w:rsidR="00A57DD8" w:rsidRPr="00F6699B" w:rsidRDefault="00A57DD8" w:rsidP="000A7EFF">
            <w:pPr>
              <w:autoSpaceDE w:val="0"/>
              <w:autoSpaceDN w:val="0"/>
              <w:adjustRightInd w:val="0"/>
              <w:ind w:left="60" w:right="127"/>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46 (31-63)</w:t>
            </w:r>
          </w:p>
        </w:tc>
        <w:tc>
          <w:tcPr>
            <w:tcW w:w="1417" w:type="dxa"/>
            <w:shd w:val="clear" w:color="auto" w:fill="DAEEF3"/>
            <w:vAlign w:val="center"/>
          </w:tcPr>
          <w:p w:rsidR="00A57DD8" w:rsidRPr="00F6699B" w:rsidRDefault="00A57DD8" w:rsidP="000A7EFF">
            <w:pPr>
              <w:autoSpaceDE w:val="0"/>
              <w:autoSpaceDN w:val="0"/>
              <w:adjustRightInd w:val="0"/>
              <w:ind w:left="60" w:right="127"/>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22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8094" w:type="dxa"/>
            <w:gridSpan w:val="5"/>
            <w:shd w:val="clear" w:color="auto" w:fill="B6DDE8"/>
            <w:vAlign w:val="center"/>
          </w:tcPr>
          <w:p w:rsidR="00A57DD8" w:rsidRPr="00F6699B" w:rsidRDefault="00246AB8" w:rsidP="000A7EFF">
            <w:pPr>
              <w:autoSpaceDE w:val="0"/>
              <w:autoSpaceDN w:val="0"/>
              <w:adjustRightInd w:val="0"/>
              <w:ind w:left="60" w:right="60"/>
              <w:rPr>
                <w:rFonts w:ascii="Times New Roman" w:hAnsi="Times New Roman" w:cs="Times New Roman"/>
                <w:sz w:val="18"/>
                <w:szCs w:val="18"/>
                <w:lang w:val="en-US" w:eastAsia="mk-MK"/>
              </w:rPr>
            </w:pPr>
            <w:r>
              <w:rPr>
                <w:rFonts w:ascii="Times New Roman" w:hAnsi="Times New Roman" w:cs="Times New Roman"/>
                <w:b/>
                <w:sz w:val="18"/>
                <w:szCs w:val="18"/>
              </w:rPr>
              <w:t>Жени</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26</w:t>
            </w:r>
          </w:p>
        </w:tc>
        <w:tc>
          <w:tcPr>
            <w:tcW w:w="1417"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2,85</w:t>
            </w:r>
          </w:p>
        </w:tc>
        <w:tc>
          <w:tcPr>
            <w:tcW w:w="1566"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30,39</w:t>
            </w:r>
          </w:p>
        </w:tc>
        <w:tc>
          <w:tcPr>
            <w:tcW w:w="1567"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42,14</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36,3±14,5</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15/68</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val="en-US"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34,5 (24-48)</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205"/>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8094" w:type="dxa"/>
            <w:gridSpan w:val="5"/>
            <w:shd w:val="clear" w:color="auto" w:fill="B6DDE8"/>
            <w:vAlign w:val="center"/>
          </w:tcPr>
          <w:p w:rsidR="00A57DD8" w:rsidRPr="00F6699B" w:rsidRDefault="00A57DD8" w:rsidP="000A7EFF">
            <w:pPr>
              <w:autoSpaceDE w:val="0"/>
              <w:autoSpaceDN w:val="0"/>
              <w:adjustRightInd w:val="0"/>
              <w:ind w:left="60" w:right="60"/>
              <w:rPr>
                <w:rFonts w:ascii="Times New Roman" w:hAnsi="Times New Roman" w:cs="Times New Roman"/>
                <w:sz w:val="18"/>
                <w:szCs w:val="18"/>
                <w:lang w:val="en-US" w:eastAsia="mk-MK"/>
              </w:rPr>
            </w:pPr>
            <w:r>
              <w:rPr>
                <w:rFonts w:ascii="Times New Roman" w:hAnsi="Times New Roman" w:cs="Times New Roman"/>
                <w:b/>
                <w:sz w:val="18"/>
                <w:szCs w:val="18"/>
              </w:rPr>
              <w:t>Вкупно</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Број (N)</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57</w:t>
            </w:r>
          </w:p>
        </w:tc>
        <w:tc>
          <w:tcPr>
            <w:tcW w:w="1417"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2,22</w:t>
            </w:r>
          </w:p>
        </w:tc>
        <w:tc>
          <w:tcPr>
            <w:tcW w:w="1566"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37,37</w:t>
            </w:r>
          </w:p>
        </w:tc>
        <w:tc>
          <w:tcPr>
            <w:tcW w:w="1567"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46,31</w:t>
            </w: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bCs/>
                <w:color w:val="000000"/>
                <w:position w:val="-4"/>
                <w:sz w:val="18"/>
                <w:szCs w:val="18"/>
              </w:rPr>
              <w:t>Mean ±SD</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41,8±16,8</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eastAsia="mk-MK"/>
              </w:rPr>
              <w:t>Мин/ Мак (Min/ Max)</w:t>
            </w:r>
          </w:p>
        </w:tc>
        <w:tc>
          <w:tcPr>
            <w:tcW w:w="1164" w:type="dxa"/>
            <w:shd w:val="clear" w:color="auto" w:fill="DAEEF3"/>
            <w:vAlign w:val="center"/>
          </w:tcPr>
          <w:p w:rsidR="00A57DD8" w:rsidRPr="00FB1E74" w:rsidRDefault="00FB1E74"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15/76</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254500" w:rsidTr="00A57DD8">
        <w:trPr>
          <w:cantSplit/>
          <w:trHeight w:val="187"/>
        </w:trPr>
        <w:tc>
          <w:tcPr>
            <w:tcW w:w="709" w:type="dxa"/>
            <w:vMerge/>
            <w:shd w:val="clear" w:color="auto" w:fill="31849B"/>
            <w:vAlign w:val="center"/>
          </w:tcPr>
          <w:p w:rsidR="00A57DD8" w:rsidRPr="0079259A" w:rsidRDefault="00A57DD8" w:rsidP="000A7EFF">
            <w:pPr>
              <w:autoSpaceDE w:val="0"/>
              <w:autoSpaceDN w:val="0"/>
              <w:adjustRightInd w:val="0"/>
              <w:rPr>
                <w:rFonts w:ascii="Times New Roman" w:hAnsi="Times New Roman" w:cs="Times New Roman"/>
                <w:b/>
                <w:color w:val="FFFFFF"/>
                <w:sz w:val="18"/>
                <w:szCs w:val="18"/>
                <w:lang w:eastAsia="mk-MK"/>
              </w:rPr>
            </w:pPr>
          </w:p>
        </w:tc>
        <w:tc>
          <w:tcPr>
            <w:tcW w:w="2380" w:type="dxa"/>
            <w:shd w:val="clear" w:color="auto" w:fill="92CDDC"/>
            <w:vAlign w:val="bottom"/>
          </w:tcPr>
          <w:p w:rsidR="00A57DD8" w:rsidRPr="00F6699B" w:rsidRDefault="00A57DD8" w:rsidP="000A7EFF">
            <w:pPr>
              <w:autoSpaceDE w:val="0"/>
              <w:autoSpaceDN w:val="0"/>
              <w:adjustRightInd w:val="0"/>
              <w:ind w:left="60" w:right="60"/>
              <w:rPr>
                <w:rFonts w:ascii="Times New Roman" w:hAnsi="Times New Roman" w:cs="Times New Roman"/>
                <w:b/>
                <w:sz w:val="18"/>
                <w:szCs w:val="18"/>
                <w:lang w:eastAsia="mk-MK"/>
              </w:rPr>
            </w:pPr>
            <w:r w:rsidRPr="00F6699B">
              <w:rPr>
                <w:rFonts w:ascii="Times New Roman" w:hAnsi="Times New Roman" w:cs="Times New Roman"/>
                <w:b/>
                <w:sz w:val="18"/>
                <w:szCs w:val="18"/>
                <w:lang w:val="en-US" w:eastAsia="mk-MK"/>
              </w:rPr>
              <w:t>Median (IQR</w:t>
            </w:r>
          </w:p>
        </w:tc>
        <w:tc>
          <w:tcPr>
            <w:tcW w:w="1164" w:type="dxa"/>
            <w:shd w:val="clear" w:color="auto" w:fill="DAEEF3"/>
            <w:vAlign w:val="center"/>
          </w:tcPr>
          <w:p w:rsidR="00A57DD8" w:rsidRPr="009D52AD" w:rsidRDefault="009D52AD" w:rsidP="000A7EFF">
            <w:pPr>
              <w:autoSpaceDE w:val="0"/>
              <w:autoSpaceDN w:val="0"/>
              <w:adjustRightInd w:val="0"/>
              <w:ind w:left="60" w:right="60"/>
              <w:jc w:val="right"/>
              <w:rPr>
                <w:rFonts w:ascii="Times New Roman" w:hAnsi="Times New Roman" w:cs="Times New Roman"/>
                <w:sz w:val="18"/>
                <w:szCs w:val="18"/>
                <w:lang w:eastAsia="mk-MK"/>
              </w:rPr>
            </w:pPr>
            <w:r>
              <w:rPr>
                <w:rFonts w:ascii="Times New Roman" w:hAnsi="Times New Roman" w:cs="Times New Roman"/>
                <w:sz w:val="18"/>
                <w:szCs w:val="18"/>
                <w:lang w:eastAsia="mk-MK"/>
              </w:rPr>
              <w:t>39 (28-54)</w:t>
            </w:r>
          </w:p>
        </w:tc>
        <w:tc>
          <w:tcPr>
            <w:tcW w:w="141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6"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c>
          <w:tcPr>
            <w:tcW w:w="1567" w:type="dxa"/>
            <w:shd w:val="clear" w:color="auto" w:fill="DAEEF3"/>
            <w:vAlign w:val="center"/>
          </w:tcPr>
          <w:p w:rsidR="00A57DD8" w:rsidRPr="00F6699B" w:rsidRDefault="00A57DD8" w:rsidP="000A7EFF">
            <w:pPr>
              <w:autoSpaceDE w:val="0"/>
              <w:autoSpaceDN w:val="0"/>
              <w:adjustRightInd w:val="0"/>
              <w:ind w:left="60" w:right="60"/>
              <w:jc w:val="right"/>
              <w:rPr>
                <w:rFonts w:ascii="Times New Roman" w:hAnsi="Times New Roman" w:cs="Times New Roman"/>
                <w:sz w:val="18"/>
                <w:szCs w:val="18"/>
                <w:lang w:eastAsia="mk-MK"/>
              </w:rPr>
            </w:pPr>
          </w:p>
        </w:tc>
      </w:tr>
      <w:tr w:rsidR="00A57DD8" w:rsidRPr="0079259A" w:rsidTr="00A57DD8">
        <w:trPr>
          <w:cantSplit/>
          <w:trHeight w:val="379"/>
        </w:trPr>
        <w:tc>
          <w:tcPr>
            <w:tcW w:w="709" w:type="dxa"/>
            <w:shd w:val="clear" w:color="auto" w:fill="31849B"/>
            <w:vAlign w:val="center"/>
          </w:tcPr>
          <w:p w:rsidR="00A57DD8" w:rsidRPr="0079259A" w:rsidRDefault="00A57DD8" w:rsidP="000A7EFF">
            <w:pPr>
              <w:autoSpaceDE w:val="0"/>
              <w:autoSpaceDN w:val="0"/>
              <w:adjustRightInd w:val="0"/>
              <w:jc w:val="center"/>
              <w:rPr>
                <w:rFonts w:ascii="Times New Roman" w:hAnsi="Times New Roman" w:cs="Times New Roman"/>
                <w:b/>
                <w:color w:val="FFFFFF"/>
                <w:sz w:val="18"/>
                <w:szCs w:val="18"/>
                <w:lang w:val="en-US" w:eastAsia="mk-MK"/>
              </w:rPr>
            </w:pPr>
            <w:r w:rsidRPr="0079259A">
              <w:rPr>
                <w:rFonts w:ascii="Times New Roman" w:hAnsi="Times New Roman" w:cs="Times New Roman"/>
                <w:b/>
                <w:color w:val="FFFFFF"/>
                <w:sz w:val="18"/>
                <w:szCs w:val="18"/>
                <w:lang w:val="en-US" w:eastAsia="mk-MK"/>
              </w:rPr>
              <w:t>p</w:t>
            </w:r>
          </w:p>
        </w:tc>
        <w:tc>
          <w:tcPr>
            <w:tcW w:w="8094" w:type="dxa"/>
            <w:gridSpan w:val="5"/>
            <w:shd w:val="clear" w:color="auto" w:fill="31849B"/>
            <w:vAlign w:val="center"/>
          </w:tcPr>
          <w:p w:rsidR="00A57DD8" w:rsidRPr="009D52AD" w:rsidRDefault="009D52AD" w:rsidP="009D52AD">
            <w:pPr>
              <w:autoSpaceDE w:val="0"/>
              <w:autoSpaceDN w:val="0"/>
              <w:adjustRightInd w:val="0"/>
              <w:ind w:left="60" w:right="60"/>
              <w:jc w:val="center"/>
              <w:rPr>
                <w:rFonts w:ascii="Times New Roman" w:hAnsi="Times New Roman" w:cs="Times New Roman"/>
                <w:color w:val="FFFFFF"/>
                <w:sz w:val="16"/>
                <w:szCs w:val="16"/>
                <w:lang w:eastAsia="mk-MK"/>
              </w:rPr>
            </w:pPr>
            <w:r>
              <w:rPr>
                <w:rFonts w:ascii="Times New Roman" w:hAnsi="Times New Roman" w:cs="Times New Roman"/>
                <w:color w:val="FFFFFF"/>
                <w:sz w:val="16"/>
                <w:szCs w:val="16"/>
              </w:rPr>
              <w:t>Контролна г</w:t>
            </w:r>
            <w:r w:rsidR="00A57DD8" w:rsidRPr="0079259A">
              <w:rPr>
                <w:rFonts w:ascii="Times New Roman" w:hAnsi="Times New Roman" w:cs="Times New Roman"/>
                <w:color w:val="FFFFFF"/>
                <w:sz w:val="16"/>
                <w:szCs w:val="16"/>
              </w:rPr>
              <w:t>рупа</w:t>
            </w:r>
            <w:r w:rsidR="00A57DD8" w:rsidRPr="0079259A">
              <w:rPr>
                <w:rFonts w:ascii="Times New Roman" w:hAnsi="Times New Roman" w:cs="Times New Roman"/>
                <w:color w:val="FFFFFF"/>
                <w:sz w:val="16"/>
                <w:szCs w:val="16"/>
                <w:lang w:val="en-US" w:eastAsia="mk-MK"/>
              </w:rPr>
              <w:t xml:space="preserve"> </w:t>
            </w:r>
            <w:r w:rsidR="00A57DD8">
              <w:rPr>
                <w:rFonts w:ascii="Times New Roman" w:hAnsi="Times New Roman" w:cs="Times New Roman"/>
                <w:color w:val="FFFFFF"/>
                <w:sz w:val="16"/>
                <w:szCs w:val="16"/>
                <w:lang w:eastAsia="mk-MK"/>
              </w:rPr>
              <w:t>–</w:t>
            </w:r>
            <w:r w:rsidR="00A57DD8" w:rsidRPr="0079259A">
              <w:rPr>
                <w:rFonts w:ascii="Times New Roman" w:hAnsi="Times New Roman" w:cs="Times New Roman"/>
                <w:color w:val="FFFFFF"/>
                <w:sz w:val="16"/>
                <w:szCs w:val="16"/>
                <w:lang w:eastAsia="mk-MK"/>
              </w:rPr>
              <w:t xml:space="preserve"> </w:t>
            </w:r>
            <w:r w:rsidR="00A57DD8">
              <w:rPr>
                <w:rFonts w:ascii="Times New Roman" w:hAnsi="Times New Roman" w:cs="Times New Roman"/>
                <w:color w:val="FFFFFF"/>
                <w:sz w:val="16"/>
                <w:szCs w:val="16"/>
                <w:lang w:eastAsia="mk-MK"/>
              </w:rPr>
              <w:t>жени/мажи</w:t>
            </w:r>
            <w:r w:rsidR="00A57DD8" w:rsidRPr="0079259A">
              <w:rPr>
                <w:rFonts w:ascii="Times New Roman" w:hAnsi="Times New Roman" w:cs="Times New Roman"/>
                <w:color w:val="FFFFFF"/>
                <w:sz w:val="16"/>
                <w:szCs w:val="16"/>
                <w:lang w:eastAsia="mk-MK"/>
              </w:rPr>
              <w:t xml:space="preserve">: </w:t>
            </w:r>
            <w:r w:rsidR="00A57DD8">
              <w:rPr>
                <w:rFonts w:ascii="Times New Roman" w:hAnsi="Times New Roman" w:cs="Times New Roman"/>
                <w:color w:val="FFFFFF"/>
                <w:sz w:val="16"/>
                <w:szCs w:val="16"/>
                <w:lang w:val="en-US" w:eastAsia="mk-MK"/>
              </w:rPr>
              <w:t>Mann Whitney U test: Z=</w:t>
            </w:r>
            <w:r>
              <w:rPr>
                <w:rFonts w:ascii="Times New Roman" w:hAnsi="Times New Roman" w:cs="Times New Roman"/>
                <w:color w:val="FFFFFF"/>
                <w:sz w:val="16"/>
                <w:szCs w:val="16"/>
                <w:lang w:eastAsia="mk-MK"/>
              </w:rPr>
              <w:t>2,235</w:t>
            </w:r>
            <w:r w:rsidR="00A57DD8">
              <w:rPr>
                <w:rFonts w:ascii="Times New Roman" w:hAnsi="Times New Roman" w:cs="Times New Roman"/>
                <w:color w:val="FFFFFF"/>
                <w:sz w:val="16"/>
                <w:szCs w:val="16"/>
                <w:lang w:val="en-US" w:eastAsia="mk-MK"/>
              </w:rPr>
              <w:t>; p=0,</w:t>
            </w:r>
            <w:r>
              <w:rPr>
                <w:rFonts w:ascii="Times New Roman" w:hAnsi="Times New Roman" w:cs="Times New Roman"/>
                <w:color w:val="FFFFFF"/>
                <w:sz w:val="16"/>
                <w:szCs w:val="16"/>
                <w:lang w:eastAsia="mk-MK"/>
              </w:rPr>
              <w:t>0254*</w:t>
            </w:r>
          </w:p>
        </w:tc>
      </w:tr>
      <w:tr w:rsidR="00A57DD8" w:rsidRPr="00A91112" w:rsidTr="00A57DD8">
        <w:trPr>
          <w:cantSplit/>
          <w:trHeight w:val="892"/>
        </w:trPr>
        <w:tc>
          <w:tcPr>
            <w:tcW w:w="8803" w:type="dxa"/>
            <w:gridSpan w:val="6"/>
            <w:shd w:val="clear" w:color="auto" w:fill="31849B"/>
            <w:vAlign w:val="center"/>
          </w:tcPr>
          <w:p w:rsidR="00A57DD8" w:rsidRPr="006E3B37" w:rsidRDefault="00A57DD8" w:rsidP="000A7EFF">
            <w:pPr>
              <w:spacing w:line="276" w:lineRule="auto"/>
              <w:jc w:val="center"/>
              <w:rPr>
                <w:rFonts w:ascii="Times New Roman" w:hAnsi="Times New Roman" w:cs="Times New Roman"/>
                <w:color w:val="FFFFFF"/>
                <w:sz w:val="18"/>
                <w:szCs w:val="18"/>
              </w:rPr>
            </w:pPr>
            <w:r w:rsidRPr="006E3B37">
              <w:rPr>
                <w:rFonts w:ascii="Times New Roman" w:hAnsi="Times New Roman" w:cs="Times New Roman"/>
                <w:bCs/>
                <w:color w:val="FFFFFF"/>
                <w:sz w:val="18"/>
                <w:szCs w:val="18"/>
              </w:rPr>
              <w:t>Испитувана група</w:t>
            </w:r>
            <w:r w:rsidR="00ED6827" w:rsidRPr="006E3B37">
              <w:rPr>
                <w:rFonts w:ascii="Times New Roman" w:hAnsi="Times New Roman" w:cs="Times New Roman"/>
                <w:bCs/>
                <w:color w:val="FFFFFF"/>
                <w:sz w:val="18"/>
                <w:szCs w:val="18"/>
              </w:rPr>
              <w:t>:</w:t>
            </w:r>
            <w:r w:rsidR="009D52AD" w:rsidRPr="006E3B37">
              <w:rPr>
                <w:rFonts w:ascii="Times New Roman" w:hAnsi="Times New Roman" w:cs="Times New Roman"/>
                <w:bCs/>
                <w:color w:val="FFFFFF"/>
                <w:sz w:val="18"/>
                <w:szCs w:val="18"/>
              </w:rPr>
              <w:t>пациенти со тумори на паротидни жлезди;</w:t>
            </w:r>
            <w:r w:rsidRPr="006E3B37">
              <w:rPr>
                <w:rFonts w:ascii="Times New Roman" w:hAnsi="Times New Roman" w:cs="Times New Roman"/>
                <w:color w:val="FFFFFF"/>
                <w:sz w:val="18"/>
                <w:szCs w:val="18"/>
              </w:rPr>
              <w:t xml:space="preserve">  </w:t>
            </w:r>
            <w:r w:rsidRPr="006E3B37">
              <w:rPr>
                <w:rFonts w:ascii="Times New Roman" w:hAnsi="Times New Roman" w:cs="Times New Roman"/>
                <w:bCs/>
                <w:color w:val="FFFFFF"/>
                <w:sz w:val="18"/>
                <w:szCs w:val="18"/>
              </w:rPr>
              <w:t>Контролна група</w:t>
            </w:r>
            <w:r w:rsidR="00ED6827" w:rsidRPr="006E3B37">
              <w:rPr>
                <w:rFonts w:ascii="Times New Roman" w:hAnsi="Times New Roman" w:cs="Times New Roman"/>
                <w:bCs/>
                <w:color w:val="FFFFFF"/>
                <w:sz w:val="18"/>
                <w:szCs w:val="18"/>
              </w:rPr>
              <w:t xml:space="preserve">: </w:t>
            </w:r>
            <w:r w:rsidR="009D52AD" w:rsidRPr="006E3B37">
              <w:rPr>
                <w:rFonts w:ascii="Times New Roman" w:hAnsi="Times New Roman" w:cs="Times New Roman"/>
                <w:color w:val="FFFFFF"/>
                <w:sz w:val="18"/>
                <w:szCs w:val="18"/>
              </w:rPr>
              <w:t>здрави испитаници</w:t>
            </w:r>
            <w:r w:rsidRPr="006E3B37">
              <w:rPr>
                <w:rFonts w:ascii="Times New Roman" w:hAnsi="Times New Roman" w:cs="Times New Roman"/>
                <w:color w:val="FFFFFF"/>
                <w:sz w:val="18"/>
                <w:szCs w:val="18"/>
              </w:rPr>
              <w:t>;</w:t>
            </w:r>
          </w:p>
          <w:p w:rsidR="00A57DD8" w:rsidRPr="006E3B37" w:rsidRDefault="009357BA" w:rsidP="000A7EFF">
            <w:pPr>
              <w:autoSpaceDE w:val="0"/>
              <w:autoSpaceDN w:val="0"/>
              <w:adjustRightInd w:val="0"/>
              <w:ind w:left="60" w:right="60"/>
              <w:jc w:val="center"/>
              <w:rPr>
                <w:rFonts w:ascii="Times New Roman" w:hAnsi="Times New Roman" w:cs="Times New Roman"/>
                <w:color w:val="FFFFFF"/>
                <w:sz w:val="18"/>
                <w:szCs w:val="18"/>
              </w:rPr>
            </w:pPr>
            <w:r w:rsidRPr="006E3B37">
              <w:rPr>
                <w:rFonts w:ascii="Times New Roman" w:hAnsi="Times New Roman" w:cs="Times New Roman"/>
                <w:color w:val="FFFFFF"/>
                <w:sz w:val="18"/>
                <w:szCs w:val="18"/>
                <w:lang w:eastAsia="mk-MK"/>
              </w:rPr>
              <w:t>м</w:t>
            </w:r>
            <w:r w:rsidR="009D52AD" w:rsidRPr="006E3B37">
              <w:rPr>
                <w:rFonts w:ascii="Times New Roman" w:hAnsi="Times New Roman" w:cs="Times New Roman"/>
                <w:color w:val="FFFFFF"/>
                <w:sz w:val="18"/>
                <w:szCs w:val="18"/>
                <w:lang w:eastAsia="mk-MK"/>
              </w:rPr>
              <w:t>ажи/жени – цел примерок</w:t>
            </w:r>
            <w:r w:rsidR="00A57DD8" w:rsidRPr="00A926CA">
              <w:rPr>
                <w:rFonts w:ascii="Times New Roman" w:hAnsi="Times New Roman" w:cs="Times New Roman"/>
                <w:color w:val="FFFFFF"/>
                <w:sz w:val="18"/>
                <w:szCs w:val="18"/>
                <w:lang w:eastAsia="mk-MK"/>
              </w:rPr>
              <w:t>: Mann Whitney U test: Z=</w:t>
            </w:r>
            <w:r w:rsidR="009D52AD" w:rsidRPr="006E3B37">
              <w:rPr>
                <w:rFonts w:ascii="Times New Roman" w:hAnsi="Times New Roman" w:cs="Times New Roman"/>
                <w:color w:val="FFFFFF"/>
                <w:sz w:val="18"/>
                <w:szCs w:val="18"/>
                <w:lang w:eastAsia="mk-MK"/>
              </w:rPr>
              <w:t>0,8683</w:t>
            </w:r>
            <w:r w:rsidR="00A57DD8" w:rsidRPr="00A926CA">
              <w:rPr>
                <w:rFonts w:ascii="Times New Roman" w:hAnsi="Times New Roman" w:cs="Times New Roman"/>
                <w:color w:val="FFFFFF"/>
                <w:sz w:val="18"/>
                <w:szCs w:val="18"/>
                <w:lang w:eastAsia="mk-MK"/>
              </w:rPr>
              <w:t>; p=0,</w:t>
            </w:r>
            <w:r w:rsidR="009D52AD" w:rsidRPr="006E3B37">
              <w:rPr>
                <w:rFonts w:ascii="Times New Roman" w:hAnsi="Times New Roman" w:cs="Times New Roman"/>
                <w:color w:val="FFFFFF"/>
                <w:sz w:val="18"/>
                <w:szCs w:val="18"/>
                <w:lang w:eastAsia="mk-MK"/>
              </w:rPr>
              <w:t>3852</w:t>
            </w:r>
          </w:p>
          <w:p w:rsidR="00A57DD8" w:rsidRPr="00A91112" w:rsidRDefault="00A57DD8" w:rsidP="000A7EFF">
            <w:pPr>
              <w:autoSpaceDE w:val="0"/>
              <w:autoSpaceDN w:val="0"/>
              <w:adjustRightInd w:val="0"/>
              <w:ind w:left="60" w:right="60"/>
              <w:jc w:val="center"/>
              <w:rPr>
                <w:rFonts w:ascii="Times New Roman" w:hAnsi="Times New Roman" w:cs="Times New Roman"/>
                <w:color w:val="FFFFFF"/>
                <w:sz w:val="16"/>
                <w:szCs w:val="16"/>
                <w:lang w:val="en-US" w:eastAsia="mk-MK"/>
              </w:rPr>
            </w:pPr>
            <w:r w:rsidRPr="006E3B37">
              <w:rPr>
                <w:rFonts w:ascii="Times New Roman" w:hAnsi="Times New Roman" w:cs="Times New Roman"/>
                <w:color w:val="FFFFFF"/>
                <w:sz w:val="18"/>
                <w:szCs w:val="18"/>
              </w:rPr>
              <w:t xml:space="preserve">*сигнификантно за </w:t>
            </w:r>
            <w:r w:rsidRPr="006E3B37">
              <w:rPr>
                <w:rFonts w:ascii="Times New Roman" w:hAnsi="Times New Roman" w:cs="Times New Roman"/>
                <w:color w:val="FFFFFF"/>
                <w:sz w:val="18"/>
                <w:szCs w:val="18"/>
                <w:lang w:val="it-IT"/>
              </w:rPr>
              <w:t>p&lt;0,05</w:t>
            </w:r>
          </w:p>
        </w:tc>
      </w:tr>
    </w:tbl>
    <w:p w:rsidR="00A57DD8" w:rsidRDefault="00A57DD8" w:rsidP="00A57DD8"/>
    <w:p w:rsidR="00A77306" w:rsidRDefault="00A77306" w:rsidP="00A57DD8">
      <w:pPr>
        <w:spacing w:line="360" w:lineRule="auto"/>
        <w:jc w:val="both"/>
        <w:rPr>
          <w:rFonts w:ascii="Times New Roman" w:hAnsi="Times New Roman" w:cs="Times New Roman"/>
          <w:b/>
          <w:color w:val="215868"/>
          <w:sz w:val="24"/>
          <w:szCs w:val="24"/>
        </w:rPr>
      </w:pPr>
    </w:p>
    <w:p w:rsidR="00A77306" w:rsidRPr="00ED6827" w:rsidRDefault="00A77306" w:rsidP="00D41B9C">
      <w:pPr>
        <w:spacing w:after="200"/>
        <w:ind w:firstLine="720"/>
        <w:jc w:val="both"/>
        <w:rPr>
          <w:rFonts w:ascii="Times New Roman" w:hAnsi="Times New Roman" w:cs="Times New Roman"/>
          <w:color w:val="000000"/>
          <w:sz w:val="24"/>
          <w:szCs w:val="24"/>
          <w:lang w:eastAsia="en-GB"/>
        </w:rPr>
      </w:pPr>
      <w:r w:rsidRPr="00EC28B2">
        <w:rPr>
          <w:rFonts w:ascii="Times New Roman" w:hAnsi="Times New Roman" w:cs="Times New Roman"/>
          <w:b/>
          <w:color w:val="000000"/>
          <w:sz w:val="24"/>
          <w:szCs w:val="24"/>
        </w:rPr>
        <w:t>КОНТРОЛНА ГРУПА -</w:t>
      </w:r>
      <w:r w:rsidRPr="00ED6827">
        <w:rPr>
          <w:rFonts w:ascii="Times New Roman" w:hAnsi="Times New Roman" w:cs="Times New Roman"/>
          <w:sz w:val="24"/>
          <w:szCs w:val="24"/>
        </w:rPr>
        <w:t xml:space="preserve"> </w:t>
      </w:r>
      <w:r w:rsidRPr="00ED6827">
        <w:rPr>
          <w:rFonts w:ascii="Times New Roman" w:hAnsi="Times New Roman" w:cs="Times New Roman"/>
          <w:color w:val="000000"/>
          <w:sz w:val="24"/>
          <w:szCs w:val="24"/>
        </w:rPr>
        <w:t>П</w:t>
      </w:r>
      <w:r w:rsidRPr="00ED6827">
        <w:rPr>
          <w:rFonts w:ascii="Times New Roman" w:hAnsi="Times New Roman" w:cs="Times New Roman"/>
          <w:color w:val="000000"/>
          <w:sz w:val="24"/>
          <w:szCs w:val="24"/>
          <w:lang w:eastAsia="en-GB"/>
        </w:rPr>
        <w:t xml:space="preserve">росечната возраст на пациентите од </w:t>
      </w:r>
      <w:r w:rsidR="00EE58C3">
        <w:rPr>
          <w:rFonts w:ascii="Times New Roman" w:hAnsi="Times New Roman" w:cs="Times New Roman"/>
          <w:sz w:val="24"/>
          <w:szCs w:val="24"/>
        </w:rPr>
        <w:t xml:space="preserve">контролната </w:t>
      </w:r>
      <w:r w:rsidRPr="00ED6827">
        <w:rPr>
          <w:rFonts w:ascii="Times New Roman" w:hAnsi="Times New Roman" w:cs="Times New Roman"/>
          <w:sz w:val="24"/>
          <w:szCs w:val="24"/>
        </w:rPr>
        <w:t xml:space="preserve">група на здрави испитаници </w:t>
      </w:r>
      <w:r w:rsidRPr="00ED6827">
        <w:rPr>
          <w:rFonts w:ascii="Times New Roman" w:hAnsi="Times New Roman" w:cs="Times New Roman"/>
          <w:color w:val="000000"/>
          <w:sz w:val="24"/>
          <w:szCs w:val="24"/>
          <w:lang w:eastAsia="en-GB"/>
        </w:rPr>
        <w:t xml:space="preserve">изнесуваше </w:t>
      </w:r>
      <w:r w:rsidRPr="00ED6827">
        <w:rPr>
          <w:rFonts w:ascii="Times New Roman" w:hAnsi="Times New Roman" w:cs="Times New Roman"/>
          <w:sz w:val="24"/>
          <w:szCs w:val="24"/>
          <w:lang w:eastAsia="mk-MK"/>
        </w:rPr>
        <w:t>41,8±16,8</w:t>
      </w:r>
      <w:r w:rsidRPr="00ED6827">
        <w:rPr>
          <w:rFonts w:ascii="Times New Roman" w:hAnsi="Times New Roman" w:cs="Times New Roman"/>
          <w:color w:val="000000"/>
          <w:sz w:val="24"/>
          <w:szCs w:val="24"/>
          <w:lang w:val="ru-RU" w:eastAsia="en-GB"/>
        </w:rPr>
        <w:t xml:space="preserve"> [95% </w:t>
      </w:r>
      <w:r w:rsidRPr="00ED6827">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val="en-US" w:eastAsia="en-GB"/>
        </w:rPr>
        <w:t>mean</w:t>
      </w:r>
      <w:r w:rsidRPr="00ED6827">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eastAsia="en-GB"/>
        </w:rPr>
        <w:t>37,37</w:t>
      </w:r>
      <w:r w:rsidRPr="00ED6827">
        <w:rPr>
          <w:rFonts w:ascii="Times New Roman" w:hAnsi="Times New Roman" w:cs="Times New Roman"/>
          <w:color w:val="000000"/>
          <w:sz w:val="24"/>
          <w:szCs w:val="24"/>
          <w:lang w:val="ru-RU" w:eastAsia="en-GB"/>
        </w:rPr>
        <w:t>–</w:t>
      </w:r>
      <w:r w:rsidRPr="00ED6827">
        <w:rPr>
          <w:rFonts w:ascii="Times New Roman" w:hAnsi="Times New Roman" w:cs="Times New Roman"/>
          <w:color w:val="000000"/>
          <w:sz w:val="24"/>
          <w:szCs w:val="24"/>
          <w:lang w:eastAsia="en-GB"/>
        </w:rPr>
        <w:t>46,31</w:t>
      </w:r>
      <w:r w:rsidRPr="00ED6827">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eastAsia="en-GB"/>
        </w:rPr>
        <w:t xml:space="preserve">години со мин/мак возраст од 15/76 години. Анализата укажа дека 50% од испитаниците во </w:t>
      </w:r>
      <w:r w:rsidRPr="00ED6827">
        <w:rPr>
          <w:rFonts w:ascii="Times New Roman" w:hAnsi="Times New Roman" w:cs="Times New Roman"/>
          <w:sz w:val="24"/>
          <w:szCs w:val="24"/>
        </w:rPr>
        <w:t>испитуваната група</w:t>
      </w:r>
      <w:r w:rsidRPr="00ED6827">
        <w:rPr>
          <w:rFonts w:ascii="Times New Roman" w:hAnsi="Times New Roman" w:cs="Times New Roman"/>
          <w:color w:val="000000"/>
          <w:sz w:val="24"/>
          <w:szCs w:val="24"/>
          <w:lang w:eastAsia="en-GB"/>
        </w:rPr>
        <w:t xml:space="preserve"> беа постари од 39 година за </w:t>
      </w:r>
      <w:r w:rsidRPr="00ED6827">
        <w:rPr>
          <w:rFonts w:ascii="Times New Roman" w:hAnsi="Times New Roman" w:cs="Times New Roman"/>
          <w:color w:val="000000"/>
          <w:sz w:val="24"/>
          <w:szCs w:val="24"/>
          <w:lang w:val="en-US" w:eastAsia="en-GB"/>
        </w:rPr>
        <w:t>Median</w:t>
      </w:r>
      <w:r w:rsidRPr="00ED6827">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val="en-US" w:eastAsia="en-GB"/>
        </w:rPr>
        <w:t>IQR</w:t>
      </w:r>
      <w:r w:rsidRPr="00ED6827">
        <w:rPr>
          <w:rFonts w:ascii="Times New Roman" w:hAnsi="Times New Roman" w:cs="Times New Roman"/>
          <w:color w:val="000000"/>
          <w:sz w:val="24"/>
          <w:szCs w:val="24"/>
          <w:lang w:val="ru-RU" w:eastAsia="en-GB"/>
        </w:rPr>
        <w:t>)</w:t>
      </w:r>
      <w:r w:rsidRPr="00ED6827">
        <w:rPr>
          <w:rFonts w:ascii="Times New Roman" w:hAnsi="Times New Roman" w:cs="Times New Roman"/>
          <w:color w:val="000000"/>
          <w:sz w:val="24"/>
          <w:szCs w:val="24"/>
          <w:lang w:eastAsia="en-GB"/>
        </w:rPr>
        <w:t>=</w:t>
      </w:r>
      <w:r w:rsidRPr="00ED6827">
        <w:rPr>
          <w:rFonts w:ascii="Times New Roman" w:hAnsi="Times New Roman" w:cs="Times New Roman"/>
          <w:sz w:val="24"/>
          <w:szCs w:val="24"/>
          <w:lang w:eastAsia="mk-MK"/>
        </w:rPr>
        <w:t xml:space="preserve"> 39 (28-54)</w:t>
      </w:r>
      <w:r w:rsidRPr="00ED6827">
        <w:rPr>
          <w:rFonts w:ascii="Times New Roman" w:hAnsi="Times New Roman" w:cs="Times New Roman"/>
          <w:color w:val="000000"/>
          <w:sz w:val="24"/>
          <w:szCs w:val="24"/>
          <w:lang w:eastAsia="en-GB"/>
        </w:rPr>
        <w:t xml:space="preserve"> (Табела 2 и График 3). </w:t>
      </w:r>
    </w:p>
    <w:p w:rsidR="00D41B9C" w:rsidRDefault="00A77306" w:rsidP="00D41B9C">
      <w:pPr>
        <w:spacing w:after="200"/>
        <w:ind w:firstLine="720"/>
        <w:jc w:val="both"/>
        <w:rPr>
          <w:rFonts w:ascii="Times New Roman" w:hAnsi="Times New Roman" w:cs="Times New Roman"/>
          <w:color w:val="000000"/>
          <w:sz w:val="24"/>
          <w:szCs w:val="24"/>
          <w:lang w:eastAsia="en-GB"/>
        </w:rPr>
      </w:pPr>
      <w:r w:rsidRPr="00ED6827">
        <w:rPr>
          <w:rFonts w:ascii="Times New Roman" w:hAnsi="Times New Roman" w:cs="Times New Roman"/>
          <w:color w:val="000000"/>
          <w:sz w:val="24"/>
          <w:szCs w:val="24"/>
          <w:lang w:eastAsia="en-GB"/>
        </w:rPr>
        <w:t xml:space="preserve">Дополнително, анализата на просечната возраст на пациентите од машки пол во </w:t>
      </w:r>
      <w:r w:rsidRPr="00ED6827">
        <w:rPr>
          <w:rFonts w:ascii="Times New Roman" w:hAnsi="Times New Roman" w:cs="Times New Roman"/>
          <w:color w:val="000000"/>
          <w:sz w:val="24"/>
          <w:szCs w:val="24"/>
        </w:rPr>
        <w:t xml:space="preserve">контролната група на здрави пациенти </w:t>
      </w:r>
      <w:r w:rsidRPr="00ED6827">
        <w:rPr>
          <w:rFonts w:ascii="Times New Roman" w:hAnsi="Times New Roman" w:cs="Times New Roman"/>
          <w:color w:val="000000"/>
          <w:sz w:val="24"/>
          <w:szCs w:val="24"/>
          <w:lang w:eastAsia="en-GB"/>
        </w:rPr>
        <w:t xml:space="preserve">изнесуваше </w:t>
      </w:r>
      <w:r w:rsidRPr="00ED6827">
        <w:rPr>
          <w:rFonts w:ascii="Times New Roman" w:hAnsi="Times New Roman" w:cs="Times New Roman"/>
          <w:sz w:val="24"/>
          <w:szCs w:val="24"/>
          <w:lang w:eastAsia="mk-MK"/>
        </w:rPr>
        <w:t>46,5±17,4</w:t>
      </w:r>
      <w:r w:rsidRPr="00ED6827">
        <w:rPr>
          <w:rFonts w:ascii="Times New Roman" w:hAnsi="Times New Roman" w:cs="Times New Roman"/>
          <w:color w:val="000000"/>
          <w:sz w:val="24"/>
          <w:szCs w:val="24"/>
          <w:lang w:val="ru-RU" w:eastAsia="en-GB"/>
        </w:rPr>
        <w:t xml:space="preserve"> [95% </w:t>
      </w:r>
      <w:r w:rsidRPr="00ED6827">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val="en-US" w:eastAsia="en-GB"/>
        </w:rPr>
        <w:t>mean</w:t>
      </w:r>
      <w:r w:rsidRPr="00ED6827">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eastAsia="en-GB"/>
        </w:rPr>
        <w:t xml:space="preserve">40,13 </w:t>
      </w:r>
      <w:r w:rsidRPr="00ED6827">
        <w:rPr>
          <w:rFonts w:ascii="Times New Roman" w:hAnsi="Times New Roman" w:cs="Times New Roman"/>
          <w:color w:val="000000"/>
          <w:sz w:val="24"/>
          <w:szCs w:val="24"/>
          <w:lang w:val="ru-RU" w:eastAsia="en-GB"/>
        </w:rPr>
        <w:t>–</w:t>
      </w:r>
      <w:r w:rsidRPr="00ED6827">
        <w:rPr>
          <w:rFonts w:ascii="Times New Roman" w:hAnsi="Times New Roman" w:cs="Times New Roman"/>
          <w:color w:val="000000"/>
          <w:sz w:val="24"/>
          <w:szCs w:val="24"/>
          <w:lang w:eastAsia="en-GB"/>
        </w:rPr>
        <w:t>52,90</w:t>
      </w:r>
      <w:r w:rsidRPr="00ED6827">
        <w:rPr>
          <w:rFonts w:ascii="Times New Roman" w:hAnsi="Times New Roman" w:cs="Times New Roman"/>
          <w:color w:val="000000"/>
          <w:sz w:val="24"/>
          <w:szCs w:val="24"/>
          <w:lang w:val="ru-RU" w:eastAsia="en-GB"/>
        </w:rPr>
        <w:t xml:space="preserve">)] </w:t>
      </w:r>
      <w:r w:rsidRPr="00ED6827">
        <w:rPr>
          <w:rFonts w:ascii="Times New Roman" w:hAnsi="Times New Roman" w:cs="Times New Roman"/>
          <w:color w:val="000000"/>
          <w:sz w:val="24"/>
          <w:szCs w:val="24"/>
          <w:lang w:eastAsia="en-GB"/>
        </w:rPr>
        <w:t>години со мин/мак возраст од 19/76 години.</w:t>
      </w:r>
    </w:p>
    <w:p w:rsidR="00D41B9C" w:rsidRDefault="00D41B9C" w:rsidP="00D41B9C">
      <w:pPr>
        <w:spacing w:after="200"/>
        <w:ind w:firstLine="720"/>
        <w:jc w:val="both"/>
        <w:rPr>
          <w:rFonts w:ascii="Times New Roman" w:hAnsi="Times New Roman" w:cs="Times New Roman"/>
          <w:color w:val="000000"/>
          <w:sz w:val="24"/>
          <w:szCs w:val="24"/>
          <w:lang w:eastAsia="en-GB"/>
        </w:rPr>
      </w:pPr>
    </w:p>
    <w:p w:rsidR="00D41B9C" w:rsidRDefault="00D41B9C" w:rsidP="00D41B9C">
      <w:pPr>
        <w:spacing w:after="200"/>
        <w:ind w:firstLine="720"/>
        <w:jc w:val="both"/>
        <w:rPr>
          <w:rFonts w:ascii="Times New Roman" w:hAnsi="Times New Roman" w:cs="Times New Roman"/>
          <w:color w:val="000000"/>
          <w:sz w:val="24"/>
          <w:szCs w:val="24"/>
          <w:lang w:eastAsia="en-GB"/>
        </w:rPr>
      </w:pPr>
    </w:p>
    <w:p w:rsidR="00A77306" w:rsidRPr="00A77306" w:rsidRDefault="00A77306" w:rsidP="00D41B9C">
      <w:pPr>
        <w:spacing w:after="200"/>
        <w:ind w:firstLine="720"/>
        <w:jc w:val="both"/>
        <w:rPr>
          <w:rFonts w:ascii="Times New Roman" w:hAnsi="Times New Roman" w:cs="Times New Roman"/>
          <w:color w:val="000000"/>
          <w:sz w:val="24"/>
          <w:szCs w:val="24"/>
          <w:lang w:eastAsia="mk-MK"/>
        </w:rPr>
      </w:pPr>
      <w:r w:rsidRPr="00ED6827">
        <w:rPr>
          <w:rFonts w:ascii="Times New Roman" w:hAnsi="Times New Roman" w:cs="Times New Roman"/>
          <w:color w:val="000000"/>
          <w:sz w:val="24"/>
          <w:szCs w:val="24"/>
          <w:lang w:eastAsia="en-GB"/>
        </w:rPr>
        <w:t xml:space="preserve"> Анализата</w:t>
      </w:r>
      <w:r w:rsidRPr="00A77306">
        <w:rPr>
          <w:rFonts w:ascii="Times New Roman" w:hAnsi="Times New Roman" w:cs="Times New Roman"/>
          <w:color w:val="000000"/>
          <w:sz w:val="24"/>
          <w:szCs w:val="24"/>
          <w:lang w:eastAsia="en-GB"/>
        </w:rPr>
        <w:t xml:space="preserve"> укажа дека 50% од испитаниците од машки пол во контролната група беа постари од 46 година за </w:t>
      </w:r>
      <w:r w:rsidRPr="00A77306">
        <w:rPr>
          <w:rFonts w:ascii="Times New Roman" w:hAnsi="Times New Roman" w:cs="Times New Roman"/>
          <w:color w:val="000000"/>
          <w:sz w:val="24"/>
          <w:szCs w:val="24"/>
          <w:lang w:val="en-US" w:eastAsia="en-GB"/>
        </w:rPr>
        <w:t>Median</w:t>
      </w:r>
      <w:r w:rsidRPr="00A77306">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val="en-US" w:eastAsia="en-GB"/>
        </w:rPr>
        <w:t>IQR</w:t>
      </w:r>
      <w:r w:rsidRPr="00A77306">
        <w:rPr>
          <w:rFonts w:ascii="Times New Roman" w:hAnsi="Times New Roman" w:cs="Times New Roman"/>
          <w:color w:val="000000"/>
          <w:sz w:val="24"/>
          <w:szCs w:val="24"/>
          <w:lang w:val="ru-RU" w:eastAsia="en-GB"/>
        </w:rPr>
        <w:t>)</w:t>
      </w:r>
      <w:r w:rsidRPr="00A77306">
        <w:rPr>
          <w:rFonts w:ascii="Times New Roman" w:hAnsi="Times New Roman" w:cs="Times New Roman"/>
          <w:color w:val="000000"/>
          <w:sz w:val="24"/>
          <w:szCs w:val="24"/>
          <w:lang w:eastAsia="en-GB"/>
        </w:rPr>
        <w:t>=</w:t>
      </w:r>
      <w:r w:rsidRPr="00A77306">
        <w:rPr>
          <w:rFonts w:ascii="Times New Roman" w:hAnsi="Times New Roman" w:cs="Times New Roman"/>
          <w:color w:val="000000"/>
          <w:sz w:val="24"/>
          <w:szCs w:val="24"/>
          <w:lang w:eastAsia="mk-MK"/>
        </w:rPr>
        <w:t xml:space="preserve"> </w:t>
      </w:r>
      <w:r w:rsidRPr="00A77306">
        <w:rPr>
          <w:rFonts w:ascii="Times New Roman" w:hAnsi="Times New Roman" w:cs="Times New Roman"/>
          <w:sz w:val="24"/>
          <w:szCs w:val="24"/>
          <w:lang w:eastAsia="mk-MK"/>
        </w:rPr>
        <w:t>46 (31-63)</w:t>
      </w:r>
      <w:r w:rsidRPr="00A77306">
        <w:rPr>
          <w:rFonts w:ascii="Times New Roman" w:hAnsi="Times New Roman" w:cs="Times New Roman"/>
          <w:color w:val="000000"/>
          <w:sz w:val="24"/>
          <w:szCs w:val="24"/>
          <w:lang w:eastAsia="mk-MK"/>
        </w:rPr>
        <w:t xml:space="preserve">. </w:t>
      </w:r>
      <w:r w:rsidRPr="00A77306">
        <w:rPr>
          <w:rFonts w:ascii="Times New Roman" w:hAnsi="Times New Roman" w:cs="Times New Roman"/>
          <w:color w:val="000000"/>
          <w:sz w:val="24"/>
          <w:szCs w:val="24"/>
          <w:lang w:eastAsia="en-GB"/>
        </w:rPr>
        <w:t xml:space="preserve">Просечната возраст на пациентите од женскиот пол во </w:t>
      </w:r>
      <w:r w:rsidRPr="00A77306">
        <w:rPr>
          <w:rFonts w:ascii="Times New Roman" w:hAnsi="Times New Roman" w:cs="Times New Roman"/>
          <w:color w:val="000000"/>
          <w:sz w:val="24"/>
          <w:szCs w:val="24"/>
        </w:rPr>
        <w:t xml:space="preserve">оваа група </w:t>
      </w:r>
      <w:r w:rsidRPr="00A77306">
        <w:rPr>
          <w:rFonts w:ascii="Times New Roman" w:hAnsi="Times New Roman" w:cs="Times New Roman"/>
          <w:color w:val="000000"/>
          <w:sz w:val="24"/>
          <w:szCs w:val="24"/>
          <w:lang w:eastAsia="en-GB"/>
        </w:rPr>
        <w:t xml:space="preserve">изнесуваше </w:t>
      </w:r>
      <w:r w:rsidRPr="00A77306">
        <w:rPr>
          <w:rFonts w:ascii="Times New Roman" w:hAnsi="Times New Roman" w:cs="Times New Roman"/>
          <w:sz w:val="24"/>
          <w:szCs w:val="24"/>
          <w:lang w:eastAsia="mk-MK"/>
        </w:rPr>
        <w:t>36,3±14,5</w:t>
      </w:r>
      <w:r w:rsidRPr="00A77306">
        <w:rPr>
          <w:rFonts w:ascii="Times New Roman" w:hAnsi="Times New Roman" w:cs="Times New Roman"/>
          <w:color w:val="000000"/>
          <w:sz w:val="24"/>
          <w:szCs w:val="24"/>
          <w:lang w:val="ru-RU" w:eastAsia="en-GB"/>
        </w:rPr>
        <w:t xml:space="preserve"> [95% </w:t>
      </w:r>
      <w:r w:rsidRPr="00A77306">
        <w:rPr>
          <w:rFonts w:ascii="Times New Roman" w:hAnsi="Times New Roman" w:cs="Times New Roman"/>
          <w:color w:val="000000"/>
          <w:sz w:val="24"/>
          <w:szCs w:val="24"/>
          <w:lang w:val="en-US" w:eastAsia="en-GB"/>
        </w:rPr>
        <w:t>CI</w:t>
      </w:r>
      <w:r w:rsidRPr="00A926CA">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val="en-US" w:eastAsia="en-GB"/>
        </w:rPr>
        <w:t>for</w:t>
      </w:r>
      <w:r w:rsidRPr="00A926CA">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val="en-US" w:eastAsia="en-GB"/>
        </w:rPr>
        <w:t>mean</w:t>
      </w:r>
      <w:r w:rsidRPr="00A77306">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eastAsia="en-GB"/>
        </w:rPr>
        <w:t>30,39</w:t>
      </w:r>
      <w:r w:rsidRPr="00A77306">
        <w:rPr>
          <w:rFonts w:ascii="Times New Roman" w:hAnsi="Times New Roman" w:cs="Times New Roman"/>
          <w:color w:val="000000"/>
          <w:sz w:val="24"/>
          <w:szCs w:val="24"/>
          <w:lang w:val="ru-RU" w:eastAsia="en-GB"/>
        </w:rPr>
        <w:t>–</w:t>
      </w:r>
      <w:r w:rsidRPr="00A77306">
        <w:rPr>
          <w:rFonts w:ascii="Times New Roman" w:hAnsi="Times New Roman" w:cs="Times New Roman"/>
          <w:color w:val="000000"/>
          <w:sz w:val="24"/>
          <w:szCs w:val="24"/>
          <w:lang w:eastAsia="en-GB"/>
        </w:rPr>
        <w:t>42,14</w:t>
      </w:r>
      <w:r w:rsidRPr="00A77306">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eastAsia="en-GB"/>
        </w:rPr>
        <w:t xml:space="preserve">години со мин/мак возраст од 15/68 години. Анализата укажа дека 50% од женските испитаници во испитуваната група беа постари од 34,5година за </w:t>
      </w:r>
      <w:r w:rsidRPr="00A77306">
        <w:rPr>
          <w:rFonts w:ascii="Times New Roman" w:hAnsi="Times New Roman" w:cs="Times New Roman"/>
          <w:color w:val="000000"/>
          <w:sz w:val="24"/>
          <w:szCs w:val="24"/>
          <w:lang w:val="en-US" w:eastAsia="en-GB"/>
        </w:rPr>
        <w:t>Median</w:t>
      </w:r>
      <w:r w:rsidRPr="00A77306">
        <w:rPr>
          <w:rFonts w:ascii="Times New Roman" w:hAnsi="Times New Roman" w:cs="Times New Roman"/>
          <w:color w:val="000000"/>
          <w:sz w:val="24"/>
          <w:szCs w:val="24"/>
          <w:lang w:val="ru-RU" w:eastAsia="en-GB"/>
        </w:rPr>
        <w:t xml:space="preserve"> (</w:t>
      </w:r>
      <w:r w:rsidRPr="00A77306">
        <w:rPr>
          <w:rFonts w:ascii="Times New Roman" w:hAnsi="Times New Roman" w:cs="Times New Roman"/>
          <w:color w:val="000000"/>
          <w:sz w:val="24"/>
          <w:szCs w:val="24"/>
          <w:lang w:val="en-US" w:eastAsia="en-GB"/>
        </w:rPr>
        <w:t>IQR</w:t>
      </w:r>
      <w:r w:rsidRPr="00A77306">
        <w:rPr>
          <w:rFonts w:ascii="Times New Roman" w:hAnsi="Times New Roman" w:cs="Times New Roman"/>
          <w:color w:val="000000"/>
          <w:sz w:val="24"/>
          <w:szCs w:val="24"/>
          <w:lang w:val="ru-RU" w:eastAsia="en-GB"/>
        </w:rPr>
        <w:t>)</w:t>
      </w:r>
      <w:r w:rsidRPr="00A77306">
        <w:rPr>
          <w:rFonts w:ascii="Times New Roman" w:hAnsi="Times New Roman" w:cs="Times New Roman"/>
          <w:color w:val="000000"/>
          <w:sz w:val="24"/>
          <w:szCs w:val="24"/>
          <w:lang w:eastAsia="en-GB"/>
        </w:rPr>
        <w:t>=</w:t>
      </w:r>
      <w:r w:rsidRPr="00A77306">
        <w:rPr>
          <w:rFonts w:ascii="Times New Roman" w:hAnsi="Times New Roman" w:cs="Times New Roman"/>
          <w:sz w:val="24"/>
          <w:szCs w:val="24"/>
          <w:lang w:eastAsia="mk-MK"/>
        </w:rPr>
        <w:t xml:space="preserve"> 34,5 (24-48)</w:t>
      </w:r>
      <w:r w:rsidRPr="00A77306">
        <w:rPr>
          <w:rFonts w:ascii="Times New Roman" w:hAnsi="Times New Roman" w:cs="Times New Roman"/>
          <w:color w:val="000000"/>
          <w:sz w:val="24"/>
          <w:szCs w:val="24"/>
          <w:lang w:eastAsia="en-GB"/>
        </w:rPr>
        <w:t xml:space="preserve"> (Табела 2 и График 2)</w:t>
      </w:r>
      <w:r w:rsidRPr="00A77306">
        <w:rPr>
          <w:rFonts w:ascii="Times New Roman" w:hAnsi="Times New Roman" w:cs="Times New Roman"/>
          <w:color w:val="000000"/>
          <w:sz w:val="24"/>
          <w:szCs w:val="24"/>
          <w:lang w:eastAsia="mk-MK"/>
        </w:rPr>
        <w:t xml:space="preserve">. </w:t>
      </w:r>
    </w:p>
    <w:p w:rsidR="00A77306" w:rsidRDefault="00A77306" w:rsidP="00D41B9C">
      <w:pPr>
        <w:ind w:firstLine="720"/>
        <w:jc w:val="both"/>
        <w:rPr>
          <w:rFonts w:ascii="Times New Roman" w:hAnsi="Times New Roman" w:cs="Times New Roman"/>
          <w:color w:val="000000"/>
          <w:sz w:val="24"/>
          <w:szCs w:val="24"/>
          <w:lang w:eastAsia="mk-MK"/>
        </w:rPr>
      </w:pPr>
      <w:r w:rsidRPr="00A77306">
        <w:rPr>
          <w:rFonts w:ascii="Times New Roman" w:hAnsi="Times New Roman" w:cs="Times New Roman"/>
          <w:color w:val="000000"/>
          <w:sz w:val="24"/>
          <w:szCs w:val="24"/>
          <w:lang w:eastAsia="mk-MK"/>
        </w:rPr>
        <w:t>В</w:t>
      </w:r>
      <w:r w:rsidRPr="00A926CA">
        <w:rPr>
          <w:rFonts w:ascii="Times New Roman" w:hAnsi="Times New Roman" w:cs="Times New Roman"/>
          <w:color w:val="000000"/>
          <w:sz w:val="24"/>
          <w:szCs w:val="24"/>
          <w:lang w:val="ru-RU" w:eastAsia="en-GB"/>
        </w:rPr>
        <w:t xml:space="preserve">о </w:t>
      </w:r>
      <w:r w:rsidRPr="00A77306">
        <w:rPr>
          <w:rFonts w:ascii="Times New Roman" w:hAnsi="Times New Roman" w:cs="Times New Roman"/>
          <w:color w:val="000000"/>
          <w:sz w:val="24"/>
          <w:szCs w:val="24"/>
        </w:rPr>
        <w:t>контролната група на здрави пациенти, з</w:t>
      </w:r>
      <w:r w:rsidRPr="00A77306">
        <w:rPr>
          <w:rFonts w:ascii="Times New Roman" w:hAnsi="Times New Roman" w:cs="Times New Roman"/>
          <w:color w:val="000000"/>
          <w:sz w:val="24"/>
          <w:szCs w:val="24"/>
          <w:lang w:eastAsia="en-GB"/>
        </w:rPr>
        <w:t xml:space="preserve">а </w:t>
      </w:r>
      <w:r w:rsidRPr="00A77306">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&lt;0,05, </w:t>
      </w:r>
      <w:r w:rsidRPr="00A77306">
        <w:rPr>
          <w:rFonts w:ascii="Times New Roman" w:hAnsi="Times New Roman" w:cs="Times New Roman"/>
          <w:color w:val="000000"/>
          <w:sz w:val="24"/>
          <w:szCs w:val="24"/>
          <w:lang w:eastAsia="mk-MK"/>
        </w:rPr>
        <w:t>утврдена беше сигнификантна разлика помеѓу двата пола во однос на возраста  (</w:t>
      </w:r>
      <w:r w:rsidRPr="00A77306">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A77306">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A77306">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A77306">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A77306">
        <w:rPr>
          <w:rFonts w:ascii="Times New Roman" w:hAnsi="Times New Roman" w:cs="Times New Roman"/>
          <w:color w:val="000000"/>
          <w:sz w:val="24"/>
          <w:szCs w:val="24"/>
          <w:lang w:val="en-US" w:eastAsia="mk-MK"/>
        </w:rPr>
        <w:t>Z</w:t>
      </w:r>
      <w:r w:rsidRPr="00A926CA">
        <w:rPr>
          <w:rFonts w:ascii="Times New Roman" w:hAnsi="Times New Roman" w:cs="Times New Roman"/>
          <w:color w:val="000000"/>
          <w:sz w:val="24"/>
          <w:szCs w:val="24"/>
          <w:lang w:val="ru-RU" w:eastAsia="mk-MK"/>
        </w:rPr>
        <w:t>=</w:t>
      </w:r>
      <w:r w:rsidRPr="00A77306">
        <w:rPr>
          <w:rFonts w:ascii="Times New Roman" w:hAnsi="Times New Roman" w:cs="Times New Roman"/>
          <w:color w:val="000000"/>
          <w:sz w:val="24"/>
          <w:szCs w:val="24"/>
          <w:lang w:eastAsia="mk-MK"/>
        </w:rPr>
        <w:t>2,235</w:t>
      </w:r>
      <w:r w:rsidRPr="00A926CA">
        <w:rPr>
          <w:rFonts w:ascii="Times New Roman" w:hAnsi="Times New Roman" w:cs="Times New Roman"/>
          <w:color w:val="000000"/>
          <w:sz w:val="24"/>
          <w:szCs w:val="24"/>
          <w:lang w:val="ru-RU" w:eastAsia="mk-MK"/>
        </w:rPr>
        <w:t xml:space="preserve">; </w:t>
      </w:r>
      <w:r w:rsidRPr="00A77306">
        <w:rPr>
          <w:rFonts w:ascii="Times New Roman" w:hAnsi="Times New Roman" w:cs="Times New Roman"/>
          <w:color w:val="000000"/>
          <w:sz w:val="24"/>
          <w:szCs w:val="24"/>
          <w:lang w:val="en-US" w:eastAsia="mk-MK"/>
        </w:rPr>
        <w:t>p</w:t>
      </w:r>
      <w:r w:rsidRPr="00A926CA">
        <w:rPr>
          <w:rFonts w:ascii="Times New Roman" w:hAnsi="Times New Roman" w:cs="Times New Roman"/>
          <w:color w:val="000000"/>
          <w:sz w:val="24"/>
          <w:szCs w:val="24"/>
          <w:lang w:val="ru-RU" w:eastAsia="mk-MK"/>
        </w:rPr>
        <w:t>=0,</w:t>
      </w:r>
      <w:r w:rsidRPr="00A77306">
        <w:rPr>
          <w:rFonts w:ascii="Times New Roman" w:hAnsi="Times New Roman" w:cs="Times New Roman"/>
          <w:color w:val="000000"/>
          <w:sz w:val="24"/>
          <w:szCs w:val="24"/>
          <w:lang w:eastAsia="mk-MK"/>
        </w:rPr>
        <w:t>0254)</w:t>
      </w:r>
      <w:r w:rsidRPr="00A77306">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t xml:space="preserve">во прилог на сигнификантно помлади пациенти од женскиот пол </w:t>
      </w:r>
      <w:r w:rsidRPr="00A77306">
        <w:rPr>
          <w:rFonts w:ascii="Times New Roman" w:hAnsi="Times New Roman" w:cs="Times New Roman"/>
          <w:color w:val="000000"/>
          <w:sz w:val="24"/>
          <w:szCs w:val="24"/>
          <w:lang w:eastAsia="en-GB"/>
        </w:rPr>
        <w:t>(</w:t>
      </w:r>
      <w:r w:rsidRPr="00397AD4">
        <w:rPr>
          <w:rFonts w:ascii="Times New Roman" w:hAnsi="Times New Roman" w:cs="Times New Roman"/>
          <w:color w:val="000000"/>
          <w:sz w:val="24"/>
          <w:szCs w:val="24"/>
          <w:lang w:eastAsia="en-GB"/>
        </w:rPr>
        <w:t xml:space="preserve">Табела 2 и График </w:t>
      </w:r>
      <w:r>
        <w:rPr>
          <w:rFonts w:ascii="Times New Roman" w:hAnsi="Times New Roman" w:cs="Times New Roman"/>
          <w:color w:val="000000"/>
          <w:sz w:val="24"/>
          <w:szCs w:val="24"/>
          <w:lang w:eastAsia="en-GB"/>
        </w:rPr>
        <w:t>3</w:t>
      </w:r>
      <w:r w:rsidRPr="00397AD4">
        <w:rPr>
          <w:rFonts w:ascii="Times New Roman" w:hAnsi="Times New Roman" w:cs="Times New Roman"/>
          <w:color w:val="000000"/>
          <w:sz w:val="24"/>
          <w:szCs w:val="24"/>
          <w:lang w:eastAsia="en-GB"/>
        </w:rPr>
        <w:t>)</w:t>
      </w:r>
      <w:r w:rsidRPr="00397AD4">
        <w:rPr>
          <w:rFonts w:ascii="Times New Roman" w:hAnsi="Times New Roman" w:cs="Times New Roman"/>
          <w:color w:val="000000"/>
          <w:sz w:val="24"/>
          <w:szCs w:val="24"/>
          <w:lang w:eastAsia="mk-MK"/>
        </w:rPr>
        <w:t>.</w:t>
      </w:r>
    </w:p>
    <w:p w:rsidR="00F16204" w:rsidRDefault="00F16204" w:rsidP="00D41B9C">
      <w:pPr>
        <w:ind w:firstLine="720"/>
        <w:jc w:val="both"/>
        <w:rPr>
          <w:rFonts w:ascii="Times New Roman" w:hAnsi="Times New Roman" w:cs="Times New Roman"/>
          <w:color w:val="000000"/>
          <w:sz w:val="24"/>
          <w:szCs w:val="24"/>
          <w:lang w:eastAsia="mk-MK"/>
        </w:rPr>
      </w:pPr>
    </w:p>
    <w:p w:rsidR="00F16204" w:rsidRPr="00F16204" w:rsidRDefault="00F16204" w:rsidP="00D41B9C">
      <w:pPr>
        <w:spacing w:after="200"/>
        <w:ind w:firstLine="720"/>
        <w:jc w:val="both"/>
        <w:rPr>
          <w:rFonts w:ascii="Times New Roman" w:hAnsi="Times New Roman" w:cs="Times New Roman"/>
          <w:color w:val="000000"/>
          <w:sz w:val="24"/>
          <w:szCs w:val="24"/>
          <w:lang w:eastAsia="en-GB"/>
        </w:rPr>
      </w:pPr>
      <w:r w:rsidRPr="00F16204">
        <w:rPr>
          <w:rFonts w:ascii="Times New Roman" w:hAnsi="Times New Roman" w:cs="Times New Roman"/>
          <w:color w:val="000000"/>
          <w:sz w:val="24"/>
          <w:szCs w:val="24"/>
          <w:lang w:eastAsia="mk-MK"/>
        </w:rPr>
        <w:t xml:space="preserve">Дополнително во целиот примерок на испитанизи во истражувањето, </w:t>
      </w:r>
      <w:r w:rsidRPr="00F16204">
        <w:rPr>
          <w:rFonts w:ascii="Times New Roman" w:hAnsi="Times New Roman" w:cs="Times New Roman"/>
          <w:color w:val="000000"/>
          <w:sz w:val="24"/>
          <w:szCs w:val="24"/>
        </w:rPr>
        <w:t>з</w:t>
      </w:r>
      <w:r w:rsidRPr="00F16204">
        <w:rPr>
          <w:rFonts w:ascii="Times New Roman" w:hAnsi="Times New Roman" w:cs="Times New Roman"/>
          <w:color w:val="000000"/>
          <w:sz w:val="24"/>
          <w:szCs w:val="24"/>
          <w:lang w:eastAsia="en-GB"/>
        </w:rPr>
        <w:t xml:space="preserve">а </w:t>
      </w:r>
      <w:r w:rsidRPr="00F16204">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&gt;0,05, </w:t>
      </w:r>
      <w:r w:rsidRPr="00F16204">
        <w:rPr>
          <w:rFonts w:ascii="Times New Roman" w:hAnsi="Times New Roman" w:cs="Times New Roman"/>
          <w:color w:val="000000"/>
          <w:sz w:val="24"/>
          <w:szCs w:val="24"/>
          <w:lang w:eastAsia="mk-MK"/>
        </w:rPr>
        <w:t xml:space="preserve">немаше сигнификантна разлика помеѓу двата пола во однос на возраста  </w:t>
      </w:r>
      <w:r w:rsidR="00ED6827">
        <w:rPr>
          <w:rFonts w:ascii="Times New Roman" w:hAnsi="Times New Roman" w:cs="Times New Roman"/>
          <w:color w:val="000000"/>
          <w:sz w:val="24"/>
          <w:szCs w:val="24"/>
          <w:lang w:eastAsia="mk-MK"/>
        </w:rPr>
        <w:t xml:space="preserve">на испитаниците </w:t>
      </w:r>
      <w:r w:rsidRPr="00F16204">
        <w:rPr>
          <w:rFonts w:ascii="Times New Roman" w:hAnsi="Times New Roman" w:cs="Times New Roman"/>
          <w:color w:val="000000"/>
          <w:sz w:val="24"/>
          <w:szCs w:val="24"/>
          <w:lang w:eastAsia="mk-MK"/>
        </w:rPr>
        <w:t>(</w:t>
      </w:r>
      <w:r w:rsidRPr="00F16204">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F16204">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F16204">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F16204">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F16204">
        <w:rPr>
          <w:rFonts w:ascii="Times New Roman" w:hAnsi="Times New Roman" w:cs="Times New Roman"/>
          <w:color w:val="000000"/>
          <w:sz w:val="24"/>
          <w:szCs w:val="24"/>
          <w:lang w:val="en-US" w:eastAsia="mk-MK"/>
        </w:rPr>
        <w:t>Z</w:t>
      </w:r>
      <w:r w:rsidRPr="00A926CA">
        <w:rPr>
          <w:rFonts w:ascii="Times New Roman" w:hAnsi="Times New Roman" w:cs="Times New Roman"/>
          <w:color w:val="000000"/>
          <w:sz w:val="24"/>
          <w:szCs w:val="24"/>
          <w:lang w:val="ru-RU" w:eastAsia="mk-MK"/>
        </w:rPr>
        <w:t>=</w:t>
      </w:r>
      <w:r w:rsidRPr="00F16204">
        <w:rPr>
          <w:rFonts w:ascii="Times New Roman" w:hAnsi="Times New Roman" w:cs="Times New Roman"/>
          <w:color w:val="000000"/>
          <w:sz w:val="24"/>
          <w:szCs w:val="24"/>
          <w:lang w:eastAsia="mk-MK"/>
        </w:rPr>
        <w:t>0,868</w:t>
      </w:r>
      <w:r w:rsidRPr="00A926CA">
        <w:rPr>
          <w:rFonts w:ascii="Times New Roman" w:hAnsi="Times New Roman" w:cs="Times New Roman"/>
          <w:color w:val="000000"/>
          <w:sz w:val="24"/>
          <w:szCs w:val="24"/>
          <w:lang w:val="ru-RU" w:eastAsia="mk-MK"/>
        </w:rPr>
        <w:t xml:space="preserve">; </w:t>
      </w:r>
      <w:r w:rsidRPr="00F16204">
        <w:rPr>
          <w:rFonts w:ascii="Times New Roman" w:hAnsi="Times New Roman" w:cs="Times New Roman"/>
          <w:color w:val="000000"/>
          <w:sz w:val="24"/>
          <w:szCs w:val="24"/>
          <w:lang w:val="en-US" w:eastAsia="mk-MK"/>
        </w:rPr>
        <w:t>p</w:t>
      </w:r>
      <w:r w:rsidRPr="00A926CA">
        <w:rPr>
          <w:rFonts w:ascii="Times New Roman" w:hAnsi="Times New Roman" w:cs="Times New Roman"/>
          <w:color w:val="000000"/>
          <w:sz w:val="24"/>
          <w:szCs w:val="24"/>
          <w:lang w:val="ru-RU" w:eastAsia="mk-MK"/>
        </w:rPr>
        <w:t>=0,</w:t>
      </w:r>
      <w:r w:rsidRPr="00F16204">
        <w:rPr>
          <w:rFonts w:ascii="Times New Roman" w:hAnsi="Times New Roman" w:cs="Times New Roman"/>
          <w:color w:val="000000"/>
          <w:sz w:val="24"/>
          <w:szCs w:val="24"/>
          <w:lang w:eastAsia="mk-MK"/>
        </w:rPr>
        <w:t>3852)</w:t>
      </w:r>
      <w:r w:rsidRPr="00F16204">
        <w:rPr>
          <w:rFonts w:ascii="Times New Roman" w:hAnsi="Times New Roman" w:cs="Times New Roman"/>
          <w:color w:val="000000"/>
          <w:sz w:val="24"/>
          <w:szCs w:val="24"/>
          <w:lang w:eastAsia="en-GB"/>
        </w:rPr>
        <w:t xml:space="preserve"> (Табела 2 и График 3)</w:t>
      </w:r>
      <w:r w:rsidRPr="00F16204">
        <w:rPr>
          <w:rFonts w:ascii="Times New Roman" w:hAnsi="Times New Roman" w:cs="Times New Roman"/>
          <w:color w:val="000000"/>
          <w:sz w:val="24"/>
          <w:szCs w:val="24"/>
          <w:lang w:eastAsia="mk-MK"/>
        </w:rPr>
        <w:t>.</w:t>
      </w:r>
    </w:p>
    <w:p w:rsidR="00F16204" w:rsidRDefault="00446A60" w:rsidP="00A2516D">
      <w:pPr>
        <w:spacing w:after="200" w:line="360" w:lineRule="auto"/>
        <w:jc w:val="both"/>
        <w:rPr>
          <w:rFonts w:ascii="Times New Roman" w:hAnsi="Times New Roman" w:cs="Times New Roman"/>
          <w:color w:val="000000"/>
          <w:sz w:val="24"/>
          <w:szCs w:val="24"/>
          <w:lang w:eastAsia="mk-MK"/>
        </w:rPr>
      </w:pPr>
      <w:r>
        <w:rPr>
          <w:noProof/>
          <w:lang w:val="en-US"/>
        </w:rPr>
        <w:drawing>
          <wp:anchor distT="0" distB="0" distL="114300" distR="114300" simplePos="0" relativeHeight="251646464" behindDoc="1" locked="0" layoutInCell="1" allowOverlap="1">
            <wp:simplePos x="0" y="0"/>
            <wp:positionH relativeFrom="column">
              <wp:posOffset>327025</wp:posOffset>
            </wp:positionH>
            <wp:positionV relativeFrom="paragraph">
              <wp:posOffset>149860</wp:posOffset>
            </wp:positionV>
            <wp:extent cx="4921250" cy="3865245"/>
            <wp:effectExtent l="19050" t="0" r="0" b="0"/>
            <wp:wrapTight wrapText="bothSides">
              <wp:wrapPolygon edited="0">
                <wp:start x="-84" y="0"/>
                <wp:lineTo x="-84" y="10113"/>
                <wp:lineTo x="920" y="10220"/>
                <wp:lineTo x="10786" y="10220"/>
                <wp:lineTo x="-84" y="11178"/>
                <wp:lineTo x="-84" y="21398"/>
                <wp:lineTo x="21489" y="21398"/>
                <wp:lineTo x="21572" y="12242"/>
                <wp:lineTo x="12626" y="11923"/>
                <wp:lineTo x="12793" y="11497"/>
                <wp:lineTo x="12458" y="11178"/>
                <wp:lineTo x="10786" y="10220"/>
                <wp:lineTo x="20569" y="10220"/>
                <wp:lineTo x="21572" y="10113"/>
                <wp:lineTo x="21572" y="1065"/>
                <wp:lineTo x="20903" y="852"/>
                <wp:lineTo x="12709" y="0"/>
                <wp:lineTo x="-84" y="0"/>
              </wp:wrapPolygon>
            </wp:wrapTight>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7"/>
                    <a:srcRect/>
                    <a:stretch>
                      <a:fillRect/>
                    </a:stretch>
                  </pic:blipFill>
                  <pic:spPr bwMode="auto">
                    <a:xfrm>
                      <a:off x="0" y="0"/>
                      <a:ext cx="4921250" cy="3865245"/>
                    </a:xfrm>
                    <a:prstGeom prst="rect">
                      <a:avLst/>
                    </a:prstGeom>
                    <a:noFill/>
                    <a:ln w="9525">
                      <a:noFill/>
                      <a:miter lim="800000"/>
                      <a:headEnd/>
                      <a:tailEnd/>
                    </a:ln>
                  </pic:spPr>
                </pic:pic>
              </a:graphicData>
            </a:graphic>
          </wp:anchor>
        </w:drawing>
      </w:r>
    </w:p>
    <w:p w:rsidR="00A2516D" w:rsidRDefault="00A2516D" w:rsidP="00A2516D">
      <w:pPr>
        <w:spacing w:after="200" w:line="360" w:lineRule="auto"/>
        <w:jc w:val="both"/>
        <w:rPr>
          <w:rFonts w:ascii="Times New Roman" w:hAnsi="Times New Roman" w:cs="Times New Roman"/>
          <w:color w:val="000000"/>
          <w:sz w:val="24"/>
          <w:szCs w:val="24"/>
          <w:lang w:eastAsia="mk-MK"/>
        </w:rPr>
      </w:pPr>
    </w:p>
    <w:p w:rsidR="00F16204" w:rsidRDefault="00F16204" w:rsidP="00A77306">
      <w:pPr>
        <w:spacing w:after="200" w:line="360" w:lineRule="auto"/>
        <w:ind w:firstLine="720"/>
        <w:jc w:val="both"/>
        <w:rPr>
          <w:rFonts w:ascii="Times New Roman" w:hAnsi="Times New Roman" w:cs="Times New Roman"/>
          <w:color w:val="000000"/>
          <w:sz w:val="24"/>
          <w:szCs w:val="24"/>
          <w:lang w:eastAsia="mk-MK"/>
        </w:rPr>
      </w:pPr>
    </w:p>
    <w:p w:rsidR="00F16204" w:rsidRDefault="00F16204" w:rsidP="00A77306">
      <w:pPr>
        <w:spacing w:after="200" w:line="360" w:lineRule="auto"/>
        <w:ind w:firstLine="720"/>
        <w:jc w:val="both"/>
        <w:rPr>
          <w:rFonts w:ascii="Times New Roman" w:hAnsi="Times New Roman" w:cs="Times New Roman"/>
          <w:color w:val="000000"/>
          <w:sz w:val="24"/>
          <w:szCs w:val="24"/>
          <w:lang w:eastAsia="mk-MK"/>
        </w:rPr>
      </w:pPr>
    </w:p>
    <w:p w:rsidR="00F16204" w:rsidRDefault="00F16204" w:rsidP="00A77306">
      <w:pPr>
        <w:spacing w:after="200" w:line="360" w:lineRule="auto"/>
        <w:ind w:firstLine="720"/>
        <w:jc w:val="both"/>
        <w:rPr>
          <w:rFonts w:ascii="Times New Roman" w:hAnsi="Times New Roman" w:cs="Times New Roman"/>
          <w:color w:val="000000"/>
          <w:sz w:val="24"/>
          <w:szCs w:val="24"/>
          <w:lang w:eastAsia="mk-MK"/>
        </w:rPr>
      </w:pPr>
    </w:p>
    <w:p w:rsidR="00F16204" w:rsidRDefault="00F16204" w:rsidP="00A77306">
      <w:pPr>
        <w:spacing w:after="200" w:line="360" w:lineRule="auto"/>
        <w:ind w:firstLine="720"/>
        <w:jc w:val="both"/>
        <w:rPr>
          <w:rFonts w:ascii="Times New Roman" w:hAnsi="Times New Roman" w:cs="Times New Roman"/>
          <w:color w:val="000000"/>
          <w:sz w:val="24"/>
          <w:szCs w:val="24"/>
          <w:lang w:eastAsia="mk-MK"/>
        </w:rPr>
      </w:pPr>
    </w:p>
    <w:p w:rsidR="00F16204" w:rsidRDefault="00F16204" w:rsidP="00A77306">
      <w:pPr>
        <w:spacing w:after="200" w:line="360" w:lineRule="auto"/>
        <w:ind w:firstLine="720"/>
        <w:jc w:val="both"/>
        <w:rPr>
          <w:rFonts w:ascii="Times New Roman" w:hAnsi="Times New Roman" w:cs="Times New Roman"/>
          <w:color w:val="000000"/>
          <w:sz w:val="24"/>
          <w:szCs w:val="24"/>
          <w:lang w:eastAsia="mk-MK"/>
        </w:rPr>
      </w:pPr>
    </w:p>
    <w:p w:rsidR="00F16204" w:rsidRPr="00397AD4" w:rsidRDefault="00F16204" w:rsidP="00A77306">
      <w:pPr>
        <w:spacing w:after="200" w:line="360" w:lineRule="auto"/>
        <w:ind w:firstLine="720"/>
        <w:jc w:val="both"/>
        <w:rPr>
          <w:rFonts w:ascii="Times New Roman" w:hAnsi="Times New Roman" w:cs="Times New Roman"/>
          <w:color w:val="000000"/>
          <w:sz w:val="24"/>
          <w:szCs w:val="24"/>
          <w:lang w:eastAsia="en-GB"/>
        </w:rPr>
      </w:pPr>
    </w:p>
    <w:p w:rsidR="00A2516D" w:rsidRDefault="00A2516D" w:rsidP="00A57DD8">
      <w:pPr>
        <w:spacing w:line="360" w:lineRule="auto"/>
        <w:jc w:val="both"/>
        <w:rPr>
          <w:rFonts w:ascii="Times New Roman" w:hAnsi="Times New Roman" w:cs="Times New Roman"/>
          <w:b/>
          <w:color w:val="215868"/>
          <w:sz w:val="24"/>
          <w:szCs w:val="24"/>
        </w:rPr>
      </w:pPr>
    </w:p>
    <w:p w:rsidR="00A2516D" w:rsidRDefault="00A2516D" w:rsidP="00A57DD8">
      <w:pPr>
        <w:spacing w:line="360" w:lineRule="auto"/>
        <w:jc w:val="both"/>
        <w:rPr>
          <w:rFonts w:ascii="Times New Roman" w:hAnsi="Times New Roman" w:cs="Times New Roman"/>
          <w:b/>
          <w:color w:val="215868"/>
          <w:sz w:val="24"/>
          <w:szCs w:val="24"/>
        </w:rPr>
      </w:pPr>
    </w:p>
    <w:p w:rsidR="00A2516D" w:rsidRDefault="00A2516D" w:rsidP="00A57DD8">
      <w:pPr>
        <w:spacing w:line="360" w:lineRule="auto"/>
        <w:jc w:val="both"/>
        <w:rPr>
          <w:rFonts w:ascii="Times New Roman" w:hAnsi="Times New Roman" w:cs="Times New Roman"/>
          <w:b/>
          <w:color w:val="215868"/>
          <w:sz w:val="24"/>
          <w:szCs w:val="24"/>
        </w:rPr>
      </w:pPr>
    </w:p>
    <w:p w:rsidR="004525FF" w:rsidRDefault="004525FF" w:rsidP="00A2516D">
      <w:pPr>
        <w:spacing w:line="360" w:lineRule="auto"/>
        <w:jc w:val="center"/>
        <w:rPr>
          <w:rFonts w:ascii="Times New Roman" w:hAnsi="Times New Roman" w:cs="Times New Roman"/>
          <w:b/>
          <w:color w:val="000000"/>
          <w:sz w:val="20"/>
          <w:szCs w:val="20"/>
        </w:rPr>
      </w:pPr>
    </w:p>
    <w:p w:rsidR="00A2516D" w:rsidRPr="00D44E4F" w:rsidRDefault="00A2516D" w:rsidP="00A2516D">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3</w:t>
      </w:r>
      <w:r w:rsidRPr="00D44E4F">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Дистрибуција</w:t>
      </w:r>
      <w:r w:rsidRPr="00D44E4F">
        <w:rPr>
          <w:rFonts w:ascii="Times New Roman" w:hAnsi="Times New Roman" w:cs="Times New Roman"/>
          <w:b/>
          <w:color w:val="000000"/>
          <w:sz w:val="20"/>
          <w:szCs w:val="20"/>
        </w:rPr>
        <w:t xml:space="preserve"> на </w:t>
      </w:r>
      <w:r>
        <w:rPr>
          <w:rFonts w:ascii="Times New Roman" w:hAnsi="Times New Roman" w:cs="Times New Roman"/>
          <w:b/>
          <w:color w:val="000000"/>
          <w:sz w:val="20"/>
          <w:szCs w:val="20"/>
        </w:rPr>
        <w:t xml:space="preserve">примерокот според групи, пол и </w:t>
      </w:r>
      <w:r w:rsidR="00F32EFF">
        <w:rPr>
          <w:rFonts w:ascii="Times New Roman" w:hAnsi="Times New Roman" w:cs="Times New Roman"/>
          <w:b/>
          <w:color w:val="000000"/>
          <w:sz w:val="20"/>
          <w:szCs w:val="20"/>
        </w:rPr>
        <w:t xml:space="preserve">просечна возраст </w:t>
      </w:r>
      <w:r w:rsidRPr="00D44E4F">
        <w:rPr>
          <w:rFonts w:ascii="Times New Roman" w:hAnsi="Times New Roman" w:cs="Times New Roman"/>
          <w:b/>
          <w:color w:val="000000"/>
          <w:sz w:val="20"/>
          <w:szCs w:val="20"/>
        </w:rPr>
        <w:t xml:space="preserve">возраст </w:t>
      </w:r>
      <w:r w:rsidRPr="00D44E4F">
        <w:rPr>
          <w:rFonts w:ascii="Times New Roman" w:hAnsi="Times New Roman" w:cs="Times New Roman"/>
          <w:b/>
          <w:color w:val="000000"/>
          <w:sz w:val="20"/>
          <w:szCs w:val="20"/>
          <w:lang w:val="ru-RU"/>
        </w:rPr>
        <w:t>(</w:t>
      </w:r>
      <w:r w:rsidRPr="00D44E4F">
        <w:rPr>
          <w:rFonts w:ascii="Times New Roman" w:hAnsi="Times New Roman" w:cs="Times New Roman"/>
          <w:b/>
          <w:color w:val="000000"/>
          <w:sz w:val="20"/>
          <w:szCs w:val="20"/>
        </w:rPr>
        <w:t>години</w:t>
      </w:r>
      <w:r w:rsidRPr="00D44E4F">
        <w:rPr>
          <w:rFonts w:ascii="Times New Roman" w:hAnsi="Times New Roman" w:cs="Times New Roman"/>
          <w:b/>
          <w:color w:val="000000"/>
          <w:sz w:val="20"/>
          <w:szCs w:val="20"/>
          <w:lang w:val="ru-RU"/>
        </w:rPr>
        <w:t>)</w:t>
      </w:r>
    </w:p>
    <w:p w:rsidR="00A2516D" w:rsidRDefault="00A2516D" w:rsidP="00A57DD8">
      <w:pPr>
        <w:spacing w:line="360" w:lineRule="auto"/>
        <w:jc w:val="both"/>
        <w:rPr>
          <w:rFonts w:ascii="Times New Roman" w:hAnsi="Times New Roman" w:cs="Times New Roman"/>
          <w:b/>
          <w:color w:val="215868"/>
          <w:sz w:val="24"/>
          <w:szCs w:val="24"/>
        </w:rPr>
      </w:pPr>
    </w:p>
    <w:p w:rsidR="0004274A" w:rsidRPr="00EC28B2" w:rsidRDefault="00A57DD8" w:rsidP="00D41B9C">
      <w:pPr>
        <w:pStyle w:val="ListParagraph"/>
        <w:spacing w:after="480"/>
        <w:ind w:left="0"/>
        <w:contextualSpacing/>
        <w:jc w:val="both"/>
        <w:rPr>
          <w:rFonts w:ascii="Times New Roman" w:hAnsi="Times New Roman" w:cs="Times New Roman"/>
          <w:b/>
          <w:color w:val="000000"/>
          <w:sz w:val="24"/>
          <w:szCs w:val="24"/>
        </w:rPr>
      </w:pPr>
      <w:r>
        <w:rPr>
          <w:rFonts w:ascii="Times New Roman" w:hAnsi="Times New Roman" w:cs="Times New Roman"/>
          <w:b/>
          <w:color w:val="215868"/>
          <w:sz w:val="24"/>
          <w:szCs w:val="24"/>
        </w:rPr>
        <w:br w:type="page"/>
      </w:r>
      <w:r w:rsidR="0076051F" w:rsidRPr="0076051F">
        <w:rPr>
          <w:rFonts w:ascii="Times New Roman" w:hAnsi="Times New Roman" w:cs="Times New Roman"/>
          <w:b/>
          <w:color w:val="000000" w:themeColor="text1"/>
          <w:sz w:val="24"/>
          <w:szCs w:val="24"/>
        </w:rPr>
        <w:lastRenderedPageBreak/>
        <w:t>6.2</w:t>
      </w:r>
      <w:r w:rsidR="0076051F">
        <w:rPr>
          <w:rFonts w:ascii="Times New Roman" w:hAnsi="Times New Roman" w:cs="Times New Roman"/>
          <w:b/>
          <w:color w:val="215868"/>
          <w:sz w:val="24"/>
          <w:szCs w:val="24"/>
        </w:rPr>
        <w:t xml:space="preserve"> </w:t>
      </w:r>
      <w:r w:rsidR="0004274A" w:rsidRPr="00EC28B2">
        <w:rPr>
          <w:rFonts w:ascii="Times New Roman" w:hAnsi="Times New Roman" w:cs="Times New Roman"/>
          <w:b/>
          <w:color w:val="000000"/>
          <w:sz w:val="24"/>
          <w:szCs w:val="24"/>
        </w:rPr>
        <w:t xml:space="preserve">Карактеристики на </w:t>
      </w:r>
      <w:r w:rsidR="00735B35" w:rsidRPr="00EC28B2">
        <w:rPr>
          <w:rFonts w:ascii="Times New Roman" w:hAnsi="Times New Roman" w:cs="Times New Roman"/>
          <w:b/>
          <w:color w:val="000000"/>
          <w:sz w:val="24"/>
          <w:szCs w:val="24"/>
        </w:rPr>
        <w:t xml:space="preserve">тумори на </w:t>
      </w:r>
      <w:r w:rsidR="0004274A" w:rsidRPr="00EC28B2">
        <w:rPr>
          <w:rFonts w:ascii="Times New Roman" w:hAnsi="Times New Roman" w:cs="Times New Roman"/>
          <w:b/>
          <w:color w:val="000000"/>
          <w:sz w:val="24"/>
          <w:szCs w:val="24"/>
        </w:rPr>
        <w:t>паротидни</w:t>
      </w:r>
      <w:r w:rsidR="00735B35" w:rsidRPr="00EC28B2">
        <w:rPr>
          <w:rFonts w:ascii="Times New Roman" w:hAnsi="Times New Roman" w:cs="Times New Roman"/>
          <w:b/>
          <w:color w:val="000000"/>
          <w:sz w:val="24"/>
          <w:szCs w:val="24"/>
        </w:rPr>
        <w:t xml:space="preserve"> жлезди</w:t>
      </w:r>
      <w:r w:rsidR="0004274A" w:rsidRPr="00EC28B2">
        <w:rPr>
          <w:rFonts w:ascii="Times New Roman" w:hAnsi="Times New Roman" w:cs="Times New Roman"/>
          <w:b/>
          <w:color w:val="000000"/>
          <w:sz w:val="24"/>
          <w:szCs w:val="24"/>
        </w:rPr>
        <w:t xml:space="preserve"> </w:t>
      </w:r>
    </w:p>
    <w:p w:rsidR="00142136" w:rsidRDefault="0004274A" w:rsidP="00D41B9C">
      <w:pPr>
        <w:spacing w:after="20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Овој дел од анализата се однесува</w:t>
      </w:r>
      <w:r w:rsidR="00CA291A">
        <w:rPr>
          <w:rFonts w:ascii="Times New Roman" w:hAnsi="Times New Roman" w:cs="Times New Roman"/>
          <w:color w:val="000000"/>
          <w:sz w:val="24"/>
          <w:szCs w:val="24"/>
        </w:rPr>
        <w:t>ше</w:t>
      </w:r>
      <w:r>
        <w:rPr>
          <w:rFonts w:ascii="Times New Roman" w:hAnsi="Times New Roman" w:cs="Times New Roman"/>
          <w:color w:val="000000"/>
          <w:sz w:val="24"/>
          <w:szCs w:val="24"/>
        </w:rPr>
        <w:t xml:space="preserve"> на карактеристиките на туморите на паротидните жлезди </w:t>
      </w:r>
      <w:r w:rsidR="00975852">
        <w:rPr>
          <w:rFonts w:ascii="Times New Roman" w:hAnsi="Times New Roman" w:cs="Times New Roman"/>
          <w:color w:val="000000"/>
          <w:sz w:val="24"/>
          <w:szCs w:val="24"/>
        </w:rPr>
        <w:t xml:space="preserve">присутни </w:t>
      </w:r>
      <w:r>
        <w:rPr>
          <w:rFonts w:ascii="Times New Roman" w:hAnsi="Times New Roman" w:cs="Times New Roman"/>
          <w:color w:val="000000"/>
          <w:sz w:val="24"/>
          <w:szCs w:val="24"/>
        </w:rPr>
        <w:t>кај пациентите од испитуваната група</w:t>
      </w:r>
      <w:r w:rsidRPr="004C54E9">
        <w:rPr>
          <w:rFonts w:ascii="Times New Roman" w:hAnsi="Times New Roman" w:cs="Times New Roman"/>
          <w:color w:val="000000"/>
          <w:sz w:val="24"/>
          <w:szCs w:val="24"/>
        </w:rPr>
        <w:t xml:space="preserve"> (Табела </w:t>
      </w:r>
      <w:r>
        <w:rPr>
          <w:rFonts w:ascii="Times New Roman" w:hAnsi="Times New Roman" w:cs="Times New Roman"/>
          <w:color w:val="000000"/>
          <w:sz w:val="24"/>
          <w:szCs w:val="24"/>
        </w:rPr>
        <w:t>3</w:t>
      </w:r>
      <w:r w:rsidRPr="004C54E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04274A" w:rsidRPr="004C54E9" w:rsidRDefault="0004274A" w:rsidP="00D41B9C">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Анализата на тумори</w:t>
      </w:r>
      <w:r w:rsidR="000A7EFF">
        <w:rPr>
          <w:rFonts w:ascii="Times New Roman" w:hAnsi="Times New Roman" w:cs="Times New Roman"/>
          <w:color w:val="000000"/>
          <w:sz w:val="24"/>
          <w:szCs w:val="24"/>
        </w:rPr>
        <w:t>те</w:t>
      </w:r>
      <w:r>
        <w:rPr>
          <w:rFonts w:ascii="Times New Roman" w:hAnsi="Times New Roman" w:cs="Times New Roman"/>
          <w:color w:val="000000"/>
          <w:sz w:val="24"/>
          <w:szCs w:val="24"/>
        </w:rPr>
        <w:t xml:space="preserve"> </w:t>
      </w:r>
      <w:r w:rsidR="000A7EFF">
        <w:rPr>
          <w:rFonts w:ascii="Times New Roman" w:hAnsi="Times New Roman" w:cs="Times New Roman"/>
          <w:color w:val="000000"/>
          <w:sz w:val="24"/>
          <w:szCs w:val="24"/>
        </w:rPr>
        <w:t xml:space="preserve">на паротидните жлезди </w:t>
      </w:r>
      <w:r>
        <w:rPr>
          <w:rFonts w:ascii="Times New Roman" w:hAnsi="Times New Roman" w:cs="Times New Roman"/>
          <w:color w:val="000000"/>
          <w:sz w:val="24"/>
          <w:szCs w:val="24"/>
        </w:rPr>
        <w:t>беше направена во однос на</w:t>
      </w:r>
      <w:r w:rsidR="00142136">
        <w:rPr>
          <w:rFonts w:ascii="Times New Roman" w:hAnsi="Times New Roman" w:cs="Times New Roman"/>
          <w:color w:val="000000"/>
          <w:sz w:val="24"/>
          <w:szCs w:val="24"/>
        </w:rPr>
        <w:t xml:space="preserve"> повеќе аспекти и тоа</w:t>
      </w:r>
      <w:r w:rsidR="000A7EFF">
        <w:rPr>
          <w:rFonts w:ascii="Times New Roman" w:hAnsi="Times New Roman" w:cs="Times New Roman"/>
          <w:color w:val="000000"/>
          <w:sz w:val="24"/>
          <w:szCs w:val="24"/>
        </w:rPr>
        <w:t>: а)</w:t>
      </w:r>
      <w:r>
        <w:rPr>
          <w:rFonts w:ascii="Times New Roman" w:hAnsi="Times New Roman" w:cs="Times New Roman"/>
          <w:color w:val="000000"/>
          <w:sz w:val="24"/>
          <w:szCs w:val="24"/>
        </w:rPr>
        <w:t xml:space="preserve"> </w:t>
      </w:r>
      <w:r w:rsidR="00EF69F7">
        <w:rPr>
          <w:rFonts w:ascii="Times New Roman" w:hAnsi="Times New Roman" w:cs="Times New Roman"/>
          <w:color w:val="000000"/>
          <w:sz w:val="24"/>
          <w:szCs w:val="24"/>
        </w:rPr>
        <w:t>вид</w:t>
      </w:r>
      <w:r w:rsidR="000A7EFF">
        <w:rPr>
          <w:rFonts w:ascii="Times New Roman" w:hAnsi="Times New Roman" w:cs="Times New Roman"/>
          <w:color w:val="000000"/>
          <w:sz w:val="24"/>
          <w:szCs w:val="24"/>
        </w:rPr>
        <w:t xml:space="preserve"> на тумор (бениген/ малиген); б) </w:t>
      </w:r>
      <w:r w:rsidR="00EF69F7">
        <w:rPr>
          <w:rFonts w:ascii="Times New Roman" w:hAnsi="Times New Roman" w:cs="Times New Roman"/>
          <w:color w:val="000000"/>
          <w:sz w:val="24"/>
          <w:szCs w:val="24"/>
        </w:rPr>
        <w:t xml:space="preserve">тип </w:t>
      </w:r>
      <w:r w:rsidR="000A7EFF">
        <w:rPr>
          <w:rFonts w:ascii="Times New Roman" w:hAnsi="Times New Roman" w:cs="Times New Roman"/>
          <w:color w:val="000000"/>
          <w:sz w:val="24"/>
          <w:szCs w:val="24"/>
        </w:rPr>
        <w:t xml:space="preserve">на тумор; </w:t>
      </w:r>
      <w:r w:rsidR="00142136">
        <w:rPr>
          <w:rFonts w:ascii="Times New Roman" w:hAnsi="Times New Roman" w:cs="Times New Roman"/>
          <w:color w:val="000000"/>
          <w:sz w:val="24"/>
          <w:szCs w:val="24"/>
        </w:rPr>
        <w:t xml:space="preserve"> </w:t>
      </w:r>
      <w:r w:rsidR="000A7EFF">
        <w:rPr>
          <w:rFonts w:ascii="Times New Roman" w:hAnsi="Times New Roman" w:cs="Times New Roman"/>
          <w:color w:val="000000"/>
          <w:sz w:val="24"/>
          <w:szCs w:val="24"/>
        </w:rPr>
        <w:t>в) локација на тумор (лево/ десно); и г) димензии на тумор (</w:t>
      </w:r>
      <w:r w:rsidR="000A7EFF">
        <w:rPr>
          <w:rFonts w:ascii="Times New Roman" w:hAnsi="Times New Roman" w:cs="Times New Roman"/>
          <w:color w:val="000000"/>
          <w:sz w:val="24"/>
          <w:szCs w:val="24"/>
          <w:lang w:val="en-US"/>
        </w:rPr>
        <w:t>cm</w:t>
      </w:r>
      <w:r w:rsidR="000A7EFF">
        <w:rPr>
          <w:rFonts w:ascii="Times New Roman" w:hAnsi="Times New Roman" w:cs="Times New Roman"/>
          <w:color w:val="000000"/>
          <w:sz w:val="24"/>
          <w:szCs w:val="24"/>
        </w:rPr>
        <w:t>)</w:t>
      </w:r>
      <w:r w:rsidR="000A7EFF" w:rsidRPr="00A926CA">
        <w:rPr>
          <w:rFonts w:ascii="Times New Roman" w:hAnsi="Times New Roman" w:cs="Times New Roman"/>
          <w:color w:val="000000"/>
          <w:sz w:val="24"/>
          <w:szCs w:val="24"/>
          <w:lang w:val="ru-RU"/>
        </w:rPr>
        <w:t>.</w:t>
      </w:r>
      <w:r w:rsidR="000A7EFF">
        <w:rPr>
          <w:rFonts w:ascii="Times New Roman" w:hAnsi="Times New Roman" w:cs="Times New Roman"/>
          <w:color w:val="000000"/>
          <w:sz w:val="24"/>
          <w:szCs w:val="24"/>
        </w:rPr>
        <w:t xml:space="preserve"> </w:t>
      </w:r>
    </w:p>
    <w:p w:rsidR="00A57DD8" w:rsidRDefault="00A57DD8" w:rsidP="00D41B9C">
      <w:pPr>
        <w:jc w:val="both"/>
        <w:rPr>
          <w:rFonts w:ascii="Times New Roman" w:hAnsi="Times New Roman" w:cs="Times New Roman"/>
          <w:b/>
          <w:color w:val="000000"/>
          <w:sz w:val="20"/>
          <w:szCs w:val="20"/>
          <w:highlight w:val="yellow"/>
        </w:rPr>
      </w:pPr>
    </w:p>
    <w:p w:rsidR="006F3A9B" w:rsidRDefault="006F3A9B" w:rsidP="00D41B9C">
      <w:pPr>
        <w:jc w:val="both"/>
        <w:rPr>
          <w:rFonts w:ascii="Times New Roman" w:hAnsi="Times New Roman" w:cs="Times New Roman"/>
          <w:b/>
          <w:color w:val="000000"/>
          <w:sz w:val="20"/>
          <w:szCs w:val="20"/>
          <w:highlight w:val="yellow"/>
        </w:rPr>
      </w:pPr>
    </w:p>
    <w:p w:rsidR="00DE390E" w:rsidRPr="00EC28B2" w:rsidRDefault="00DE390E" w:rsidP="00D41B9C">
      <w:pPr>
        <w:spacing w:after="360"/>
        <w:jc w:val="both"/>
        <w:rPr>
          <w:rFonts w:ascii="Times New Roman" w:hAnsi="Times New Roman" w:cs="Times New Roman"/>
          <w:b/>
          <w:color w:val="000000"/>
          <w:sz w:val="24"/>
          <w:szCs w:val="24"/>
        </w:rPr>
      </w:pPr>
      <w:r w:rsidRPr="00EC28B2">
        <w:rPr>
          <w:rFonts w:ascii="Times New Roman" w:hAnsi="Times New Roman" w:cs="Times New Roman"/>
          <w:b/>
          <w:color w:val="000000"/>
          <w:sz w:val="24"/>
          <w:szCs w:val="24"/>
        </w:rPr>
        <w:t>6.</w:t>
      </w:r>
      <w:r w:rsidR="0076051F">
        <w:rPr>
          <w:rFonts w:ascii="Times New Roman" w:hAnsi="Times New Roman" w:cs="Times New Roman"/>
          <w:b/>
          <w:color w:val="000000"/>
          <w:sz w:val="24"/>
          <w:szCs w:val="24"/>
        </w:rPr>
        <w:t>2</w:t>
      </w:r>
      <w:r w:rsidRPr="00EC28B2">
        <w:rPr>
          <w:rFonts w:ascii="Times New Roman" w:hAnsi="Times New Roman" w:cs="Times New Roman"/>
          <w:b/>
          <w:color w:val="000000"/>
          <w:sz w:val="24"/>
          <w:szCs w:val="24"/>
        </w:rPr>
        <w:t>.</w:t>
      </w:r>
      <w:r w:rsidR="0076051F">
        <w:rPr>
          <w:rFonts w:ascii="Times New Roman" w:hAnsi="Times New Roman" w:cs="Times New Roman"/>
          <w:b/>
          <w:color w:val="000000"/>
          <w:sz w:val="24"/>
          <w:szCs w:val="24"/>
        </w:rPr>
        <w:t>1</w:t>
      </w:r>
      <w:r w:rsidRPr="00EC28B2">
        <w:rPr>
          <w:rFonts w:ascii="Times New Roman" w:hAnsi="Times New Roman" w:cs="Times New Roman"/>
          <w:b/>
          <w:color w:val="000000"/>
          <w:sz w:val="24"/>
          <w:szCs w:val="24"/>
        </w:rPr>
        <w:t xml:space="preserve"> Вид на </w:t>
      </w:r>
      <w:r w:rsidRPr="00A926CA">
        <w:rPr>
          <w:rFonts w:ascii="Times New Roman" w:hAnsi="Times New Roman" w:cs="Times New Roman"/>
          <w:b/>
          <w:color w:val="000000"/>
          <w:sz w:val="24"/>
          <w:szCs w:val="24"/>
          <w:lang w:val="ru-RU"/>
        </w:rPr>
        <w:t>тумор</w:t>
      </w:r>
      <w:r w:rsidRPr="00EC28B2">
        <w:rPr>
          <w:rFonts w:ascii="Times New Roman" w:hAnsi="Times New Roman" w:cs="Times New Roman"/>
          <w:b/>
          <w:color w:val="000000"/>
          <w:sz w:val="24"/>
          <w:szCs w:val="24"/>
        </w:rPr>
        <w:t>и</w:t>
      </w:r>
      <w:r w:rsidR="000A7EFF" w:rsidRPr="00EC28B2">
        <w:rPr>
          <w:rFonts w:ascii="Times New Roman" w:hAnsi="Times New Roman" w:cs="Times New Roman"/>
          <w:b/>
          <w:color w:val="000000"/>
          <w:sz w:val="24"/>
          <w:szCs w:val="24"/>
        </w:rPr>
        <w:t xml:space="preserve"> </w:t>
      </w:r>
      <w:r w:rsidR="00715E87" w:rsidRPr="00EC28B2">
        <w:rPr>
          <w:rFonts w:ascii="Times New Roman" w:hAnsi="Times New Roman" w:cs="Times New Roman"/>
          <w:b/>
          <w:color w:val="000000"/>
          <w:sz w:val="24"/>
          <w:szCs w:val="24"/>
        </w:rPr>
        <w:t>на паротидни жлезди</w:t>
      </w:r>
    </w:p>
    <w:p w:rsidR="000A7EFF" w:rsidRPr="00A926CA" w:rsidRDefault="00EF69F7" w:rsidP="00D41B9C">
      <w:pPr>
        <w:jc w:val="both"/>
        <w:rPr>
          <w:rFonts w:ascii="Times New Roman" w:hAnsi="Times New Roman" w:cs="Times New Roman"/>
          <w:b/>
          <w:color w:val="000000"/>
          <w:sz w:val="20"/>
          <w:szCs w:val="20"/>
          <w:highlight w:val="yellow"/>
          <w:lang w:val="ru-RU"/>
        </w:rPr>
      </w:pPr>
      <w:r>
        <w:rPr>
          <w:rFonts w:ascii="Times New Roman" w:hAnsi="Times New Roman" w:cs="Times New Roman"/>
          <w:sz w:val="24"/>
          <w:szCs w:val="24"/>
        </w:rPr>
        <w:t xml:space="preserve">Испитаниците во испитуваната група беа анализирани во однос на видот на туморот </w:t>
      </w:r>
      <w:r w:rsidR="00975852">
        <w:rPr>
          <w:rFonts w:ascii="Times New Roman" w:hAnsi="Times New Roman" w:cs="Times New Roman"/>
          <w:sz w:val="24"/>
          <w:szCs w:val="24"/>
        </w:rPr>
        <w:t xml:space="preserve">на паротидните жлезди </w:t>
      </w:r>
      <w:r>
        <w:rPr>
          <w:rFonts w:ascii="Times New Roman" w:hAnsi="Times New Roman" w:cs="Times New Roman"/>
          <w:sz w:val="24"/>
          <w:szCs w:val="24"/>
        </w:rPr>
        <w:t>(бениген/ малиген)</w:t>
      </w:r>
      <w:r w:rsidR="00CA291A">
        <w:rPr>
          <w:rFonts w:ascii="Times New Roman" w:hAnsi="Times New Roman" w:cs="Times New Roman"/>
          <w:sz w:val="24"/>
          <w:szCs w:val="24"/>
        </w:rPr>
        <w:t xml:space="preserve"> како и дистрибуцијата на видот на</w:t>
      </w:r>
      <w:r w:rsidR="00D47DC2" w:rsidRPr="00A926CA">
        <w:rPr>
          <w:rFonts w:ascii="Times New Roman" w:hAnsi="Times New Roman" w:cs="Times New Roman"/>
          <w:sz w:val="24"/>
          <w:szCs w:val="24"/>
          <w:lang w:val="ru-RU"/>
        </w:rPr>
        <w:t xml:space="preserve"> </w:t>
      </w:r>
      <w:r w:rsidR="00CA291A">
        <w:rPr>
          <w:rFonts w:ascii="Times New Roman" w:hAnsi="Times New Roman" w:cs="Times New Roman"/>
          <w:sz w:val="24"/>
          <w:szCs w:val="24"/>
        </w:rPr>
        <w:t>туморот според пол</w:t>
      </w:r>
      <w:r w:rsidR="00D47DC2" w:rsidRPr="00A926CA">
        <w:rPr>
          <w:rFonts w:ascii="Times New Roman" w:hAnsi="Times New Roman" w:cs="Times New Roman"/>
          <w:sz w:val="24"/>
          <w:szCs w:val="24"/>
          <w:lang w:val="ru-RU"/>
        </w:rPr>
        <w:t xml:space="preserve"> </w:t>
      </w:r>
      <w:r w:rsidR="0083211E">
        <w:rPr>
          <w:rFonts w:ascii="Times New Roman" w:hAnsi="Times New Roman" w:cs="Times New Roman"/>
          <w:sz w:val="24"/>
          <w:szCs w:val="24"/>
        </w:rPr>
        <w:t xml:space="preserve">и возраст </w:t>
      </w:r>
      <w:r w:rsidR="00D47DC2" w:rsidRPr="00A926CA">
        <w:rPr>
          <w:rFonts w:ascii="Times New Roman" w:hAnsi="Times New Roman" w:cs="Times New Roman"/>
          <w:sz w:val="24"/>
          <w:szCs w:val="24"/>
          <w:lang w:val="ru-RU"/>
        </w:rPr>
        <w:t>(Табела 3</w:t>
      </w:r>
      <w:r w:rsidR="004B646F">
        <w:rPr>
          <w:rFonts w:ascii="Times New Roman" w:hAnsi="Times New Roman" w:cs="Times New Roman"/>
          <w:sz w:val="24"/>
          <w:szCs w:val="24"/>
        </w:rPr>
        <w:t>-4</w:t>
      </w:r>
      <w:r w:rsidR="00D47DC2" w:rsidRPr="00A926CA">
        <w:rPr>
          <w:rFonts w:ascii="Times New Roman" w:hAnsi="Times New Roman" w:cs="Times New Roman"/>
          <w:sz w:val="24"/>
          <w:szCs w:val="24"/>
          <w:lang w:val="ru-RU"/>
        </w:rPr>
        <w:t xml:space="preserve"> и График </w:t>
      </w:r>
      <w:r w:rsidR="00D47DC2">
        <w:rPr>
          <w:rFonts w:ascii="Times New Roman" w:hAnsi="Times New Roman" w:cs="Times New Roman"/>
          <w:sz w:val="24"/>
          <w:szCs w:val="24"/>
        </w:rPr>
        <w:t>4</w:t>
      </w:r>
      <w:r w:rsidR="004B646F">
        <w:rPr>
          <w:rFonts w:ascii="Times New Roman" w:hAnsi="Times New Roman" w:cs="Times New Roman"/>
          <w:sz w:val="24"/>
          <w:szCs w:val="24"/>
        </w:rPr>
        <w:t>-6</w:t>
      </w:r>
      <w:r w:rsidR="00D47DC2">
        <w:rPr>
          <w:rFonts w:ascii="Times New Roman" w:hAnsi="Times New Roman" w:cs="Times New Roman"/>
          <w:sz w:val="24"/>
          <w:szCs w:val="24"/>
        </w:rPr>
        <w:t>)</w:t>
      </w:r>
      <w:r>
        <w:rPr>
          <w:rFonts w:ascii="Times New Roman" w:hAnsi="Times New Roman" w:cs="Times New Roman"/>
          <w:sz w:val="24"/>
          <w:szCs w:val="24"/>
        </w:rPr>
        <w:t xml:space="preserve">.  </w:t>
      </w:r>
    </w:p>
    <w:p w:rsidR="000A7EFF" w:rsidRPr="00A926CA" w:rsidRDefault="000A7EFF" w:rsidP="0056672A">
      <w:pPr>
        <w:spacing w:line="360" w:lineRule="auto"/>
        <w:jc w:val="both"/>
        <w:rPr>
          <w:rFonts w:ascii="Times New Roman" w:hAnsi="Times New Roman" w:cs="Times New Roman"/>
          <w:b/>
          <w:color w:val="000000"/>
          <w:sz w:val="20"/>
          <w:szCs w:val="20"/>
          <w:highlight w:val="yellow"/>
          <w:lang w:val="ru-RU"/>
        </w:rPr>
      </w:pPr>
    </w:p>
    <w:p w:rsidR="000A7EFF" w:rsidRPr="004D2F91" w:rsidRDefault="00EF69F7" w:rsidP="000A7EFF">
      <w:pPr>
        <w:spacing w:line="36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Табела 3. Анализа </w:t>
      </w:r>
      <w:r w:rsidR="0083211E">
        <w:rPr>
          <w:rFonts w:ascii="Times New Roman" w:hAnsi="Times New Roman" w:cs="Times New Roman"/>
          <w:b/>
          <w:color w:val="000000"/>
          <w:sz w:val="20"/>
          <w:szCs w:val="20"/>
        </w:rPr>
        <w:t>на</w:t>
      </w:r>
      <w:r>
        <w:rPr>
          <w:rFonts w:ascii="Times New Roman" w:hAnsi="Times New Roman" w:cs="Times New Roman"/>
          <w:b/>
          <w:color w:val="000000"/>
          <w:sz w:val="20"/>
          <w:szCs w:val="20"/>
        </w:rPr>
        <w:t xml:space="preserve"> вид на тумор </w:t>
      </w:r>
      <w:r w:rsidR="00E27F8C">
        <w:rPr>
          <w:rFonts w:ascii="Times New Roman" w:hAnsi="Times New Roman" w:cs="Times New Roman"/>
          <w:b/>
          <w:color w:val="000000"/>
          <w:sz w:val="20"/>
          <w:szCs w:val="20"/>
        </w:rPr>
        <w:t xml:space="preserve">на паротидни жлезди </w:t>
      </w:r>
      <w:r w:rsidR="0083211E">
        <w:rPr>
          <w:rFonts w:ascii="Times New Roman" w:hAnsi="Times New Roman" w:cs="Times New Roman"/>
          <w:b/>
          <w:color w:val="000000"/>
          <w:sz w:val="20"/>
          <w:szCs w:val="20"/>
        </w:rPr>
        <w:t xml:space="preserve">според пол </w:t>
      </w:r>
      <w:r>
        <w:rPr>
          <w:rFonts w:ascii="Times New Roman" w:hAnsi="Times New Roman" w:cs="Times New Roman"/>
          <w:b/>
          <w:color w:val="000000"/>
          <w:sz w:val="20"/>
          <w:szCs w:val="20"/>
        </w:rPr>
        <w:t>– испитувана група</w:t>
      </w:r>
    </w:p>
    <w:tbl>
      <w:tblPr>
        <w:tblW w:w="893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42"/>
        <w:gridCol w:w="709"/>
        <w:gridCol w:w="1464"/>
        <w:gridCol w:w="1464"/>
        <w:gridCol w:w="1465"/>
        <w:gridCol w:w="1986"/>
      </w:tblGrid>
      <w:tr w:rsidR="000A7EFF" w:rsidRPr="00DC3D6D" w:rsidTr="000A7EFF">
        <w:trPr>
          <w:trHeight w:val="465"/>
        </w:trPr>
        <w:tc>
          <w:tcPr>
            <w:tcW w:w="2551" w:type="dxa"/>
            <w:gridSpan w:val="2"/>
            <w:vMerge w:val="restart"/>
            <w:tcBorders>
              <w:left w:val="single" w:sz="4" w:space="0" w:color="FFFFFF"/>
            </w:tcBorders>
            <w:shd w:val="clear" w:color="auto" w:fill="31849B"/>
            <w:vAlign w:val="center"/>
          </w:tcPr>
          <w:p w:rsidR="000A7EFF" w:rsidRDefault="000A7EFF" w:rsidP="00995D7E">
            <w:pPr>
              <w:autoSpaceDE w:val="0"/>
              <w:autoSpaceDN w:val="0"/>
              <w:adjustRightInd w:val="0"/>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Вид на тумор</w:t>
            </w:r>
            <w:r w:rsidR="00F77FC6">
              <w:rPr>
                <w:rFonts w:ascii="Times New Roman" w:hAnsi="Times New Roman" w:cs="Times New Roman"/>
                <w:b/>
                <w:color w:val="FFFFFF"/>
                <w:sz w:val="18"/>
                <w:szCs w:val="18"/>
              </w:rPr>
              <w:t>и</w:t>
            </w:r>
          </w:p>
          <w:p w:rsidR="00E27F8C" w:rsidRDefault="00E27F8C" w:rsidP="00995D7E">
            <w:pPr>
              <w:autoSpaceDE w:val="0"/>
              <w:autoSpaceDN w:val="0"/>
              <w:adjustRightInd w:val="0"/>
              <w:jc w:val="center"/>
              <w:rPr>
                <w:rFonts w:ascii="Times New Roman" w:hAnsi="Times New Roman" w:cs="Times New Roman"/>
                <w:b/>
                <w:color w:val="FFFFFF"/>
                <w:sz w:val="18"/>
                <w:szCs w:val="18"/>
              </w:rPr>
            </w:pPr>
            <w:r>
              <w:rPr>
                <w:rFonts w:ascii="Times New Roman" w:hAnsi="Times New Roman" w:cs="Times New Roman"/>
                <w:b/>
                <w:color w:val="FFFFFF"/>
                <w:sz w:val="18"/>
                <w:szCs w:val="18"/>
              </w:rPr>
              <w:t>на паротидни жлезди</w:t>
            </w:r>
          </w:p>
        </w:tc>
        <w:tc>
          <w:tcPr>
            <w:tcW w:w="2928" w:type="dxa"/>
            <w:gridSpan w:val="2"/>
            <w:shd w:val="clear" w:color="auto" w:fill="31849B"/>
            <w:vAlign w:val="center"/>
          </w:tcPr>
          <w:p w:rsidR="000A7EFF" w:rsidRPr="00DC3D6D" w:rsidRDefault="000A7EFF" w:rsidP="000A7EFF">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Пол</w:t>
            </w:r>
          </w:p>
        </w:tc>
        <w:tc>
          <w:tcPr>
            <w:tcW w:w="1465" w:type="dxa"/>
            <w:vMerge w:val="restart"/>
            <w:shd w:val="clear" w:color="auto" w:fill="31849B"/>
            <w:vAlign w:val="center"/>
          </w:tcPr>
          <w:p w:rsidR="000A7EFF" w:rsidRDefault="000A7EFF" w:rsidP="000A7EFF">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Вкупно</w:t>
            </w:r>
          </w:p>
        </w:tc>
        <w:tc>
          <w:tcPr>
            <w:tcW w:w="1986" w:type="dxa"/>
            <w:vMerge w:val="restart"/>
            <w:tcBorders>
              <w:right w:val="single" w:sz="4" w:space="0" w:color="31849B"/>
            </w:tcBorders>
            <w:shd w:val="clear" w:color="auto" w:fill="31849B"/>
            <w:vAlign w:val="center"/>
          </w:tcPr>
          <w:p w:rsidR="000A7EFF" w:rsidRPr="00DC3D6D" w:rsidRDefault="000A7EFF" w:rsidP="000A7EFF">
            <w:pPr>
              <w:jc w:val="center"/>
              <w:rPr>
                <w:rFonts w:ascii="Times New Roman" w:hAnsi="Times New Roman" w:cs="Times New Roman"/>
                <w:b/>
                <w:color w:val="FFFFFF"/>
                <w:sz w:val="18"/>
                <w:szCs w:val="18"/>
                <w:vertAlign w:val="superscript"/>
              </w:rPr>
            </w:pPr>
            <w:r w:rsidRPr="00DC3D6D">
              <w:rPr>
                <w:rFonts w:ascii="Times New Roman" w:hAnsi="Times New Roman" w:cs="Times New Roman"/>
                <w:b/>
                <w:color w:val="FFFFFF"/>
                <w:sz w:val="18"/>
                <w:szCs w:val="18"/>
              </w:rPr>
              <w:t>p</w:t>
            </w:r>
          </w:p>
        </w:tc>
      </w:tr>
      <w:tr w:rsidR="000A7EFF" w:rsidRPr="00DC3D6D" w:rsidTr="000A7EFF">
        <w:trPr>
          <w:trHeight w:val="479"/>
        </w:trPr>
        <w:tc>
          <w:tcPr>
            <w:tcW w:w="2551" w:type="dxa"/>
            <w:gridSpan w:val="2"/>
            <w:vMerge/>
            <w:tcBorders>
              <w:left w:val="single" w:sz="4" w:space="0" w:color="FFFFFF"/>
            </w:tcBorders>
            <w:shd w:val="clear" w:color="auto" w:fill="31849B"/>
            <w:vAlign w:val="center"/>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p>
        </w:tc>
        <w:tc>
          <w:tcPr>
            <w:tcW w:w="1464" w:type="dxa"/>
            <w:shd w:val="clear" w:color="auto" w:fill="31849B"/>
            <w:vAlign w:val="center"/>
          </w:tcPr>
          <w:p w:rsidR="000A7EFF" w:rsidRPr="00DC3D6D" w:rsidRDefault="000A7EFF" w:rsidP="000A7EFF">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Мажи</w:t>
            </w:r>
          </w:p>
        </w:tc>
        <w:tc>
          <w:tcPr>
            <w:tcW w:w="1464" w:type="dxa"/>
            <w:shd w:val="clear" w:color="auto" w:fill="31849B"/>
            <w:vAlign w:val="center"/>
          </w:tcPr>
          <w:p w:rsidR="000A7EFF" w:rsidRPr="00DC3D6D" w:rsidRDefault="000A7EFF" w:rsidP="000A7EFF">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Жени</w:t>
            </w:r>
          </w:p>
        </w:tc>
        <w:tc>
          <w:tcPr>
            <w:tcW w:w="1465" w:type="dxa"/>
            <w:vMerge/>
            <w:tcBorders>
              <w:bottom w:val="single" w:sz="4" w:space="0" w:color="FFFFFF"/>
            </w:tcBorders>
            <w:shd w:val="clear" w:color="auto" w:fill="31849B"/>
            <w:vAlign w:val="center"/>
          </w:tcPr>
          <w:p w:rsidR="000A7EFF" w:rsidRPr="00DC3D6D" w:rsidRDefault="000A7EFF" w:rsidP="000A7EFF">
            <w:pPr>
              <w:jc w:val="center"/>
              <w:rPr>
                <w:rFonts w:ascii="Times New Roman" w:hAnsi="Times New Roman" w:cs="Times New Roman"/>
                <w:b/>
                <w:color w:val="FFFFFF"/>
                <w:sz w:val="18"/>
                <w:szCs w:val="18"/>
              </w:rPr>
            </w:pPr>
          </w:p>
        </w:tc>
        <w:tc>
          <w:tcPr>
            <w:tcW w:w="1986" w:type="dxa"/>
            <w:vMerge/>
            <w:tcBorders>
              <w:bottom w:val="single" w:sz="4" w:space="0" w:color="FFFFFF"/>
              <w:right w:val="single" w:sz="4" w:space="0" w:color="31849B"/>
            </w:tcBorders>
            <w:shd w:val="clear" w:color="auto" w:fill="31849B"/>
            <w:vAlign w:val="center"/>
          </w:tcPr>
          <w:p w:rsidR="000A7EFF" w:rsidRPr="00DC3D6D" w:rsidRDefault="000A7EFF" w:rsidP="000A7EFF">
            <w:pPr>
              <w:jc w:val="center"/>
              <w:rPr>
                <w:rFonts w:ascii="Times New Roman" w:hAnsi="Times New Roman" w:cs="Times New Roman"/>
                <w:b/>
                <w:color w:val="FFFFFF"/>
                <w:sz w:val="18"/>
                <w:szCs w:val="18"/>
                <w:highlight w:val="yellow"/>
              </w:rPr>
            </w:pPr>
          </w:p>
        </w:tc>
      </w:tr>
      <w:tr w:rsidR="000A7EFF" w:rsidRPr="00DC3D6D" w:rsidTr="000A7EFF">
        <w:trPr>
          <w:trHeight w:val="214"/>
        </w:trPr>
        <w:tc>
          <w:tcPr>
            <w:tcW w:w="1842" w:type="dxa"/>
            <w:vMerge w:val="restart"/>
            <w:tcBorders>
              <w:left w:val="single" w:sz="4" w:space="0" w:color="FFFFFF"/>
            </w:tcBorders>
            <w:shd w:val="clear" w:color="auto" w:fill="31849B"/>
            <w:vAlign w:val="center"/>
          </w:tcPr>
          <w:p w:rsidR="000A7EFF" w:rsidRPr="00DC3D6D" w:rsidRDefault="000A7EFF" w:rsidP="000A7EFF">
            <w:pPr>
              <w:autoSpaceDE w:val="0"/>
              <w:autoSpaceDN w:val="0"/>
              <w:adjustRightInd w:val="0"/>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Бенигни</w:t>
            </w: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N</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23</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26</w:t>
            </w:r>
          </w:p>
        </w:tc>
        <w:tc>
          <w:tcPr>
            <w:tcW w:w="1465" w:type="dxa"/>
            <w:tcBorders>
              <w:right w:val="single" w:sz="4" w:space="0" w:color="31849B"/>
            </w:tcBorders>
            <w:shd w:val="clear" w:color="auto" w:fill="auto"/>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49</w:t>
            </w:r>
          </w:p>
        </w:tc>
        <w:tc>
          <w:tcPr>
            <w:tcW w:w="1986" w:type="dxa"/>
            <w:vMerge w:val="restart"/>
            <w:tcBorders>
              <w:left w:val="single" w:sz="4" w:space="0" w:color="31849B"/>
              <w:right w:val="single" w:sz="4" w:space="0" w:color="31849B"/>
            </w:tcBorders>
            <w:vAlign w:val="center"/>
          </w:tcPr>
          <w:p w:rsidR="000A7EFF" w:rsidRPr="00D47DC2" w:rsidRDefault="000A7EFF" w:rsidP="00D47DC2">
            <w:pPr>
              <w:jc w:val="center"/>
              <w:rPr>
                <w:rFonts w:ascii="Times New Roman" w:hAnsi="Times New Roman"/>
                <w:color w:val="000000"/>
                <w:sz w:val="18"/>
                <w:szCs w:val="18"/>
                <w:highlight w:val="yellow"/>
                <w:lang w:val="en-US"/>
              </w:rPr>
            </w:pPr>
            <w:r w:rsidRPr="00373F8E">
              <w:rPr>
                <w:rFonts w:ascii="Times New Roman" w:hAnsi="Times New Roman"/>
                <w:color w:val="000000"/>
                <w:sz w:val="18"/>
                <w:szCs w:val="18"/>
                <w:lang w:val="en-US"/>
              </w:rPr>
              <w:t>X</w:t>
            </w:r>
            <w:r w:rsidRPr="00373F8E">
              <w:rPr>
                <w:rFonts w:ascii="Times New Roman" w:hAnsi="Times New Roman"/>
                <w:color w:val="000000"/>
                <w:sz w:val="18"/>
                <w:szCs w:val="18"/>
                <w:vertAlign w:val="superscript"/>
                <w:lang w:val="en-US"/>
              </w:rPr>
              <w:t>2</w:t>
            </w:r>
            <w:r w:rsidRPr="00373F8E">
              <w:rPr>
                <w:rFonts w:ascii="Times New Roman" w:hAnsi="Times New Roman"/>
                <w:color w:val="000000"/>
                <w:sz w:val="18"/>
                <w:szCs w:val="18"/>
                <w:lang w:val="en-US"/>
              </w:rPr>
              <w:t>=</w:t>
            </w:r>
            <w:r w:rsidR="00D47DC2">
              <w:rPr>
                <w:rFonts w:ascii="Times New Roman" w:hAnsi="Times New Roman"/>
                <w:color w:val="000000"/>
                <w:sz w:val="18"/>
                <w:szCs w:val="18"/>
                <w:lang w:val="en-US"/>
              </w:rPr>
              <w:t>2,044</w:t>
            </w:r>
            <w:r w:rsidRPr="00373F8E">
              <w:rPr>
                <w:rFonts w:ascii="Times New Roman" w:hAnsi="Times New Roman"/>
                <w:color w:val="000000"/>
                <w:sz w:val="18"/>
                <w:szCs w:val="18"/>
                <w:lang w:val="en-US"/>
              </w:rPr>
              <w:t>; df=1; p=0,</w:t>
            </w:r>
            <w:r w:rsidR="00D47DC2">
              <w:rPr>
                <w:rFonts w:ascii="Times New Roman" w:hAnsi="Times New Roman"/>
                <w:color w:val="000000"/>
                <w:sz w:val="18"/>
                <w:szCs w:val="18"/>
                <w:lang w:val="en-US"/>
              </w:rPr>
              <w:t>1528</w:t>
            </w:r>
          </w:p>
        </w:tc>
      </w:tr>
      <w:tr w:rsidR="000A7EFF" w:rsidRPr="00DC3D6D" w:rsidTr="000A7EFF">
        <w:trPr>
          <w:trHeight w:val="214"/>
        </w:trPr>
        <w:tc>
          <w:tcPr>
            <w:tcW w:w="1842" w:type="dxa"/>
            <w:vMerge/>
            <w:shd w:val="clear" w:color="auto" w:fill="31849B"/>
            <w:vAlign w:val="center"/>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46,94%</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53,06%</w:t>
            </w:r>
          </w:p>
        </w:tc>
        <w:tc>
          <w:tcPr>
            <w:tcW w:w="1465" w:type="dxa"/>
            <w:tcBorders>
              <w:right w:val="single" w:sz="4" w:space="0" w:color="31849B"/>
            </w:tcBorders>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79,03%</w:t>
            </w:r>
          </w:p>
        </w:tc>
        <w:tc>
          <w:tcPr>
            <w:tcW w:w="1986" w:type="dxa"/>
            <w:vMerge/>
            <w:tcBorders>
              <w:left w:val="single" w:sz="4" w:space="0" w:color="31849B"/>
              <w:right w:val="single" w:sz="4" w:space="0" w:color="31849B"/>
            </w:tcBorders>
            <w:shd w:val="clear" w:color="auto" w:fill="E5DFEC"/>
          </w:tcPr>
          <w:p w:rsidR="000A7EFF" w:rsidRPr="00DC3D6D" w:rsidRDefault="000A7EFF" w:rsidP="000A7EFF">
            <w:pPr>
              <w:jc w:val="center"/>
              <w:rPr>
                <w:rFonts w:ascii="Times New Roman" w:hAnsi="Times New Roman" w:cs="Times New Roman"/>
                <w:color w:val="000000"/>
                <w:sz w:val="18"/>
                <w:szCs w:val="18"/>
                <w:highlight w:val="yellow"/>
              </w:rPr>
            </w:pPr>
          </w:p>
        </w:tc>
      </w:tr>
      <w:tr w:rsidR="000A7EFF" w:rsidRPr="00DC3D6D" w:rsidTr="000A7EFF">
        <w:trPr>
          <w:trHeight w:val="214"/>
        </w:trPr>
        <w:tc>
          <w:tcPr>
            <w:tcW w:w="1842" w:type="dxa"/>
            <w:vMerge w:val="restart"/>
            <w:shd w:val="clear" w:color="auto" w:fill="31849B"/>
            <w:vAlign w:val="center"/>
          </w:tcPr>
          <w:p w:rsidR="000A7EFF" w:rsidRPr="00DC3D6D" w:rsidRDefault="000A7EFF" w:rsidP="000A7EFF">
            <w:pPr>
              <w:autoSpaceDE w:val="0"/>
              <w:autoSpaceDN w:val="0"/>
              <w:adjustRightInd w:val="0"/>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Малигни</w:t>
            </w: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N</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1465" w:type="dxa"/>
            <w:tcBorders>
              <w:right w:val="single" w:sz="4" w:space="0" w:color="31849B"/>
            </w:tcBorders>
            <w:shd w:val="clear" w:color="auto" w:fill="auto"/>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13</w:t>
            </w:r>
          </w:p>
        </w:tc>
        <w:tc>
          <w:tcPr>
            <w:tcW w:w="1986" w:type="dxa"/>
            <w:vMerge/>
            <w:tcBorders>
              <w:left w:val="single" w:sz="4" w:space="0" w:color="31849B"/>
              <w:right w:val="single" w:sz="4" w:space="0" w:color="31849B"/>
            </w:tcBorders>
          </w:tcPr>
          <w:p w:rsidR="000A7EFF" w:rsidRPr="00DC3D6D" w:rsidRDefault="000A7EFF" w:rsidP="000A7EFF">
            <w:pPr>
              <w:jc w:val="center"/>
              <w:rPr>
                <w:rFonts w:ascii="Times New Roman" w:hAnsi="Times New Roman" w:cs="Times New Roman"/>
                <w:color w:val="000000"/>
                <w:sz w:val="18"/>
                <w:szCs w:val="18"/>
                <w:highlight w:val="yellow"/>
              </w:rPr>
            </w:pPr>
          </w:p>
        </w:tc>
      </w:tr>
      <w:tr w:rsidR="000A7EFF" w:rsidRPr="00DC3D6D" w:rsidTr="000A7EFF">
        <w:trPr>
          <w:trHeight w:val="214"/>
        </w:trPr>
        <w:tc>
          <w:tcPr>
            <w:tcW w:w="1842" w:type="dxa"/>
            <w:vMerge/>
            <w:shd w:val="clear" w:color="auto" w:fill="31849B"/>
            <w:vAlign w:val="center"/>
          </w:tcPr>
          <w:p w:rsidR="000A7EFF" w:rsidRPr="00DC3D6D" w:rsidRDefault="000A7EFF" w:rsidP="000A7EFF">
            <w:pPr>
              <w:autoSpaceDE w:val="0"/>
              <w:autoSpaceDN w:val="0"/>
              <w:adjustRightInd w:val="0"/>
              <w:rPr>
                <w:rFonts w:ascii="Times New Roman" w:hAnsi="Times New Roman" w:cs="Times New Roman"/>
                <w:b/>
                <w:color w:val="FFFFFF"/>
                <w:sz w:val="18"/>
                <w:szCs w:val="18"/>
                <w:lang w:eastAsia="mk-MK"/>
              </w:rPr>
            </w:pP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69,23%</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30,77%</w:t>
            </w:r>
          </w:p>
        </w:tc>
        <w:tc>
          <w:tcPr>
            <w:tcW w:w="1465" w:type="dxa"/>
            <w:tcBorders>
              <w:right w:val="single" w:sz="4" w:space="0" w:color="31849B"/>
            </w:tcBorders>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20,97%</w:t>
            </w:r>
          </w:p>
        </w:tc>
        <w:tc>
          <w:tcPr>
            <w:tcW w:w="1986" w:type="dxa"/>
            <w:vMerge/>
            <w:tcBorders>
              <w:left w:val="single" w:sz="4" w:space="0" w:color="31849B"/>
              <w:right w:val="single" w:sz="4" w:space="0" w:color="31849B"/>
            </w:tcBorders>
            <w:shd w:val="clear" w:color="auto" w:fill="E5DFEC"/>
          </w:tcPr>
          <w:p w:rsidR="000A7EFF" w:rsidRPr="00DC3D6D" w:rsidRDefault="000A7EFF" w:rsidP="000A7EFF">
            <w:pPr>
              <w:jc w:val="center"/>
              <w:rPr>
                <w:rFonts w:ascii="Times New Roman" w:hAnsi="Times New Roman" w:cs="Times New Roman"/>
                <w:color w:val="000000"/>
                <w:sz w:val="18"/>
                <w:szCs w:val="18"/>
                <w:highlight w:val="yellow"/>
              </w:rPr>
            </w:pPr>
          </w:p>
        </w:tc>
      </w:tr>
      <w:tr w:rsidR="000A7EFF" w:rsidRPr="00DC3D6D" w:rsidTr="000A7EFF">
        <w:trPr>
          <w:trHeight w:val="214"/>
        </w:trPr>
        <w:tc>
          <w:tcPr>
            <w:tcW w:w="1842" w:type="dxa"/>
            <w:vMerge w:val="restart"/>
            <w:shd w:val="clear" w:color="auto" w:fill="31849B"/>
            <w:vAlign w:val="center"/>
          </w:tcPr>
          <w:p w:rsidR="000A7EFF" w:rsidRPr="00DC3D6D" w:rsidRDefault="000A7EFF" w:rsidP="000A7EFF">
            <w:pPr>
              <w:autoSpaceDE w:val="0"/>
              <w:autoSpaceDN w:val="0"/>
              <w:adjustRightInd w:val="0"/>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Вкупно</w:t>
            </w: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rPr>
              <w:t xml:space="preserve">N </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32</w:t>
            </w:r>
          </w:p>
        </w:tc>
        <w:tc>
          <w:tcPr>
            <w:tcW w:w="1464" w:type="dxa"/>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30</w:t>
            </w:r>
          </w:p>
        </w:tc>
        <w:tc>
          <w:tcPr>
            <w:tcW w:w="1465" w:type="dxa"/>
            <w:tcBorders>
              <w:right w:val="single" w:sz="4" w:space="0" w:color="31849B"/>
            </w:tcBorders>
            <w:shd w:val="clear" w:color="auto" w:fill="auto"/>
            <w:vAlign w:val="center"/>
          </w:tcPr>
          <w:p w:rsidR="000A7EFF" w:rsidRPr="00DC3D6D" w:rsidRDefault="00D47DC2" w:rsidP="000A7EFF">
            <w:pPr>
              <w:jc w:val="center"/>
              <w:rPr>
                <w:rFonts w:ascii="Times New Roman" w:hAnsi="Times New Roman" w:cs="Times New Roman"/>
                <w:sz w:val="18"/>
                <w:szCs w:val="18"/>
              </w:rPr>
            </w:pPr>
            <w:r>
              <w:rPr>
                <w:rFonts w:ascii="Times New Roman" w:hAnsi="Times New Roman" w:cs="Times New Roman"/>
                <w:sz w:val="18"/>
                <w:szCs w:val="18"/>
              </w:rPr>
              <w:t>62</w:t>
            </w:r>
          </w:p>
        </w:tc>
        <w:tc>
          <w:tcPr>
            <w:tcW w:w="1986" w:type="dxa"/>
            <w:vMerge/>
            <w:tcBorders>
              <w:left w:val="single" w:sz="4" w:space="0" w:color="31849B"/>
              <w:right w:val="single" w:sz="4" w:space="0" w:color="31849B"/>
            </w:tcBorders>
          </w:tcPr>
          <w:p w:rsidR="000A7EFF" w:rsidRPr="00DC3D6D" w:rsidRDefault="000A7EFF" w:rsidP="000A7EFF">
            <w:pPr>
              <w:jc w:val="center"/>
              <w:rPr>
                <w:rFonts w:ascii="Times New Roman" w:hAnsi="Times New Roman" w:cs="Times New Roman"/>
                <w:color w:val="000000"/>
                <w:sz w:val="18"/>
                <w:szCs w:val="18"/>
                <w:highlight w:val="yellow"/>
              </w:rPr>
            </w:pPr>
          </w:p>
        </w:tc>
      </w:tr>
      <w:tr w:rsidR="000A7EFF" w:rsidRPr="00DC3D6D" w:rsidTr="000A7EFF">
        <w:trPr>
          <w:trHeight w:val="214"/>
        </w:trPr>
        <w:tc>
          <w:tcPr>
            <w:tcW w:w="1842" w:type="dxa"/>
            <w:vMerge/>
            <w:shd w:val="clear" w:color="auto" w:fill="31849B"/>
            <w:vAlign w:val="center"/>
          </w:tcPr>
          <w:p w:rsidR="000A7EFF" w:rsidRPr="00DC3D6D" w:rsidRDefault="000A7EFF" w:rsidP="000A7EFF">
            <w:pPr>
              <w:autoSpaceDE w:val="0"/>
              <w:autoSpaceDN w:val="0"/>
              <w:adjustRightInd w:val="0"/>
              <w:rPr>
                <w:rFonts w:ascii="Times New Roman" w:hAnsi="Times New Roman" w:cs="Times New Roman"/>
                <w:b/>
                <w:color w:val="FFFFFF"/>
                <w:sz w:val="18"/>
                <w:szCs w:val="18"/>
                <w:lang w:eastAsia="mk-MK"/>
              </w:rPr>
            </w:pPr>
          </w:p>
        </w:tc>
        <w:tc>
          <w:tcPr>
            <w:tcW w:w="709" w:type="dxa"/>
            <w:shd w:val="clear" w:color="auto" w:fill="31849B"/>
            <w:vAlign w:val="bottom"/>
          </w:tcPr>
          <w:p w:rsidR="000A7EFF" w:rsidRPr="00DC3D6D" w:rsidRDefault="000A7EFF" w:rsidP="000A7EFF">
            <w:pPr>
              <w:autoSpaceDE w:val="0"/>
              <w:autoSpaceDN w:val="0"/>
              <w:adjustRightInd w:val="0"/>
              <w:jc w:val="center"/>
              <w:rPr>
                <w:rFonts w:ascii="Times New Roman" w:hAnsi="Times New Roman" w:cs="Times New Roman"/>
                <w:b/>
                <w:color w:val="FFFFFF"/>
                <w:sz w:val="18"/>
                <w:szCs w:val="18"/>
                <w:lang w:eastAsia="mk-MK"/>
              </w:rPr>
            </w:pPr>
            <w:r w:rsidRPr="00DC3D6D">
              <w:rPr>
                <w:rFonts w:ascii="Times New Roman" w:hAnsi="Times New Roman" w:cs="Times New Roman"/>
                <w:b/>
                <w:color w:val="FFFFFF"/>
                <w:sz w:val="18"/>
                <w:szCs w:val="18"/>
                <w:lang w:eastAsia="mk-MK"/>
              </w:rPr>
              <w:t>%</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51,61%</w:t>
            </w:r>
          </w:p>
        </w:tc>
        <w:tc>
          <w:tcPr>
            <w:tcW w:w="1464" w:type="dxa"/>
            <w:shd w:val="clear" w:color="auto" w:fill="DAEEF3"/>
            <w:vAlign w:val="center"/>
          </w:tcPr>
          <w:p w:rsidR="000A7EFF" w:rsidRPr="00D47DC2" w:rsidRDefault="00D47DC2" w:rsidP="000A7EFF">
            <w:pPr>
              <w:jc w:val="center"/>
              <w:rPr>
                <w:rFonts w:ascii="Times New Roman" w:hAnsi="Times New Roman" w:cs="Times New Roman"/>
                <w:sz w:val="18"/>
                <w:szCs w:val="18"/>
                <w:lang w:val="en-US"/>
              </w:rPr>
            </w:pPr>
            <w:r>
              <w:rPr>
                <w:rFonts w:ascii="Times New Roman" w:hAnsi="Times New Roman" w:cs="Times New Roman"/>
                <w:sz w:val="18"/>
                <w:szCs w:val="18"/>
                <w:lang w:val="en-US"/>
              </w:rPr>
              <w:t>48,39%</w:t>
            </w:r>
          </w:p>
        </w:tc>
        <w:tc>
          <w:tcPr>
            <w:tcW w:w="1465" w:type="dxa"/>
            <w:tcBorders>
              <w:right w:val="single" w:sz="4" w:space="0" w:color="31849B"/>
            </w:tcBorders>
            <w:shd w:val="clear" w:color="auto" w:fill="DAEEF3"/>
            <w:vAlign w:val="center"/>
          </w:tcPr>
          <w:p w:rsidR="000A7EFF" w:rsidRPr="00DC3D6D" w:rsidRDefault="000A7EFF" w:rsidP="000A7EFF">
            <w:pPr>
              <w:jc w:val="center"/>
              <w:rPr>
                <w:rFonts w:ascii="Times New Roman" w:hAnsi="Times New Roman" w:cs="Times New Roman"/>
                <w:sz w:val="18"/>
                <w:szCs w:val="18"/>
              </w:rPr>
            </w:pPr>
            <w:r w:rsidRPr="00DC3D6D">
              <w:rPr>
                <w:rFonts w:ascii="Times New Roman" w:hAnsi="Times New Roman" w:cs="Times New Roman"/>
                <w:sz w:val="18"/>
                <w:szCs w:val="18"/>
              </w:rPr>
              <w:t>100%</w:t>
            </w:r>
          </w:p>
        </w:tc>
        <w:tc>
          <w:tcPr>
            <w:tcW w:w="1986" w:type="dxa"/>
            <w:vMerge/>
            <w:tcBorders>
              <w:left w:val="single" w:sz="4" w:space="0" w:color="31849B"/>
              <w:right w:val="single" w:sz="4" w:space="0" w:color="31849B"/>
            </w:tcBorders>
            <w:shd w:val="clear" w:color="auto" w:fill="E5DFEC"/>
          </w:tcPr>
          <w:p w:rsidR="000A7EFF" w:rsidRPr="00DC3D6D" w:rsidRDefault="000A7EFF" w:rsidP="000A7EFF">
            <w:pPr>
              <w:jc w:val="center"/>
              <w:rPr>
                <w:rFonts w:ascii="Times New Roman" w:hAnsi="Times New Roman" w:cs="Times New Roman"/>
                <w:color w:val="000000"/>
                <w:sz w:val="18"/>
                <w:szCs w:val="18"/>
                <w:highlight w:val="yellow"/>
              </w:rPr>
            </w:pPr>
          </w:p>
        </w:tc>
      </w:tr>
      <w:tr w:rsidR="000A7EFF" w:rsidRPr="00DC3D6D" w:rsidTr="000A7EFF">
        <w:trPr>
          <w:trHeight w:val="688"/>
        </w:trPr>
        <w:tc>
          <w:tcPr>
            <w:tcW w:w="8930" w:type="dxa"/>
            <w:gridSpan w:val="6"/>
            <w:tcBorders>
              <w:right w:val="single" w:sz="4" w:space="0" w:color="31849B"/>
            </w:tcBorders>
            <w:shd w:val="clear" w:color="auto" w:fill="31849B"/>
            <w:vAlign w:val="center"/>
          </w:tcPr>
          <w:p w:rsidR="00EF69F7" w:rsidRDefault="000A7EFF" w:rsidP="00EF69F7">
            <w:pPr>
              <w:spacing w:line="276" w:lineRule="auto"/>
              <w:rPr>
                <w:rFonts w:ascii="Times New Roman" w:hAnsi="Times New Roman" w:cs="Times New Roman"/>
                <w:color w:val="FFFFFF"/>
                <w:sz w:val="18"/>
                <w:szCs w:val="18"/>
              </w:rPr>
            </w:pPr>
            <w:r w:rsidRPr="00BE64B0">
              <w:rPr>
                <w:rFonts w:ascii="Times New Roman" w:hAnsi="Times New Roman" w:cs="Times New Roman"/>
                <w:bCs/>
                <w:color w:val="FFFFFF"/>
                <w:sz w:val="18"/>
                <w:szCs w:val="18"/>
              </w:rPr>
              <w:t>Испитувана група</w:t>
            </w:r>
            <w:r>
              <w:rPr>
                <w:rFonts w:ascii="Times New Roman" w:hAnsi="Times New Roman" w:cs="Times New Roman"/>
                <w:bCs/>
                <w:color w:val="FFFFFF"/>
                <w:sz w:val="18"/>
                <w:szCs w:val="18"/>
              </w:rPr>
              <w:t>:пациенти со тумори на паротидни жлезди;</w:t>
            </w:r>
            <w:r w:rsidRPr="00BE64B0">
              <w:rPr>
                <w:rFonts w:ascii="Times New Roman" w:hAnsi="Times New Roman" w:cs="Times New Roman"/>
                <w:color w:val="FFFFFF"/>
                <w:sz w:val="18"/>
                <w:szCs w:val="18"/>
              </w:rPr>
              <w:t xml:space="preserve">  </w:t>
            </w:r>
          </w:p>
          <w:p w:rsidR="000A7EFF" w:rsidRPr="00373F8E" w:rsidRDefault="000A7EFF" w:rsidP="00EF69F7">
            <w:pPr>
              <w:spacing w:line="276" w:lineRule="auto"/>
              <w:jc w:val="center"/>
              <w:rPr>
                <w:rFonts w:ascii="Times New Roman" w:hAnsi="Times New Roman" w:cs="Times New Roman"/>
                <w:color w:val="FFFFFF"/>
                <w:sz w:val="18"/>
                <w:szCs w:val="18"/>
                <w:highlight w:val="yellow"/>
              </w:rPr>
            </w:pPr>
            <w:r w:rsidRPr="00373F8E">
              <w:rPr>
                <w:rFonts w:ascii="Times New Roman" w:hAnsi="Times New Roman"/>
                <w:color w:val="FFFFFF"/>
                <w:sz w:val="18"/>
                <w:szCs w:val="18"/>
                <w:lang w:val="en-US"/>
              </w:rPr>
              <w:t>X</w:t>
            </w:r>
            <w:r w:rsidRPr="00373F8E">
              <w:rPr>
                <w:rFonts w:ascii="Times New Roman" w:hAnsi="Times New Roman"/>
                <w:color w:val="FFFFFF"/>
                <w:sz w:val="18"/>
                <w:szCs w:val="18"/>
                <w:vertAlign w:val="superscript"/>
                <w:lang w:val="en-US"/>
              </w:rPr>
              <w:t>2</w:t>
            </w:r>
            <w:r w:rsidRPr="00373F8E">
              <w:rPr>
                <w:rFonts w:ascii="Times New Roman" w:hAnsi="Times New Roman"/>
                <w:color w:val="FFFFFF"/>
                <w:sz w:val="18"/>
                <w:szCs w:val="18"/>
                <w:lang w:val="en-US"/>
              </w:rPr>
              <w:t>=</w:t>
            </w:r>
            <w:r w:rsidRPr="00373F8E">
              <w:rPr>
                <w:rFonts w:ascii="Times New Roman" w:hAnsi="Times New Roman"/>
                <w:color w:val="FFFFFF"/>
                <w:sz w:val="18"/>
                <w:szCs w:val="18"/>
              </w:rPr>
              <w:t xml:space="preserve"> </w:t>
            </w:r>
            <w:r w:rsidRPr="00373F8E">
              <w:rPr>
                <w:rFonts w:ascii="Times New Roman" w:hAnsi="Times New Roman"/>
                <w:color w:val="FFFFFF"/>
                <w:sz w:val="18"/>
                <w:szCs w:val="18"/>
                <w:lang w:val="en-US"/>
              </w:rPr>
              <w:t>Pearson Chi square test</w:t>
            </w:r>
            <w:r w:rsidRPr="00373F8E">
              <w:rPr>
                <w:rFonts w:ascii="Times New Roman" w:hAnsi="Times New Roman" w:cs="Times New Roman"/>
                <w:color w:val="FFFFFF"/>
                <w:sz w:val="18"/>
                <w:szCs w:val="18"/>
                <w:lang w:val="en-US"/>
              </w:rPr>
              <w:t>;</w:t>
            </w:r>
            <w:r w:rsidRPr="00A926CA">
              <w:rPr>
                <w:rFonts w:ascii="Times New Roman" w:hAnsi="Times New Roman" w:cs="Times New Roman"/>
                <w:b/>
                <w:color w:val="FFFFFF"/>
                <w:sz w:val="18"/>
                <w:szCs w:val="18"/>
                <w:lang w:val="en-US" w:eastAsia="mk-MK"/>
              </w:rPr>
              <w:t xml:space="preserve"> </w:t>
            </w:r>
            <w:r w:rsidRPr="00373F8E">
              <w:rPr>
                <w:rFonts w:ascii="Times New Roman" w:hAnsi="Times New Roman" w:cs="Times New Roman"/>
                <w:b/>
                <w:color w:val="FFFFFF"/>
                <w:sz w:val="18"/>
                <w:szCs w:val="18"/>
                <w:lang w:val="en-US" w:eastAsia="mk-MK"/>
              </w:rPr>
              <w:t xml:space="preserve">          </w:t>
            </w:r>
            <w:r w:rsidRPr="00373F8E">
              <w:rPr>
                <w:rFonts w:ascii="Times New Roman" w:hAnsi="Times New Roman" w:cs="Times New Roman"/>
                <w:color w:val="FFFFFF"/>
                <w:sz w:val="18"/>
                <w:szCs w:val="18"/>
              </w:rPr>
              <w:t xml:space="preserve">*сигнификантно за </w:t>
            </w:r>
            <w:r w:rsidRPr="00373F8E">
              <w:rPr>
                <w:rFonts w:ascii="Times New Roman" w:hAnsi="Times New Roman" w:cs="Times New Roman"/>
                <w:color w:val="FFFFFF"/>
                <w:sz w:val="18"/>
                <w:szCs w:val="18"/>
                <w:lang w:val="it-IT"/>
              </w:rPr>
              <w:t>p&lt;0,05</w:t>
            </w:r>
          </w:p>
        </w:tc>
      </w:tr>
    </w:tbl>
    <w:p w:rsidR="009357BA" w:rsidRPr="00D47DC2" w:rsidRDefault="009357BA" w:rsidP="00D47DC2">
      <w:pPr>
        <w:spacing w:after="200" w:line="360" w:lineRule="auto"/>
        <w:jc w:val="both"/>
        <w:rPr>
          <w:rFonts w:ascii="Times New Roman" w:hAnsi="Times New Roman" w:cs="Times New Roman"/>
          <w:color w:val="000000"/>
          <w:sz w:val="24"/>
          <w:szCs w:val="24"/>
          <w:highlight w:val="yellow"/>
          <w:lang w:val="en-US" w:eastAsia="en-GB"/>
        </w:rPr>
      </w:pPr>
    </w:p>
    <w:p w:rsidR="00EC11BA" w:rsidRDefault="00D47DC2" w:rsidP="00D41B9C">
      <w:pPr>
        <w:spacing w:after="20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Од вкупниот број </w:t>
      </w:r>
      <w:r w:rsidRPr="00026D1A">
        <w:rPr>
          <w:rFonts w:ascii="Times New Roman" w:hAnsi="Times New Roman" w:cs="Times New Roman"/>
          <w:color w:val="000000"/>
          <w:sz w:val="24"/>
          <w:szCs w:val="24"/>
        </w:rPr>
        <w:t>62 (100%)</w:t>
      </w:r>
      <w:r>
        <w:rPr>
          <w:rFonts w:ascii="Times New Roman" w:hAnsi="Times New Roman" w:cs="Times New Roman"/>
          <w:color w:val="000000"/>
          <w:sz w:val="24"/>
          <w:szCs w:val="24"/>
        </w:rPr>
        <w:t xml:space="preserve"> на пациенти во </w:t>
      </w:r>
      <w:r w:rsidRPr="00026D1A">
        <w:rPr>
          <w:rFonts w:ascii="Times New Roman" w:hAnsi="Times New Roman" w:cs="Times New Roman"/>
          <w:color w:val="000000"/>
          <w:sz w:val="24"/>
          <w:szCs w:val="24"/>
        </w:rPr>
        <w:t xml:space="preserve">испитуваната група, </w:t>
      </w:r>
      <w:r w:rsidR="009D558D">
        <w:rPr>
          <w:rFonts w:ascii="Times New Roman" w:hAnsi="Times New Roman" w:cs="Times New Roman"/>
          <w:color w:val="000000"/>
          <w:sz w:val="24"/>
          <w:szCs w:val="24"/>
        </w:rPr>
        <w:t xml:space="preserve">со </w:t>
      </w:r>
      <w:r>
        <w:rPr>
          <w:rFonts w:ascii="Times New Roman" w:hAnsi="Times New Roman" w:cs="Times New Roman"/>
          <w:color w:val="000000"/>
          <w:sz w:val="24"/>
          <w:szCs w:val="24"/>
        </w:rPr>
        <w:t xml:space="preserve">бениген тумор на паротидните жлезди </w:t>
      </w:r>
      <w:r w:rsidR="009D558D">
        <w:rPr>
          <w:rFonts w:ascii="Times New Roman" w:hAnsi="Times New Roman" w:cs="Times New Roman"/>
          <w:color w:val="000000"/>
          <w:sz w:val="24"/>
          <w:szCs w:val="24"/>
        </w:rPr>
        <w:t>беа</w:t>
      </w:r>
      <w:r>
        <w:rPr>
          <w:rFonts w:ascii="Times New Roman" w:hAnsi="Times New Roman" w:cs="Times New Roman"/>
          <w:color w:val="000000"/>
          <w:sz w:val="24"/>
          <w:szCs w:val="24"/>
        </w:rPr>
        <w:t xml:space="preserve"> </w:t>
      </w:r>
      <w:r w:rsidR="00EC11BA">
        <w:rPr>
          <w:rFonts w:ascii="Times New Roman" w:hAnsi="Times New Roman" w:cs="Times New Roman"/>
          <w:color w:val="000000"/>
          <w:sz w:val="24"/>
          <w:szCs w:val="24"/>
        </w:rPr>
        <w:t xml:space="preserve">вкупно </w:t>
      </w:r>
      <w:r>
        <w:rPr>
          <w:rFonts w:ascii="Times New Roman" w:hAnsi="Times New Roman" w:cs="Times New Roman"/>
          <w:color w:val="000000"/>
          <w:sz w:val="24"/>
          <w:szCs w:val="24"/>
        </w:rPr>
        <w:t>49 (79,03%)</w:t>
      </w:r>
      <w:r w:rsidR="00EC11BA">
        <w:rPr>
          <w:rFonts w:ascii="Times New Roman" w:hAnsi="Times New Roman" w:cs="Times New Roman"/>
          <w:color w:val="000000"/>
          <w:sz w:val="24"/>
          <w:szCs w:val="24"/>
        </w:rPr>
        <w:t xml:space="preserve"> пациенти</w:t>
      </w:r>
      <w:r>
        <w:rPr>
          <w:rFonts w:ascii="Times New Roman" w:hAnsi="Times New Roman" w:cs="Times New Roman"/>
          <w:color w:val="000000"/>
          <w:sz w:val="24"/>
          <w:szCs w:val="24"/>
        </w:rPr>
        <w:t xml:space="preserve">, додека </w:t>
      </w:r>
      <w:r w:rsidR="00EC11BA">
        <w:rPr>
          <w:rFonts w:ascii="Times New Roman" w:hAnsi="Times New Roman" w:cs="Times New Roman"/>
          <w:color w:val="000000"/>
          <w:sz w:val="24"/>
          <w:szCs w:val="24"/>
        </w:rPr>
        <w:t xml:space="preserve">туморот беше </w:t>
      </w:r>
      <w:r>
        <w:rPr>
          <w:rFonts w:ascii="Times New Roman" w:hAnsi="Times New Roman" w:cs="Times New Roman"/>
          <w:color w:val="000000"/>
          <w:sz w:val="24"/>
          <w:szCs w:val="24"/>
        </w:rPr>
        <w:t xml:space="preserve">малиген </w:t>
      </w:r>
      <w:r w:rsidR="00EC11BA">
        <w:rPr>
          <w:rFonts w:ascii="Times New Roman" w:hAnsi="Times New Roman" w:cs="Times New Roman"/>
          <w:color w:val="000000"/>
          <w:sz w:val="24"/>
          <w:szCs w:val="24"/>
        </w:rPr>
        <w:t>кај</w:t>
      </w:r>
      <w:r>
        <w:rPr>
          <w:rFonts w:ascii="Times New Roman" w:hAnsi="Times New Roman" w:cs="Times New Roman"/>
          <w:color w:val="000000"/>
          <w:sz w:val="24"/>
          <w:szCs w:val="24"/>
        </w:rPr>
        <w:t xml:space="preserve"> 13 (20,97%</w:t>
      </w:r>
      <w:r w:rsidR="00EC11BA">
        <w:rPr>
          <w:rFonts w:ascii="Times New Roman" w:hAnsi="Times New Roman" w:cs="Times New Roman"/>
          <w:color w:val="000000"/>
          <w:sz w:val="24"/>
          <w:szCs w:val="24"/>
        </w:rPr>
        <w:t xml:space="preserve"> од пациентите (Табела 3 и График 4)</w:t>
      </w:r>
      <w:r>
        <w:rPr>
          <w:rFonts w:ascii="Times New Roman" w:hAnsi="Times New Roman" w:cs="Times New Roman"/>
          <w:color w:val="000000"/>
          <w:sz w:val="24"/>
          <w:szCs w:val="24"/>
        </w:rPr>
        <w:t xml:space="preserve">. </w:t>
      </w:r>
    </w:p>
    <w:p w:rsidR="009D558D" w:rsidRDefault="00EC11BA" w:rsidP="00D41B9C">
      <w:pPr>
        <w:spacing w:after="20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Дистрибуцијата на </w:t>
      </w:r>
      <w:r w:rsidR="009D558D">
        <w:rPr>
          <w:rFonts w:ascii="Times New Roman" w:hAnsi="Times New Roman" w:cs="Times New Roman"/>
          <w:color w:val="000000"/>
          <w:sz w:val="24"/>
          <w:szCs w:val="24"/>
        </w:rPr>
        <w:t>бенигните тумори</w:t>
      </w:r>
      <w:r>
        <w:rPr>
          <w:rFonts w:ascii="Times New Roman" w:hAnsi="Times New Roman" w:cs="Times New Roman"/>
          <w:color w:val="000000"/>
          <w:sz w:val="24"/>
          <w:szCs w:val="24"/>
        </w:rPr>
        <w:t xml:space="preserve"> според пол укажа на нивно присуство кај </w:t>
      </w:r>
      <w:r w:rsidRPr="00C003A6">
        <w:rPr>
          <w:rFonts w:ascii="Times New Roman" w:hAnsi="Times New Roman" w:cs="Times New Roman"/>
          <w:color w:val="000000"/>
          <w:sz w:val="24"/>
          <w:szCs w:val="24"/>
        </w:rPr>
        <w:t xml:space="preserve">23 (46,94%) </w:t>
      </w:r>
      <w:r w:rsidR="00975852">
        <w:rPr>
          <w:rFonts w:ascii="Times New Roman" w:hAnsi="Times New Roman" w:cs="Times New Roman"/>
          <w:color w:val="000000"/>
          <w:sz w:val="24"/>
          <w:szCs w:val="24"/>
        </w:rPr>
        <w:t xml:space="preserve">од </w:t>
      </w:r>
      <w:r w:rsidRPr="00C003A6">
        <w:rPr>
          <w:rFonts w:ascii="Times New Roman" w:hAnsi="Times New Roman" w:cs="Times New Roman"/>
          <w:color w:val="000000"/>
          <w:sz w:val="24"/>
          <w:szCs w:val="24"/>
        </w:rPr>
        <w:t>пациенти</w:t>
      </w:r>
      <w:r w:rsidR="00975852">
        <w:rPr>
          <w:rFonts w:ascii="Times New Roman" w:hAnsi="Times New Roman" w:cs="Times New Roman"/>
          <w:color w:val="000000"/>
          <w:sz w:val="24"/>
          <w:szCs w:val="24"/>
        </w:rPr>
        <w:t>те со</w:t>
      </w:r>
      <w:r w:rsidRPr="00C003A6">
        <w:rPr>
          <w:rFonts w:ascii="Times New Roman" w:hAnsi="Times New Roman" w:cs="Times New Roman"/>
          <w:color w:val="000000"/>
          <w:sz w:val="24"/>
          <w:szCs w:val="24"/>
        </w:rPr>
        <w:t xml:space="preserve"> машки пол, и кај 26 (53,06%) од женски пол</w:t>
      </w:r>
      <w:r w:rsidR="009D558D" w:rsidRPr="00C003A6">
        <w:rPr>
          <w:rFonts w:ascii="Times New Roman" w:hAnsi="Times New Roman" w:cs="Times New Roman"/>
          <w:color w:val="000000"/>
          <w:sz w:val="24"/>
          <w:szCs w:val="24"/>
        </w:rPr>
        <w:t>.</w:t>
      </w:r>
      <w:r w:rsidR="00C003A6" w:rsidRPr="00C003A6">
        <w:rPr>
          <w:rFonts w:ascii="Times New Roman" w:hAnsi="Times New Roman" w:cs="Times New Roman"/>
          <w:color w:val="000000"/>
          <w:sz w:val="24"/>
          <w:szCs w:val="24"/>
        </w:rPr>
        <w:t xml:space="preserve"> За p&gt;0,05, во примерокот на бенигни тумори немаше сигнификантна процентуална разлика во застапеноста на половите (Difference test: 16,1% [(-3,4-34,0) 95% CI]; p=0</w:t>
      </w:r>
      <w:r w:rsidR="00C003A6" w:rsidRPr="00A926CA">
        <w:rPr>
          <w:rFonts w:ascii="Times New Roman" w:hAnsi="Times New Roman" w:cs="Times New Roman"/>
          <w:color w:val="000000"/>
          <w:sz w:val="24"/>
          <w:szCs w:val="24"/>
          <w:lang w:val="ru-RU"/>
        </w:rPr>
        <w:t>,</w:t>
      </w:r>
      <w:r w:rsidR="00C003A6" w:rsidRPr="00C003A6">
        <w:rPr>
          <w:rFonts w:ascii="Times New Roman" w:hAnsi="Times New Roman" w:cs="Times New Roman"/>
          <w:color w:val="000000"/>
          <w:sz w:val="24"/>
          <w:szCs w:val="24"/>
        </w:rPr>
        <w:t>1106).</w:t>
      </w:r>
    </w:p>
    <w:p w:rsidR="00C003A6" w:rsidRDefault="00EC11BA" w:rsidP="00D41B9C">
      <w:pPr>
        <w:spacing w:after="20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Од пациенти</w:t>
      </w:r>
      <w:r w:rsidR="00975852">
        <w:rPr>
          <w:rFonts w:ascii="Times New Roman" w:hAnsi="Times New Roman" w:cs="Times New Roman"/>
          <w:color w:val="000000"/>
          <w:sz w:val="24"/>
          <w:szCs w:val="24"/>
        </w:rPr>
        <w:t>те</w:t>
      </w:r>
      <w:r>
        <w:rPr>
          <w:rFonts w:ascii="Times New Roman" w:hAnsi="Times New Roman" w:cs="Times New Roman"/>
          <w:color w:val="000000"/>
          <w:sz w:val="24"/>
          <w:szCs w:val="24"/>
        </w:rPr>
        <w:t xml:space="preserve"> со малигни тумори на паротидните жлезди, 9 (</w:t>
      </w:r>
      <w:r w:rsidR="00C003A6">
        <w:rPr>
          <w:rFonts w:ascii="Times New Roman" w:hAnsi="Times New Roman" w:cs="Times New Roman"/>
          <w:color w:val="000000"/>
          <w:sz w:val="24"/>
          <w:szCs w:val="24"/>
        </w:rPr>
        <w:t>6</w:t>
      </w:r>
      <w:r>
        <w:rPr>
          <w:rFonts w:ascii="Times New Roman" w:hAnsi="Times New Roman" w:cs="Times New Roman"/>
          <w:color w:val="000000"/>
          <w:sz w:val="24"/>
          <w:szCs w:val="24"/>
        </w:rPr>
        <w:t xml:space="preserve">9,23%) беа од </w:t>
      </w:r>
      <w:r w:rsidR="00C003A6">
        <w:rPr>
          <w:rFonts w:ascii="Times New Roman" w:hAnsi="Times New Roman" w:cs="Times New Roman"/>
          <w:color w:val="000000"/>
          <w:sz w:val="24"/>
          <w:szCs w:val="24"/>
        </w:rPr>
        <w:t>машки</w:t>
      </w:r>
      <w:r>
        <w:rPr>
          <w:rFonts w:ascii="Times New Roman" w:hAnsi="Times New Roman" w:cs="Times New Roman"/>
          <w:color w:val="000000"/>
          <w:sz w:val="24"/>
          <w:szCs w:val="24"/>
        </w:rPr>
        <w:t xml:space="preserve"> пол, а 4 (30,77%) беа од </w:t>
      </w:r>
      <w:r w:rsidR="00C003A6">
        <w:rPr>
          <w:rFonts w:ascii="Times New Roman" w:hAnsi="Times New Roman" w:cs="Times New Roman"/>
          <w:color w:val="000000"/>
          <w:sz w:val="24"/>
          <w:szCs w:val="24"/>
        </w:rPr>
        <w:t>же</w:t>
      </w:r>
      <w:r w:rsidR="00975852">
        <w:rPr>
          <w:rFonts w:ascii="Times New Roman" w:hAnsi="Times New Roman" w:cs="Times New Roman"/>
          <w:color w:val="000000"/>
          <w:sz w:val="24"/>
          <w:szCs w:val="24"/>
        </w:rPr>
        <w:t>н</w:t>
      </w:r>
      <w:r w:rsidR="00C003A6">
        <w:rPr>
          <w:rFonts w:ascii="Times New Roman" w:hAnsi="Times New Roman" w:cs="Times New Roman"/>
          <w:color w:val="000000"/>
          <w:sz w:val="24"/>
          <w:szCs w:val="24"/>
        </w:rPr>
        <w:t xml:space="preserve">ски </w:t>
      </w:r>
      <w:r>
        <w:rPr>
          <w:rFonts w:ascii="Times New Roman" w:hAnsi="Times New Roman" w:cs="Times New Roman"/>
          <w:color w:val="000000"/>
          <w:sz w:val="24"/>
          <w:szCs w:val="24"/>
        </w:rPr>
        <w:t>пол</w:t>
      </w:r>
      <w:r w:rsidR="00C003A6">
        <w:rPr>
          <w:rFonts w:ascii="Times New Roman" w:hAnsi="Times New Roman" w:cs="Times New Roman"/>
          <w:color w:val="000000"/>
          <w:sz w:val="24"/>
          <w:szCs w:val="24"/>
        </w:rPr>
        <w:t xml:space="preserve">. </w:t>
      </w:r>
      <w:r w:rsidR="00C003A6" w:rsidRPr="00C003A6">
        <w:rPr>
          <w:rFonts w:ascii="Times New Roman" w:hAnsi="Times New Roman" w:cs="Times New Roman"/>
          <w:color w:val="000000"/>
          <w:sz w:val="24"/>
          <w:szCs w:val="24"/>
        </w:rPr>
        <w:t xml:space="preserve">За p&gt;0,05, во примерокот на </w:t>
      </w:r>
      <w:r w:rsidR="00C003A6">
        <w:rPr>
          <w:rFonts w:ascii="Times New Roman" w:hAnsi="Times New Roman" w:cs="Times New Roman"/>
          <w:color w:val="000000"/>
          <w:sz w:val="24"/>
          <w:szCs w:val="24"/>
        </w:rPr>
        <w:t>малигни</w:t>
      </w:r>
      <w:r w:rsidR="00C003A6" w:rsidRPr="00C003A6">
        <w:rPr>
          <w:rFonts w:ascii="Times New Roman" w:hAnsi="Times New Roman" w:cs="Times New Roman"/>
          <w:color w:val="000000"/>
          <w:sz w:val="24"/>
          <w:szCs w:val="24"/>
        </w:rPr>
        <w:t xml:space="preserve"> тумори немаше сигнификантна процентуална разлика во застапеноста на половите (Difference test: </w:t>
      </w:r>
      <w:r w:rsidR="00C003A6">
        <w:rPr>
          <w:rFonts w:ascii="Times New Roman" w:hAnsi="Times New Roman" w:cs="Times New Roman"/>
          <w:color w:val="000000"/>
          <w:sz w:val="24"/>
          <w:szCs w:val="24"/>
        </w:rPr>
        <w:t>38,5% [(0,47</w:t>
      </w:r>
      <w:r w:rsidR="00C003A6" w:rsidRPr="00C003A6">
        <w:rPr>
          <w:rFonts w:ascii="Times New Roman" w:hAnsi="Times New Roman" w:cs="Times New Roman"/>
          <w:color w:val="000000"/>
          <w:sz w:val="24"/>
          <w:szCs w:val="24"/>
        </w:rPr>
        <w:t>-</w:t>
      </w:r>
      <w:r w:rsidR="00C003A6">
        <w:rPr>
          <w:rFonts w:ascii="Times New Roman" w:hAnsi="Times New Roman" w:cs="Times New Roman"/>
          <w:color w:val="000000"/>
          <w:sz w:val="24"/>
          <w:szCs w:val="24"/>
        </w:rPr>
        <w:t>6</w:t>
      </w:r>
      <w:r w:rsidR="00C003A6" w:rsidRPr="00C003A6">
        <w:rPr>
          <w:rFonts w:ascii="Times New Roman" w:hAnsi="Times New Roman" w:cs="Times New Roman"/>
          <w:color w:val="000000"/>
          <w:sz w:val="24"/>
          <w:szCs w:val="24"/>
        </w:rPr>
        <w:t>4,0</w:t>
      </w:r>
      <w:r w:rsidR="00C003A6">
        <w:rPr>
          <w:rFonts w:ascii="Times New Roman" w:hAnsi="Times New Roman" w:cs="Times New Roman"/>
          <w:color w:val="000000"/>
          <w:sz w:val="24"/>
          <w:szCs w:val="24"/>
        </w:rPr>
        <w:t>4</w:t>
      </w:r>
      <w:r w:rsidR="00C003A6" w:rsidRPr="00C003A6">
        <w:rPr>
          <w:rFonts w:ascii="Times New Roman" w:hAnsi="Times New Roman" w:cs="Times New Roman"/>
          <w:color w:val="000000"/>
          <w:sz w:val="24"/>
          <w:szCs w:val="24"/>
        </w:rPr>
        <w:t>) 95% CI]; p=0</w:t>
      </w:r>
      <w:r w:rsidR="00C003A6" w:rsidRPr="00A926CA">
        <w:rPr>
          <w:rFonts w:ascii="Times New Roman" w:hAnsi="Times New Roman" w:cs="Times New Roman"/>
          <w:color w:val="000000"/>
          <w:sz w:val="24"/>
          <w:szCs w:val="24"/>
          <w:lang w:val="ru-RU"/>
        </w:rPr>
        <w:t>,</w:t>
      </w:r>
      <w:r w:rsidR="00C003A6">
        <w:rPr>
          <w:rFonts w:ascii="Times New Roman" w:hAnsi="Times New Roman" w:cs="Times New Roman"/>
          <w:color w:val="000000"/>
          <w:sz w:val="24"/>
          <w:szCs w:val="24"/>
        </w:rPr>
        <w:t>0545</w:t>
      </w:r>
      <w:r w:rsidR="00C003A6" w:rsidRPr="00C003A6">
        <w:rPr>
          <w:rFonts w:ascii="Times New Roman" w:hAnsi="Times New Roman" w:cs="Times New Roman"/>
          <w:color w:val="000000"/>
          <w:sz w:val="24"/>
          <w:szCs w:val="24"/>
        </w:rPr>
        <w:t>).</w:t>
      </w:r>
    </w:p>
    <w:p w:rsidR="00D47DC2" w:rsidRPr="00026D1A" w:rsidRDefault="00D47DC2" w:rsidP="00D41B9C">
      <w:pPr>
        <w:ind w:firstLine="720"/>
        <w:jc w:val="both"/>
        <w:rPr>
          <w:rFonts w:ascii="Times New Roman" w:hAnsi="Times New Roman" w:cs="Times New Roman"/>
          <w:color w:val="000000"/>
          <w:sz w:val="24"/>
          <w:szCs w:val="24"/>
        </w:rPr>
      </w:pPr>
      <w:r w:rsidRPr="00026D1A">
        <w:rPr>
          <w:rFonts w:ascii="Times New Roman" w:hAnsi="Times New Roman" w:cs="Times New Roman"/>
          <w:color w:val="000000"/>
          <w:sz w:val="24"/>
          <w:szCs w:val="24"/>
          <w:lang w:eastAsia="mk-MK"/>
        </w:rPr>
        <w:t xml:space="preserve">За p&gt;0,05, </w:t>
      </w:r>
      <w:r w:rsidR="00C003A6">
        <w:rPr>
          <w:rFonts w:ascii="Times New Roman" w:hAnsi="Times New Roman" w:cs="Times New Roman"/>
          <w:color w:val="000000"/>
          <w:sz w:val="24"/>
          <w:szCs w:val="24"/>
          <w:lang w:eastAsia="mk-MK"/>
        </w:rPr>
        <w:t xml:space="preserve">согласно анализата, немаше </w:t>
      </w:r>
      <w:r w:rsidRPr="00026D1A">
        <w:rPr>
          <w:rFonts w:ascii="Times New Roman" w:hAnsi="Times New Roman" w:cs="Times New Roman"/>
          <w:color w:val="000000"/>
          <w:sz w:val="24"/>
          <w:szCs w:val="24"/>
          <w:lang w:eastAsia="mk-MK"/>
        </w:rPr>
        <w:t xml:space="preserve">сигнификантна асоцијација помеѓу полот на испитаниците и </w:t>
      </w:r>
      <w:r w:rsidR="00C003A6">
        <w:rPr>
          <w:rFonts w:ascii="Times New Roman" w:hAnsi="Times New Roman" w:cs="Times New Roman"/>
          <w:color w:val="000000"/>
          <w:sz w:val="24"/>
          <w:szCs w:val="24"/>
          <w:lang w:eastAsia="mk-MK"/>
        </w:rPr>
        <w:t xml:space="preserve">видот на туморот </w:t>
      </w:r>
      <w:r w:rsidR="00B74A72">
        <w:rPr>
          <w:rFonts w:ascii="Times New Roman" w:hAnsi="Times New Roman" w:cs="Times New Roman"/>
          <w:color w:val="000000"/>
          <w:sz w:val="24"/>
          <w:szCs w:val="24"/>
          <w:lang w:eastAsia="mk-MK"/>
        </w:rPr>
        <w:t xml:space="preserve">(бениген/ малиген) </w:t>
      </w:r>
      <w:r w:rsidR="00C003A6">
        <w:rPr>
          <w:rFonts w:ascii="Times New Roman" w:hAnsi="Times New Roman" w:cs="Times New Roman"/>
          <w:color w:val="000000"/>
          <w:sz w:val="24"/>
          <w:szCs w:val="24"/>
          <w:lang w:eastAsia="mk-MK"/>
        </w:rPr>
        <w:t xml:space="preserve">кој го имаат </w:t>
      </w:r>
      <w:r w:rsidRPr="00026D1A">
        <w:rPr>
          <w:rFonts w:ascii="Times New Roman" w:hAnsi="Times New Roman" w:cs="Times New Roman"/>
          <w:color w:val="000000"/>
          <w:sz w:val="24"/>
          <w:szCs w:val="24"/>
          <w:lang w:eastAsia="mk-MK"/>
        </w:rPr>
        <w:t>(</w:t>
      </w:r>
      <w:r w:rsidRPr="00026D1A">
        <w:rPr>
          <w:rFonts w:ascii="Times New Roman" w:hAnsi="Times New Roman"/>
          <w:color w:val="000000"/>
          <w:sz w:val="24"/>
          <w:szCs w:val="24"/>
          <w:lang w:eastAsia="mk-MK"/>
        </w:rPr>
        <w:t xml:space="preserve">Pearson Chi-square test: </w:t>
      </w:r>
      <w:r w:rsidRPr="00026D1A">
        <w:rPr>
          <w:rFonts w:ascii="Times New Roman" w:hAnsi="Times New Roman"/>
          <w:color w:val="000000"/>
          <w:sz w:val="24"/>
          <w:szCs w:val="24"/>
          <w:lang w:val="en-US"/>
        </w:rPr>
        <w:t>X</w:t>
      </w:r>
      <w:r w:rsidRPr="00A926CA">
        <w:rPr>
          <w:rFonts w:ascii="Times New Roman" w:hAnsi="Times New Roman"/>
          <w:color w:val="000000"/>
          <w:sz w:val="24"/>
          <w:szCs w:val="24"/>
          <w:vertAlign w:val="superscript"/>
          <w:lang w:val="ru-RU"/>
        </w:rPr>
        <w:t>2</w:t>
      </w:r>
      <w:r w:rsidRPr="00A926CA">
        <w:rPr>
          <w:rFonts w:ascii="Times New Roman" w:hAnsi="Times New Roman"/>
          <w:color w:val="000000"/>
          <w:sz w:val="24"/>
          <w:szCs w:val="24"/>
          <w:lang w:val="ru-RU"/>
        </w:rPr>
        <w:t>=</w:t>
      </w:r>
      <w:r w:rsidR="00C003A6">
        <w:rPr>
          <w:rFonts w:ascii="Times New Roman" w:hAnsi="Times New Roman"/>
          <w:color w:val="000000"/>
          <w:sz w:val="24"/>
          <w:szCs w:val="24"/>
        </w:rPr>
        <w:t>2,044</w:t>
      </w:r>
      <w:r w:rsidRPr="00A926CA">
        <w:rPr>
          <w:rFonts w:ascii="Times New Roman" w:hAnsi="Times New Roman"/>
          <w:color w:val="000000"/>
          <w:sz w:val="24"/>
          <w:szCs w:val="24"/>
          <w:lang w:val="ru-RU"/>
        </w:rPr>
        <w:t xml:space="preserve">; </w:t>
      </w:r>
      <w:r w:rsidRPr="00026D1A">
        <w:rPr>
          <w:rFonts w:ascii="Times New Roman" w:hAnsi="Times New Roman"/>
          <w:color w:val="000000"/>
          <w:sz w:val="24"/>
          <w:szCs w:val="24"/>
          <w:lang w:val="en-US"/>
        </w:rPr>
        <w:t>df</w:t>
      </w:r>
      <w:r w:rsidRPr="00A926CA">
        <w:rPr>
          <w:rFonts w:ascii="Times New Roman" w:hAnsi="Times New Roman"/>
          <w:color w:val="000000"/>
          <w:sz w:val="24"/>
          <w:szCs w:val="24"/>
          <w:lang w:val="ru-RU"/>
        </w:rPr>
        <w:t xml:space="preserve">=1; </w:t>
      </w:r>
      <w:r w:rsidRPr="00026D1A">
        <w:rPr>
          <w:rFonts w:ascii="Times New Roman" w:hAnsi="Times New Roman"/>
          <w:color w:val="000000"/>
          <w:sz w:val="24"/>
          <w:szCs w:val="24"/>
          <w:lang w:val="en-US"/>
        </w:rPr>
        <w:t>p</w:t>
      </w:r>
      <w:r w:rsidRPr="00A926CA">
        <w:rPr>
          <w:rFonts w:ascii="Times New Roman" w:hAnsi="Times New Roman"/>
          <w:color w:val="000000"/>
          <w:sz w:val="24"/>
          <w:szCs w:val="24"/>
          <w:lang w:val="ru-RU"/>
        </w:rPr>
        <w:t>=0,</w:t>
      </w:r>
      <w:r w:rsidR="00C003A6">
        <w:rPr>
          <w:rFonts w:ascii="Times New Roman" w:hAnsi="Times New Roman"/>
          <w:color w:val="000000"/>
          <w:sz w:val="24"/>
          <w:szCs w:val="24"/>
        </w:rPr>
        <w:t>1528</w:t>
      </w:r>
      <w:r w:rsidRPr="00026D1A">
        <w:rPr>
          <w:rFonts w:ascii="Times New Roman" w:hAnsi="Times New Roman"/>
          <w:color w:val="000000"/>
          <w:sz w:val="24"/>
          <w:szCs w:val="24"/>
          <w:lang w:eastAsia="mk-MK"/>
        </w:rPr>
        <w:t xml:space="preserve">). </w:t>
      </w:r>
    </w:p>
    <w:p w:rsidR="00A57DD8" w:rsidRDefault="00446A60" w:rsidP="0056672A">
      <w:pPr>
        <w:spacing w:line="360" w:lineRule="auto"/>
        <w:jc w:val="both"/>
        <w:rPr>
          <w:rFonts w:ascii="Times New Roman" w:hAnsi="Times New Roman" w:cs="Times New Roman"/>
          <w:b/>
          <w:color w:val="000000"/>
          <w:sz w:val="20"/>
          <w:szCs w:val="20"/>
          <w:highlight w:val="yellow"/>
        </w:rPr>
      </w:pPr>
      <w:r>
        <w:rPr>
          <w:noProof/>
          <w:lang w:val="en-US"/>
        </w:rPr>
        <w:lastRenderedPageBreak/>
        <w:drawing>
          <wp:anchor distT="0" distB="0" distL="114300" distR="114300" simplePos="0" relativeHeight="251645440" behindDoc="1" locked="0" layoutInCell="1" allowOverlap="1">
            <wp:simplePos x="0" y="0"/>
            <wp:positionH relativeFrom="column">
              <wp:posOffset>-190500</wp:posOffset>
            </wp:positionH>
            <wp:positionV relativeFrom="paragraph">
              <wp:posOffset>431800</wp:posOffset>
            </wp:positionV>
            <wp:extent cx="6286500" cy="1473200"/>
            <wp:effectExtent l="19050" t="0" r="0" b="0"/>
            <wp:wrapTight wrapText="bothSides">
              <wp:wrapPolygon edited="0">
                <wp:start x="-65" y="0"/>
                <wp:lineTo x="-65" y="20110"/>
                <wp:lineTo x="2684" y="20948"/>
                <wp:lineTo x="8771" y="20948"/>
                <wp:lineTo x="9295" y="20948"/>
                <wp:lineTo x="17738" y="20948"/>
                <wp:lineTo x="21600" y="20110"/>
                <wp:lineTo x="21600" y="3072"/>
                <wp:lineTo x="20815" y="2234"/>
                <wp:lineTo x="17738" y="0"/>
                <wp:lineTo x="-65" y="0"/>
              </wp:wrapPolygon>
            </wp:wrapTight>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8"/>
                    <a:srcRect/>
                    <a:stretch>
                      <a:fillRect/>
                    </a:stretch>
                  </pic:blipFill>
                  <pic:spPr bwMode="auto">
                    <a:xfrm>
                      <a:off x="0" y="0"/>
                      <a:ext cx="6286500" cy="1473200"/>
                    </a:xfrm>
                    <a:prstGeom prst="rect">
                      <a:avLst/>
                    </a:prstGeom>
                    <a:noFill/>
                    <a:ln w="9525">
                      <a:noFill/>
                      <a:miter lim="800000"/>
                      <a:headEnd/>
                      <a:tailEnd/>
                    </a:ln>
                  </pic:spPr>
                </pic:pic>
              </a:graphicData>
            </a:graphic>
          </wp:anchor>
        </w:drawing>
      </w:r>
    </w:p>
    <w:p w:rsidR="007157FC" w:rsidRDefault="007157FC" w:rsidP="00881FAD">
      <w:pPr>
        <w:spacing w:line="360" w:lineRule="auto"/>
        <w:rPr>
          <w:rFonts w:ascii="Times New Roman" w:hAnsi="Times New Roman" w:cs="Times New Roman"/>
          <w:b/>
          <w:color w:val="000000"/>
          <w:sz w:val="20"/>
          <w:szCs w:val="20"/>
        </w:rPr>
      </w:pPr>
    </w:p>
    <w:p w:rsidR="00EC1602" w:rsidRPr="004D2F91" w:rsidRDefault="00EC1602" w:rsidP="00E27F8C">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График 4. Анализа на испитувана група според вид на тумор </w:t>
      </w:r>
      <w:r w:rsidR="00E27F8C">
        <w:rPr>
          <w:rFonts w:ascii="Times New Roman" w:hAnsi="Times New Roman" w:cs="Times New Roman"/>
          <w:b/>
          <w:color w:val="000000"/>
          <w:sz w:val="20"/>
          <w:szCs w:val="20"/>
        </w:rPr>
        <w:t xml:space="preserve">на паротидни жлезди </w:t>
      </w:r>
      <w:r>
        <w:rPr>
          <w:rFonts w:ascii="Times New Roman" w:hAnsi="Times New Roman" w:cs="Times New Roman"/>
          <w:b/>
          <w:color w:val="000000"/>
          <w:sz w:val="20"/>
          <w:szCs w:val="20"/>
        </w:rPr>
        <w:t>и пол</w:t>
      </w:r>
    </w:p>
    <w:p w:rsidR="00A57DD8" w:rsidRPr="00A926CA" w:rsidRDefault="00A57DD8" w:rsidP="0056672A">
      <w:pPr>
        <w:spacing w:line="360" w:lineRule="auto"/>
        <w:jc w:val="both"/>
        <w:rPr>
          <w:rFonts w:ascii="Times New Roman" w:hAnsi="Times New Roman" w:cs="Times New Roman"/>
          <w:b/>
          <w:color w:val="000000"/>
          <w:sz w:val="20"/>
          <w:szCs w:val="20"/>
          <w:highlight w:val="yellow"/>
          <w:lang w:val="ru-RU"/>
        </w:rPr>
      </w:pPr>
    </w:p>
    <w:p w:rsidR="00437954" w:rsidRDefault="00437954" w:rsidP="00437954">
      <w:pPr>
        <w:spacing w:line="360" w:lineRule="auto"/>
        <w:ind w:firstLine="720"/>
        <w:jc w:val="both"/>
        <w:rPr>
          <w:rFonts w:ascii="Times New Roman" w:hAnsi="Times New Roman" w:cs="Times New Roman"/>
          <w:color w:val="000000"/>
          <w:sz w:val="24"/>
          <w:szCs w:val="24"/>
        </w:rPr>
      </w:pPr>
    </w:p>
    <w:p w:rsidR="00081C20" w:rsidRPr="00437954" w:rsidRDefault="00881FAD" w:rsidP="0007057C">
      <w:pPr>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Вид на тумор/ возраст/ пол -</w:t>
      </w:r>
      <w:r>
        <w:rPr>
          <w:rFonts w:ascii="Times New Roman" w:hAnsi="Times New Roman" w:cs="Times New Roman"/>
          <w:color w:val="000000"/>
          <w:sz w:val="24"/>
          <w:szCs w:val="24"/>
        </w:rPr>
        <w:t xml:space="preserve"> </w:t>
      </w:r>
      <w:r w:rsidR="00081C20" w:rsidRPr="00437954">
        <w:rPr>
          <w:rFonts w:ascii="Times New Roman" w:hAnsi="Times New Roman" w:cs="Times New Roman"/>
          <w:color w:val="000000"/>
          <w:sz w:val="24"/>
          <w:szCs w:val="24"/>
        </w:rPr>
        <w:t xml:space="preserve">Дополнително, </w:t>
      </w:r>
      <w:r w:rsidR="00437954" w:rsidRPr="00437954">
        <w:rPr>
          <w:rFonts w:ascii="Times New Roman" w:hAnsi="Times New Roman" w:cs="Times New Roman"/>
          <w:color w:val="000000"/>
          <w:sz w:val="24"/>
          <w:szCs w:val="24"/>
        </w:rPr>
        <w:t xml:space="preserve">кај пациентите </w:t>
      </w:r>
      <w:r w:rsidR="0063622D">
        <w:rPr>
          <w:rFonts w:ascii="Times New Roman" w:hAnsi="Times New Roman" w:cs="Times New Roman"/>
          <w:sz w:val="24"/>
          <w:szCs w:val="24"/>
        </w:rPr>
        <w:t xml:space="preserve">од испитуваната група </w:t>
      </w:r>
      <w:r w:rsidR="00437954" w:rsidRPr="00437954">
        <w:rPr>
          <w:rFonts w:ascii="Times New Roman" w:hAnsi="Times New Roman" w:cs="Times New Roman"/>
          <w:color w:val="000000"/>
          <w:sz w:val="24"/>
          <w:szCs w:val="24"/>
        </w:rPr>
        <w:t xml:space="preserve">со </w:t>
      </w:r>
      <w:r w:rsidR="00081C20" w:rsidRPr="00437954">
        <w:rPr>
          <w:rFonts w:ascii="Times New Roman" w:hAnsi="Times New Roman" w:cs="Times New Roman"/>
          <w:sz w:val="24"/>
          <w:szCs w:val="24"/>
        </w:rPr>
        <w:t xml:space="preserve">тумор на паротидните жлезди </w:t>
      </w:r>
      <w:r w:rsidR="00437954" w:rsidRPr="00437954">
        <w:rPr>
          <w:rFonts w:ascii="Times New Roman" w:hAnsi="Times New Roman" w:cs="Times New Roman"/>
          <w:sz w:val="24"/>
          <w:szCs w:val="24"/>
        </w:rPr>
        <w:t xml:space="preserve">(бениген/ малиген) </w:t>
      </w:r>
      <w:r w:rsidR="00081C20" w:rsidRPr="00437954">
        <w:rPr>
          <w:rFonts w:ascii="Times New Roman" w:hAnsi="Times New Roman" w:cs="Times New Roman"/>
          <w:sz w:val="24"/>
          <w:szCs w:val="24"/>
        </w:rPr>
        <w:t xml:space="preserve">беше </w:t>
      </w:r>
      <w:r w:rsidR="00437954" w:rsidRPr="00437954">
        <w:rPr>
          <w:rFonts w:ascii="Times New Roman" w:hAnsi="Times New Roman" w:cs="Times New Roman"/>
          <w:sz w:val="24"/>
          <w:szCs w:val="24"/>
        </w:rPr>
        <w:t xml:space="preserve">направена анализа </w:t>
      </w:r>
      <w:r w:rsidR="0063622D">
        <w:rPr>
          <w:rFonts w:ascii="Times New Roman" w:hAnsi="Times New Roman" w:cs="Times New Roman"/>
          <w:sz w:val="24"/>
          <w:szCs w:val="24"/>
        </w:rPr>
        <w:t xml:space="preserve">според </w:t>
      </w:r>
      <w:r w:rsidR="00437954" w:rsidRPr="00437954">
        <w:rPr>
          <w:rFonts w:ascii="Times New Roman" w:hAnsi="Times New Roman" w:cs="Times New Roman"/>
          <w:sz w:val="24"/>
          <w:szCs w:val="24"/>
        </w:rPr>
        <w:t>возраст</w:t>
      </w:r>
      <w:r w:rsidR="0063622D">
        <w:rPr>
          <w:rFonts w:ascii="Times New Roman" w:hAnsi="Times New Roman" w:cs="Times New Roman"/>
          <w:sz w:val="24"/>
          <w:szCs w:val="24"/>
        </w:rPr>
        <w:t>а</w:t>
      </w:r>
      <w:r w:rsidR="00437954" w:rsidRPr="00437954">
        <w:rPr>
          <w:rFonts w:ascii="Times New Roman" w:hAnsi="Times New Roman" w:cs="Times New Roman"/>
          <w:sz w:val="24"/>
          <w:szCs w:val="24"/>
        </w:rPr>
        <w:t xml:space="preserve"> </w:t>
      </w:r>
      <w:r w:rsidR="00715E87">
        <w:rPr>
          <w:rFonts w:ascii="Times New Roman" w:hAnsi="Times New Roman" w:cs="Times New Roman"/>
          <w:sz w:val="24"/>
          <w:szCs w:val="24"/>
        </w:rPr>
        <w:t xml:space="preserve">во години </w:t>
      </w:r>
      <w:r w:rsidR="0063622D">
        <w:rPr>
          <w:rFonts w:ascii="Times New Roman" w:hAnsi="Times New Roman" w:cs="Times New Roman"/>
          <w:sz w:val="24"/>
          <w:szCs w:val="24"/>
        </w:rPr>
        <w:t xml:space="preserve">и </w:t>
      </w:r>
      <w:r w:rsidR="00437954">
        <w:rPr>
          <w:rFonts w:ascii="Times New Roman" w:hAnsi="Times New Roman" w:cs="Times New Roman"/>
          <w:sz w:val="24"/>
          <w:szCs w:val="24"/>
        </w:rPr>
        <w:t xml:space="preserve">пол како и </w:t>
      </w:r>
      <w:r w:rsidR="00437954" w:rsidRPr="00437954">
        <w:rPr>
          <w:rFonts w:ascii="Times New Roman" w:hAnsi="Times New Roman" w:cs="Times New Roman"/>
          <w:sz w:val="24"/>
          <w:szCs w:val="24"/>
        </w:rPr>
        <w:t>вкупно</w:t>
      </w:r>
      <w:r w:rsidR="00715E87">
        <w:rPr>
          <w:rFonts w:ascii="Times New Roman" w:hAnsi="Times New Roman" w:cs="Times New Roman"/>
          <w:sz w:val="24"/>
          <w:szCs w:val="24"/>
        </w:rPr>
        <w:t xml:space="preserve"> </w:t>
      </w:r>
      <w:r w:rsidR="00437954">
        <w:rPr>
          <w:rFonts w:ascii="Times New Roman" w:hAnsi="Times New Roman" w:cs="Times New Roman"/>
          <w:sz w:val="24"/>
          <w:szCs w:val="24"/>
        </w:rPr>
        <w:t>(Табела 4</w:t>
      </w:r>
      <w:r w:rsidR="004B646F">
        <w:rPr>
          <w:rFonts w:ascii="Times New Roman" w:hAnsi="Times New Roman" w:cs="Times New Roman"/>
          <w:sz w:val="24"/>
          <w:szCs w:val="24"/>
        </w:rPr>
        <w:t xml:space="preserve"> </w:t>
      </w:r>
      <w:r w:rsidR="00363810">
        <w:rPr>
          <w:rFonts w:ascii="Times New Roman" w:hAnsi="Times New Roman" w:cs="Times New Roman"/>
          <w:sz w:val="24"/>
          <w:szCs w:val="24"/>
        </w:rPr>
        <w:t xml:space="preserve">и </w:t>
      </w:r>
      <w:r w:rsidR="004B646F">
        <w:rPr>
          <w:rFonts w:ascii="Times New Roman" w:hAnsi="Times New Roman" w:cs="Times New Roman"/>
          <w:sz w:val="24"/>
          <w:szCs w:val="24"/>
        </w:rPr>
        <w:t>График 5-6</w:t>
      </w:r>
      <w:r w:rsidR="00437954">
        <w:rPr>
          <w:rFonts w:ascii="Times New Roman" w:hAnsi="Times New Roman" w:cs="Times New Roman"/>
          <w:sz w:val="24"/>
          <w:szCs w:val="24"/>
        </w:rPr>
        <w:t>)</w:t>
      </w:r>
      <w:r w:rsidR="00715E87">
        <w:rPr>
          <w:rFonts w:ascii="Times New Roman" w:hAnsi="Times New Roman" w:cs="Times New Roman"/>
          <w:sz w:val="24"/>
          <w:szCs w:val="24"/>
        </w:rPr>
        <w:t>.</w:t>
      </w:r>
    </w:p>
    <w:p w:rsidR="00A57DD8" w:rsidRDefault="00A57DD8" w:rsidP="0056672A">
      <w:pPr>
        <w:spacing w:line="360" w:lineRule="auto"/>
        <w:jc w:val="both"/>
        <w:rPr>
          <w:rFonts w:ascii="Times New Roman" w:hAnsi="Times New Roman" w:cs="Times New Roman"/>
          <w:b/>
          <w:color w:val="000000"/>
          <w:sz w:val="20"/>
          <w:szCs w:val="20"/>
          <w:highlight w:val="yellow"/>
        </w:rPr>
      </w:pPr>
    </w:p>
    <w:p w:rsidR="0005076C" w:rsidRPr="00995D7E" w:rsidRDefault="0005076C" w:rsidP="00995D7E">
      <w:pPr>
        <w:spacing w:line="360" w:lineRule="auto"/>
        <w:jc w:val="both"/>
        <w:rPr>
          <w:rFonts w:ascii="Times New Roman" w:hAnsi="Times New Roman" w:cs="Times New Roman"/>
          <w:b/>
          <w:color w:val="000000"/>
          <w:sz w:val="20"/>
          <w:szCs w:val="20"/>
        </w:rPr>
      </w:pPr>
      <w:r w:rsidRPr="00995D7E">
        <w:rPr>
          <w:rFonts w:ascii="Times New Roman" w:hAnsi="Times New Roman" w:cs="Times New Roman"/>
          <w:b/>
          <w:color w:val="000000"/>
          <w:sz w:val="20"/>
          <w:szCs w:val="20"/>
        </w:rPr>
        <w:t xml:space="preserve">Табела </w:t>
      </w:r>
      <w:r w:rsidR="00995D7E" w:rsidRPr="00A926CA">
        <w:rPr>
          <w:rFonts w:ascii="Times New Roman" w:hAnsi="Times New Roman" w:cs="Times New Roman"/>
          <w:b/>
          <w:color w:val="000000"/>
          <w:sz w:val="20"/>
          <w:szCs w:val="20"/>
          <w:lang w:val="ru-RU"/>
        </w:rPr>
        <w:t>4</w:t>
      </w:r>
      <w:r w:rsidRPr="00995D7E">
        <w:rPr>
          <w:rFonts w:ascii="Times New Roman" w:hAnsi="Times New Roman" w:cs="Times New Roman"/>
          <w:b/>
          <w:color w:val="000000"/>
          <w:sz w:val="20"/>
          <w:szCs w:val="20"/>
        </w:rPr>
        <w:t xml:space="preserve">. Анализа на </w:t>
      </w:r>
      <w:r w:rsidR="00995D7E" w:rsidRPr="00A926CA">
        <w:rPr>
          <w:rFonts w:ascii="Times New Roman" w:hAnsi="Times New Roman" w:cs="Times New Roman"/>
          <w:b/>
          <w:color w:val="000000"/>
          <w:sz w:val="20"/>
          <w:szCs w:val="20"/>
          <w:lang w:val="ru-RU"/>
        </w:rPr>
        <w:t xml:space="preserve">вид на тумор </w:t>
      </w:r>
      <w:r w:rsidR="00E27F8C">
        <w:rPr>
          <w:rFonts w:ascii="Times New Roman" w:hAnsi="Times New Roman" w:cs="Times New Roman"/>
          <w:b/>
          <w:color w:val="000000"/>
          <w:sz w:val="20"/>
          <w:szCs w:val="20"/>
        </w:rPr>
        <w:t xml:space="preserve">на паротидни жлезди </w:t>
      </w:r>
      <w:r w:rsidR="00995D7E" w:rsidRPr="00A926CA">
        <w:rPr>
          <w:rFonts w:ascii="Times New Roman" w:hAnsi="Times New Roman" w:cs="Times New Roman"/>
          <w:b/>
          <w:color w:val="000000"/>
          <w:sz w:val="20"/>
          <w:szCs w:val="20"/>
          <w:lang w:val="ru-RU"/>
        </w:rPr>
        <w:t>според пол и в</w:t>
      </w:r>
      <w:r w:rsidR="00995D7E" w:rsidRPr="00995D7E">
        <w:rPr>
          <w:rFonts w:ascii="Times New Roman" w:hAnsi="Times New Roman" w:cs="Times New Roman"/>
          <w:b/>
          <w:color w:val="000000"/>
          <w:sz w:val="20"/>
          <w:szCs w:val="20"/>
        </w:rPr>
        <w:t>озраст – испитувана група</w:t>
      </w:r>
    </w:p>
    <w:tbl>
      <w:tblPr>
        <w:tblW w:w="9356"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14"/>
        <w:gridCol w:w="1154"/>
        <w:gridCol w:w="1156"/>
        <w:gridCol w:w="1155"/>
        <w:gridCol w:w="1155"/>
        <w:gridCol w:w="687"/>
        <w:gridCol w:w="1346"/>
        <w:gridCol w:w="1489"/>
      </w:tblGrid>
      <w:tr w:rsidR="0005076C" w:rsidRPr="0005076C" w:rsidTr="004F0610">
        <w:trPr>
          <w:trHeight w:val="357"/>
        </w:trPr>
        <w:tc>
          <w:tcPr>
            <w:tcW w:w="1214" w:type="dxa"/>
            <w:vMerge w:val="restart"/>
            <w:shd w:val="clear" w:color="auto" w:fill="31849B"/>
            <w:vAlign w:val="center"/>
          </w:tcPr>
          <w:p w:rsidR="0005076C" w:rsidRPr="00A93FFF" w:rsidRDefault="00081C20" w:rsidP="00995D7E">
            <w:pPr>
              <w:jc w:val="center"/>
              <w:rPr>
                <w:rFonts w:ascii="Times New Roman" w:hAnsi="Times New Roman" w:cs="Times New Roman"/>
                <w:b/>
                <w:color w:val="FFFFFF"/>
                <w:sz w:val="18"/>
                <w:szCs w:val="18"/>
                <w:lang w:val="en-US"/>
              </w:rPr>
            </w:pPr>
            <w:r w:rsidRPr="00081C20">
              <w:rPr>
                <w:rFonts w:ascii="Times New Roman" w:hAnsi="Times New Roman" w:cs="Times New Roman"/>
                <w:b/>
                <w:color w:val="FFFFFF"/>
                <w:sz w:val="18"/>
                <w:szCs w:val="18"/>
              </w:rPr>
              <w:t>Вид</w:t>
            </w:r>
            <w:r w:rsidR="0005076C" w:rsidRPr="00081C20">
              <w:rPr>
                <w:rFonts w:ascii="Times New Roman" w:hAnsi="Times New Roman" w:cs="Times New Roman"/>
                <w:b/>
                <w:color w:val="FFFFFF"/>
                <w:sz w:val="18"/>
                <w:szCs w:val="18"/>
                <w:lang w:val="en-US"/>
              </w:rPr>
              <w:t xml:space="preserve"> на тумор</w:t>
            </w:r>
            <w:r w:rsidR="00F77FC6">
              <w:rPr>
                <w:rFonts w:ascii="Times New Roman" w:hAnsi="Times New Roman" w:cs="Times New Roman"/>
                <w:b/>
                <w:color w:val="FFFFFF"/>
                <w:sz w:val="18"/>
                <w:szCs w:val="18"/>
              </w:rPr>
              <w:t>и</w:t>
            </w:r>
          </w:p>
        </w:tc>
        <w:tc>
          <w:tcPr>
            <w:tcW w:w="8142" w:type="dxa"/>
            <w:gridSpan w:val="7"/>
            <w:tcBorders>
              <w:right w:val="single" w:sz="4" w:space="0" w:color="215868"/>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lang w:val="en-US"/>
              </w:rPr>
              <w:t>Возраст (години)</w:t>
            </w:r>
          </w:p>
        </w:tc>
      </w:tr>
      <w:tr w:rsidR="0005076C" w:rsidRPr="0005076C" w:rsidTr="004F0610">
        <w:trPr>
          <w:trHeight w:val="357"/>
        </w:trPr>
        <w:tc>
          <w:tcPr>
            <w:tcW w:w="1214" w:type="dxa"/>
            <w:vMerge/>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p>
        </w:tc>
        <w:tc>
          <w:tcPr>
            <w:tcW w:w="2310" w:type="dxa"/>
            <w:gridSpan w:val="2"/>
            <w:tcBorders>
              <w:right w:val="single" w:sz="12" w:space="0" w:color="FFFFFF"/>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rPr>
              <w:t>Мажи</w:t>
            </w:r>
          </w:p>
        </w:tc>
        <w:tc>
          <w:tcPr>
            <w:tcW w:w="2310" w:type="dxa"/>
            <w:gridSpan w:val="2"/>
            <w:tcBorders>
              <w:left w:val="single" w:sz="12" w:space="0" w:color="FFFFFF"/>
              <w:right w:val="single" w:sz="12" w:space="0" w:color="FFFFFF"/>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rPr>
              <w:t>Жени</w:t>
            </w:r>
          </w:p>
        </w:tc>
        <w:tc>
          <w:tcPr>
            <w:tcW w:w="3522" w:type="dxa"/>
            <w:gridSpan w:val="3"/>
            <w:tcBorders>
              <w:left w:val="single" w:sz="12" w:space="0" w:color="FFFFFF"/>
              <w:right w:val="single" w:sz="4" w:space="0" w:color="215868"/>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lang w:val="en-US"/>
              </w:rPr>
              <w:t>Вкупно</w:t>
            </w:r>
          </w:p>
        </w:tc>
      </w:tr>
      <w:tr w:rsidR="0005076C" w:rsidRPr="0005076C" w:rsidTr="004F0610">
        <w:trPr>
          <w:trHeight w:val="637"/>
        </w:trPr>
        <w:tc>
          <w:tcPr>
            <w:tcW w:w="1214" w:type="dxa"/>
            <w:vMerge/>
            <w:shd w:val="clear" w:color="auto" w:fill="31849B"/>
            <w:vAlign w:val="center"/>
          </w:tcPr>
          <w:p w:rsidR="0005076C" w:rsidRPr="00081C20" w:rsidRDefault="0005076C" w:rsidP="00D96EC9">
            <w:pPr>
              <w:jc w:val="center"/>
              <w:rPr>
                <w:rFonts w:ascii="Times New Roman" w:hAnsi="Times New Roman" w:cs="Times New Roman"/>
                <w:b/>
                <w:color w:val="FFFFFF"/>
                <w:sz w:val="18"/>
                <w:szCs w:val="18"/>
                <w:lang w:val="en-US"/>
              </w:rPr>
            </w:pPr>
          </w:p>
        </w:tc>
        <w:tc>
          <w:tcPr>
            <w:tcW w:w="1154" w:type="dxa"/>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156" w:type="dxa"/>
            <w:tcBorders>
              <w:right w:val="single" w:sz="12" w:space="0" w:color="FFFFFF"/>
            </w:tcBorders>
            <w:shd w:val="clear" w:color="auto" w:fill="31849B"/>
            <w:vAlign w:val="center"/>
          </w:tcPr>
          <w:p w:rsidR="00437954" w:rsidRPr="00881FAD" w:rsidRDefault="0005076C" w:rsidP="00881FAD">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tc>
        <w:tc>
          <w:tcPr>
            <w:tcW w:w="1155" w:type="dxa"/>
            <w:tcBorders>
              <w:left w:val="single" w:sz="12" w:space="0" w:color="FFFFFF"/>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155" w:type="dxa"/>
            <w:tcBorders>
              <w:right w:val="single" w:sz="12" w:space="0" w:color="FFFFFF"/>
            </w:tcBorders>
            <w:shd w:val="clear" w:color="auto" w:fill="31849B"/>
            <w:vAlign w:val="center"/>
          </w:tcPr>
          <w:p w:rsidR="00437954" w:rsidRPr="00881FAD" w:rsidRDefault="0005076C" w:rsidP="00881FAD">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tc>
        <w:tc>
          <w:tcPr>
            <w:tcW w:w="687" w:type="dxa"/>
            <w:tcBorders>
              <w:left w:val="single" w:sz="12" w:space="0" w:color="FFFFFF"/>
            </w:tcBorders>
            <w:shd w:val="clear" w:color="auto" w:fill="31849B"/>
            <w:vAlign w:val="center"/>
          </w:tcPr>
          <w:p w:rsidR="0005076C" w:rsidRPr="00081C20" w:rsidRDefault="0005076C" w:rsidP="00D96EC9">
            <w:pPr>
              <w:jc w:val="center"/>
              <w:rPr>
                <w:rFonts w:ascii="Times New Roman" w:hAnsi="Times New Roman" w:cs="Times New Roman"/>
                <w:b/>
                <w:color w:val="FFFFFF"/>
                <w:sz w:val="18"/>
                <w:szCs w:val="18"/>
                <w:lang w:val="en-US"/>
              </w:rPr>
            </w:pPr>
            <w:r w:rsidRPr="00081C20">
              <w:rPr>
                <w:rFonts w:ascii="Times New Roman" w:hAnsi="Times New Roman" w:cs="Times New Roman"/>
                <w:b/>
                <w:color w:val="FFFFFF"/>
                <w:sz w:val="18"/>
                <w:szCs w:val="18"/>
                <w:lang w:val="en-US"/>
              </w:rPr>
              <w:t>N</w:t>
            </w:r>
          </w:p>
        </w:tc>
        <w:tc>
          <w:tcPr>
            <w:tcW w:w="1346" w:type="dxa"/>
            <w:shd w:val="clear" w:color="auto" w:fill="31849B"/>
            <w:vAlign w:val="center"/>
          </w:tcPr>
          <w:p w:rsidR="0005076C" w:rsidRPr="00081C20" w:rsidRDefault="0005076C" w:rsidP="00D96EC9">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489" w:type="dxa"/>
            <w:tcBorders>
              <w:right w:val="single" w:sz="4" w:space="0" w:color="215868"/>
            </w:tcBorders>
            <w:shd w:val="clear" w:color="auto" w:fill="31849B"/>
            <w:vAlign w:val="center"/>
          </w:tcPr>
          <w:p w:rsidR="0005076C" w:rsidRPr="00081C20" w:rsidRDefault="0005076C" w:rsidP="00D96EC9">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p w:rsidR="0005076C" w:rsidRPr="00081C20" w:rsidRDefault="0005076C" w:rsidP="00D96EC9">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lang w:val="en-US"/>
              </w:rPr>
              <w:t>(IQR)</w:t>
            </w:r>
          </w:p>
        </w:tc>
      </w:tr>
      <w:tr w:rsidR="0005076C" w:rsidRPr="0005076C" w:rsidTr="004F0610">
        <w:trPr>
          <w:trHeight w:val="353"/>
        </w:trPr>
        <w:tc>
          <w:tcPr>
            <w:tcW w:w="1214" w:type="dxa"/>
            <w:shd w:val="clear" w:color="auto" w:fill="31849B"/>
            <w:vAlign w:val="center"/>
          </w:tcPr>
          <w:p w:rsidR="0005076C" w:rsidRPr="00081C20" w:rsidRDefault="00081C20" w:rsidP="00D96EC9">
            <w:pPr>
              <w:rPr>
                <w:rFonts w:ascii="Times New Roman" w:hAnsi="Times New Roman" w:cs="Times New Roman"/>
                <w:b/>
                <w:bCs/>
                <w:color w:val="FFFFFF"/>
                <w:sz w:val="18"/>
                <w:szCs w:val="18"/>
              </w:rPr>
            </w:pPr>
            <w:r w:rsidRPr="00081C20">
              <w:rPr>
                <w:rFonts w:ascii="Times New Roman" w:hAnsi="Times New Roman" w:cs="Times New Roman"/>
                <w:b/>
                <w:bCs/>
                <w:color w:val="FFFFFF"/>
                <w:sz w:val="18"/>
                <w:szCs w:val="18"/>
              </w:rPr>
              <w:t>Бенигни</w:t>
            </w:r>
          </w:p>
        </w:tc>
        <w:tc>
          <w:tcPr>
            <w:tcW w:w="1154" w:type="dxa"/>
            <w:shd w:val="clear" w:color="auto" w:fill="DAEEF3"/>
            <w:vAlign w:val="center"/>
          </w:tcPr>
          <w:p w:rsidR="0005076C" w:rsidRPr="0005076C" w:rsidRDefault="00452D42" w:rsidP="00D96EC9">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50,45±15,65</w:t>
            </w:r>
          </w:p>
        </w:tc>
        <w:tc>
          <w:tcPr>
            <w:tcW w:w="1156" w:type="dxa"/>
            <w:tcBorders>
              <w:right w:val="single" w:sz="12" w:space="0" w:color="FFFFFF"/>
            </w:tcBorders>
            <w:shd w:val="clear" w:color="auto" w:fill="DAEEF3"/>
            <w:vAlign w:val="center"/>
          </w:tcPr>
          <w:p w:rsidR="0005076C" w:rsidRPr="0005076C" w:rsidRDefault="00452D42" w:rsidP="00D96EC9">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55,5</w:t>
            </w:r>
          </w:p>
        </w:tc>
        <w:tc>
          <w:tcPr>
            <w:tcW w:w="1155" w:type="dxa"/>
            <w:tcBorders>
              <w:left w:val="single" w:sz="12" w:space="0" w:color="FFFFFF"/>
            </w:tcBorders>
            <w:shd w:val="clear" w:color="auto" w:fill="DAEEF3"/>
            <w:vAlign w:val="center"/>
          </w:tcPr>
          <w:p w:rsidR="0005076C" w:rsidRPr="00452D42"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55,50</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13,95</w:t>
            </w:r>
          </w:p>
        </w:tc>
        <w:tc>
          <w:tcPr>
            <w:tcW w:w="1155" w:type="dxa"/>
            <w:tcBorders>
              <w:right w:val="single" w:sz="12" w:space="0" w:color="FFFFFF"/>
            </w:tcBorders>
            <w:shd w:val="clear" w:color="auto" w:fill="DAEEF3"/>
            <w:vAlign w:val="center"/>
          </w:tcPr>
          <w:p w:rsidR="0005076C" w:rsidRPr="00452D42"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57,5</w:t>
            </w:r>
          </w:p>
        </w:tc>
        <w:tc>
          <w:tcPr>
            <w:tcW w:w="687" w:type="dxa"/>
            <w:tcBorders>
              <w:left w:val="single" w:sz="12" w:space="0" w:color="FFFFFF"/>
            </w:tcBorders>
            <w:shd w:val="clear" w:color="auto" w:fill="DAEEF3"/>
            <w:vAlign w:val="center"/>
          </w:tcPr>
          <w:p w:rsidR="0005076C" w:rsidRPr="0005076C"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48</w:t>
            </w:r>
          </w:p>
        </w:tc>
        <w:tc>
          <w:tcPr>
            <w:tcW w:w="1346" w:type="dxa"/>
            <w:shd w:val="clear" w:color="auto" w:fill="DAEEF3"/>
            <w:vAlign w:val="center"/>
          </w:tcPr>
          <w:p w:rsidR="0005076C" w:rsidRPr="00452D42"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53,18</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14,81</w:t>
            </w:r>
          </w:p>
        </w:tc>
        <w:tc>
          <w:tcPr>
            <w:tcW w:w="1489" w:type="dxa"/>
            <w:tcBorders>
              <w:right w:val="single" w:sz="4" w:space="0" w:color="215868"/>
            </w:tcBorders>
            <w:shd w:val="clear" w:color="auto" w:fill="DAEEF3"/>
            <w:vAlign w:val="center"/>
          </w:tcPr>
          <w:p w:rsidR="0005076C" w:rsidRPr="00995D7E" w:rsidRDefault="00452D42" w:rsidP="00D96EC9">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56,5</w:t>
            </w:r>
            <w:r w:rsidR="00995D7E">
              <w:rPr>
                <w:rFonts w:ascii="Times New Roman" w:hAnsi="Times New Roman" w:cs="Times New Roman"/>
                <w:color w:val="000000"/>
                <w:sz w:val="18"/>
                <w:szCs w:val="18"/>
              </w:rPr>
              <w:t xml:space="preserve"> (49,0-62,5)</w:t>
            </w:r>
          </w:p>
        </w:tc>
      </w:tr>
      <w:tr w:rsidR="0005076C" w:rsidRPr="0005076C" w:rsidTr="004F0610">
        <w:trPr>
          <w:trHeight w:val="353"/>
        </w:trPr>
        <w:tc>
          <w:tcPr>
            <w:tcW w:w="1214" w:type="dxa"/>
            <w:shd w:val="clear" w:color="auto" w:fill="31849B"/>
            <w:vAlign w:val="center"/>
          </w:tcPr>
          <w:p w:rsidR="0005076C" w:rsidRPr="00081C20" w:rsidRDefault="00081C20" w:rsidP="00D96EC9">
            <w:pPr>
              <w:rPr>
                <w:rFonts w:ascii="Times New Roman" w:hAnsi="Times New Roman" w:cs="Times New Roman"/>
                <w:b/>
                <w:bCs/>
                <w:color w:val="FFFFFF"/>
                <w:sz w:val="18"/>
                <w:szCs w:val="18"/>
              </w:rPr>
            </w:pPr>
            <w:r w:rsidRPr="00081C20">
              <w:rPr>
                <w:rFonts w:ascii="Times New Roman" w:hAnsi="Times New Roman" w:cs="Times New Roman"/>
                <w:b/>
                <w:bCs/>
                <w:color w:val="FFFFFF"/>
                <w:sz w:val="18"/>
                <w:szCs w:val="18"/>
              </w:rPr>
              <w:t>Малигни</w:t>
            </w:r>
          </w:p>
        </w:tc>
        <w:tc>
          <w:tcPr>
            <w:tcW w:w="1154" w:type="dxa"/>
            <w:shd w:val="clear" w:color="auto" w:fill="DAEEF3"/>
            <w:vAlign w:val="center"/>
          </w:tcPr>
          <w:p w:rsidR="0005076C" w:rsidRPr="00452D42" w:rsidRDefault="00452D42" w:rsidP="00D96EC9">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61,78±14,37</w:t>
            </w:r>
          </w:p>
        </w:tc>
        <w:tc>
          <w:tcPr>
            <w:tcW w:w="1156" w:type="dxa"/>
            <w:tcBorders>
              <w:right w:val="single" w:sz="12" w:space="0" w:color="FFFFFF"/>
            </w:tcBorders>
            <w:shd w:val="clear" w:color="auto" w:fill="DAEEF3"/>
            <w:vAlign w:val="center"/>
          </w:tcPr>
          <w:p w:rsidR="0005076C" w:rsidRPr="00995D7E" w:rsidRDefault="00452D42" w:rsidP="00D96EC9">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rPr>
              <w:t>62</w:t>
            </w:r>
            <w:r w:rsidR="00995D7E">
              <w:rPr>
                <w:rFonts w:ascii="Times New Roman" w:hAnsi="Times New Roman" w:cs="Times New Roman"/>
                <w:color w:val="000000"/>
                <w:sz w:val="18"/>
                <w:szCs w:val="18"/>
                <w:lang w:val="mk-MK"/>
              </w:rPr>
              <w:t>,0</w:t>
            </w:r>
          </w:p>
        </w:tc>
        <w:tc>
          <w:tcPr>
            <w:tcW w:w="1155" w:type="dxa"/>
            <w:tcBorders>
              <w:left w:val="single" w:sz="12" w:space="0" w:color="FFFFFF"/>
            </w:tcBorders>
            <w:shd w:val="clear" w:color="auto" w:fill="DAEEF3"/>
            <w:vAlign w:val="center"/>
          </w:tcPr>
          <w:p w:rsidR="0005076C" w:rsidRPr="00452D42"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72,67</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11,01</w:t>
            </w:r>
          </w:p>
        </w:tc>
        <w:tc>
          <w:tcPr>
            <w:tcW w:w="1155" w:type="dxa"/>
            <w:tcBorders>
              <w:right w:val="single" w:sz="12" w:space="0" w:color="FFFFFF"/>
            </w:tcBorders>
            <w:shd w:val="clear" w:color="auto" w:fill="DAEEF3"/>
            <w:vAlign w:val="center"/>
          </w:tcPr>
          <w:p w:rsidR="0005076C" w:rsidRPr="00995D7E" w:rsidRDefault="00452D42" w:rsidP="00D96EC9">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72</w:t>
            </w:r>
            <w:r w:rsidR="00995D7E">
              <w:rPr>
                <w:rFonts w:ascii="Times New Roman" w:hAnsi="Times New Roman" w:cs="Times New Roman"/>
                <w:color w:val="000000"/>
                <w:sz w:val="18"/>
                <w:szCs w:val="18"/>
              </w:rPr>
              <w:t>,0</w:t>
            </w:r>
          </w:p>
        </w:tc>
        <w:tc>
          <w:tcPr>
            <w:tcW w:w="687" w:type="dxa"/>
            <w:tcBorders>
              <w:left w:val="single" w:sz="12" w:space="0" w:color="FFFFFF"/>
            </w:tcBorders>
            <w:shd w:val="clear" w:color="auto" w:fill="DAEEF3"/>
            <w:vAlign w:val="center"/>
          </w:tcPr>
          <w:p w:rsidR="0005076C" w:rsidRPr="0005076C"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w:t>
            </w:r>
          </w:p>
        </w:tc>
        <w:tc>
          <w:tcPr>
            <w:tcW w:w="1346" w:type="dxa"/>
            <w:shd w:val="clear" w:color="auto" w:fill="DAEEF3"/>
            <w:vAlign w:val="center"/>
          </w:tcPr>
          <w:p w:rsidR="0005076C" w:rsidRPr="00452D42" w:rsidRDefault="00452D42"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64,50</w:t>
            </w:r>
            <w:r>
              <w:rPr>
                <w:rFonts w:ascii="Times New Roman" w:hAnsi="Times New Roman" w:cs="Times New Roman"/>
                <w:color w:val="000000"/>
                <w:sz w:val="18"/>
                <w:szCs w:val="18"/>
              </w:rPr>
              <w:t>±</w:t>
            </w:r>
            <w:r>
              <w:rPr>
                <w:rFonts w:ascii="Times New Roman" w:hAnsi="Times New Roman" w:cs="Times New Roman"/>
                <w:color w:val="000000"/>
                <w:sz w:val="18"/>
                <w:szCs w:val="18"/>
                <w:lang w:val="en-US"/>
              </w:rPr>
              <w:t>14,02</w:t>
            </w:r>
          </w:p>
        </w:tc>
        <w:tc>
          <w:tcPr>
            <w:tcW w:w="1489" w:type="dxa"/>
            <w:tcBorders>
              <w:right w:val="single" w:sz="4" w:space="0" w:color="215868"/>
            </w:tcBorders>
            <w:shd w:val="clear" w:color="auto" w:fill="DAEEF3"/>
            <w:vAlign w:val="center"/>
          </w:tcPr>
          <w:p w:rsidR="0005076C" w:rsidRPr="00995D7E" w:rsidRDefault="00452D42" w:rsidP="00995D7E">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63,5</w:t>
            </w:r>
            <w:r w:rsidR="00995D7E">
              <w:rPr>
                <w:rFonts w:ascii="Times New Roman" w:hAnsi="Times New Roman" w:cs="Times New Roman"/>
                <w:color w:val="000000"/>
                <w:sz w:val="18"/>
                <w:szCs w:val="18"/>
              </w:rPr>
              <w:t xml:space="preserve"> (53,5-78,0)</w:t>
            </w:r>
          </w:p>
        </w:tc>
      </w:tr>
      <w:tr w:rsidR="0005076C" w:rsidRPr="0005076C" w:rsidTr="00F77FC6">
        <w:trPr>
          <w:trHeight w:val="353"/>
        </w:trPr>
        <w:tc>
          <w:tcPr>
            <w:tcW w:w="1214" w:type="dxa"/>
            <w:shd w:val="clear" w:color="auto" w:fill="31849B"/>
            <w:vAlign w:val="center"/>
          </w:tcPr>
          <w:p w:rsidR="0005076C" w:rsidRPr="00081C20" w:rsidRDefault="0005076C" w:rsidP="00D96EC9">
            <w:pPr>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p</w:t>
            </w:r>
          </w:p>
        </w:tc>
        <w:tc>
          <w:tcPr>
            <w:tcW w:w="2310" w:type="dxa"/>
            <w:gridSpan w:val="2"/>
            <w:tcBorders>
              <w:right w:val="single" w:sz="12" w:space="0" w:color="FFFFFF"/>
            </w:tcBorders>
            <w:shd w:val="clear" w:color="auto" w:fill="B6DDE8"/>
            <w:vAlign w:val="center"/>
          </w:tcPr>
          <w:p w:rsidR="0005076C" w:rsidRPr="0005076C" w:rsidRDefault="00452D42" w:rsidP="00995D7E">
            <w:pPr>
              <w:pStyle w:val="NormalWeb"/>
              <w:spacing w:before="0" w:beforeAutospacing="0" w:after="0" w:afterAutospacing="0"/>
              <w:jc w:val="center"/>
              <w:rPr>
                <w:rFonts w:ascii="Times New Roman" w:hAnsi="Times New Roman" w:cs="Times New Roman"/>
                <w:color w:val="000000"/>
                <w:sz w:val="18"/>
                <w:szCs w:val="18"/>
              </w:rPr>
            </w:pPr>
            <w:r w:rsidRPr="00452D42">
              <w:rPr>
                <w:rFonts w:ascii="Times New Roman" w:hAnsi="Times New Roman" w:cs="Times New Roman"/>
                <w:color w:val="000000"/>
                <w:sz w:val="18"/>
                <w:szCs w:val="18"/>
              </w:rPr>
              <w:t>Z=-</w:t>
            </w:r>
            <w:r w:rsidR="00995D7E">
              <w:rPr>
                <w:rFonts w:ascii="Times New Roman" w:hAnsi="Times New Roman" w:cs="Times New Roman"/>
                <w:color w:val="000000"/>
                <w:sz w:val="18"/>
                <w:szCs w:val="18"/>
              </w:rPr>
              <w:t>1,568</w:t>
            </w:r>
            <w:r w:rsidRPr="00452D42">
              <w:rPr>
                <w:rFonts w:ascii="Times New Roman" w:hAnsi="Times New Roman" w:cs="Times New Roman"/>
                <w:color w:val="000000"/>
                <w:sz w:val="18"/>
                <w:szCs w:val="18"/>
              </w:rPr>
              <w:t>; p=0,</w:t>
            </w:r>
            <w:r w:rsidR="00995D7E">
              <w:rPr>
                <w:rFonts w:ascii="Times New Roman" w:hAnsi="Times New Roman" w:cs="Times New Roman"/>
                <w:color w:val="000000"/>
                <w:sz w:val="18"/>
                <w:szCs w:val="18"/>
              </w:rPr>
              <w:t>117</w:t>
            </w:r>
          </w:p>
        </w:tc>
        <w:tc>
          <w:tcPr>
            <w:tcW w:w="2310" w:type="dxa"/>
            <w:gridSpan w:val="2"/>
            <w:tcBorders>
              <w:left w:val="single" w:sz="12" w:space="0" w:color="FFFFFF"/>
              <w:right w:val="single" w:sz="12" w:space="0" w:color="FFFFFF"/>
            </w:tcBorders>
            <w:shd w:val="clear" w:color="auto" w:fill="B6DDE8"/>
            <w:vAlign w:val="center"/>
          </w:tcPr>
          <w:p w:rsidR="0005076C" w:rsidRPr="0005076C" w:rsidRDefault="00995D7E" w:rsidP="00995D7E">
            <w:pPr>
              <w:pStyle w:val="NormalWeb"/>
              <w:spacing w:before="0" w:beforeAutospacing="0" w:after="0" w:afterAutospacing="0"/>
              <w:jc w:val="center"/>
              <w:rPr>
                <w:rFonts w:ascii="Times New Roman" w:hAnsi="Times New Roman" w:cs="Times New Roman"/>
                <w:color w:val="000000"/>
                <w:sz w:val="18"/>
                <w:szCs w:val="18"/>
              </w:rPr>
            </w:pPr>
            <w:r w:rsidRPr="00452D42">
              <w:rPr>
                <w:rFonts w:ascii="Times New Roman" w:hAnsi="Times New Roman" w:cs="Times New Roman"/>
                <w:color w:val="000000"/>
                <w:sz w:val="18"/>
                <w:szCs w:val="18"/>
              </w:rPr>
              <w:t>Z=-</w:t>
            </w:r>
            <w:r>
              <w:rPr>
                <w:rFonts w:ascii="Times New Roman" w:hAnsi="Times New Roman" w:cs="Times New Roman"/>
                <w:color w:val="000000"/>
                <w:sz w:val="18"/>
                <w:szCs w:val="18"/>
              </w:rPr>
              <w:t>1,935</w:t>
            </w:r>
            <w:r w:rsidRPr="00452D42">
              <w:rPr>
                <w:rFonts w:ascii="Times New Roman" w:hAnsi="Times New Roman" w:cs="Times New Roman"/>
                <w:color w:val="000000"/>
                <w:sz w:val="18"/>
                <w:szCs w:val="18"/>
              </w:rPr>
              <w:t>; p=0,</w:t>
            </w:r>
            <w:r>
              <w:rPr>
                <w:rFonts w:ascii="Times New Roman" w:hAnsi="Times New Roman" w:cs="Times New Roman"/>
                <w:color w:val="000000"/>
                <w:sz w:val="18"/>
                <w:szCs w:val="18"/>
              </w:rPr>
              <w:t>053</w:t>
            </w:r>
          </w:p>
        </w:tc>
        <w:tc>
          <w:tcPr>
            <w:tcW w:w="687" w:type="dxa"/>
            <w:tcBorders>
              <w:left w:val="single" w:sz="12" w:space="0" w:color="FFFFFF"/>
            </w:tcBorders>
            <w:shd w:val="clear" w:color="auto" w:fill="B6DDE8"/>
            <w:vAlign w:val="center"/>
          </w:tcPr>
          <w:p w:rsidR="0005076C" w:rsidRPr="0005076C" w:rsidRDefault="00995D7E" w:rsidP="00D96EC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60</w:t>
            </w:r>
          </w:p>
        </w:tc>
        <w:tc>
          <w:tcPr>
            <w:tcW w:w="2835" w:type="dxa"/>
            <w:gridSpan w:val="2"/>
            <w:tcBorders>
              <w:right w:val="single" w:sz="4" w:space="0" w:color="215868"/>
            </w:tcBorders>
            <w:shd w:val="clear" w:color="auto" w:fill="B6DDE8"/>
            <w:vAlign w:val="center"/>
          </w:tcPr>
          <w:p w:rsidR="0005076C" w:rsidRPr="00995D7E" w:rsidRDefault="00995D7E" w:rsidP="00995D7E">
            <w:pPr>
              <w:jc w:val="center"/>
              <w:rPr>
                <w:rFonts w:ascii="Times New Roman" w:hAnsi="Times New Roman" w:cs="Times New Roman"/>
                <w:color w:val="000000"/>
                <w:sz w:val="18"/>
                <w:szCs w:val="18"/>
                <w:lang w:val="en-US"/>
              </w:rPr>
            </w:pPr>
            <w:r w:rsidRPr="00452D42">
              <w:rPr>
                <w:rFonts w:ascii="Times New Roman" w:hAnsi="Times New Roman" w:cs="Times New Roman"/>
                <w:color w:val="000000"/>
                <w:sz w:val="18"/>
                <w:szCs w:val="18"/>
                <w:lang w:val="en-US"/>
              </w:rPr>
              <w:t>Z</w:t>
            </w:r>
            <w:r w:rsidRPr="00452D42">
              <w:rPr>
                <w:rFonts w:ascii="Times New Roman" w:hAnsi="Times New Roman" w:cs="Times New Roman"/>
                <w:color w:val="000000"/>
                <w:sz w:val="18"/>
                <w:szCs w:val="18"/>
              </w:rPr>
              <w:t>=</w:t>
            </w:r>
            <w:r>
              <w:rPr>
                <w:rFonts w:ascii="Times New Roman" w:hAnsi="Times New Roman" w:cs="Times New Roman"/>
                <w:color w:val="000000"/>
                <w:sz w:val="18"/>
                <w:szCs w:val="18"/>
                <w:lang w:val="en-US"/>
              </w:rPr>
              <w:t>2,153</w:t>
            </w:r>
            <w:r w:rsidRPr="00452D42">
              <w:rPr>
                <w:rFonts w:ascii="Times New Roman" w:hAnsi="Times New Roman" w:cs="Times New Roman"/>
                <w:color w:val="000000"/>
                <w:sz w:val="18"/>
                <w:szCs w:val="18"/>
              </w:rPr>
              <w:t xml:space="preserve">; </w:t>
            </w:r>
            <w:r w:rsidRPr="00995D7E">
              <w:rPr>
                <w:rFonts w:ascii="Times New Roman" w:hAnsi="Times New Roman" w:cs="Times New Roman"/>
                <w:color w:val="FF0000"/>
                <w:sz w:val="18"/>
                <w:szCs w:val="18"/>
              </w:rPr>
              <w:t>p=</w:t>
            </w:r>
            <w:r w:rsidRPr="00995D7E">
              <w:rPr>
                <w:rFonts w:ascii="Times New Roman" w:hAnsi="Times New Roman" w:cs="Times New Roman"/>
                <w:color w:val="FF0000"/>
                <w:sz w:val="18"/>
                <w:szCs w:val="18"/>
                <w:lang w:val="en-US"/>
              </w:rPr>
              <w:t>0</w:t>
            </w:r>
            <w:r w:rsidRPr="00995D7E">
              <w:rPr>
                <w:rFonts w:ascii="Times New Roman" w:hAnsi="Times New Roman" w:cs="Times New Roman"/>
                <w:color w:val="FF0000"/>
                <w:sz w:val="18"/>
                <w:szCs w:val="18"/>
              </w:rPr>
              <w:t>,0</w:t>
            </w:r>
            <w:r w:rsidRPr="00995D7E">
              <w:rPr>
                <w:rFonts w:ascii="Times New Roman" w:hAnsi="Times New Roman" w:cs="Times New Roman"/>
                <w:color w:val="FF0000"/>
                <w:sz w:val="18"/>
                <w:szCs w:val="18"/>
                <w:lang w:val="en-US"/>
              </w:rPr>
              <w:t>31*</w:t>
            </w:r>
          </w:p>
        </w:tc>
      </w:tr>
      <w:tr w:rsidR="0005076C" w:rsidRPr="00A926CA" w:rsidTr="004F0610">
        <w:trPr>
          <w:trHeight w:val="607"/>
        </w:trPr>
        <w:tc>
          <w:tcPr>
            <w:tcW w:w="9356" w:type="dxa"/>
            <w:gridSpan w:val="8"/>
            <w:tcBorders>
              <w:right w:val="single" w:sz="4" w:space="0" w:color="215868"/>
            </w:tcBorders>
            <w:shd w:val="clear" w:color="auto" w:fill="31849B"/>
            <w:vAlign w:val="center"/>
          </w:tcPr>
          <w:p w:rsidR="009E21A8" w:rsidRDefault="009E21A8" w:rsidP="009E21A8">
            <w:pPr>
              <w:spacing w:line="276" w:lineRule="auto"/>
              <w:rPr>
                <w:rFonts w:ascii="Times New Roman" w:hAnsi="Times New Roman" w:cs="Times New Roman"/>
                <w:color w:val="FFFFFF"/>
                <w:sz w:val="18"/>
                <w:szCs w:val="18"/>
              </w:rPr>
            </w:pPr>
            <w:r>
              <w:rPr>
                <w:rFonts w:ascii="Times New Roman" w:hAnsi="Times New Roman" w:cs="Times New Roman"/>
                <w:color w:val="FFFFFF"/>
                <w:sz w:val="18"/>
                <w:szCs w:val="18"/>
              </w:rPr>
              <w:t>† за двајца пациенти нема возраст</w:t>
            </w:r>
          </w:p>
          <w:p w:rsidR="0005076C" w:rsidRPr="00A926CA" w:rsidRDefault="00437954" w:rsidP="009E21A8">
            <w:pPr>
              <w:spacing w:line="276" w:lineRule="auto"/>
              <w:jc w:val="center"/>
              <w:rPr>
                <w:rFonts w:ascii="Times New Roman" w:hAnsi="Times New Roman"/>
                <w:color w:val="FFFFFF"/>
                <w:sz w:val="18"/>
                <w:szCs w:val="18"/>
                <w:lang w:val="ru-RU"/>
              </w:rPr>
            </w:pPr>
            <w:r w:rsidRPr="00437954">
              <w:rPr>
                <w:rFonts w:ascii="Times New Roman" w:hAnsi="Times New Roman" w:cs="Times New Roman"/>
                <w:color w:val="FFFFFF"/>
                <w:sz w:val="18"/>
                <w:szCs w:val="18"/>
              </w:rPr>
              <w:t>Z=Mann-Whitney U Test</w:t>
            </w:r>
            <w:r w:rsidRPr="00A926CA">
              <w:rPr>
                <w:rFonts w:ascii="Times New Roman" w:hAnsi="Times New Roman" w:cs="Times New Roman"/>
                <w:color w:val="FFFFFF"/>
                <w:sz w:val="18"/>
                <w:szCs w:val="18"/>
                <w:lang w:val="ru-RU"/>
              </w:rPr>
              <w:t>;</w:t>
            </w:r>
            <w:r w:rsidRPr="00437954">
              <w:rPr>
                <w:rFonts w:ascii="Times New Roman" w:hAnsi="Times New Roman" w:cs="Times New Roman"/>
                <w:b/>
                <w:color w:val="FFFFFF"/>
                <w:sz w:val="18"/>
                <w:szCs w:val="18"/>
                <w:lang w:val="ru-RU" w:eastAsia="mk-MK"/>
              </w:rPr>
              <w:t xml:space="preserve"> </w:t>
            </w:r>
            <w:r w:rsidRPr="00A926CA">
              <w:rPr>
                <w:rFonts w:ascii="Times New Roman" w:hAnsi="Times New Roman" w:cs="Times New Roman"/>
                <w:b/>
                <w:color w:val="FFFFFF"/>
                <w:sz w:val="18"/>
                <w:szCs w:val="18"/>
                <w:lang w:val="ru-RU" w:eastAsia="mk-MK"/>
              </w:rPr>
              <w:t xml:space="preserve">          </w:t>
            </w:r>
            <w:r w:rsidRPr="00437954">
              <w:rPr>
                <w:rFonts w:ascii="Times New Roman" w:hAnsi="Times New Roman" w:cs="Times New Roman"/>
                <w:color w:val="FFFFFF"/>
                <w:sz w:val="18"/>
                <w:szCs w:val="18"/>
              </w:rPr>
              <w:t xml:space="preserve">*сигнификантно за </w:t>
            </w:r>
            <w:r w:rsidRPr="00437954">
              <w:rPr>
                <w:rFonts w:ascii="Times New Roman" w:hAnsi="Times New Roman" w:cs="Times New Roman"/>
                <w:color w:val="FFFFFF"/>
                <w:sz w:val="18"/>
                <w:szCs w:val="18"/>
                <w:lang w:val="it-IT"/>
              </w:rPr>
              <w:t>p&lt;0,05</w:t>
            </w:r>
          </w:p>
        </w:tc>
      </w:tr>
    </w:tbl>
    <w:p w:rsidR="0007057C" w:rsidRDefault="0007057C" w:rsidP="0007057C">
      <w:pPr>
        <w:jc w:val="both"/>
      </w:pPr>
    </w:p>
    <w:p w:rsidR="0007057C" w:rsidRDefault="0007057C" w:rsidP="0007057C">
      <w:pPr>
        <w:jc w:val="both"/>
      </w:pPr>
    </w:p>
    <w:p w:rsidR="0007057C" w:rsidRDefault="0007057C" w:rsidP="0007057C">
      <w:pPr>
        <w:jc w:val="both"/>
      </w:pPr>
    </w:p>
    <w:p w:rsidR="0007057C" w:rsidRDefault="0007057C" w:rsidP="0007057C">
      <w:pPr>
        <w:jc w:val="both"/>
      </w:pPr>
    </w:p>
    <w:p w:rsidR="00EE58C3" w:rsidRDefault="00EE58C3" w:rsidP="0007057C">
      <w:pPr>
        <w:jc w:val="both"/>
        <w:rPr>
          <w:rFonts w:ascii="Times New Roman" w:hAnsi="Times New Roman" w:cs="Times New Roman"/>
          <w:color w:val="000000"/>
          <w:sz w:val="24"/>
          <w:szCs w:val="24"/>
          <w:lang w:eastAsia="mk-MK"/>
        </w:rPr>
      </w:pPr>
      <w:r w:rsidRPr="00715E87">
        <w:rPr>
          <w:rFonts w:ascii="Times New Roman" w:hAnsi="Times New Roman" w:cs="Times New Roman"/>
          <w:color w:val="000000"/>
          <w:sz w:val="24"/>
          <w:szCs w:val="24"/>
        </w:rPr>
        <w:t>П</w:t>
      </w:r>
      <w:r w:rsidRPr="00715E87">
        <w:rPr>
          <w:rFonts w:ascii="Times New Roman" w:hAnsi="Times New Roman" w:cs="Times New Roman"/>
          <w:color w:val="000000"/>
          <w:sz w:val="24"/>
          <w:szCs w:val="24"/>
          <w:lang w:eastAsia="en-GB"/>
        </w:rPr>
        <w:t xml:space="preserve">росечната возраст на мажите </w:t>
      </w:r>
      <w:r w:rsidRPr="00715E87">
        <w:rPr>
          <w:rFonts w:ascii="Times New Roman" w:hAnsi="Times New Roman" w:cs="Times New Roman"/>
          <w:color w:val="000000"/>
          <w:sz w:val="24"/>
          <w:szCs w:val="24"/>
          <w:lang w:val="ru-RU" w:eastAsia="en-GB"/>
        </w:rPr>
        <w:t xml:space="preserve">со бениген тумор </w:t>
      </w:r>
      <w:r w:rsidRPr="00715E87">
        <w:rPr>
          <w:rFonts w:ascii="Times New Roman" w:hAnsi="Times New Roman" w:cs="Times New Roman"/>
          <w:color w:val="000000"/>
          <w:sz w:val="24"/>
          <w:szCs w:val="24"/>
        </w:rPr>
        <w:t xml:space="preserve">на паротидните жлезди </w:t>
      </w:r>
      <w:r w:rsidRPr="00715E87">
        <w:rPr>
          <w:rFonts w:ascii="Times New Roman" w:hAnsi="Times New Roman" w:cs="Times New Roman"/>
          <w:color w:val="000000"/>
          <w:sz w:val="24"/>
          <w:szCs w:val="24"/>
          <w:lang w:eastAsia="en-GB"/>
        </w:rPr>
        <w:t xml:space="preserve">од </w:t>
      </w:r>
      <w:r w:rsidRPr="00715E87">
        <w:rPr>
          <w:rFonts w:ascii="Times New Roman" w:hAnsi="Times New Roman" w:cs="Times New Roman"/>
          <w:color w:val="000000"/>
          <w:sz w:val="24"/>
          <w:szCs w:val="24"/>
        </w:rPr>
        <w:t xml:space="preserve">испитуваната група </w:t>
      </w:r>
      <w:r w:rsidRPr="00715E87">
        <w:rPr>
          <w:rFonts w:ascii="Times New Roman" w:hAnsi="Times New Roman" w:cs="Times New Roman"/>
          <w:color w:val="000000"/>
          <w:sz w:val="24"/>
          <w:szCs w:val="24"/>
          <w:lang w:eastAsia="en-GB"/>
        </w:rPr>
        <w:t xml:space="preserve">изнесуваше </w:t>
      </w:r>
      <w:r w:rsidRPr="00715E87">
        <w:rPr>
          <w:rFonts w:ascii="Times New Roman" w:hAnsi="Times New Roman" w:cs="Times New Roman"/>
          <w:color w:val="000000"/>
          <w:sz w:val="24"/>
          <w:szCs w:val="24"/>
        </w:rPr>
        <w:t>50,45±15,65 со 50% пациенти &lt;5</w:t>
      </w:r>
      <w:r w:rsidRPr="00A926CA">
        <w:rPr>
          <w:rFonts w:ascii="Times New Roman" w:hAnsi="Times New Roman" w:cs="Times New Roman"/>
          <w:color w:val="000000"/>
          <w:sz w:val="24"/>
          <w:szCs w:val="24"/>
          <w:lang w:val="ru-RU"/>
        </w:rPr>
        <w:t>5,5 години</w:t>
      </w:r>
      <w:r w:rsidRPr="00715E87">
        <w:rPr>
          <w:rFonts w:ascii="Times New Roman" w:hAnsi="Times New Roman" w:cs="Times New Roman"/>
          <w:color w:val="000000"/>
          <w:sz w:val="24"/>
          <w:szCs w:val="24"/>
          <w:lang w:val="ru-RU" w:eastAsia="en-GB"/>
        </w:rPr>
        <w:t xml:space="preserve">, а кај оние со малиген тумор </w:t>
      </w:r>
      <w:r w:rsidRPr="00715E87">
        <w:rPr>
          <w:rFonts w:ascii="Times New Roman" w:hAnsi="Times New Roman" w:cs="Times New Roman"/>
          <w:color w:val="000000"/>
          <w:sz w:val="24"/>
          <w:szCs w:val="24"/>
        </w:rPr>
        <w:t>61,78±14,37</w:t>
      </w:r>
      <w:r w:rsidRPr="00715E87">
        <w:rPr>
          <w:rFonts w:ascii="Times New Roman" w:hAnsi="Times New Roman" w:cs="Times New Roman"/>
          <w:color w:val="000000"/>
          <w:sz w:val="24"/>
          <w:szCs w:val="24"/>
          <w:lang w:val="ru-RU" w:eastAsia="en-GB"/>
        </w:rPr>
        <w:t xml:space="preserve"> </w:t>
      </w:r>
      <w:r w:rsidRPr="00715E87">
        <w:rPr>
          <w:rFonts w:ascii="Times New Roman" w:hAnsi="Times New Roman" w:cs="Times New Roman"/>
          <w:color w:val="000000"/>
          <w:sz w:val="24"/>
          <w:szCs w:val="24"/>
        </w:rPr>
        <w:t>со 50% пациенти &lt;62</w:t>
      </w:r>
      <w:r w:rsidRPr="00A926CA">
        <w:rPr>
          <w:rFonts w:ascii="Times New Roman" w:hAnsi="Times New Roman" w:cs="Times New Roman"/>
          <w:color w:val="000000"/>
          <w:sz w:val="24"/>
          <w:szCs w:val="24"/>
          <w:lang w:val="ru-RU"/>
        </w:rPr>
        <w:t xml:space="preserve"> години</w:t>
      </w:r>
      <w:r w:rsidRPr="00715E87">
        <w:rPr>
          <w:rFonts w:ascii="Times New Roman" w:hAnsi="Times New Roman" w:cs="Times New Roman"/>
          <w:color w:val="000000"/>
          <w:sz w:val="24"/>
          <w:szCs w:val="24"/>
          <w:lang w:eastAsia="en-GB"/>
        </w:rPr>
        <w:t>.</w:t>
      </w:r>
      <w:r w:rsidRPr="00715E87">
        <w:rPr>
          <w:rFonts w:ascii="Times New Roman" w:hAnsi="Times New Roman" w:cs="Times New Roman"/>
          <w:color w:val="000000"/>
          <w:sz w:val="24"/>
          <w:szCs w:val="24"/>
        </w:rPr>
        <w:t xml:space="preserve"> З</w:t>
      </w:r>
      <w:r w:rsidRPr="00715E87">
        <w:rPr>
          <w:rFonts w:ascii="Times New Roman" w:hAnsi="Times New Roman" w:cs="Times New Roman"/>
          <w:color w:val="000000"/>
          <w:sz w:val="24"/>
          <w:szCs w:val="24"/>
          <w:lang w:eastAsia="en-GB"/>
        </w:rPr>
        <w:t xml:space="preserve">а </w:t>
      </w:r>
      <w:r w:rsidRPr="00715E87">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&gt;0,05, </w:t>
      </w:r>
      <w:r w:rsidRPr="00715E87">
        <w:rPr>
          <w:rFonts w:ascii="Times New Roman" w:hAnsi="Times New Roman" w:cs="Times New Roman"/>
          <w:color w:val="000000"/>
          <w:sz w:val="24"/>
          <w:szCs w:val="24"/>
          <w:lang w:eastAsia="mk-MK"/>
        </w:rPr>
        <w:t>немаше сигнификантна разлика помеѓу мажите со бениген/ малиген тумор на паротидните жлезди во однос на возраста (</w:t>
      </w:r>
      <w:r w:rsidRPr="00715E87">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rPr>
        <w:t>Z</w:t>
      </w:r>
      <w:r w:rsidRPr="00715E87">
        <w:rPr>
          <w:rFonts w:ascii="Times New Roman" w:hAnsi="Times New Roman" w:cs="Times New Roman"/>
          <w:color w:val="000000"/>
          <w:sz w:val="24"/>
          <w:szCs w:val="24"/>
        </w:rPr>
        <w:t>=-1,568; p=</w:t>
      </w:r>
      <w:r w:rsidRPr="00A926CA">
        <w:rPr>
          <w:rFonts w:ascii="Times New Roman" w:hAnsi="Times New Roman" w:cs="Times New Roman"/>
          <w:color w:val="000000"/>
          <w:sz w:val="24"/>
          <w:szCs w:val="24"/>
          <w:lang w:val="ru-RU"/>
        </w:rPr>
        <w:t>0</w:t>
      </w:r>
      <w:r w:rsidRPr="00715E87">
        <w:rPr>
          <w:rFonts w:ascii="Times New Roman" w:hAnsi="Times New Roman" w:cs="Times New Roman"/>
          <w:color w:val="000000"/>
          <w:sz w:val="24"/>
          <w:szCs w:val="24"/>
        </w:rPr>
        <w:t>,117</w:t>
      </w:r>
      <w:r w:rsidRPr="00715E87">
        <w:rPr>
          <w:rFonts w:ascii="Times New Roman" w:hAnsi="Times New Roman" w:cs="Times New Roman"/>
          <w:color w:val="000000"/>
          <w:sz w:val="24"/>
          <w:szCs w:val="24"/>
          <w:lang w:eastAsia="mk-MK"/>
        </w:rPr>
        <w:t>)</w:t>
      </w:r>
      <w:r w:rsidRPr="00715E87">
        <w:rPr>
          <w:rFonts w:ascii="Times New Roman" w:hAnsi="Times New Roman" w:cs="Times New Roman"/>
          <w:color w:val="000000"/>
          <w:sz w:val="24"/>
          <w:szCs w:val="24"/>
          <w:lang w:eastAsia="en-GB"/>
        </w:rPr>
        <w:t xml:space="preserve"> (Табела 4 и График 5)</w:t>
      </w:r>
      <w:r w:rsidRPr="00715E87">
        <w:rPr>
          <w:rFonts w:ascii="Times New Roman" w:hAnsi="Times New Roman" w:cs="Times New Roman"/>
          <w:color w:val="000000"/>
          <w:sz w:val="24"/>
          <w:szCs w:val="24"/>
          <w:lang w:eastAsia="mk-MK"/>
        </w:rPr>
        <w:t>.</w:t>
      </w:r>
    </w:p>
    <w:p w:rsidR="00B2216A" w:rsidRPr="00715E87" w:rsidRDefault="00B2216A" w:rsidP="00B2216A">
      <w:pPr>
        <w:spacing w:line="360" w:lineRule="auto"/>
        <w:ind w:firstLine="720"/>
        <w:jc w:val="both"/>
        <w:rPr>
          <w:rFonts w:ascii="Times New Roman" w:hAnsi="Times New Roman" w:cs="Times New Roman"/>
          <w:color w:val="000000"/>
          <w:sz w:val="24"/>
          <w:szCs w:val="24"/>
          <w:lang w:eastAsia="en-GB"/>
        </w:rPr>
      </w:pPr>
    </w:p>
    <w:p w:rsidR="00B2216A" w:rsidRDefault="00B2216A"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4E4078" w:rsidRDefault="004E4078" w:rsidP="00E27F8C">
      <w:pPr>
        <w:jc w:val="center"/>
        <w:rPr>
          <w:rFonts w:ascii="Times New Roman" w:hAnsi="Times New Roman" w:cs="Times New Roman"/>
          <w:b/>
          <w:color w:val="000000"/>
          <w:sz w:val="20"/>
          <w:szCs w:val="20"/>
        </w:rPr>
      </w:pPr>
    </w:p>
    <w:p w:rsidR="0007057C" w:rsidRDefault="0007057C" w:rsidP="00E27F8C">
      <w:pPr>
        <w:jc w:val="center"/>
        <w:rPr>
          <w:rFonts w:ascii="Times New Roman" w:hAnsi="Times New Roman" w:cs="Times New Roman"/>
          <w:b/>
          <w:color w:val="000000"/>
          <w:sz w:val="20"/>
          <w:szCs w:val="20"/>
        </w:rPr>
      </w:pPr>
    </w:p>
    <w:p w:rsidR="0007057C" w:rsidRDefault="0007057C" w:rsidP="00E27F8C">
      <w:pPr>
        <w:jc w:val="center"/>
        <w:rPr>
          <w:rFonts w:ascii="Times New Roman" w:hAnsi="Times New Roman" w:cs="Times New Roman"/>
          <w:b/>
          <w:color w:val="000000"/>
          <w:sz w:val="20"/>
          <w:szCs w:val="20"/>
        </w:rPr>
      </w:pPr>
    </w:p>
    <w:p w:rsidR="0007057C" w:rsidRDefault="0007057C" w:rsidP="00E27F8C">
      <w:pPr>
        <w:jc w:val="center"/>
        <w:rPr>
          <w:rFonts w:ascii="Times New Roman" w:hAnsi="Times New Roman" w:cs="Times New Roman"/>
          <w:b/>
          <w:color w:val="000000"/>
          <w:sz w:val="20"/>
          <w:szCs w:val="20"/>
        </w:rPr>
      </w:pPr>
    </w:p>
    <w:p w:rsidR="00E27F8C" w:rsidRDefault="00B2216A" w:rsidP="00E27F8C">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5</w:t>
      </w:r>
      <w:r w:rsidRPr="00995D7E">
        <w:rPr>
          <w:rFonts w:ascii="Times New Roman" w:hAnsi="Times New Roman" w:cs="Times New Roman"/>
          <w:b/>
          <w:color w:val="000000"/>
          <w:sz w:val="20"/>
          <w:szCs w:val="20"/>
        </w:rPr>
        <w:t xml:space="preserve">. Анализа на </w:t>
      </w:r>
      <w:r w:rsidRPr="00A926CA">
        <w:rPr>
          <w:rFonts w:ascii="Times New Roman" w:hAnsi="Times New Roman" w:cs="Times New Roman"/>
          <w:b/>
          <w:color w:val="000000"/>
          <w:sz w:val="20"/>
          <w:szCs w:val="20"/>
          <w:lang w:val="ru-RU"/>
        </w:rPr>
        <w:t xml:space="preserve">вид на тумор </w:t>
      </w:r>
      <w:r w:rsidR="00E27F8C">
        <w:rPr>
          <w:rFonts w:ascii="Times New Roman" w:hAnsi="Times New Roman" w:cs="Times New Roman"/>
          <w:b/>
          <w:color w:val="000000"/>
          <w:sz w:val="20"/>
          <w:szCs w:val="20"/>
        </w:rPr>
        <w:t xml:space="preserve">на паротидни жлезди </w:t>
      </w:r>
      <w:r w:rsidRPr="00A926CA">
        <w:rPr>
          <w:rFonts w:ascii="Times New Roman" w:hAnsi="Times New Roman" w:cs="Times New Roman"/>
          <w:b/>
          <w:color w:val="000000"/>
          <w:sz w:val="20"/>
          <w:szCs w:val="20"/>
          <w:lang w:val="ru-RU"/>
        </w:rPr>
        <w:t xml:space="preserve">според </w:t>
      </w:r>
    </w:p>
    <w:p w:rsidR="00B2216A" w:rsidRPr="00995D7E" w:rsidRDefault="0007057C" w:rsidP="00B2216A">
      <w:pPr>
        <w:spacing w:line="360" w:lineRule="auto"/>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lang w:val="en-US"/>
        </w:rPr>
        <w:drawing>
          <wp:anchor distT="0" distB="0" distL="114300" distR="114300" simplePos="0" relativeHeight="251650560" behindDoc="1" locked="0" layoutInCell="1" allowOverlap="1">
            <wp:simplePos x="0" y="0"/>
            <wp:positionH relativeFrom="column">
              <wp:posOffset>-165100</wp:posOffset>
            </wp:positionH>
            <wp:positionV relativeFrom="paragraph">
              <wp:posOffset>603250</wp:posOffset>
            </wp:positionV>
            <wp:extent cx="5859145" cy="1657350"/>
            <wp:effectExtent l="19050" t="0" r="8255" b="0"/>
            <wp:wrapTight wrapText="bothSides">
              <wp:wrapPolygon edited="0">
                <wp:start x="-70" y="0"/>
                <wp:lineTo x="-70" y="21103"/>
                <wp:lineTo x="9340" y="21103"/>
                <wp:lineTo x="14959" y="21103"/>
                <wp:lineTo x="20366" y="20607"/>
                <wp:lineTo x="20296" y="8193"/>
                <wp:lineTo x="20788" y="7945"/>
                <wp:lineTo x="21630" y="5462"/>
                <wp:lineTo x="21630" y="3476"/>
                <wp:lineTo x="20507" y="0"/>
                <wp:lineTo x="-70" y="0"/>
              </wp:wrapPolygon>
            </wp:wrapTight>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
                    <a:srcRect/>
                    <a:stretch>
                      <a:fillRect/>
                    </a:stretch>
                  </pic:blipFill>
                  <pic:spPr bwMode="auto">
                    <a:xfrm>
                      <a:off x="0" y="0"/>
                      <a:ext cx="5859145" cy="1657350"/>
                    </a:xfrm>
                    <a:prstGeom prst="rect">
                      <a:avLst/>
                    </a:prstGeom>
                    <a:noFill/>
                    <a:ln w="9525">
                      <a:noFill/>
                      <a:miter lim="800000"/>
                      <a:headEnd/>
                      <a:tailEnd/>
                    </a:ln>
                  </pic:spPr>
                </pic:pic>
              </a:graphicData>
            </a:graphic>
          </wp:anchor>
        </w:drawing>
      </w:r>
      <w:r w:rsidR="00B2216A" w:rsidRPr="00A926CA">
        <w:rPr>
          <w:rFonts w:ascii="Times New Roman" w:hAnsi="Times New Roman" w:cs="Times New Roman"/>
          <w:b/>
          <w:color w:val="000000"/>
          <w:sz w:val="20"/>
          <w:szCs w:val="20"/>
          <w:lang w:val="ru-RU"/>
        </w:rPr>
        <w:t>пол и в</w:t>
      </w:r>
      <w:r w:rsidR="00B2216A" w:rsidRPr="00995D7E">
        <w:rPr>
          <w:rFonts w:ascii="Times New Roman" w:hAnsi="Times New Roman" w:cs="Times New Roman"/>
          <w:b/>
          <w:color w:val="000000"/>
          <w:sz w:val="20"/>
          <w:szCs w:val="20"/>
        </w:rPr>
        <w:t>озраст – испитувана група</w:t>
      </w:r>
    </w:p>
    <w:p w:rsidR="00B2216A" w:rsidRDefault="00B2216A" w:rsidP="00E27F8C">
      <w:pPr>
        <w:spacing w:line="360" w:lineRule="auto"/>
        <w:jc w:val="both"/>
        <w:rPr>
          <w:rFonts w:ascii="Times New Roman" w:hAnsi="Times New Roman" w:cs="Times New Roman"/>
          <w:color w:val="000000"/>
          <w:sz w:val="24"/>
          <w:szCs w:val="24"/>
        </w:rPr>
      </w:pPr>
    </w:p>
    <w:p w:rsidR="00297CAE" w:rsidRPr="00715E87" w:rsidRDefault="00297CAE" w:rsidP="0007057C">
      <w:pPr>
        <w:spacing w:after="200"/>
        <w:ind w:firstLine="720"/>
        <w:jc w:val="both"/>
        <w:rPr>
          <w:rFonts w:ascii="Times New Roman" w:hAnsi="Times New Roman" w:cs="Times New Roman"/>
          <w:color w:val="000000"/>
          <w:sz w:val="24"/>
          <w:szCs w:val="24"/>
          <w:lang w:eastAsia="mk-MK"/>
        </w:rPr>
      </w:pPr>
      <w:r w:rsidRPr="00715E87">
        <w:rPr>
          <w:rFonts w:ascii="Times New Roman" w:hAnsi="Times New Roman" w:cs="Times New Roman"/>
          <w:color w:val="000000"/>
          <w:sz w:val="24"/>
          <w:szCs w:val="24"/>
        </w:rPr>
        <w:t>П</w:t>
      </w:r>
      <w:r w:rsidRPr="00715E87">
        <w:rPr>
          <w:rFonts w:ascii="Times New Roman" w:hAnsi="Times New Roman" w:cs="Times New Roman"/>
          <w:color w:val="000000"/>
          <w:sz w:val="24"/>
          <w:szCs w:val="24"/>
          <w:lang w:eastAsia="en-GB"/>
        </w:rPr>
        <w:t xml:space="preserve">росечната возраст на жените </w:t>
      </w:r>
      <w:r w:rsidRPr="00715E87">
        <w:rPr>
          <w:rFonts w:ascii="Times New Roman" w:hAnsi="Times New Roman" w:cs="Times New Roman"/>
          <w:color w:val="000000"/>
          <w:sz w:val="24"/>
          <w:szCs w:val="24"/>
          <w:lang w:val="ru-RU" w:eastAsia="en-GB"/>
        </w:rPr>
        <w:t xml:space="preserve">со бениген тумор </w:t>
      </w:r>
      <w:r w:rsidRPr="00715E87">
        <w:rPr>
          <w:rFonts w:ascii="Times New Roman" w:hAnsi="Times New Roman" w:cs="Times New Roman"/>
          <w:color w:val="000000"/>
          <w:sz w:val="24"/>
          <w:szCs w:val="24"/>
        </w:rPr>
        <w:t xml:space="preserve">на паротидните жлезди </w:t>
      </w:r>
      <w:r w:rsidRPr="00715E87">
        <w:rPr>
          <w:rFonts w:ascii="Times New Roman" w:hAnsi="Times New Roman" w:cs="Times New Roman"/>
          <w:color w:val="000000"/>
          <w:sz w:val="24"/>
          <w:szCs w:val="24"/>
          <w:lang w:eastAsia="en-GB"/>
        </w:rPr>
        <w:t xml:space="preserve">од </w:t>
      </w:r>
      <w:r w:rsidRPr="00715E87">
        <w:rPr>
          <w:rFonts w:ascii="Times New Roman" w:hAnsi="Times New Roman" w:cs="Times New Roman"/>
          <w:color w:val="000000"/>
          <w:sz w:val="24"/>
          <w:szCs w:val="24"/>
        </w:rPr>
        <w:t xml:space="preserve">испитуваната група </w:t>
      </w:r>
      <w:r w:rsidRPr="00715E87">
        <w:rPr>
          <w:rFonts w:ascii="Times New Roman" w:hAnsi="Times New Roman" w:cs="Times New Roman"/>
          <w:color w:val="000000"/>
          <w:sz w:val="24"/>
          <w:szCs w:val="24"/>
          <w:lang w:eastAsia="en-GB"/>
        </w:rPr>
        <w:t xml:space="preserve">изнесуваше </w:t>
      </w:r>
      <w:r w:rsidRPr="00A926CA">
        <w:rPr>
          <w:rFonts w:ascii="Times New Roman" w:hAnsi="Times New Roman" w:cs="Times New Roman"/>
          <w:color w:val="000000"/>
          <w:sz w:val="24"/>
          <w:szCs w:val="24"/>
          <w:lang w:val="ru-RU"/>
        </w:rPr>
        <w:t>55,50</w:t>
      </w:r>
      <w:r w:rsidRPr="00715E87">
        <w:rPr>
          <w:rFonts w:ascii="Times New Roman" w:hAnsi="Times New Roman" w:cs="Times New Roman"/>
          <w:color w:val="000000"/>
          <w:sz w:val="24"/>
          <w:szCs w:val="24"/>
        </w:rPr>
        <w:t>±</w:t>
      </w:r>
      <w:r w:rsidRPr="00A926CA">
        <w:rPr>
          <w:rFonts w:ascii="Times New Roman" w:hAnsi="Times New Roman" w:cs="Times New Roman"/>
          <w:color w:val="000000"/>
          <w:sz w:val="24"/>
          <w:szCs w:val="24"/>
          <w:lang w:val="ru-RU"/>
        </w:rPr>
        <w:t>13,95</w:t>
      </w:r>
      <w:r w:rsidRPr="00715E87">
        <w:rPr>
          <w:rFonts w:ascii="Times New Roman" w:hAnsi="Times New Roman" w:cs="Times New Roman"/>
          <w:color w:val="000000"/>
          <w:sz w:val="24"/>
          <w:szCs w:val="24"/>
        </w:rPr>
        <w:t xml:space="preserve"> со 50% од нив &lt;57</w:t>
      </w:r>
      <w:r w:rsidRPr="00A926CA">
        <w:rPr>
          <w:rFonts w:ascii="Times New Roman" w:hAnsi="Times New Roman" w:cs="Times New Roman"/>
          <w:color w:val="000000"/>
          <w:sz w:val="24"/>
          <w:szCs w:val="24"/>
          <w:lang w:val="ru-RU"/>
        </w:rPr>
        <w:t>,5 години</w:t>
      </w:r>
      <w:r w:rsidRPr="00715E87">
        <w:rPr>
          <w:rFonts w:ascii="Times New Roman" w:hAnsi="Times New Roman" w:cs="Times New Roman"/>
          <w:color w:val="000000"/>
          <w:sz w:val="24"/>
          <w:szCs w:val="24"/>
          <w:lang w:val="ru-RU" w:eastAsia="en-GB"/>
        </w:rPr>
        <w:t xml:space="preserve">, а кај оние со малиген тумор </w:t>
      </w:r>
      <w:r w:rsidRPr="00A926CA">
        <w:rPr>
          <w:rFonts w:ascii="Times New Roman" w:hAnsi="Times New Roman" w:cs="Times New Roman"/>
          <w:color w:val="000000"/>
          <w:sz w:val="24"/>
          <w:szCs w:val="24"/>
          <w:lang w:val="ru-RU"/>
        </w:rPr>
        <w:t>72,67</w:t>
      </w:r>
      <w:r w:rsidRPr="00715E87">
        <w:rPr>
          <w:rFonts w:ascii="Times New Roman" w:hAnsi="Times New Roman" w:cs="Times New Roman"/>
          <w:color w:val="000000"/>
          <w:sz w:val="24"/>
          <w:szCs w:val="24"/>
        </w:rPr>
        <w:t>±</w:t>
      </w:r>
      <w:r w:rsidRPr="00A926CA">
        <w:rPr>
          <w:rFonts w:ascii="Times New Roman" w:hAnsi="Times New Roman" w:cs="Times New Roman"/>
          <w:color w:val="000000"/>
          <w:sz w:val="24"/>
          <w:szCs w:val="24"/>
          <w:lang w:val="ru-RU"/>
        </w:rPr>
        <w:t>11,01</w:t>
      </w:r>
      <w:r w:rsidRPr="00715E87">
        <w:rPr>
          <w:rFonts w:ascii="Times New Roman" w:hAnsi="Times New Roman" w:cs="Times New Roman"/>
          <w:color w:val="000000"/>
          <w:sz w:val="24"/>
          <w:szCs w:val="24"/>
        </w:rPr>
        <w:t xml:space="preserve"> со 50% од нив &lt;72</w:t>
      </w:r>
      <w:r w:rsidRPr="00A926CA">
        <w:rPr>
          <w:rFonts w:ascii="Times New Roman" w:hAnsi="Times New Roman" w:cs="Times New Roman"/>
          <w:color w:val="000000"/>
          <w:sz w:val="24"/>
          <w:szCs w:val="24"/>
          <w:lang w:val="ru-RU"/>
        </w:rPr>
        <w:t xml:space="preserve"> години</w:t>
      </w:r>
      <w:r w:rsidRPr="00715E87">
        <w:rPr>
          <w:rFonts w:ascii="Times New Roman" w:hAnsi="Times New Roman" w:cs="Times New Roman"/>
          <w:color w:val="000000"/>
          <w:sz w:val="24"/>
          <w:szCs w:val="24"/>
          <w:lang w:eastAsia="en-GB"/>
        </w:rPr>
        <w:t>.</w:t>
      </w:r>
      <w:r w:rsidRPr="00715E87">
        <w:rPr>
          <w:rFonts w:ascii="Times New Roman" w:hAnsi="Times New Roman" w:cs="Times New Roman"/>
          <w:color w:val="000000"/>
          <w:sz w:val="24"/>
          <w:szCs w:val="24"/>
        </w:rPr>
        <w:t xml:space="preserve"> З</w:t>
      </w:r>
      <w:r w:rsidRPr="00715E87">
        <w:rPr>
          <w:rFonts w:ascii="Times New Roman" w:hAnsi="Times New Roman" w:cs="Times New Roman"/>
          <w:color w:val="000000"/>
          <w:sz w:val="24"/>
          <w:szCs w:val="24"/>
          <w:lang w:eastAsia="en-GB"/>
        </w:rPr>
        <w:t xml:space="preserve">а </w:t>
      </w:r>
      <w:r w:rsidRPr="00715E87">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&gt;0,05, </w:t>
      </w:r>
      <w:r w:rsidRPr="00715E87">
        <w:rPr>
          <w:rFonts w:ascii="Times New Roman" w:hAnsi="Times New Roman" w:cs="Times New Roman"/>
          <w:color w:val="000000"/>
          <w:sz w:val="24"/>
          <w:szCs w:val="24"/>
          <w:lang w:eastAsia="en-GB"/>
        </w:rPr>
        <w:t>имаше гранична не</w:t>
      </w:r>
      <w:r w:rsidRPr="00715E87">
        <w:rPr>
          <w:rFonts w:ascii="Times New Roman" w:hAnsi="Times New Roman" w:cs="Times New Roman"/>
          <w:color w:val="000000"/>
          <w:sz w:val="24"/>
          <w:szCs w:val="24"/>
          <w:lang w:eastAsia="mk-MK"/>
        </w:rPr>
        <w:t>сигнификантна разлика помеѓу жените со бениген/ малиген тумор на паротидните жлезди во однос на возраста (</w:t>
      </w:r>
      <w:r w:rsidRPr="00715E87">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val="en-US"/>
        </w:rPr>
        <w:t>Z</w:t>
      </w:r>
      <w:r w:rsidRPr="00715E87">
        <w:rPr>
          <w:rFonts w:ascii="Times New Roman" w:hAnsi="Times New Roman" w:cs="Times New Roman"/>
          <w:color w:val="000000"/>
          <w:sz w:val="24"/>
          <w:szCs w:val="24"/>
        </w:rPr>
        <w:t>=-1,935; p=</w:t>
      </w:r>
      <w:r w:rsidRPr="00A926CA">
        <w:rPr>
          <w:rFonts w:ascii="Times New Roman" w:hAnsi="Times New Roman" w:cs="Times New Roman"/>
          <w:color w:val="000000"/>
          <w:sz w:val="24"/>
          <w:szCs w:val="24"/>
          <w:lang w:val="ru-RU"/>
        </w:rPr>
        <w:t>0</w:t>
      </w:r>
      <w:r w:rsidRPr="00715E87">
        <w:rPr>
          <w:rFonts w:ascii="Times New Roman" w:hAnsi="Times New Roman" w:cs="Times New Roman"/>
          <w:color w:val="000000"/>
          <w:sz w:val="24"/>
          <w:szCs w:val="24"/>
        </w:rPr>
        <w:t>,053</w:t>
      </w:r>
      <w:r w:rsidRPr="00715E87">
        <w:rPr>
          <w:rFonts w:ascii="Times New Roman" w:hAnsi="Times New Roman" w:cs="Times New Roman"/>
          <w:color w:val="000000"/>
          <w:sz w:val="24"/>
          <w:szCs w:val="24"/>
          <w:lang w:eastAsia="mk-MK"/>
        </w:rPr>
        <w:t>)</w:t>
      </w:r>
      <w:r w:rsidRPr="00715E87">
        <w:rPr>
          <w:rFonts w:ascii="Times New Roman" w:hAnsi="Times New Roman" w:cs="Times New Roman"/>
          <w:color w:val="000000"/>
          <w:sz w:val="24"/>
          <w:szCs w:val="24"/>
          <w:lang w:eastAsia="en-GB"/>
        </w:rPr>
        <w:t xml:space="preserve"> – жените со малиген тумор беа гранично несигнификантно постари споредено со оние кај кои беше дијагностициран малиген тумор (Табела 4 и График </w:t>
      </w:r>
      <w:r w:rsidR="004B646F">
        <w:rPr>
          <w:rFonts w:ascii="Times New Roman" w:hAnsi="Times New Roman" w:cs="Times New Roman"/>
          <w:color w:val="000000"/>
          <w:sz w:val="24"/>
          <w:szCs w:val="24"/>
          <w:lang w:eastAsia="en-GB"/>
        </w:rPr>
        <w:t>6</w:t>
      </w:r>
      <w:r w:rsidRPr="00715E87">
        <w:rPr>
          <w:rFonts w:ascii="Times New Roman" w:hAnsi="Times New Roman" w:cs="Times New Roman"/>
          <w:color w:val="000000"/>
          <w:sz w:val="24"/>
          <w:szCs w:val="24"/>
          <w:lang w:eastAsia="en-GB"/>
        </w:rPr>
        <w:t>)</w:t>
      </w:r>
      <w:r w:rsidRPr="00715E87">
        <w:rPr>
          <w:rFonts w:ascii="Times New Roman" w:hAnsi="Times New Roman" w:cs="Times New Roman"/>
          <w:color w:val="000000"/>
          <w:sz w:val="24"/>
          <w:szCs w:val="24"/>
          <w:lang w:eastAsia="mk-MK"/>
        </w:rPr>
        <w:t>.</w:t>
      </w:r>
    </w:p>
    <w:p w:rsidR="00B2216A" w:rsidRDefault="00446A60" w:rsidP="00297CAE">
      <w:pPr>
        <w:spacing w:after="200" w:line="360" w:lineRule="auto"/>
        <w:ind w:firstLine="720"/>
        <w:jc w:val="both"/>
        <w:rPr>
          <w:rFonts w:ascii="Times New Roman" w:hAnsi="Times New Roman" w:cs="Times New Roman"/>
          <w:color w:val="000000"/>
          <w:sz w:val="24"/>
          <w:szCs w:val="24"/>
          <w:lang w:eastAsia="mk-MK"/>
        </w:rPr>
      </w:pPr>
      <w:r>
        <w:rPr>
          <w:noProof/>
          <w:lang w:val="en-US"/>
        </w:rPr>
        <w:drawing>
          <wp:anchor distT="0" distB="0" distL="114300" distR="114300" simplePos="0" relativeHeight="251649536" behindDoc="1" locked="0" layoutInCell="1" allowOverlap="1">
            <wp:simplePos x="0" y="0"/>
            <wp:positionH relativeFrom="column">
              <wp:posOffset>1277620</wp:posOffset>
            </wp:positionH>
            <wp:positionV relativeFrom="paragraph">
              <wp:posOffset>115570</wp:posOffset>
            </wp:positionV>
            <wp:extent cx="3275330" cy="1678940"/>
            <wp:effectExtent l="19050" t="0" r="1270" b="0"/>
            <wp:wrapTight wrapText="bothSides">
              <wp:wrapPolygon edited="0">
                <wp:start x="-126" y="0"/>
                <wp:lineTo x="-126" y="21077"/>
                <wp:lineTo x="19221" y="21077"/>
                <wp:lineTo x="19221" y="7843"/>
                <wp:lineTo x="20226" y="7843"/>
                <wp:lineTo x="21608" y="5637"/>
                <wp:lineTo x="21608" y="3921"/>
                <wp:lineTo x="19221" y="0"/>
                <wp:lineTo x="-126" y="0"/>
              </wp:wrapPolygon>
            </wp:wrapTight>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0"/>
                    <a:srcRect/>
                    <a:stretch>
                      <a:fillRect/>
                    </a:stretch>
                  </pic:blipFill>
                  <pic:spPr bwMode="auto">
                    <a:xfrm>
                      <a:off x="0" y="0"/>
                      <a:ext cx="3275330" cy="1678940"/>
                    </a:xfrm>
                    <a:prstGeom prst="rect">
                      <a:avLst/>
                    </a:prstGeom>
                    <a:noFill/>
                    <a:ln w="9525">
                      <a:noFill/>
                      <a:miter lim="800000"/>
                      <a:headEnd/>
                      <a:tailEnd/>
                    </a:ln>
                  </pic:spPr>
                </pic:pic>
              </a:graphicData>
            </a:graphic>
          </wp:anchor>
        </w:drawing>
      </w:r>
    </w:p>
    <w:p w:rsidR="00B2216A" w:rsidRDefault="00B2216A" w:rsidP="00297CAE">
      <w:pPr>
        <w:spacing w:after="200" w:line="360" w:lineRule="auto"/>
        <w:ind w:firstLine="720"/>
        <w:jc w:val="both"/>
        <w:rPr>
          <w:rFonts w:ascii="Times New Roman" w:hAnsi="Times New Roman" w:cs="Times New Roman"/>
          <w:color w:val="000000"/>
          <w:sz w:val="24"/>
          <w:szCs w:val="24"/>
          <w:lang w:eastAsia="mk-MK"/>
        </w:rPr>
      </w:pPr>
    </w:p>
    <w:p w:rsidR="00B2216A" w:rsidRDefault="00B2216A" w:rsidP="00297CAE">
      <w:pPr>
        <w:spacing w:after="200" w:line="360" w:lineRule="auto"/>
        <w:ind w:firstLine="720"/>
        <w:jc w:val="both"/>
        <w:rPr>
          <w:rFonts w:ascii="Times New Roman" w:hAnsi="Times New Roman" w:cs="Times New Roman"/>
          <w:color w:val="000000"/>
          <w:sz w:val="24"/>
          <w:szCs w:val="24"/>
          <w:lang w:eastAsia="mk-MK"/>
        </w:rPr>
      </w:pPr>
    </w:p>
    <w:p w:rsidR="00B2216A" w:rsidRDefault="00B2216A" w:rsidP="00297CAE">
      <w:pPr>
        <w:spacing w:after="200" w:line="360" w:lineRule="auto"/>
        <w:ind w:firstLine="720"/>
        <w:jc w:val="both"/>
        <w:rPr>
          <w:rFonts w:ascii="Times New Roman" w:hAnsi="Times New Roman" w:cs="Times New Roman"/>
          <w:color w:val="000000"/>
          <w:sz w:val="24"/>
          <w:szCs w:val="24"/>
          <w:lang w:eastAsia="mk-MK"/>
        </w:rPr>
      </w:pPr>
    </w:p>
    <w:p w:rsidR="00D96EC9" w:rsidRDefault="00D96EC9" w:rsidP="00297CAE">
      <w:pPr>
        <w:spacing w:after="200" w:line="360" w:lineRule="auto"/>
        <w:ind w:firstLine="720"/>
        <w:jc w:val="both"/>
        <w:rPr>
          <w:rFonts w:ascii="Times New Roman" w:hAnsi="Times New Roman" w:cs="Times New Roman"/>
          <w:color w:val="000000"/>
          <w:sz w:val="24"/>
          <w:szCs w:val="24"/>
          <w:lang w:eastAsia="mk-MK"/>
        </w:rPr>
      </w:pPr>
    </w:p>
    <w:p w:rsidR="00E27F8C" w:rsidRDefault="004B646F" w:rsidP="00E27F8C">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6</w:t>
      </w:r>
      <w:r w:rsidR="00D96EC9" w:rsidRPr="00995D7E">
        <w:rPr>
          <w:rFonts w:ascii="Times New Roman" w:hAnsi="Times New Roman" w:cs="Times New Roman"/>
          <w:b/>
          <w:color w:val="000000"/>
          <w:sz w:val="20"/>
          <w:szCs w:val="20"/>
        </w:rPr>
        <w:t xml:space="preserve">. Анализа на </w:t>
      </w:r>
      <w:r w:rsidR="00D96EC9" w:rsidRPr="00A926CA">
        <w:rPr>
          <w:rFonts w:ascii="Times New Roman" w:hAnsi="Times New Roman" w:cs="Times New Roman"/>
          <w:b/>
          <w:color w:val="000000"/>
          <w:sz w:val="20"/>
          <w:szCs w:val="20"/>
          <w:lang w:val="ru-RU"/>
        </w:rPr>
        <w:t xml:space="preserve">вид на тумор </w:t>
      </w:r>
      <w:r w:rsidR="00E27F8C">
        <w:rPr>
          <w:rFonts w:ascii="Times New Roman" w:hAnsi="Times New Roman" w:cs="Times New Roman"/>
          <w:b/>
          <w:color w:val="000000"/>
          <w:sz w:val="20"/>
          <w:szCs w:val="20"/>
        </w:rPr>
        <w:t xml:space="preserve">на паротидни жлезди </w:t>
      </w:r>
      <w:r w:rsidR="00D96EC9" w:rsidRPr="00A926CA">
        <w:rPr>
          <w:rFonts w:ascii="Times New Roman" w:hAnsi="Times New Roman" w:cs="Times New Roman"/>
          <w:b/>
          <w:color w:val="000000"/>
          <w:sz w:val="20"/>
          <w:szCs w:val="20"/>
          <w:lang w:val="ru-RU"/>
        </w:rPr>
        <w:t xml:space="preserve">според </w:t>
      </w:r>
    </w:p>
    <w:p w:rsidR="0007057C" w:rsidRDefault="00D96EC9" w:rsidP="0007057C">
      <w:pPr>
        <w:spacing w:line="360" w:lineRule="auto"/>
        <w:jc w:val="center"/>
        <w:rPr>
          <w:rFonts w:ascii="Times New Roman" w:hAnsi="Times New Roman" w:cs="Times New Roman"/>
          <w:b/>
          <w:color w:val="000000"/>
          <w:sz w:val="20"/>
          <w:szCs w:val="20"/>
        </w:rPr>
      </w:pPr>
      <w:r w:rsidRPr="00A926CA">
        <w:rPr>
          <w:rFonts w:ascii="Times New Roman" w:hAnsi="Times New Roman" w:cs="Times New Roman"/>
          <w:b/>
          <w:color w:val="000000"/>
          <w:sz w:val="20"/>
          <w:szCs w:val="20"/>
          <w:lang w:val="ru-RU"/>
        </w:rPr>
        <w:t>в</w:t>
      </w:r>
      <w:r w:rsidRPr="00995D7E">
        <w:rPr>
          <w:rFonts w:ascii="Times New Roman" w:hAnsi="Times New Roman" w:cs="Times New Roman"/>
          <w:b/>
          <w:color w:val="000000"/>
          <w:sz w:val="20"/>
          <w:szCs w:val="20"/>
        </w:rPr>
        <w:t>озраст – испитувана група</w:t>
      </w:r>
    </w:p>
    <w:p w:rsidR="00297CAE" w:rsidRPr="0007057C" w:rsidRDefault="00297CAE" w:rsidP="0007057C">
      <w:pPr>
        <w:rPr>
          <w:rFonts w:ascii="Times New Roman" w:hAnsi="Times New Roman" w:cs="Times New Roman"/>
          <w:b/>
          <w:color w:val="000000"/>
          <w:sz w:val="20"/>
          <w:szCs w:val="20"/>
        </w:rPr>
      </w:pPr>
      <w:r w:rsidRPr="00715E87">
        <w:rPr>
          <w:rFonts w:ascii="Times New Roman" w:hAnsi="Times New Roman" w:cs="Times New Roman"/>
          <w:color w:val="000000"/>
          <w:sz w:val="24"/>
          <w:szCs w:val="24"/>
          <w:lang w:eastAsia="mk-MK"/>
        </w:rPr>
        <w:t>Вкупно во испитуваната група</w:t>
      </w:r>
      <w:r w:rsidRPr="00A926CA">
        <w:rPr>
          <w:rFonts w:ascii="Times New Roman" w:hAnsi="Times New Roman" w:cs="Times New Roman"/>
          <w:color w:val="000000"/>
          <w:sz w:val="24"/>
          <w:szCs w:val="24"/>
          <w:lang w:val="ru-RU" w:eastAsia="mk-MK"/>
        </w:rPr>
        <w:t xml:space="preserve"> </w:t>
      </w:r>
      <w:r w:rsidRPr="00715E87">
        <w:rPr>
          <w:rFonts w:ascii="Times New Roman" w:hAnsi="Times New Roman" w:cs="Times New Roman"/>
          <w:color w:val="000000"/>
          <w:sz w:val="24"/>
          <w:szCs w:val="24"/>
          <w:lang w:eastAsia="mk-MK"/>
        </w:rPr>
        <w:t xml:space="preserve">на пациенти со </w:t>
      </w:r>
      <w:r w:rsidRPr="00715E87">
        <w:rPr>
          <w:rFonts w:ascii="Times New Roman" w:hAnsi="Times New Roman" w:cs="Times New Roman"/>
          <w:color w:val="000000"/>
          <w:sz w:val="24"/>
          <w:szCs w:val="24"/>
          <w:lang w:val="ru-RU" w:eastAsia="en-GB"/>
        </w:rPr>
        <w:t xml:space="preserve">тумор </w:t>
      </w:r>
      <w:r w:rsidRPr="00715E87">
        <w:rPr>
          <w:rFonts w:ascii="Times New Roman" w:hAnsi="Times New Roman" w:cs="Times New Roman"/>
          <w:color w:val="000000"/>
          <w:sz w:val="24"/>
          <w:szCs w:val="24"/>
        </w:rPr>
        <w:t>на паротидните жлезди</w:t>
      </w:r>
      <w:r w:rsidRPr="00715E87">
        <w:rPr>
          <w:rFonts w:ascii="Times New Roman" w:hAnsi="Times New Roman" w:cs="Times New Roman"/>
          <w:color w:val="000000"/>
          <w:sz w:val="24"/>
          <w:szCs w:val="24"/>
          <w:lang w:eastAsia="mk-MK"/>
        </w:rPr>
        <w:t xml:space="preserve">, просечната возраст на пациентите со бениген тумор изнесуваше </w:t>
      </w:r>
      <w:r w:rsidRPr="00A926CA">
        <w:rPr>
          <w:rFonts w:ascii="Times New Roman" w:hAnsi="Times New Roman" w:cs="Times New Roman"/>
          <w:color w:val="000000"/>
          <w:sz w:val="24"/>
          <w:szCs w:val="24"/>
          <w:lang w:val="ru-RU"/>
        </w:rPr>
        <w:t>53,18</w:t>
      </w:r>
      <w:r w:rsidRPr="00715E87">
        <w:rPr>
          <w:rFonts w:ascii="Times New Roman" w:hAnsi="Times New Roman" w:cs="Times New Roman"/>
          <w:color w:val="000000"/>
          <w:sz w:val="24"/>
          <w:szCs w:val="24"/>
        </w:rPr>
        <w:t>±</w:t>
      </w:r>
      <w:r w:rsidRPr="00A926CA">
        <w:rPr>
          <w:rFonts w:ascii="Times New Roman" w:hAnsi="Times New Roman" w:cs="Times New Roman"/>
          <w:color w:val="000000"/>
          <w:sz w:val="24"/>
          <w:szCs w:val="24"/>
          <w:lang w:val="ru-RU"/>
        </w:rPr>
        <w:t>14,81</w:t>
      </w:r>
      <w:r w:rsidRPr="00715E87">
        <w:rPr>
          <w:rFonts w:ascii="Times New Roman" w:hAnsi="Times New Roman" w:cs="Times New Roman"/>
          <w:color w:val="000000"/>
          <w:sz w:val="24"/>
          <w:szCs w:val="24"/>
        </w:rPr>
        <w:t xml:space="preserve"> години</w:t>
      </w:r>
      <w:r w:rsidRPr="00A926CA">
        <w:rPr>
          <w:rFonts w:ascii="Times New Roman" w:hAnsi="Times New Roman" w:cs="Times New Roman"/>
          <w:color w:val="000000"/>
          <w:sz w:val="24"/>
          <w:szCs w:val="24"/>
          <w:lang w:val="ru-RU"/>
        </w:rPr>
        <w:t xml:space="preserve">, </w:t>
      </w:r>
      <w:r w:rsidRPr="00715E87">
        <w:rPr>
          <w:rFonts w:ascii="Times New Roman" w:hAnsi="Times New Roman" w:cs="Times New Roman"/>
          <w:color w:val="000000"/>
          <w:sz w:val="24"/>
          <w:szCs w:val="24"/>
        </w:rPr>
        <w:t xml:space="preserve">а на оние со малиген тумор таа беше </w:t>
      </w:r>
      <w:r w:rsidRPr="00A926CA">
        <w:rPr>
          <w:rFonts w:ascii="Times New Roman" w:hAnsi="Times New Roman" w:cs="Times New Roman"/>
          <w:color w:val="000000"/>
          <w:sz w:val="24"/>
          <w:szCs w:val="24"/>
          <w:lang w:val="ru-RU"/>
        </w:rPr>
        <w:t>64,50</w:t>
      </w:r>
      <w:r w:rsidRPr="00715E87">
        <w:rPr>
          <w:rFonts w:ascii="Times New Roman" w:hAnsi="Times New Roman" w:cs="Times New Roman"/>
          <w:color w:val="000000"/>
          <w:sz w:val="24"/>
          <w:szCs w:val="24"/>
        </w:rPr>
        <w:t>±</w:t>
      </w:r>
      <w:r w:rsidRPr="00A926CA">
        <w:rPr>
          <w:rFonts w:ascii="Times New Roman" w:hAnsi="Times New Roman" w:cs="Times New Roman"/>
          <w:color w:val="000000"/>
          <w:sz w:val="24"/>
          <w:szCs w:val="24"/>
          <w:lang w:val="ru-RU"/>
        </w:rPr>
        <w:t>14,02</w:t>
      </w:r>
      <w:r w:rsidRPr="00715E87">
        <w:rPr>
          <w:rFonts w:ascii="Times New Roman" w:hAnsi="Times New Roman" w:cs="Times New Roman"/>
          <w:color w:val="000000"/>
          <w:sz w:val="24"/>
          <w:szCs w:val="24"/>
        </w:rPr>
        <w:t xml:space="preserve"> години. </w:t>
      </w:r>
      <w:r w:rsidR="00715E87" w:rsidRPr="00715E87">
        <w:rPr>
          <w:rFonts w:ascii="Times New Roman" w:hAnsi="Times New Roman" w:cs="Times New Roman"/>
          <w:color w:val="000000"/>
          <w:sz w:val="24"/>
          <w:szCs w:val="24"/>
        </w:rPr>
        <w:t xml:space="preserve">Од пациентите со бениген тумор, </w:t>
      </w:r>
      <w:r w:rsidRPr="00715E87">
        <w:rPr>
          <w:rFonts w:ascii="Times New Roman" w:hAnsi="Times New Roman" w:cs="Times New Roman"/>
          <w:color w:val="000000"/>
          <w:sz w:val="24"/>
          <w:szCs w:val="24"/>
        </w:rPr>
        <w:t xml:space="preserve">50% </w:t>
      </w:r>
      <w:r w:rsidR="00715E87" w:rsidRPr="00715E87">
        <w:rPr>
          <w:rFonts w:ascii="Times New Roman" w:hAnsi="Times New Roman" w:cs="Times New Roman"/>
          <w:color w:val="000000"/>
          <w:sz w:val="24"/>
          <w:szCs w:val="24"/>
        </w:rPr>
        <w:t xml:space="preserve">беа на </w:t>
      </w:r>
      <w:r w:rsidRPr="00715E87">
        <w:rPr>
          <w:rFonts w:ascii="Times New Roman" w:hAnsi="Times New Roman" w:cs="Times New Roman"/>
          <w:color w:val="000000"/>
          <w:sz w:val="24"/>
          <w:szCs w:val="24"/>
        </w:rPr>
        <w:t>возраст</w:t>
      </w:r>
      <w:r w:rsidR="00715E87" w:rsidRPr="00715E87">
        <w:rPr>
          <w:rFonts w:ascii="Times New Roman" w:hAnsi="Times New Roman" w:cs="Times New Roman"/>
          <w:color w:val="000000"/>
          <w:sz w:val="24"/>
          <w:szCs w:val="24"/>
        </w:rPr>
        <w:t xml:space="preserve"> </w:t>
      </w:r>
      <w:r w:rsidRPr="00715E87">
        <w:rPr>
          <w:rFonts w:ascii="Times New Roman" w:hAnsi="Times New Roman" w:cs="Times New Roman"/>
          <w:color w:val="000000"/>
          <w:sz w:val="24"/>
          <w:szCs w:val="24"/>
        </w:rPr>
        <w:t>&lt;56</w:t>
      </w:r>
      <w:r w:rsidRPr="00A926CA">
        <w:rPr>
          <w:rFonts w:ascii="Times New Roman" w:hAnsi="Times New Roman" w:cs="Times New Roman"/>
          <w:color w:val="000000"/>
          <w:sz w:val="24"/>
          <w:szCs w:val="24"/>
          <w:lang w:val="ru-RU"/>
        </w:rPr>
        <w:t>,5 години</w:t>
      </w:r>
      <w:r w:rsidRPr="00715E87">
        <w:rPr>
          <w:rFonts w:ascii="Times New Roman" w:hAnsi="Times New Roman" w:cs="Times New Roman"/>
          <w:color w:val="000000"/>
          <w:sz w:val="24"/>
          <w:szCs w:val="24"/>
        </w:rPr>
        <w:t xml:space="preserve"> за </w:t>
      </w:r>
      <w:r w:rsidRPr="00715E87">
        <w:rPr>
          <w:rFonts w:ascii="Times New Roman" w:hAnsi="Times New Roman" w:cs="Times New Roman"/>
          <w:color w:val="000000"/>
          <w:sz w:val="24"/>
          <w:szCs w:val="24"/>
          <w:lang w:val="en-US" w:eastAsia="en-GB"/>
        </w:rPr>
        <w:t>Median</w:t>
      </w:r>
      <w:r w:rsidRPr="00715E87">
        <w:rPr>
          <w:rFonts w:ascii="Times New Roman" w:hAnsi="Times New Roman" w:cs="Times New Roman"/>
          <w:color w:val="000000"/>
          <w:sz w:val="24"/>
          <w:szCs w:val="24"/>
          <w:lang w:val="ru-RU" w:eastAsia="en-GB"/>
        </w:rPr>
        <w:t xml:space="preserve"> (</w:t>
      </w:r>
      <w:r w:rsidRPr="00715E87">
        <w:rPr>
          <w:rFonts w:ascii="Times New Roman" w:hAnsi="Times New Roman" w:cs="Times New Roman"/>
          <w:color w:val="000000"/>
          <w:sz w:val="24"/>
          <w:szCs w:val="24"/>
          <w:lang w:val="en-US" w:eastAsia="en-GB"/>
        </w:rPr>
        <w:t>IQR</w:t>
      </w:r>
      <w:r w:rsidRPr="00715E87">
        <w:rPr>
          <w:rFonts w:ascii="Times New Roman" w:hAnsi="Times New Roman" w:cs="Times New Roman"/>
          <w:color w:val="000000"/>
          <w:sz w:val="24"/>
          <w:szCs w:val="24"/>
          <w:lang w:val="ru-RU" w:eastAsia="en-GB"/>
        </w:rPr>
        <w:t>)</w:t>
      </w:r>
      <w:r w:rsidRPr="00715E87">
        <w:rPr>
          <w:rFonts w:ascii="Times New Roman" w:hAnsi="Times New Roman" w:cs="Times New Roman"/>
          <w:color w:val="000000"/>
          <w:sz w:val="24"/>
          <w:szCs w:val="24"/>
          <w:lang w:eastAsia="en-GB"/>
        </w:rPr>
        <w:t>=</w:t>
      </w:r>
      <w:r w:rsidRPr="00715E87">
        <w:rPr>
          <w:rFonts w:ascii="Times New Roman" w:hAnsi="Times New Roman" w:cs="Times New Roman"/>
          <w:color w:val="000000"/>
          <w:sz w:val="24"/>
          <w:szCs w:val="24"/>
          <w:lang w:eastAsia="mk-MK"/>
        </w:rPr>
        <w:t xml:space="preserve"> </w:t>
      </w:r>
      <w:r w:rsidRPr="00A926CA">
        <w:rPr>
          <w:rFonts w:ascii="Times New Roman" w:hAnsi="Times New Roman" w:cs="Times New Roman"/>
          <w:color w:val="000000"/>
          <w:sz w:val="24"/>
          <w:szCs w:val="24"/>
          <w:lang w:val="ru-RU"/>
        </w:rPr>
        <w:t>56,5</w:t>
      </w:r>
      <w:r w:rsidRPr="00715E87">
        <w:rPr>
          <w:rFonts w:ascii="Times New Roman" w:hAnsi="Times New Roman" w:cs="Times New Roman"/>
          <w:color w:val="000000"/>
          <w:sz w:val="24"/>
          <w:szCs w:val="24"/>
        </w:rPr>
        <w:t xml:space="preserve"> (49,0-62,5)</w:t>
      </w:r>
      <w:r w:rsidR="00715E87" w:rsidRPr="00715E87">
        <w:rPr>
          <w:rFonts w:ascii="Times New Roman" w:hAnsi="Times New Roman" w:cs="Times New Roman"/>
          <w:color w:val="000000"/>
          <w:sz w:val="24"/>
          <w:szCs w:val="24"/>
        </w:rPr>
        <w:t>, а од оние со малиген тумор 50% беа на возраст &lt;63</w:t>
      </w:r>
      <w:r w:rsidR="00715E87" w:rsidRPr="00A926CA">
        <w:rPr>
          <w:rFonts w:ascii="Times New Roman" w:hAnsi="Times New Roman" w:cs="Times New Roman"/>
          <w:color w:val="000000"/>
          <w:sz w:val="24"/>
          <w:szCs w:val="24"/>
          <w:lang w:val="ru-RU"/>
        </w:rPr>
        <w:t>,5 години</w:t>
      </w:r>
      <w:r w:rsidR="00715E87" w:rsidRPr="00715E87">
        <w:rPr>
          <w:rFonts w:ascii="Times New Roman" w:hAnsi="Times New Roman" w:cs="Times New Roman"/>
          <w:color w:val="000000"/>
          <w:sz w:val="24"/>
          <w:szCs w:val="24"/>
        </w:rPr>
        <w:t xml:space="preserve"> за </w:t>
      </w:r>
      <w:r w:rsidR="00715E87" w:rsidRPr="00715E87">
        <w:rPr>
          <w:rFonts w:ascii="Times New Roman" w:hAnsi="Times New Roman" w:cs="Times New Roman"/>
          <w:color w:val="000000"/>
          <w:sz w:val="24"/>
          <w:szCs w:val="24"/>
          <w:lang w:val="en-US" w:eastAsia="en-GB"/>
        </w:rPr>
        <w:t>Median</w:t>
      </w:r>
      <w:r w:rsidR="00715E87" w:rsidRPr="00715E87">
        <w:rPr>
          <w:rFonts w:ascii="Times New Roman" w:hAnsi="Times New Roman" w:cs="Times New Roman"/>
          <w:color w:val="000000"/>
          <w:sz w:val="24"/>
          <w:szCs w:val="24"/>
          <w:lang w:val="ru-RU" w:eastAsia="en-GB"/>
        </w:rPr>
        <w:t xml:space="preserve"> (</w:t>
      </w:r>
      <w:r w:rsidR="00715E87" w:rsidRPr="00715E87">
        <w:rPr>
          <w:rFonts w:ascii="Times New Roman" w:hAnsi="Times New Roman" w:cs="Times New Roman"/>
          <w:color w:val="000000"/>
          <w:sz w:val="24"/>
          <w:szCs w:val="24"/>
          <w:lang w:val="en-US" w:eastAsia="en-GB"/>
        </w:rPr>
        <w:t>IQR</w:t>
      </w:r>
      <w:r w:rsidR="00715E87" w:rsidRPr="00715E87">
        <w:rPr>
          <w:rFonts w:ascii="Times New Roman" w:hAnsi="Times New Roman" w:cs="Times New Roman"/>
          <w:color w:val="000000"/>
          <w:sz w:val="24"/>
          <w:szCs w:val="24"/>
          <w:lang w:val="ru-RU" w:eastAsia="en-GB"/>
        </w:rPr>
        <w:t>)</w:t>
      </w:r>
      <w:r w:rsidR="00715E87" w:rsidRPr="00715E87">
        <w:rPr>
          <w:rFonts w:ascii="Times New Roman" w:hAnsi="Times New Roman" w:cs="Times New Roman"/>
          <w:color w:val="000000"/>
          <w:sz w:val="24"/>
          <w:szCs w:val="24"/>
          <w:lang w:eastAsia="en-GB"/>
        </w:rPr>
        <w:t>=</w:t>
      </w:r>
      <w:r w:rsidR="00715E87" w:rsidRPr="00715E87">
        <w:rPr>
          <w:rFonts w:ascii="Times New Roman" w:hAnsi="Times New Roman" w:cs="Times New Roman"/>
          <w:color w:val="000000"/>
          <w:sz w:val="24"/>
          <w:szCs w:val="24"/>
          <w:lang w:eastAsia="mk-MK"/>
        </w:rPr>
        <w:t xml:space="preserve"> </w:t>
      </w:r>
      <w:r w:rsidR="00715E87" w:rsidRPr="00A926CA">
        <w:rPr>
          <w:rFonts w:ascii="Times New Roman" w:hAnsi="Times New Roman" w:cs="Times New Roman"/>
          <w:color w:val="000000"/>
          <w:sz w:val="24"/>
          <w:szCs w:val="24"/>
          <w:lang w:val="ru-RU"/>
        </w:rPr>
        <w:t>63,5</w:t>
      </w:r>
      <w:r w:rsidR="00715E87" w:rsidRPr="00715E87">
        <w:rPr>
          <w:rFonts w:ascii="Times New Roman" w:hAnsi="Times New Roman" w:cs="Times New Roman"/>
          <w:color w:val="000000"/>
          <w:sz w:val="24"/>
          <w:szCs w:val="24"/>
        </w:rPr>
        <w:t xml:space="preserve"> (53,5-78,0). За p&lt;0,05, </w:t>
      </w:r>
      <w:r w:rsidR="00D96EC9" w:rsidRPr="00715E87">
        <w:rPr>
          <w:rFonts w:ascii="Times New Roman" w:hAnsi="Times New Roman" w:cs="Times New Roman"/>
          <w:color w:val="000000"/>
          <w:sz w:val="24"/>
          <w:szCs w:val="24"/>
          <w:lang w:eastAsia="mk-MK"/>
        </w:rPr>
        <w:t>во испитуваната група</w:t>
      </w:r>
      <w:r w:rsidR="00D96EC9" w:rsidRPr="00A926CA">
        <w:rPr>
          <w:rFonts w:ascii="Times New Roman" w:hAnsi="Times New Roman" w:cs="Times New Roman"/>
          <w:color w:val="000000"/>
          <w:sz w:val="24"/>
          <w:szCs w:val="24"/>
          <w:lang w:val="ru-RU" w:eastAsia="mk-MK"/>
        </w:rPr>
        <w:t xml:space="preserve"> </w:t>
      </w:r>
      <w:r w:rsidR="00D96EC9" w:rsidRPr="00715E87">
        <w:rPr>
          <w:rFonts w:ascii="Times New Roman" w:hAnsi="Times New Roman" w:cs="Times New Roman"/>
          <w:color w:val="000000"/>
          <w:sz w:val="24"/>
          <w:szCs w:val="24"/>
          <w:lang w:eastAsia="mk-MK"/>
        </w:rPr>
        <w:t xml:space="preserve">на пациенти со </w:t>
      </w:r>
      <w:r w:rsidR="00D96EC9" w:rsidRPr="00715E87">
        <w:rPr>
          <w:rFonts w:ascii="Times New Roman" w:hAnsi="Times New Roman" w:cs="Times New Roman"/>
          <w:color w:val="000000"/>
          <w:sz w:val="24"/>
          <w:szCs w:val="24"/>
          <w:lang w:val="ru-RU" w:eastAsia="en-GB"/>
        </w:rPr>
        <w:t xml:space="preserve">тумор </w:t>
      </w:r>
      <w:r w:rsidR="00D96EC9" w:rsidRPr="00715E87">
        <w:rPr>
          <w:rFonts w:ascii="Times New Roman" w:hAnsi="Times New Roman" w:cs="Times New Roman"/>
          <w:color w:val="000000"/>
          <w:sz w:val="24"/>
          <w:szCs w:val="24"/>
        </w:rPr>
        <w:t xml:space="preserve">на паротидните жлезди </w:t>
      </w:r>
      <w:r w:rsidR="00715E87" w:rsidRPr="00715E87">
        <w:rPr>
          <w:rFonts w:ascii="Times New Roman" w:hAnsi="Times New Roman" w:cs="Times New Roman"/>
          <w:color w:val="000000"/>
          <w:sz w:val="24"/>
          <w:szCs w:val="24"/>
        </w:rPr>
        <w:t xml:space="preserve">утврдена беше </w:t>
      </w:r>
      <w:r w:rsidR="00715E87" w:rsidRPr="00715E87">
        <w:rPr>
          <w:rFonts w:ascii="Times New Roman" w:hAnsi="Times New Roman" w:cs="Times New Roman"/>
          <w:color w:val="000000"/>
          <w:sz w:val="24"/>
          <w:szCs w:val="24"/>
          <w:lang w:eastAsia="mk-MK"/>
        </w:rPr>
        <w:t>сигнификантна разлика помеѓу возраста на пациентите со бениген/ малиген тумор (</w:t>
      </w:r>
      <w:r w:rsidR="00715E87" w:rsidRPr="00715E87">
        <w:rPr>
          <w:rFonts w:ascii="Times New Roman" w:hAnsi="Times New Roman" w:cs="Times New Roman"/>
          <w:color w:val="000000"/>
          <w:sz w:val="24"/>
          <w:szCs w:val="24"/>
          <w:lang w:val="en-US" w:eastAsia="mk-MK"/>
        </w:rPr>
        <w:t>Mann</w:t>
      </w:r>
      <w:r w:rsidR="00715E87" w:rsidRPr="00A926CA">
        <w:rPr>
          <w:rFonts w:ascii="Times New Roman" w:hAnsi="Times New Roman" w:cs="Times New Roman"/>
          <w:color w:val="000000"/>
          <w:sz w:val="24"/>
          <w:szCs w:val="24"/>
          <w:lang w:val="ru-RU" w:eastAsia="mk-MK"/>
        </w:rPr>
        <w:t xml:space="preserve"> </w:t>
      </w:r>
      <w:r w:rsidR="00715E87" w:rsidRPr="00715E87">
        <w:rPr>
          <w:rFonts w:ascii="Times New Roman" w:hAnsi="Times New Roman" w:cs="Times New Roman"/>
          <w:color w:val="000000"/>
          <w:sz w:val="24"/>
          <w:szCs w:val="24"/>
          <w:lang w:val="en-US" w:eastAsia="mk-MK"/>
        </w:rPr>
        <w:t>Whitney</w:t>
      </w:r>
      <w:r w:rsidR="00715E87" w:rsidRPr="00A926CA">
        <w:rPr>
          <w:rFonts w:ascii="Times New Roman" w:hAnsi="Times New Roman" w:cs="Times New Roman"/>
          <w:color w:val="000000"/>
          <w:sz w:val="24"/>
          <w:szCs w:val="24"/>
          <w:lang w:val="ru-RU" w:eastAsia="mk-MK"/>
        </w:rPr>
        <w:t xml:space="preserve"> </w:t>
      </w:r>
      <w:r w:rsidR="00715E87" w:rsidRPr="00715E87">
        <w:rPr>
          <w:rFonts w:ascii="Times New Roman" w:hAnsi="Times New Roman" w:cs="Times New Roman"/>
          <w:color w:val="000000"/>
          <w:sz w:val="24"/>
          <w:szCs w:val="24"/>
          <w:lang w:val="en-US" w:eastAsia="mk-MK"/>
        </w:rPr>
        <w:t>U</w:t>
      </w:r>
      <w:r w:rsidR="00715E87" w:rsidRPr="00A926CA">
        <w:rPr>
          <w:rFonts w:ascii="Times New Roman" w:hAnsi="Times New Roman" w:cs="Times New Roman"/>
          <w:color w:val="000000"/>
          <w:sz w:val="24"/>
          <w:szCs w:val="24"/>
          <w:lang w:val="ru-RU" w:eastAsia="mk-MK"/>
        </w:rPr>
        <w:t xml:space="preserve"> </w:t>
      </w:r>
      <w:r w:rsidR="00715E87" w:rsidRPr="00715E87">
        <w:rPr>
          <w:rFonts w:ascii="Times New Roman" w:hAnsi="Times New Roman" w:cs="Times New Roman"/>
          <w:color w:val="000000"/>
          <w:sz w:val="24"/>
          <w:szCs w:val="24"/>
          <w:lang w:val="en-US" w:eastAsia="mk-MK"/>
        </w:rPr>
        <w:t>test</w:t>
      </w:r>
      <w:r w:rsidR="00715E87" w:rsidRPr="00A926CA">
        <w:rPr>
          <w:rFonts w:ascii="Times New Roman" w:hAnsi="Times New Roman" w:cs="Times New Roman"/>
          <w:color w:val="000000"/>
          <w:sz w:val="24"/>
          <w:szCs w:val="24"/>
          <w:lang w:val="ru-RU" w:eastAsia="mk-MK"/>
        </w:rPr>
        <w:t xml:space="preserve">: </w:t>
      </w:r>
      <w:r w:rsidR="00715E87" w:rsidRPr="00715E87">
        <w:rPr>
          <w:rFonts w:ascii="Times New Roman" w:hAnsi="Times New Roman" w:cs="Times New Roman"/>
          <w:color w:val="000000"/>
          <w:sz w:val="24"/>
          <w:szCs w:val="24"/>
          <w:lang w:val="en-US"/>
        </w:rPr>
        <w:t>Z</w:t>
      </w:r>
      <w:r w:rsidR="00715E87" w:rsidRPr="00715E87">
        <w:rPr>
          <w:rFonts w:ascii="Times New Roman" w:hAnsi="Times New Roman" w:cs="Times New Roman"/>
          <w:color w:val="000000"/>
          <w:sz w:val="24"/>
          <w:szCs w:val="24"/>
        </w:rPr>
        <w:t>=</w:t>
      </w:r>
      <w:r w:rsidR="00715E87" w:rsidRPr="00A926CA">
        <w:rPr>
          <w:rFonts w:ascii="Times New Roman" w:hAnsi="Times New Roman" w:cs="Times New Roman"/>
          <w:color w:val="000000"/>
          <w:sz w:val="24"/>
          <w:szCs w:val="24"/>
          <w:lang w:val="ru-RU"/>
        </w:rPr>
        <w:t>2,153</w:t>
      </w:r>
      <w:r w:rsidR="00715E87" w:rsidRPr="00715E87">
        <w:rPr>
          <w:rFonts w:ascii="Times New Roman" w:hAnsi="Times New Roman" w:cs="Times New Roman"/>
          <w:color w:val="000000"/>
          <w:sz w:val="24"/>
          <w:szCs w:val="24"/>
        </w:rPr>
        <w:t>; p=</w:t>
      </w:r>
      <w:r w:rsidR="00715E87" w:rsidRPr="00A926CA">
        <w:rPr>
          <w:rFonts w:ascii="Times New Roman" w:hAnsi="Times New Roman" w:cs="Times New Roman"/>
          <w:color w:val="000000"/>
          <w:sz w:val="24"/>
          <w:szCs w:val="24"/>
          <w:lang w:val="ru-RU"/>
        </w:rPr>
        <w:t>0</w:t>
      </w:r>
      <w:r w:rsidR="00715E87" w:rsidRPr="00715E87">
        <w:rPr>
          <w:rFonts w:ascii="Times New Roman" w:hAnsi="Times New Roman" w:cs="Times New Roman"/>
          <w:color w:val="000000"/>
          <w:sz w:val="24"/>
          <w:szCs w:val="24"/>
        </w:rPr>
        <w:t>,0</w:t>
      </w:r>
      <w:r w:rsidR="00715E87" w:rsidRPr="00A926CA">
        <w:rPr>
          <w:rFonts w:ascii="Times New Roman" w:hAnsi="Times New Roman" w:cs="Times New Roman"/>
          <w:color w:val="000000"/>
          <w:sz w:val="24"/>
          <w:szCs w:val="24"/>
          <w:lang w:val="ru-RU"/>
        </w:rPr>
        <w:t>31</w:t>
      </w:r>
      <w:r w:rsidR="00715E87" w:rsidRPr="00715E87">
        <w:rPr>
          <w:rFonts w:ascii="Times New Roman" w:hAnsi="Times New Roman" w:cs="Times New Roman"/>
          <w:color w:val="000000"/>
          <w:sz w:val="24"/>
          <w:szCs w:val="24"/>
          <w:lang w:eastAsia="mk-MK"/>
        </w:rPr>
        <w:t xml:space="preserve">) во прилог на сигнификантно постари пациенти во групата со малигнитет </w:t>
      </w:r>
      <w:r w:rsidR="00715E87" w:rsidRPr="00715E87">
        <w:rPr>
          <w:rFonts w:ascii="Times New Roman" w:hAnsi="Times New Roman" w:cs="Times New Roman"/>
          <w:color w:val="000000"/>
          <w:sz w:val="24"/>
          <w:szCs w:val="24"/>
          <w:lang w:eastAsia="en-GB"/>
        </w:rPr>
        <w:t>(Табела 4 и График 5</w:t>
      </w:r>
      <w:r w:rsidR="00B2216A">
        <w:rPr>
          <w:rFonts w:ascii="Times New Roman" w:hAnsi="Times New Roman" w:cs="Times New Roman"/>
          <w:color w:val="000000"/>
          <w:sz w:val="24"/>
          <w:szCs w:val="24"/>
          <w:lang w:eastAsia="en-GB"/>
        </w:rPr>
        <w:t>б</w:t>
      </w:r>
      <w:r w:rsidR="00715E87" w:rsidRPr="00715E87">
        <w:rPr>
          <w:rFonts w:ascii="Times New Roman" w:hAnsi="Times New Roman" w:cs="Times New Roman"/>
          <w:color w:val="000000"/>
          <w:sz w:val="24"/>
          <w:szCs w:val="24"/>
          <w:lang w:eastAsia="en-GB"/>
        </w:rPr>
        <w:t>)</w:t>
      </w:r>
      <w:r w:rsidR="00715E87" w:rsidRPr="00715E87">
        <w:rPr>
          <w:rFonts w:ascii="Times New Roman" w:hAnsi="Times New Roman" w:cs="Times New Roman"/>
          <w:color w:val="000000"/>
          <w:sz w:val="24"/>
          <w:szCs w:val="24"/>
          <w:lang w:eastAsia="mk-MK"/>
        </w:rPr>
        <w:t>.</w:t>
      </w:r>
    </w:p>
    <w:p w:rsidR="00EE58C3" w:rsidRPr="00EE58C3" w:rsidRDefault="00EE58C3" w:rsidP="004B646F">
      <w:pPr>
        <w:spacing w:line="360" w:lineRule="auto"/>
        <w:ind w:firstLine="720"/>
        <w:jc w:val="both"/>
        <w:rPr>
          <w:rFonts w:ascii="Times New Roman" w:hAnsi="Times New Roman" w:cs="Times New Roman"/>
          <w:color w:val="000000"/>
          <w:sz w:val="24"/>
          <w:szCs w:val="24"/>
          <w:lang w:eastAsia="en-GB"/>
        </w:rPr>
      </w:pPr>
    </w:p>
    <w:p w:rsidR="0007057C" w:rsidRDefault="0007057C" w:rsidP="00235E06">
      <w:pPr>
        <w:spacing w:after="360" w:line="360" w:lineRule="auto"/>
        <w:jc w:val="both"/>
        <w:rPr>
          <w:rFonts w:ascii="Times New Roman" w:hAnsi="Times New Roman" w:cs="Times New Roman"/>
          <w:b/>
          <w:color w:val="000000"/>
          <w:sz w:val="24"/>
          <w:szCs w:val="24"/>
        </w:rPr>
      </w:pPr>
    </w:p>
    <w:p w:rsidR="0007057C" w:rsidRDefault="0007057C" w:rsidP="00235E06">
      <w:pPr>
        <w:spacing w:after="360" w:line="360" w:lineRule="auto"/>
        <w:jc w:val="both"/>
        <w:rPr>
          <w:rFonts w:ascii="Times New Roman" w:hAnsi="Times New Roman" w:cs="Times New Roman"/>
          <w:b/>
          <w:color w:val="000000"/>
          <w:sz w:val="24"/>
          <w:szCs w:val="24"/>
        </w:rPr>
      </w:pPr>
    </w:p>
    <w:p w:rsidR="00235E06" w:rsidRPr="00EC28B2" w:rsidRDefault="0076051F" w:rsidP="00235E06">
      <w:pPr>
        <w:spacing w:after="36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6.2</w:t>
      </w:r>
      <w:r w:rsidR="00235E06" w:rsidRPr="00EC28B2">
        <w:rPr>
          <w:rFonts w:ascii="Times New Roman" w:hAnsi="Times New Roman" w:cs="Times New Roman"/>
          <w:b/>
          <w:color w:val="000000"/>
          <w:sz w:val="24"/>
          <w:szCs w:val="24"/>
        </w:rPr>
        <w:t>.</w:t>
      </w:r>
      <w:r>
        <w:rPr>
          <w:rFonts w:ascii="Times New Roman" w:hAnsi="Times New Roman" w:cs="Times New Roman"/>
          <w:b/>
          <w:color w:val="000000"/>
          <w:sz w:val="24"/>
          <w:szCs w:val="24"/>
        </w:rPr>
        <w:t>2</w:t>
      </w:r>
      <w:r w:rsidR="00235E06" w:rsidRPr="00EC28B2">
        <w:rPr>
          <w:rFonts w:ascii="Times New Roman" w:hAnsi="Times New Roman" w:cs="Times New Roman"/>
          <w:b/>
          <w:color w:val="000000"/>
          <w:sz w:val="24"/>
          <w:szCs w:val="24"/>
        </w:rPr>
        <w:t xml:space="preserve"> Тип </w:t>
      </w:r>
      <w:r w:rsidR="00235E06" w:rsidRPr="00A926CA">
        <w:rPr>
          <w:rFonts w:ascii="Times New Roman" w:hAnsi="Times New Roman" w:cs="Times New Roman"/>
          <w:b/>
          <w:color w:val="000000"/>
          <w:sz w:val="24"/>
          <w:szCs w:val="24"/>
          <w:lang w:val="ru-RU"/>
        </w:rPr>
        <w:t>на тумор</w:t>
      </w:r>
      <w:r w:rsidR="00235E06" w:rsidRPr="00EC28B2">
        <w:rPr>
          <w:rFonts w:ascii="Times New Roman" w:hAnsi="Times New Roman" w:cs="Times New Roman"/>
          <w:b/>
          <w:color w:val="000000"/>
          <w:sz w:val="24"/>
          <w:szCs w:val="24"/>
        </w:rPr>
        <w:t>и</w:t>
      </w:r>
      <w:r w:rsidR="007F4B7E" w:rsidRPr="00EC28B2">
        <w:rPr>
          <w:rFonts w:ascii="Times New Roman" w:hAnsi="Times New Roman" w:cs="Times New Roman"/>
          <w:b/>
          <w:color w:val="000000"/>
          <w:sz w:val="24"/>
          <w:szCs w:val="24"/>
        </w:rPr>
        <w:t xml:space="preserve"> </w:t>
      </w:r>
      <w:r w:rsidR="00715E87" w:rsidRPr="00EC28B2">
        <w:rPr>
          <w:rFonts w:ascii="Times New Roman" w:hAnsi="Times New Roman" w:cs="Times New Roman"/>
          <w:b/>
          <w:color w:val="000000"/>
          <w:sz w:val="24"/>
          <w:szCs w:val="24"/>
        </w:rPr>
        <w:t>на паротидни</w:t>
      </w:r>
      <w:r w:rsidR="00235E06" w:rsidRPr="00EC28B2">
        <w:rPr>
          <w:rFonts w:ascii="Times New Roman" w:hAnsi="Times New Roman" w:cs="Times New Roman"/>
          <w:b/>
          <w:color w:val="000000"/>
          <w:sz w:val="24"/>
          <w:szCs w:val="24"/>
        </w:rPr>
        <w:t xml:space="preserve"> жлезди</w:t>
      </w:r>
    </w:p>
    <w:p w:rsidR="00E27F8C" w:rsidRDefault="007F4B7E" w:rsidP="0007057C">
      <w:pPr>
        <w:ind w:firstLine="720"/>
        <w:jc w:val="both"/>
        <w:rPr>
          <w:rFonts w:ascii="Times New Roman" w:hAnsi="Times New Roman" w:cs="Times New Roman"/>
          <w:sz w:val="24"/>
          <w:szCs w:val="24"/>
        </w:rPr>
      </w:pPr>
      <w:r>
        <w:rPr>
          <w:rFonts w:ascii="Times New Roman" w:hAnsi="Times New Roman" w:cs="Times New Roman"/>
          <w:sz w:val="24"/>
          <w:szCs w:val="24"/>
        </w:rPr>
        <w:t xml:space="preserve">Во испитуваната група направена </w:t>
      </w:r>
      <w:r w:rsidRPr="00243206">
        <w:rPr>
          <w:rFonts w:ascii="Times New Roman" w:hAnsi="Times New Roman" w:cs="Times New Roman"/>
          <w:sz w:val="24"/>
          <w:szCs w:val="24"/>
        </w:rPr>
        <w:t>беше анализа на дистрибуцијата на патохистолошки</w:t>
      </w:r>
      <w:r w:rsidR="0026223B" w:rsidRPr="00A926CA">
        <w:rPr>
          <w:rFonts w:ascii="Times New Roman" w:hAnsi="Times New Roman" w:cs="Times New Roman"/>
          <w:sz w:val="24"/>
          <w:szCs w:val="24"/>
          <w:lang w:val="ru-RU"/>
        </w:rPr>
        <w:t>те</w:t>
      </w:r>
      <w:r w:rsidRPr="00243206">
        <w:rPr>
          <w:rFonts w:ascii="Times New Roman" w:hAnsi="Times New Roman" w:cs="Times New Roman"/>
          <w:sz w:val="24"/>
          <w:szCs w:val="24"/>
        </w:rPr>
        <w:t xml:space="preserve"> тип</w:t>
      </w:r>
      <w:r w:rsidR="0026223B" w:rsidRPr="00243206">
        <w:rPr>
          <w:rFonts w:ascii="Times New Roman" w:hAnsi="Times New Roman" w:cs="Times New Roman"/>
          <w:sz w:val="24"/>
          <w:szCs w:val="24"/>
        </w:rPr>
        <w:t>ови</w:t>
      </w:r>
      <w:r w:rsidRPr="00243206">
        <w:rPr>
          <w:rFonts w:ascii="Times New Roman" w:hAnsi="Times New Roman" w:cs="Times New Roman"/>
          <w:sz w:val="24"/>
          <w:szCs w:val="24"/>
        </w:rPr>
        <w:t xml:space="preserve"> на тумори на паротидните жлезди во однос на видот (бенигни/ малигни) како и според пол</w:t>
      </w:r>
      <w:r w:rsidR="00E27F8C" w:rsidRPr="00243206">
        <w:rPr>
          <w:rFonts w:ascii="Times New Roman" w:hAnsi="Times New Roman" w:cs="Times New Roman"/>
          <w:sz w:val="24"/>
          <w:szCs w:val="24"/>
        </w:rPr>
        <w:t xml:space="preserve"> и возраст </w:t>
      </w:r>
      <w:r w:rsidR="00AC7374" w:rsidRPr="00243206">
        <w:rPr>
          <w:rFonts w:ascii="Times New Roman" w:hAnsi="Times New Roman" w:cs="Times New Roman"/>
          <w:sz w:val="24"/>
          <w:szCs w:val="24"/>
        </w:rPr>
        <w:t xml:space="preserve">на испитаниците </w:t>
      </w:r>
      <w:r w:rsidRPr="00A926CA">
        <w:rPr>
          <w:rFonts w:ascii="Times New Roman" w:hAnsi="Times New Roman" w:cs="Times New Roman"/>
          <w:sz w:val="24"/>
          <w:szCs w:val="24"/>
          <w:lang w:val="ru-RU"/>
        </w:rPr>
        <w:t xml:space="preserve">(Табела </w:t>
      </w:r>
      <w:r w:rsidR="0026223B" w:rsidRPr="00243206">
        <w:rPr>
          <w:rFonts w:ascii="Times New Roman" w:hAnsi="Times New Roman" w:cs="Times New Roman"/>
          <w:sz w:val="24"/>
          <w:szCs w:val="24"/>
        </w:rPr>
        <w:t>5</w:t>
      </w:r>
      <w:r w:rsidRPr="00243206">
        <w:rPr>
          <w:rFonts w:ascii="Times New Roman" w:hAnsi="Times New Roman" w:cs="Times New Roman"/>
          <w:sz w:val="24"/>
          <w:szCs w:val="24"/>
        </w:rPr>
        <w:t xml:space="preserve">).  </w:t>
      </w:r>
    </w:p>
    <w:p w:rsidR="00DE46B2" w:rsidRPr="00A926CA" w:rsidRDefault="00DE46B2" w:rsidP="00DE46B2">
      <w:pPr>
        <w:spacing w:line="360" w:lineRule="auto"/>
        <w:ind w:firstLine="720"/>
        <w:jc w:val="both"/>
        <w:rPr>
          <w:rFonts w:ascii="Times New Roman" w:hAnsi="Times New Roman" w:cs="Times New Roman"/>
          <w:sz w:val="24"/>
          <w:szCs w:val="24"/>
          <w:lang w:val="ru-RU"/>
        </w:rPr>
      </w:pPr>
    </w:p>
    <w:p w:rsidR="0056672A" w:rsidRPr="00AC7374" w:rsidRDefault="0056672A" w:rsidP="0056672A">
      <w:pPr>
        <w:spacing w:line="360" w:lineRule="auto"/>
        <w:jc w:val="both"/>
        <w:rPr>
          <w:rFonts w:ascii="Times New Roman" w:hAnsi="Times New Roman" w:cs="Times New Roman"/>
          <w:b/>
          <w:color w:val="000000"/>
          <w:sz w:val="20"/>
          <w:szCs w:val="20"/>
        </w:rPr>
      </w:pPr>
      <w:r w:rsidRPr="00AC7374">
        <w:rPr>
          <w:rFonts w:ascii="Times New Roman" w:hAnsi="Times New Roman" w:cs="Times New Roman"/>
          <w:b/>
          <w:color w:val="000000"/>
          <w:sz w:val="20"/>
          <w:szCs w:val="20"/>
        </w:rPr>
        <w:t xml:space="preserve">Табела </w:t>
      </w:r>
      <w:r w:rsidR="004B646F">
        <w:rPr>
          <w:rFonts w:ascii="Times New Roman" w:hAnsi="Times New Roman" w:cs="Times New Roman"/>
          <w:b/>
          <w:color w:val="000000"/>
          <w:sz w:val="20"/>
          <w:szCs w:val="20"/>
        </w:rPr>
        <w:t>5</w:t>
      </w:r>
      <w:r w:rsidRPr="00AC7374">
        <w:rPr>
          <w:rFonts w:ascii="Times New Roman" w:hAnsi="Times New Roman" w:cs="Times New Roman"/>
          <w:b/>
          <w:color w:val="000000"/>
          <w:sz w:val="20"/>
          <w:szCs w:val="20"/>
        </w:rPr>
        <w:t xml:space="preserve">. </w:t>
      </w:r>
      <w:r w:rsidR="00AC7374" w:rsidRPr="00AC7374">
        <w:rPr>
          <w:rFonts w:ascii="Times New Roman" w:hAnsi="Times New Roman" w:cs="Times New Roman"/>
          <w:b/>
          <w:color w:val="000000"/>
          <w:sz w:val="20"/>
          <w:szCs w:val="20"/>
        </w:rPr>
        <w:t>Дистрибуција според вид и тип на тумори на паротидните жлезди</w:t>
      </w:r>
      <w:r w:rsidR="00AC7374">
        <w:rPr>
          <w:rFonts w:ascii="Times New Roman" w:hAnsi="Times New Roman" w:cs="Times New Roman"/>
          <w:b/>
          <w:color w:val="000000"/>
          <w:sz w:val="20"/>
          <w:szCs w:val="20"/>
        </w:rPr>
        <w:t xml:space="preserve"> – испитувана група</w:t>
      </w:r>
    </w:p>
    <w:tbl>
      <w:tblPr>
        <w:tblW w:w="912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8"/>
        <w:gridCol w:w="1263"/>
        <w:gridCol w:w="1276"/>
        <w:gridCol w:w="1417"/>
        <w:gridCol w:w="1343"/>
      </w:tblGrid>
      <w:tr w:rsidR="001E7726" w:rsidRPr="0071419A" w:rsidTr="001E7726">
        <w:trPr>
          <w:trHeight w:val="352"/>
        </w:trPr>
        <w:tc>
          <w:tcPr>
            <w:tcW w:w="3828" w:type="dxa"/>
            <w:vMerge w:val="restart"/>
            <w:shd w:val="clear" w:color="auto" w:fill="31849B"/>
            <w:vAlign w:val="center"/>
          </w:tcPr>
          <w:p w:rsidR="001E7726" w:rsidRDefault="001E7726" w:rsidP="004F0610">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Тип на тумор на паротидни жлезди</w:t>
            </w:r>
          </w:p>
        </w:tc>
        <w:tc>
          <w:tcPr>
            <w:tcW w:w="3956" w:type="dxa"/>
            <w:gridSpan w:val="3"/>
            <w:shd w:val="clear" w:color="auto" w:fill="31849B"/>
            <w:vAlign w:val="center"/>
          </w:tcPr>
          <w:p w:rsidR="001E7726" w:rsidRPr="004F0610" w:rsidRDefault="001E7726" w:rsidP="004F0610">
            <w:pPr>
              <w:jc w:val="center"/>
              <w:rPr>
                <w:rFonts w:ascii="Times New Roman" w:hAnsi="Times New Roman" w:cs="Times New Roman"/>
                <w:b/>
                <w:color w:val="FFFFFF"/>
                <w:sz w:val="18"/>
                <w:szCs w:val="18"/>
              </w:rPr>
            </w:pPr>
            <w:r>
              <w:rPr>
                <w:rFonts w:ascii="Times New Roman" w:hAnsi="Times New Roman" w:cs="Times New Roman"/>
                <w:b/>
                <w:color w:val="FFFFFF"/>
                <w:sz w:val="18"/>
                <w:szCs w:val="18"/>
                <w:lang w:val="en-US"/>
              </w:rPr>
              <w:t>Пол</w:t>
            </w:r>
          </w:p>
        </w:tc>
        <w:tc>
          <w:tcPr>
            <w:tcW w:w="1343" w:type="dxa"/>
            <w:vMerge w:val="restart"/>
            <w:shd w:val="clear" w:color="auto" w:fill="31849B"/>
            <w:vAlign w:val="center"/>
          </w:tcPr>
          <w:p w:rsidR="001E7726" w:rsidRPr="001E7726" w:rsidRDefault="001E7726" w:rsidP="001E7726">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p</w:t>
            </w:r>
          </w:p>
        </w:tc>
      </w:tr>
      <w:tr w:rsidR="001E7726" w:rsidRPr="0071419A" w:rsidTr="001C332A">
        <w:trPr>
          <w:trHeight w:val="597"/>
        </w:trPr>
        <w:tc>
          <w:tcPr>
            <w:tcW w:w="3828" w:type="dxa"/>
            <w:vMerge/>
            <w:shd w:val="clear" w:color="auto" w:fill="31849B"/>
            <w:vAlign w:val="center"/>
          </w:tcPr>
          <w:p w:rsidR="001E7726" w:rsidRPr="0071419A" w:rsidRDefault="001E7726" w:rsidP="004F0610">
            <w:pPr>
              <w:jc w:val="center"/>
              <w:rPr>
                <w:rFonts w:ascii="Times New Roman" w:hAnsi="Times New Roman" w:cs="Times New Roman"/>
                <w:b/>
                <w:color w:val="FFFFFF"/>
                <w:sz w:val="18"/>
                <w:szCs w:val="18"/>
              </w:rPr>
            </w:pPr>
          </w:p>
        </w:tc>
        <w:tc>
          <w:tcPr>
            <w:tcW w:w="1263" w:type="dxa"/>
            <w:shd w:val="clear" w:color="auto" w:fill="31849B"/>
            <w:vAlign w:val="center"/>
          </w:tcPr>
          <w:p w:rsidR="001E7726" w:rsidRDefault="001E7726"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Мажи</w:t>
            </w:r>
          </w:p>
          <w:p w:rsidR="001C332A" w:rsidRPr="001C332A" w:rsidRDefault="001C332A"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 (%)</w:t>
            </w:r>
          </w:p>
        </w:tc>
        <w:tc>
          <w:tcPr>
            <w:tcW w:w="1276" w:type="dxa"/>
            <w:shd w:val="clear" w:color="auto" w:fill="31849B"/>
            <w:vAlign w:val="center"/>
          </w:tcPr>
          <w:p w:rsidR="001E7726" w:rsidRDefault="001E7726"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Жени</w:t>
            </w:r>
          </w:p>
          <w:p w:rsidR="001C332A" w:rsidRPr="001C332A" w:rsidRDefault="001C332A"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 (%)</w:t>
            </w:r>
          </w:p>
        </w:tc>
        <w:tc>
          <w:tcPr>
            <w:tcW w:w="1417" w:type="dxa"/>
            <w:shd w:val="clear" w:color="auto" w:fill="31849B"/>
            <w:vAlign w:val="center"/>
          </w:tcPr>
          <w:p w:rsidR="001E7726" w:rsidRDefault="001E7726"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Вкупно</w:t>
            </w:r>
          </w:p>
          <w:p w:rsidR="001C332A" w:rsidRPr="001C332A" w:rsidRDefault="001C332A" w:rsidP="004F0610">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 (%)</w:t>
            </w:r>
          </w:p>
        </w:tc>
        <w:tc>
          <w:tcPr>
            <w:tcW w:w="1343" w:type="dxa"/>
            <w:vMerge/>
            <w:shd w:val="clear" w:color="auto" w:fill="31849B"/>
          </w:tcPr>
          <w:p w:rsidR="001E7726" w:rsidRPr="0071419A" w:rsidRDefault="001E7726" w:rsidP="004F0610">
            <w:pPr>
              <w:jc w:val="center"/>
              <w:rPr>
                <w:rFonts w:ascii="Times New Roman" w:hAnsi="Times New Roman" w:cs="Times New Roman"/>
                <w:b/>
                <w:color w:val="FFFFFF"/>
                <w:sz w:val="18"/>
                <w:szCs w:val="18"/>
                <w:lang w:val="en-US"/>
              </w:rPr>
            </w:pPr>
          </w:p>
        </w:tc>
      </w:tr>
      <w:tr w:rsidR="00C37EBC" w:rsidRPr="00996BA6" w:rsidTr="00753801">
        <w:trPr>
          <w:trHeight w:val="416"/>
        </w:trPr>
        <w:tc>
          <w:tcPr>
            <w:tcW w:w="9127" w:type="dxa"/>
            <w:gridSpan w:val="5"/>
            <w:shd w:val="clear" w:color="auto" w:fill="B6DDE8"/>
            <w:vAlign w:val="center"/>
          </w:tcPr>
          <w:p w:rsidR="00C37EBC" w:rsidRPr="00996BA6" w:rsidRDefault="00C37EBC" w:rsidP="004F0610">
            <w:pPr>
              <w:rPr>
                <w:rFonts w:ascii="Times New Roman" w:hAnsi="Times New Roman" w:cs="Times New Roman"/>
                <w:b/>
                <w:color w:val="000000"/>
                <w:sz w:val="18"/>
                <w:szCs w:val="18"/>
              </w:rPr>
            </w:pPr>
            <w:r w:rsidRPr="00996BA6">
              <w:rPr>
                <w:rFonts w:ascii="Times New Roman" w:hAnsi="Times New Roman" w:cs="Times New Roman"/>
                <w:b/>
                <w:color w:val="000000"/>
                <w:sz w:val="18"/>
                <w:szCs w:val="18"/>
              </w:rPr>
              <w:t>Бенигни тумори</w:t>
            </w:r>
            <w:r>
              <w:rPr>
                <w:rFonts w:ascii="Times New Roman" w:hAnsi="Times New Roman" w:cs="Times New Roman"/>
                <w:b/>
                <w:color w:val="000000"/>
                <w:sz w:val="18"/>
                <w:szCs w:val="18"/>
              </w:rPr>
              <w:t xml:space="preserve"> (N=49)</w:t>
            </w:r>
          </w:p>
        </w:tc>
      </w:tr>
      <w:tr w:rsidR="00596AAB" w:rsidRPr="0071419A" w:rsidTr="001E7726">
        <w:trPr>
          <w:trHeight w:val="353"/>
        </w:trPr>
        <w:tc>
          <w:tcPr>
            <w:tcW w:w="3828" w:type="dxa"/>
            <w:shd w:val="clear" w:color="auto" w:fill="31849B"/>
            <w:vAlign w:val="center"/>
          </w:tcPr>
          <w:p w:rsidR="00596AAB" w:rsidRPr="00732A16" w:rsidRDefault="00596AAB" w:rsidP="00732A16">
            <w:pPr>
              <w:rPr>
                <w:rFonts w:ascii="Times New Roman" w:hAnsi="Times New Roman" w:cs="Times New Roman"/>
                <w:b/>
                <w:color w:val="FFFFFF"/>
                <w:sz w:val="18"/>
                <w:szCs w:val="18"/>
                <w:lang w:val="en-US" w:eastAsia="mk-MK"/>
              </w:rPr>
            </w:pPr>
            <w:r w:rsidRPr="00996BA6">
              <w:rPr>
                <w:rFonts w:ascii="Times New Roman" w:hAnsi="Times New Roman" w:cs="Times New Roman"/>
                <w:b/>
                <w:color w:val="FFFFFF"/>
                <w:sz w:val="18"/>
                <w:szCs w:val="18"/>
              </w:rPr>
              <w:t xml:space="preserve">Warthin  </w:t>
            </w:r>
            <w:r>
              <w:rPr>
                <w:rFonts w:ascii="Times New Roman" w:hAnsi="Times New Roman" w:cs="Times New Roman"/>
                <w:b/>
                <w:color w:val="FFFFFF"/>
                <w:sz w:val="18"/>
                <w:szCs w:val="18"/>
                <w:lang w:val="en-US"/>
              </w:rPr>
              <w:t>Tu - WT</w:t>
            </w:r>
          </w:p>
        </w:tc>
        <w:tc>
          <w:tcPr>
            <w:tcW w:w="1263"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16 (59,3%)</w:t>
            </w:r>
          </w:p>
        </w:tc>
        <w:tc>
          <w:tcPr>
            <w:tcW w:w="1276"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11 (40,7%)</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27 (55,1%)</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p=0,1757</w:t>
            </w:r>
          </w:p>
        </w:tc>
      </w:tr>
      <w:tr w:rsidR="00596AAB" w:rsidRPr="0071419A" w:rsidTr="001E7726">
        <w:trPr>
          <w:trHeight w:val="353"/>
        </w:trPr>
        <w:tc>
          <w:tcPr>
            <w:tcW w:w="3828" w:type="dxa"/>
            <w:shd w:val="clear" w:color="auto" w:fill="31849B"/>
            <w:vAlign w:val="center"/>
          </w:tcPr>
          <w:p w:rsidR="00596AAB" w:rsidRPr="00732A16" w:rsidRDefault="00596AAB" w:rsidP="000A7EFF">
            <w:pPr>
              <w:rPr>
                <w:rFonts w:ascii="Times New Roman" w:hAnsi="Times New Roman" w:cs="Times New Roman"/>
                <w:b/>
                <w:color w:val="FFFFFF"/>
                <w:sz w:val="18"/>
                <w:szCs w:val="18"/>
                <w:lang w:val="en-US" w:eastAsia="mk-MK"/>
              </w:rPr>
            </w:pPr>
            <w:r w:rsidRPr="00996BA6">
              <w:rPr>
                <w:rFonts w:ascii="Times New Roman" w:hAnsi="Times New Roman" w:cs="Times New Roman"/>
                <w:b/>
                <w:color w:val="FFFFFF"/>
                <w:sz w:val="18"/>
                <w:szCs w:val="18"/>
              </w:rPr>
              <w:t>Basal cell adenoma</w:t>
            </w:r>
            <w:r>
              <w:rPr>
                <w:rFonts w:ascii="Times New Roman" w:hAnsi="Times New Roman" w:cs="Times New Roman"/>
                <w:b/>
                <w:color w:val="FFFFFF"/>
                <w:sz w:val="18"/>
                <w:szCs w:val="18"/>
                <w:lang w:val="en-US"/>
              </w:rPr>
              <w:t xml:space="preserve"> - BA</w:t>
            </w:r>
          </w:p>
        </w:tc>
        <w:tc>
          <w:tcPr>
            <w:tcW w:w="1263"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(50%)</w:t>
            </w:r>
          </w:p>
        </w:tc>
        <w:tc>
          <w:tcPr>
            <w:tcW w:w="1276"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(50%)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 (4,</w:t>
            </w:r>
            <w:r>
              <w:rPr>
                <w:rFonts w:ascii="Times New Roman" w:hAnsi="Times New Roman" w:cs="Times New Roman"/>
                <w:color w:val="000000"/>
                <w:sz w:val="18"/>
                <w:szCs w:val="18"/>
                <w:lang w:val="mk-MK"/>
              </w:rPr>
              <w:t>1</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p=1,0000</w:t>
            </w:r>
          </w:p>
        </w:tc>
      </w:tr>
      <w:tr w:rsidR="00596AAB" w:rsidRPr="0071419A" w:rsidTr="001E7726">
        <w:trPr>
          <w:trHeight w:val="353"/>
        </w:trPr>
        <w:tc>
          <w:tcPr>
            <w:tcW w:w="3828" w:type="dxa"/>
            <w:shd w:val="clear" w:color="auto" w:fill="31849B"/>
            <w:vAlign w:val="center"/>
          </w:tcPr>
          <w:p w:rsidR="00596AAB" w:rsidRPr="00732A16" w:rsidRDefault="00596AAB" w:rsidP="00732A16">
            <w:pPr>
              <w:rPr>
                <w:rFonts w:ascii="Times New Roman" w:hAnsi="Times New Roman" w:cs="Times New Roman"/>
                <w:b/>
                <w:color w:val="FFFFFF"/>
                <w:sz w:val="18"/>
                <w:szCs w:val="18"/>
                <w:lang w:val="en-US"/>
              </w:rPr>
            </w:pPr>
            <w:r w:rsidRPr="00996BA6">
              <w:rPr>
                <w:rFonts w:ascii="Times New Roman" w:hAnsi="Times New Roman" w:cs="Times New Roman"/>
                <w:b/>
                <w:color w:val="FFFFFF"/>
                <w:sz w:val="18"/>
                <w:szCs w:val="18"/>
              </w:rPr>
              <w:t xml:space="preserve">Tu mixtus </w:t>
            </w:r>
            <w:r>
              <w:rPr>
                <w:rFonts w:ascii="Times New Roman" w:hAnsi="Times New Roman" w:cs="Times New Roman"/>
                <w:b/>
                <w:color w:val="FFFFFF"/>
                <w:sz w:val="18"/>
                <w:szCs w:val="18"/>
                <w:lang w:val="en-US"/>
              </w:rPr>
              <w:t>- Pa</w:t>
            </w:r>
          </w:p>
        </w:tc>
        <w:tc>
          <w:tcPr>
            <w:tcW w:w="1263"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6 (30%)</w:t>
            </w:r>
          </w:p>
        </w:tc>
        <w:tc>
          <w:tcPr>
            <w:tcW w:w="1276" w:type="dxa"/>
            <w:shd w:val="clear" w:color="auto" w:fill="DAEEF3"/>
            <w:vAlign w:val="center"/>
          </w:tcPr>
          <w:p w:rsidR="00596AAB" w:rsidRPr="001F6AB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14 (70%)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20 (40,8%)</w:t>
            </w:r>
          </w:p>
        </w:tc>
        <w:tc>
          <w:tcPr>
            <w:tcW w:w="1343" w:type="dxa"/>
            <w:shd w:val="clear" w:color="auto" w:fill="DAEEF3"/>
            <w:vAlign w:val="center"/>
          </w:tcPr>
          <w:p w:rsidR="00596AAB" w:rsidRPr="00214727" w:rsidRDefault="001E7726" w:rsidP="001E7726">
            <w:pPr>
              <w:pStyle w:val="NormalWeb"/>
              <w:spacing w:before="0" w:beforeAutospacing="0" w:after="0" w:afterAutospacing="0"/>
              <w:jc w:val="center"/>
              <w:rPr>
                <w:rFonts w:ascii="Times New Roman" w:hAnsi="Times New Roman" w:cs="Times New Roman"/>
                <w:color w:val="FF0000"/>
                <w:sz w:val="18"/>
                <w:szCs w:val="18"/>
              </w:rPr>
            </w:pPr>
            <w:r w:rsidRPr="00214727">
              <w:rPr>
                <w:rFonts w:ascii="Times New Roman" w:hAnsi="Times New Roman" w:cs="Times New Roman"/>
                <w:color w:val="FF0000"/>
                <w:sz w:val="18"/>
                <w:szCs w:val="18"/>
              </w:rPr>
              <w:t>p=0,0021</w:t>
            </w:r>
            <w:r w:rsidR="00214727" w:rsidRPr="00214727">
              <w:rPr>
                <w:rFonts w:ascii="Times New Roman" w:hAnsi="Times New Roman" w:cs="Times New Roman"/>
                <w:color w:val="FF0000"/>
                <w:sz w:val="18"/>
                <w:szCs w:val="18"/>
              </w:rPr>
              <w:t>*</w:t>
            </w:r>
          </w:p>
        </w:tc>
      </w:tr>
      <w:tr w:rsidR="00596AAB" w:rsidRPr="0071419A" w:rsidTr="0068010C">
        <w:trPr>
          <w:trHeight w:val="353"/>
        </w:trPr>
        <w:tc>
          <w:tcPr>
            <w:tcW w:w="3828" w:type="dxa"/>
            <w:shd w:val="clear" w:color="auto" w:fill="31849B"/>
            <w:vAlign w:val="center"/>
          </w:tcPr>
          <w:p w:rsidR="00596AAB" w:rsidRPr="00996BA6" w:rsidRDefault="00596AAB" w:rsidP="001E7726">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Вкупно</w:t>
            </w:r>
          </w:p>
        </w:tc>
        <w:tc>
          <w:tcPr>
            <w:tcW w:w="1263"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23 (46,9%)</w:t>
            </w:r>
          </w:p>
        </w:tc>
        <w:tc>
          <w:tcPr>
            <w:tcW w:w="1276"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26 (53,1%)</w:t>
            </w:r>
          </w:p>
        </w:tc>
        <w:tc>
          <w:tcPr>
            <w:tcW w:w="1417"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49 (100%)</w:t>
            </w:r>
          </w:p>
        </w:tc>
        <w:tc>
          <w:tcPr>
            <w:tcW w:w="1343" w:type="dxa"/>
            <w:shd w:val="clear" w:color="auto" w:fill="31849B"/>
            <w:vAlign w:val="center"/>
          </w:tcPr>
          <w:p w:rsidR="00596AAB" w:rsidRPr="0068010C" w:rsidRDefault="0068010C" w:rsidP="0068010C">
            <w:pPr>
              <w:pStyle w:val="NormalWeb"/>
              <w:spacing w:before="0" w:beforeAutospacing="0" w:after="0" w:afterAutospacing="0"/>
              <w:jc w:val="center"/>
              <w:rPr>
                <w:rFonts w:ascii="Times New Roman" w:hAnsi="Times New Roman" w:cs="Times New Roman"/>
                <w:color w:val="FFFFFF"/>
                <w:sz w:val="18"/>
                <w:szCs w:val="18"/>
                <w:lang w:val="mk-MK"/>
              </w:rPr>
            </w:pPr>
            <w:r w:rsidRPr="0068010C">
              <w:rPr>
                <w:rFonts w:ascii="Times New Roman" w:hAnsi="Times New Roman" w:cs="Times New Roman"/>
                <w:color w:val="FFFFFF"/>
                <w:sz w:val="18"/>
                <w:szCs w:val="18"/>
              </w:rPr>
              <w:t>p=0,</w:t>
            </w:r>
            <w:r>
              <w:rPr>
                <w:rFonts w:ascii="Times New Roman" w:hAnsi="Times New Roman" w:cs="Times New Roman"/>
                <w:color w:val="FFFFFF"/>
                <w:sz w:val="18"/>
                <w:szCs w:val="18"/>
              </w:rPr>
              <w:t>5414</w:t>
            </w:r>
          </w:p>
        </w:tc>
      </w:tr>
      <w:tr w:rsidR="00C37EBC" w:rsidRPr="00996BA6" w:rsidTr="00753801">
        <w:trPr>
          <w:trHeight w:val="416"/>
        </w:trPr>
        <w:tc>
          <w:tcPr>
            <w:tcW w:w="9127" w:type="dxa"/>
            <w:gridSpan w:val="5"/>
            <w:shd w:val="clear" w:color="auto" w:fill="B6DDE8"/>
            <w:vAlign w:val="center"/>
          </w:tcPr>
          <w:p w:rsidR="00C37EBC" w:rsidRPr="00996BA6" w:rsidRDefault="00C37EBC" w:rsidP="004F0610">
            <w:pPr>
              <w:rPr>
                <w:rFonts w:ascii="Times New Roman" w:hAnsi="Times New Roman" w:cs="Times New Roman"/>
                <w:b/>
                <w:color w:val="000000"/>
                <w:sz w:val="18"/>
                <w:szCs w:val="18"/>
              </w:rPr>
            </w:pPr>
            <w:r w:rsidRPr="00996BA6">
              <w:rPr>
                <w:rFonts w:ascii="Times New Roman" w:hAnsi="Times New Roman" w:cs="Times New Roman"/>
                <w:b/>
                <w:color w:val="000000"/>
                <w:sz w:val="18"/>
                <w:szCs w:val="18"/>
              </w:rPr>
              <w:t>Малигни тумори</w:t>
            </w:r>
            <w:r>
              <w:rPr>
                <w:rFonts w:ascii="Times New Roman" w:hAnsi="Times New Roman" w:cs="Times New Roman"/>
                <w:b/>
                <w:color w:val="000000"/>
                <w:sz w:val="18"/>
                <w:szCs w:val="18"/>
                <w:lang w:val="en-US"/>
              </w:rPr>
              <w:t xml:space="preserve"> (N=13)</w:t>
            </w:r>
          </w:p>
        </w:tc>
      </w:tr>
      <w:tr w:rsidR="00596AAB" w:rsidRPr="0071419A" w:rsidTr="001E7726">
        <w:trPr>
          <w:trHeight w:val="353"/>
        </w:trPr>
        <w:tc>
          <w:tcPr>
            <w:tcW w:w="3828" w:type="dxa"/>
            <w:shd w:val="clear" w:color="auto" w:fill="31849B"/>
            <w:vAlign w:val="center"/>
          </w:tcPr>
          <w:p w:rsidR="00596AAB" w:rsidRPr="00732A16" w:rsidRDefault="00596AAB" w:rsidP="00732A16">
            <w:pPr>
              <w:rPr>
                <w:rFonts w:ascii="Times New Roman" w:hAnsi="Times New Roman" w:cs="Times New Roman"/>
                <w:b/>
                <w:color w:val="FFFFFF"/>
                <w:sz w:val="18"/>
                <w:szCs w:val="18"/>
                <w:lang w:val="en-US" w:eastAsia="mk-MK"/>
              </w:rPr>
            </w:pPr>
            <w:r w:rsidRPr="00996BA6">
              <w:rPr>
                <w:rFonts w:ascii="Times New Roman" w:hAnsi="Times New Roman" w:cs="Times New Roman"/>
                <w:b/>
                <w:color w:val="FFFFFF"/>
                <w:sz w:val="18"/>
                <w:szCs w:val="18"/>
              </w:rPr>
              <w:t>Adenocarcinoma gl. parotis</w:t>
            </w:r>
            <w:r>
              <w:rPr>
                <w:rFonts w:ascii="Times New Roman" w:hAnsi="Times New Roman" w:cs="Times New Roman"/>
                <w:b/>
                <w:color w:val="FFFFFF"/>
                <w:sz w:val="18"/>
                <w:szCs w:val="18"/>
                <w:lang w:val="en-US"/>
              </w:rPr>
              <w:t xml:space="preserve">  - AC</w:t>
            </w:r>
          </w:p>
        </w:tc>
        <w:tc>
          <w:tcPr>
            <w:tcW w:w="1263" w:type="dxa"/>
            <w:shd w:val="clear" w:color="auto" w:fill="DAEEF3"/>
            <w:vAlign w:val="center"/>
          </w:tcPr>
          <w:p w:rsidR="00596AAB" w:rsidRPr="00C6624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3 (75%)</w:t>
            </w:r>
          </w:p>
        </w:tc>
        <w:tc>
          <w:tcPr>
            <w:tcW w:w="1276" w:type="dxa"/>
            <w:shd w:val="clear" w:color="auto" w:fill="DAEEF3"/>
            <w:vAlign w:val="center"/>
          </w:tcPr>
          <w:p w:rsidR="00596AAB" w:rsidRPr="00C6624E"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(25%)</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4 (30,</w:t>
            </w:r>
            <w:r>
              <w:rPr>
                <w:rFonts w:ascii="Times New Roman" w:hAnsi="Times New Roman" w:cs="Times New Roman"/>
                <w:color w:val="000000"/>
                <w:sz w:val="18"/>
                <w:szCs w:val="18"/>
                <w:lang w:val="mk-MK"/>
              </w:rPr>
              <w:t>8</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p=0,1859</w:t>
            </w:r>
          </w:p>
        </w:tc>
      </w:tr>
      <w:tr w:rsidR="00596AAB" w:rsidRPr="0071419A" w:rsidTr="001E7726">
        <w:trPr>
          <w:trHeight w:val="353"/>
        </w:trPr>
        <w:tc>
          <w:tcPr>
            <w:tcW w:w="3828" w:type="dxa"/>
            <w:shd w:val="clear" w:color="auto" w:fill="31849B"/>
            <w:vAlign w:val="center"/>
          </w:tcPr>
          <w:p w:rsidR="00596AAB" w:rsidRPr="00996BA6" w:rsidRDefault="00596AAB" w:rsidP="00732A16">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val="en-US"/>
              </w:rPr>
              <w:t>P</w:t>
            </w:r>
            <w:r w:rsidRPr="00996BA6">
              <w:rPr>
                <w:rFonts w:ascii="Times New Roman" w:hAnsi="Times New Roman" w:cs="Times New Roman"/>
                <w:b/>
                <w:color w:val="FFFFFF"/>
                <w:sz w:val="18"/>
                <w:szCs w:val="18"/>
              </w:rPr>
              <w:t>lanocellular</w:t>
            </w:r>
            <w:r>
              <w:rPr>
                <w:rFonts w:ascii="Times New Roman" w:hAnsi="Times New Roman" w:cs="Times New Roman"/>
                <w:b/>
                <w:color w:val="FFFFFF"/>
                <w:sz w:val="18"/>
                <w:szCs w:val="18"/>
                <w:lang w:val="en-US"/>
              </w:rPr>
              <w:t xml:space="preserve"> Ca - PC</w:t>
            </w:r>
            <w:r w:rsidRPr="00996BA6">
              <w:rPr>
                <w:rFonts w:ascii="Times New Roman" w:hAnsi="Times New Roman" w:cs="Times New Roman"/>
                <w:b/>
                <w:color w:val="FFFFFF"/>
                <w:sz w:val="18"/>
                <w:szCs w:val="18"/>
              </w:rPr>
              <w:t xml:space="preserve"> </w:t>
            </w:r>
          </w:p>
        </w:tc>
        <w:tc>
          <w:tcPr>
            <w:tcW w:w="1263"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3 (75%)</w:t>
            </w:r>
          </w:p>
        </w:tc>
        <w:tc>
          <w:tcPr>
            <w:tcW w:w="1276"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(25%)</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4 (30,</w:t>
            </w:r>
            <w:r>
              <w:rPr>
                <w:rFonts w:ascii="Times New Roman" w:hAnsi="Times New Roman" w:cs="Times New Roman"/>
                <w:color w:val="000000"/>
                <w:sz w:val="18"/>
                <w:szCs w:val="18"/>
                <w:lang w:val="mk-MK"/>
              </w:rPr>
              <w:t>8</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p=0,1859</w:t>
            </w:r>
          </w:p>
        </w:tc>
      </w:tr>
      <w:tr w:rsidR="00596AAB" w:rsidRPr="0071419A" w:rsidTr="001E7726">
        <w:trPr>
          <w:trHeight w:val="353"/>
        </w:trPr>
        <w:tc>
          <w:tcPr>
            <w:tcW w:w="3828" w:type="dxa"/>
            <w:shd w:val="clear" w:color="auto" w:fill="31849B"/>
            <w:vAlign w:val="center"/>
          </w:tcPr>
          <w:p w:rsidR="00596AAB" w:rsidRPr="00732A16" w:rsidRDefault="00596AAB" w:rsidP="00732A16">
            <w:pPr>
              <w:rPr>
                <w:rFonts w:ascii="Times New Roman" w:hAnsi="Times New Roman" w:cs="Times New Roman"/>
                <w:b/>
                <w:color w:val="FFFFFF"/>
                <w:sz w:val="18"/>
                <w:szCs w:val="18"/>
                <w:lang w:val="en-US"/>
              </w:rPr>
            </w:pPr>
            <w:r w:rsidRPr="00996BA6">
              <w:rPr>
                <w:rFonts w:ascii="Times New Roman" w:hAnsi="Times New Roman" w:cs="Times New Roman"/>
                <w:b/>
                <w:color w:val="FFFFFF"/>
                <w:sz w:val="18"/>
                <w:szCs w:val="18"/>
              </w:rPr>
              <w:t xml:space="preserve">Mucoepidermoid carcinoma gl. </w:t>
            </w:r>
            <w:r>
              <w:rPr>
                <w:rFonts w:ascii="Times New Roman" w:hAnsi="Times New Roman" w:cs="Times New Roman"/>
                <w:b/>
                <w:color w:val="FFFFFF"/>
                <w:sz w:val="18"/>
                <w:szCs w:val="18"/>
                <w:lang w:val="en-US"/>
              </w:rPr>
              <w:t>p</w:t>
            </w:r>
            <w:r w:rsidRPr="00996BA6">
              <w:rPr>
                <w:rFonts w:ascii="Times New Roman" w:hAnsi="Times New Roman" w:cs="Times New Roman"/>
                <w:b/>
                <w:color w:val="FFFFFF"/>
                <w:sz w:val="18"/>
                <w:szCs w:val="18"/>
              </w:rPr>
              <w:t>arotis</w:t>
            </w:r>
            <w:r>
              <w:rPr>
                <w:rFonts w:ascii="Times New Roman" w:hAnsi="Times New Roman" w:cs="Times New Roman"/>
                <w:b/>
                <w:color w:val="FFFFFF"/>
                <w:sz w:val="18"/>
                <w:szCs w:val="18"/>
                <w:lang w:val="en-US"/>
              </w:rPr>
              <w:t xml:space="preserve"> - MEC</w:t>
            </w:r>
          </w:p>
        </w:tc>
        <w:tc>
          <w:tcPr>
            <w:tcW w:w="1263"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(100%)</w:t>
            </w:r>
          </w:p>
        </w:tc>
        <w:tc>
          <w:tcPr>
            <w:tcW w:w="1276"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0 (0%)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(7,</w:t>
            </w:r>
            <w:r>
              <w:rPr>
                <w:rFonts w:ascii="Times New Roman" w:hAnsi="Times New Roman" w:cs="Times New Roman"/>
                <w:color w:val="000000"/>
                <w:sz w:val="18"/>
                <w:szCs w:val="18"/>
                <w:lang w:val="mk-MK"/>
              </w:rPr>
              <w:t>7</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596AAB" w:rsidRPr="0071419A" w:rsidTr="001E7726">
        <w:trPr>
          <w:trHeight w:val="353"/>
        </w:trPr>
        <w:tc>
          <w:tcPr>
            <w:tcW w:w="3828" w:type="dxa"/>
            <w:shd w:val="clear" w:color="auto" w:fill="31849B"/>
            <w:vAlign w:val="center"/>
          </w:tcPr>
          <w:p w:rsidR="00596AAB" w:rsidRPr="00732A16" w:rsidRDefault="00596AAB" w:rsidP="00D96EC9">
            <w:pPr>
              <w:rPr>
                <w:rFonts w:ascii="Times New Roman" w:hAnsi="Times New Roman" w:cs="Times New Roman"/>
                <w:b/>
                <w:color w:val="FFFFFF"/>
                <w:sz w:val="18"/>
                <w:szCs w:val="18"/>
                <w:lang w:val="en-US"/>
              </w:rPr>
            </w:pPr>
            <w:r w:rsidRPr="00996BA6">
              <w:rPr>
                <w:rFonts w:ascii="Times New Roman" w:hAnsi="Times New Roman" w:cs="Times New Roman"/>
                <w:b/>
                <w:color w:val="FFFFFF"/>
                <w:sz w:val="18"/>
                <w:szCs w:val="18"/>
              </w:rPr>
              <w:t>Carcinoma ex pleomorphic adenoma</w:t>
            </w:r>
            <w:r>
              <w:rPr>
                <w:rFonts w:ascii="Times New Roman" w:hAnsi="Times New Roman" w:cs="Times New Roman"/>
                <w:b/>
                <w:color w:val="FFFFFF"/>
                <w:sz w:val="18"/>
                <w:szCs w:val="18"/>
                <w:lang w:val="en-US"/>
              </w:rPr>
              <w:t xml:space="preserve"> - CEA</w:t>
            </w:r>
          </w:p>
        </w:tc>
        <w:tc>
          <w:tcPr>
            <w:tcW w:w="1263"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2 (100%)</w:t>
            </w:r>
          </w:p>
        </w:tc>
        <w:tc>
          <w:tcPr>
            <w:tcW w:w="1276" w:type="dxa"/>
            <w:shd w:val="clear" w:color="auto" w:fill="DAEEF3"/>
            <w:vAlign w:val="center"/>
          </w:tcPr>
          <w:p w:rsidR="00596AAB"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lang w:val="mk-MK"/>
              </w:rPr>
              <w:t>0 (0%)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 (15,</w:t>
            </w:r>
            <w:r>
              <w:rPr>
                <w:rFonts w:ascii="Times New Roman" w:hAnsi="Times New Roman" w:cs="Times New Roman"/>
                <w:color w:val="000000"/>
                <w:sz w:val="18"/>
                <w:szCs w:val="18"/>
                <w:lang w:val="mk-MK"/>
              </w:rPr>
              <w:t>4</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596AAB" w:rsidRPr="0071419A" w:rsidTr="001E7726">
        <w:trPr>
          <w:trHeight w:val="353"/>
        </w:trPr>
        <w:tc>
          <w:tcPr>
            <w:tcW w:w="3828" w:type="dxa"/>
            <w:shd w:val="clear" w:color="auto" w:fill="31849B"/>
            <w:vAlign w:val="center"/>
          </w:tcPr>
          <w:p w:rsidR="00596AAB" w:rsidRPr="00732A16" w:rsidRDefault="00596AAB" w:rsidP="00D96EC9">
            <w:pPr>
              <w:rPr>
                <w:rFonts w:ascii="Times New Roman" w:hAnsi="Times New Roman" w:cs="Times New Roman"/>
                <w:b/>
                <w:color w:val="FFFFFF"/>
                <w:sz w:val="18"/>
                <w:szCs w:val="18"/>
                <w:lang w:val="en-US"/>
              </w:rPr>
            </w:pPr>
            <w:r w:rsidRPr="00996BA6">
              <w:rPr>
                <w:rFonts w:ascii="Times New Roman" w:hAnsi="Times New Roman" w:cs="Times New Roman"/>
                <w:b/>
                <w:color w:val="FFFFFF"/>
                <w:sz w:val="18"/>
                <w:szCs w:val="18"/>
              </w:rPr>
              <w:t>Lymphoma</w:t>
            </w:r>
            <w:r>
              <w:rPr>
                <w:rFonts w:ascii="Times New Roman" w:hAnsi="Times New Roman" w:cs="Times New Roman"/>
                <w:b/>
                <w:color w:val="FFFFFF"/>
                <w:sz w:val="18"/>
                <w:szCs w:val="18"/>
                <w:lang w:val="en-US"/>
              </w:rPr>
              <w:t xml:space="preserve"> - Ly</w:t>
            </w:r>
          </w:p>
        </w:tc>
        <w:tc>
          <w:tcPr>
            <w:tcW w:w="1263" w:type="dxa"/>
            <w:shd w:val="clear" w:color="auto" w:fill="DAEEF3"/>
            <w:vAlign w:val="center"/>
          </w:tcPr>
          <w:p w:rsidR="00596AAB"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lang w:val="mk-MK"/>
              </w:rPr>
              <w:t>0 (0%)</w:t>
            </w:r>
          </w:p>
        </w:tc>
        <w:tc>
          <w:tcPr>
            <w:tcW w:w="1276"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(100%)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(7,</w:t>
            </w:r>
            <w:r>
              <w:rPr>
                <w:rFonts w:ascii="Times New Roman" w:hAnsi="Times New Roman" w:cs="Times New Roman"/>
                <w:color w:val="000000"/>
                <w:sz w:val="18"/>
                <w:szCs w:val="18"/>
                <w:lang w:val="mk-MK"/>
              </w:rPr>
              <w:t>7</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596AAB" w:rsidRPr="0071419A" w:rsidTr="001E7726">
        <w:trPr>
          <w:trHeight w:val="353"/>
        </w:trPr>
        <w:tc>
          <w:tcPr>
            <w:tcW w:w="3828" w:type="dxa"/>
            <w:shd w:val="clear" w:color="auto" w:fill="31849B"/>
            <w:vAlign w:val="center"/>
          </w:tcPr>
          <w:p w:rsidR="00596AAB" w:rsidRPr="00732A16" w:rsidRDefault="00596AAB" w:rsidP="00D96EC9">
            <w:pPr>
              <w:rPr>
                <w:rFonts w:ascii="Times New Roman" w:hAnsi="Times New Roman" w:cs="Times New Roman"/>
                <w:b/>
                <w:color w:val="FFFFFF"/>
                <w:sz w:val="18"/>
                <w:szCs w:val="18"/>
                <w:lang w:val="en-US"/>
              </w:rPr>
            </w:pPr>
            <w:r w:rsidRPr="00996BA6">
              <w:rPr>
                <w:rFonts w:ascii="Times New Roman" w:hAnsi="Times New Roman" w:cs="Times New Roman"/>
                <w:b/>
                <w:color w:val="FFFFFF"/>
                <w:sz w:val="18"/>
                <w:szCs w:val="18"/>
              </w:rPr>
              <w:t>Acinic cell carcinoma</w:t>
            </w:r>
            <w:r>
              <w:rPr>
                <w:rFonts w:ascii="Times New Roman" w:hAnsi="Times New Roman" w:cs="Times New Roman"/>
                <w:b/>
                <w:color w:val="FFFFFF"/>
                <w:sz w:val="18"/>
                <w:szCs w:val="18"/>
                <w:lang w:val="en-US"/>
              </w:rPr>
              <w:t xml:space="preserve"> - ACC</w:t>
            </w:r>
          </w:p>
        </w:tc>
        <w:tc>
          <w:tcPr>
            <w:tcW w:w="1263" w:type="dxa"/>
            <w:shd w:val="clear" w:color="auto" w:fill="DAEEF3"/>
            <w:vAlign w:val="center"/>
          </w:tcPr>
          <w:p w:rsidR="00596AAB"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lang w:val="mk-MK"/>
              </w:rPr>
              <w:t>0 (0%)</w:t>
            </w:r>
          </w:p>
        </w:tc>
        <w:tc>
          <w:tcPr>
            <w:tcW w:w="1276" w:type="dxa"/>
            <w:shd w:val="clear" w:color="auto" w:fill="DAEEF3"/>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1 (100%)</w:t>
            </w:r>
          </w:p>
        </w:tc>
        <w:tc>
          <w:tcPr>
            <w:tcW w:w="1417" w:type="dxa"/>
            <w:shd w:val="clear" w:color="auto" w:fill="DAEEF3"/>
            <w:vAlign w:val="center"/>
          </w:tcPr>
          <w:p w:rsidR="00596AAB" w:rsidRPr="004A3DA3" w:rsidRDefault="00596AAB" w:rsidP="001F6ABE">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(7,</w:t>
            </w:r>
            <w:r>
              <w:rPr>
                <w:rFonts w:ascii="Times New Roman" w:hAnsi="Times New Roman" w:cs="Times New Roman"/>
                <w:color w:val="000000"/>
                <w:sz w:val="18"/>
                <w:szCs w:val="18"/>
                <w:lang w:val="mk-MK"/>
              </w:rPr>
              <w:t>7</w:t>
            </w:r>
            <w:r>
              <w:rPr>
                <w:rFonts w:ascii="Times New Roman" w:hAnsi="Times New Roman" w:cs="Times New Roman"/>
                <w:color w:val="000000"/>
                <w:sz w:val="18"/>
                <w:szCs w:val="18"/>
              </w:rPr>
              <w:t>%)</w:t>
            </w:r>
          </w:p>
        </w:tc>
        <w:tc>
          <w:tcPr>
            <w:tcW w:w="1343" w:type="dxa"/>
            <w:shd w:val="clear" w:color="auto" w:fill="DAEEF3"/>
            <w:vAlign w:val="center"/>
          </w:tcPr>
          <w:p w:rsidR="00596AAB" w:rsidRPr="001E7726" w:rsidRDefault="001E7726" w:rsidP="001E7726">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596AAB" w:rsidRPr="0071419A" w:rsidTr="0068010C">
        <w:trPr>
          <w:trHeight w:val="353"/>
        </w:trPr>
        <w:tc>
          <w:tcPr>
            <w:tcW w:w="3828" w:type="dxa"/>
            <w:shd w:val="clear" w:color="auto" w:fill="31849B"/>
            <w:vAlign w:val="center"/>
          </w:tcPr>
          <w:p w:rsidR="00596AAB" w:rsidRPr="00996BA6" w:rsidRDefault="00596AAB" w:rsidP="001E7726">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Вкупно</w:t>
            </w:r>
          </w:p>
        </w:tc>
        <w:tc>
          <w:tcPr>
            <w:tcW w:w="1263"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9 (69,2%)</w:t>
            </w:r>
          </w:p>
        </w:tc>
        <w:tc>
          <w:tcPr>
            <w:tcW w:w="1276"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4 (30,8%)</w:t>
            </w:r>
          </w:p>
        </w:tc>
        <w:tc>
          <w:tcPr>
            <w:tcW w:w="1417" w:type="dxa"/>
            <w:shd w:val="clear" w:color="auto" w:fill="31849B"/>
            <w:vAlign w:val="center"/>
          </w:tcPr>
          <w:p w:rsidR="00596AAB" w:rsidRPr="00BF5C33" w:rsidRDefault="00596AAB" w:rsidP="001F6ABE">
            <w:pPr>
              <w:pStyle w:val="NormalWeb"/>
              <w:spacing w:before="0" w:beforeAutospacing="0" w:after="0" w:afterAutospacing="0"/>
              <w:jc w:val="center"/>
              <w:rPr>
                <w:rFonts w:ascii="Times New Roman" w:hAnsi="Times New Roman" w:cs="Times New Roman"/>
                <w:color w:val="FFFFFF"/>
                <w:sz w:val="18"/>
                <w:szCs w:val="18"/>
                <w:lang w:val="mk-MK"/>
              </w:rPr>
            </w:pPr>
            <w:r w:rsidRPr="00BF5C33">
              <w:rPr>
                <w:rFonts w:ascii="Times New Roman" w:hAnsi="Times New Roman" w:cs="Times New Roman"/>
                <w:color w:val="FFFFFF"/>
                <w:sz w:val="18"/>
                <w:szCs w:val="18"/>
                <w:lang w:val="mk-MK"/>
              </w:rPr>
              <w:t>13 (100%)</w:t>
            </w:r>
          </w:p>
        </w:tc>
        <w:tc>
          <w:tcPr>
            <w:tcW w:w="1343" w:type="dxa"/>
            <w:shd w:val="clear" w:color="auto" w:fill="31849B"/>
            <w:vAlign w:val="center"/>
          </w:tcPr>
          <w:p w:rsidR="00596AAB" w:rsidRPr="0068010C" w:rsidRDefault="0068010C" w:rsidP="0068010C">
            <w:pPr>
              <w:pStyle w:val="NormalWeb"/>
              <w:spacing w:before="0" w:beforeAutospacing="0" w:after="0" w:afterAutospacing="0"/>
              <w:jc w:val="center"/>
              <w:rPr>
                <w:rFonts w:ascii="Times New Roman" w:hAnsi="Times New Roman" w:cs="Times New Roman"/>
                <w:color w:val="FFFFFF"/>
                <w:sz w:val="18"/>
                <w:szCs w:val="18"/>
                <w:lang w:val="mk-MK"/>
              </w:rPr>
            </w:pPr>
            <w:r w:rsidRPr="0068010C">
              <w:rPr>
                <w:rFonts w:ascii="Times New Roman" w:hAnsi="Times New Roman" w:cs="Times New Roman"/>
                <w:color w:val="FFFFFF"/>
                <w:sz w:val="18"/>
                <w:szCs w:val="18"/>
              </w:rPr>
              <w:t>p=0,0549</w:t>
            </w:r>
          </w:p>
        </w:tc>
      </w:tr>
      <w:tr w:rsidR="001E7726" w:rsidRPr="0071419A" w:rsidTr="001E7726">
        <w:trPr>
          <w:trHeight w:val="353"/>
        </w:trPr>
        <w:tc>
          <w:tcPr>
            <w:tcW w:w="9127" w:type="dxa"/>
            <w:gridSpan w:val="5"/>
            <w:shd w:val="clear" w:color="auto" w:fill="31849B"/>
            <w:vAlign w:val="center"/>
          </w:tcPr>
          <w:p w:rsidR="001E7726" w:rsidRPr="00BF5C33" w:rsidRDefault="001E7726" w:rsidP="001F6ABE">
            <w:pPr>
              <w:pStyle w:val="NormalWeb"/>
              <w:spacing w:before="0" w:beforeAutospacing="0" w:after="0" w:afterAutospacing="0"/>
              <w:jc w:val="center"/>
              <w:rPr>
                <w:rFonts w:ascii="Times New Roman" w:hAnsi="Times New Roman" w:cs="Times New Roman"/>
                <w:color w:val="FFFFFF"/>
                <w:sz w:val="18"/>
                <w:szCs w:val="18"/>
                <w:lang w:val="mk-MK"/>
              </w:rPr>
            </w:pPr>
            <w:r>
              <w:rPr>
                <w:rFonts w:ascii="Times New Roman" w:hAnsi="Times New Roman" w:cs="Times New Roman"/>
                <w:color w:val="FFFFFF"/>
                <w:sz w:val="18"/>
                <w:szCs w:val="18"/>
                <w:vertAlign w:val="superscript"/>
              </w:rPr>
              <w:t>1</w:t>
            </w:r>
            <w:r>
              <w:rPr>
                <w:rFonts w:ascii="Times New Roman" w:hAnsi="Times New Roman" w:cs="Times New Roman"/>
                <w:color w:val="FFFFFF"/>
                <w:sz w:val="18"/>
                <w:szCs w:val="18"/>
              </w:rPr>
              <w:t xml:space="preserve">Difference test                       </w:t>
            </w:r>
            <w:r w:rsidRPr="00437954">
              <w:rPr>
                <w:rFonts w:ascii="Times New Roman" w:hAnsi="Times New Roman" w:cs="Times New Roman"/>
                <w:color w:val="FFFFFF"/>
                <w:sz w:val="18"/>
                <w:szCs w:val="18"/>
              </w:rPr>
              <w:t xml:space="preserve">*сигнификантно за </w:t>
            </w:r>
            <w:r w:rsidRPr="00437954">
              <w:rPr>
                <w:rFonts w:ascii="Times New Roman" w:hAnsi="Times New Roman" w:cs="Times New Roman"/>
                <w:color w:val="FFFFFF"/>
                <w:sz w:val="18"/>
                <w:szCs w:val="18"/>
                <w:lang w:val="it-IT"/>
              </w:rPr>
              <w:t>p&lt;0,05</w:t>
            </w:r>
          </w:p>
        </w:tc>
      </w:tr>
    </w:tbl>
    <w:p w:rsidR="0007057C" w:rsidRDefault="0007057C" w:rsidP="00C03FBA">
      <w:pPr>
        <w:spacing w:after="200" w:line="360" w:lineRule="auto"/>
        <w:ind w:firstLine="720"/>
        <w:jc w:val="both"/>
        <w:rPr>
          <w:rFonts w:ascii="Times New Roman" w:hAnsi="Times New Roman" w:cs="Times New Roman"/>
          <w:color w:val="000000"/>
          <w:sz w:val="24"/>
          <w:szCs w:val="24"/>
        </w:rPr>
      </w:pPr>
    </w:p>
    <w:p w:rsidR="00C03FBA" w:rsidRDefault="004B646F" w:rsidP="0007057C">
      <w:pPr>
        <w:spacing w:after="200"/>
        <w:ind w:firstLine="720"/>
        <w:jc w:val="both"/>
        <w:rPr>
          <w:rFonts w:ascii="Times New Roman" w:hAnsi="Times New Roman" w:cs="Times New Roman"/>
          <w:color w:val="000000"/>
          <w:sz w:val="24"/>
          <w:szCs w:val="24"/>
        </w:rPr>
      </w:pPr>
      <w:r w:rsidRPr="0026223B">
        <w:rPr>
          <w:rFonts w:ascii="Times New Roman" w:hAnsi="Times New Roman" w:cs="Times New Roman"/>
          <w:color w:val="000000"/>
          <w:sz w:val="24"/>
          <w:szCs w:val="24"/>
        </w:rPr>
        <w:t xml:space="preserve">Кај пациентите со </w:t>
      </w:r>
      <w:r w:rsidR="00FC4FB1">
        <w:rPr>
          <w:rFonts w:ascii="Times New Roman" w:hAnsi="Times New Roman" w:cs="Times New Roman"/>
          <w:color w:val="000000"/>
          <w:sz w:val="24"/>
          <w:szCs w:val="24"/>
        </w:rPr>
        <w:t>БЕНИГНИ ТУМОРИ</w:t>
      </w:r>
      <w:r w:rsidRPr="0026223B">
        <w:rPr>
          <w:rFonts w:ascii="Times New Roman" w:hAnsi="Times New Roman" w:cs="Times New Roman"/>
          <w:color w:val="000000"/>
          <w:sz w:val="24"/>
          <w:szCs w:val="24"/>
        </w:rPr>
        <w:t xml:space="preserve"> на паротидн</w:t>
      </w:r>
      <w:r w:rsidR="00243206">
        <w:rPr>
          <w:rFonts w:ascii="Times New Roman" w:hAnsi="Times New Roman" w:cs="Times New Roman"/>
          <w:color w:val="000000"/>
          <w:sz w:val="24"/>
          <w:szCs w:val="24"/>
        </w:rPr>
        <w:t xml:space="preserve">а </w:t>
      </w:r>
      <w:r w:rsidRPr="0026223B">
        <w:rPr>
          <w:rFonts w:ascii="Times New Roman" w:hAnsi="Times New Roman" w:cs="Times New Roman"/>
          <w:color w:val="000000"/>
          <w:sz w:val="24"/>
          <w:szCs w:val="24"/>
        </w:rPr>
        <w:t>жлезд</w:t>
      </w:r>
      <w:r w:rsidR="00243206">
        <w:rPr>
          <w:rFonts w:ascii="Times New Roman" w:hAnsi="Times New Roman" w:cs="Times New Roman"/>
          <w:color w:val="000000"/>
          <w:sz w:val="24"/>
          <w:szCs w:val="24"/>
        </w:rPr>
        <w:t>а</w:t>
      </w:r>
      <w:r w:rsidRPr="002622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(N=49) идентификувани беа три патохистолошки типови. Н</w:t>
      </w:r>
      <w:r w:rsidRPr="0026223B">
        <w:rPr>
          <w:rFonts w:ascii="Times New Roman" w:hAnsi="Times New Roman" w:cs="Times New Roman"/>
          <w:color w:val="000000"/>
          <w:sz w:val="24"/>
          <w:szCs w:val="24"/>
        </w:rPr>
        <w:t xml:space="preserve">ајзастапен </w:t>
      </w:r>
      <w:r>
        <w:rPr>
          <w:rFonts w:ascii="Times New Roman" w:hAnsi="Times New Roman" w:cs="Times New Roman"/>
          <w:color w:val="000000"/>
          <w:sz w:val="24"/>
          <w:szCs w:val="24"/>
        </w:rPr>
        <w:t xml:space="preserve">патохистолошки тип меѓу бенигните тумори на паротидните жлезди </w:t>
      </w:r>
      <w:r w:rsidRPr="0026223B">
        <w:rPr>
          <w:rFonts w:ascii="Times New Roman" w:hAnsi="Times New Roman" w:cs="Times New Roman"/>
          <w:color w:val="000000"/>
          <w:sz w:val="24"/>
          <w:szCs w:val="24"/>
        </w:rPr>
        <w:t xml:space="preserve">беше </w:t>
      </w:r>
      <w:r w:rsidR="002468D2" w:rsidRPr="00080D3A">
        <w:rPr>
          <w:rFonts w:ascii="Times New Roman" w:hAnsi="Times New Roman" w:cs="Times New Roman"/>
          <w:sz w:val="24"/>
          <w:szCs w:val="24"/>
        </w:rPr>
        <w:t>Warthin Tu</w:t>
      </w:r>
      <w:r w:rsidR="00732A16" w:rsidRPr="00A926CA">
        <w:rPr>
          <w:rFonts w:ascii="Times New Roman" w:hAnsi="Times New Roman" w:cs="Times New Roman"/>
          <w:sz w:val="24"/>
          <w:szCs w:val="24"/>
        </w:rPr>
        <w:t xml:space="preserve"> (</w:t>
      </w:r>
      <w:r w:rsidR="002468D2" w:rsidRPr="00080D3A">
        <w:rPr>
          <w:rFonts w:ascii="Times New Roman" w:hAnsi="Times New Roman" w:cs="Times New Roman"/>
          <w:sz w:val="24"/>
          <w:szCs w:val="24"/>
        </w:rPr>
        <w:t>WT</w:t>
      </w:r>
      <w:r w:rsidR="00732A16" w:rsidRPr="00A926CA">
        <w:rPr>
          <w:rFonts w:ascii="Times New Roman" w:hAnsi="Times New Roman" w:cs="Times New Roman"/>
          <w:sz w:val="24"/>
          <w:szCs w:val="24"/>
        </w:rPr>
        <w:t>)</w:t>
      </w:r>
      <w:r w:rsidR="002468D2">
        <w:rPr>
          <w:rFonts w:ascii="Times New Roman" w:hAnsi="Times New Roman" w:cs="Times New Roman"/>
          <w:color w:val="000000"/>
          <w:sz w:val="24"/>
          <w:szCs w:val="24"/>
        </w:rPr>
        <w:t xml:space="preserve"> </w:t>
      </w:r>
      <w:r>
        <w:rPr>
          <w:rFonts w:ascii="Times New Roman" w:hAnsi="Times New Roman" w:cs="Times New Roman"/>
          <w:sz w:val="24"/>
          <w:szCs w:val="24"/>
        </w:rPr>
        <w:t xml:space="preserve">идентификуван кај 27 (55,1%) од пациентите следено со </w:t>
      </w:r>
      <w:r w:rsidR="002468D2" w:rsidRPr="00080D3A">
        <w:rPr>
          <w:rFonts w:ascii="Times New Roman" w:hAnsi="Times New Roman" w:cs="Times New Roman"/>
          <w:sz w:val="24"/>
          <w:szCs w:val="24"/>
        </w:rPr>
        <w:t>Tu mixtus</w:t>
      </w:r>
      <w:r w:rsidR="00732A16" w:rsidRPr="00A926CA">
        <w:rPr>
          <w:rFonts w:ascii="Times New Roman" w:hAnsi="Times New Roman" w:cs="Times New Roman"/>
          <w:sz w:val="24"/>
          <w:szCs w:val="24"/>
        </w:rPr>
        <w:t xml:space="preserve"> (</w:t>
      </w:r>
      <w:r w:rsidR="002468D2" w:rsidRPr="00080D3A">
        <w:rPr>
          <w:rFonts w:ascii="Times New Roman" w:hAnsi="Times New Roman" w:cs="Times New Roman"/>
          <w:sz w:val="24"/>
          <w:szCs w:val="24"/>
        </w:rPr>
        <w:t>Pa</w:t>
      </w:r>
      <w:r w:rsidR="00732A16" w:rsidRPr="00A926CA">
        <w:rPr>
          <w:rFonts w:ascii="Times New Roman" w:hAnsi="Times New Roman" w:cs="Times New Roman"/>
          <w:sz w:val="24"/>
          <w:szCs w:val="24"/>
        </w:rPr>
        <w:t>)</w:t>
      </w:r>
      <w:r w:rsidR="002468D2">
        <w:rPr>
          <w:rFonts w:ascii="Times New Roman" w:hAnsi="Times New Roman" w:cs="Times New Roman"/>
          <w:sz w:val="24"/>
          <w:szCs w:val="24"/>
        </w:rPr>
        <w:t xml:space="preserve"> </w:t>
      </w:r>
      <w:r>
        <w:rPr>
          <w:rFonts w:ascii="Times New Roman" w:hAnsi="Times New Roman" w:cs="Times New Roman"/>
          <w:sz w:val="24"/>
          <w:szCs w:val="24"/>
        </w:rPr>
        <w:t>присутен кај 20 (40,8%). Најмалку застапен беше</w:t>
      </w:r>
      <w:r w:rsidRPr="00B6062E">
        <w:rPr>
          <w:rFonts w:ascii="Times New Roman" w:hAnsi="Times New Roman" w:cs="Times New Roman"/>
          <w:sz w:val="24"/>
          <w:szCs w:val="24"/>
        </w:rPr>
        <w:t xml:space="preserve"> </w:t>
      </w:r>
      <w:r>
        <w:rPr>
          <w:rFonts w:ascii="Times New Roman" w:hAnsi="Times New Roman" w:cs="Times New Roman"/>
          <w:color w:val="000000"/>
          <w:sz w:val="24"/>
          <w:szCs w:val="24"/>
        </w:rPr>
        <w:t>патохистолошки тип</w:t>
      </w:r>
      <w:r w:rsidRPr="00AD310D">
        <w:rPr>
          <w:rFonts w:ascii="Times New Roman" w:hAnsi="Times New Roman" w:cs="Times New Roman"/>
          <w:sz w:val="24"/>
          <w:szCs w:val="24"/>
        </w:rPr>
        <w:t xml:space="preserve"> </w:t>
      </w:r>
      <w:r w:rsidR="002468D2" w:rsidRPr="00080D3A">
        <w:rPr>
          <w:rFonts w:ascii="Times New Roman" w:hAnsi="Times New Roman" w:cs="Times New Roman"/>
          <w:sz w:val="24"/>
          <w:szCs w:val="24"/>
        </w:rPr>
        <w:t>Basal cell adenoma</w:t>
      </w:r>
      <w:r w:rsidR="00732A16" w:rsidRPr="00A926CA">
        <w:rPr>
          <w:rFonts w:ascii="Times New Roman" w:hAnsi="Times New Roman" w:cs="Times New Roman"/>
          <w:sz w:val="24"/>
          <w:szCs w:val="24"/>
        </w:rPr>
        <w:t xml:space="preserve"> (</w:t>
      </w:r>
      <w:r w:rsidR="002468D2" w:rsidRPr="00080D3A">
        <w:rPr>
          <w:rFonts w:ascii="Times New Roman" w:hAnsi="Times New Roman" w:cs="Times New Roman"/>
          <w:sz w:val="24"/>
          <w:szCs w:val="24"/>
        </w:rPr>
        <w:t>BA</w:t>
      </w:r>
      <w:r w:rsidR="00732A16" w:rsidRPr="00A926CA">
        <w:rPr>
          <w:rFonts w:ascii="Times New Roman" w:hAnsi="Times New Roman" w:cs="Times New Roman"/>
          <w:sz w:val="24"/>
          <w:szCs w:val="24"/>
        </w:rPr>
        <w:t>)</w:t>
      </w:r>
      <w:r w:rsidR="002468D2">
        <w:rPr>
          <w:rFonts w:ascii="Times New Roman" w:hAnsi="Times New Roman" w:cs="Times New Roman"/>
          <w:sz w:val="24"/>
          <w:szCs w:val="24"/>
        </w:rPr>
        <w:t xml:space="preserve"> </w:t>
      </w:r>
      <w:r>
        <w:rPr>
          <w:rFonts w:ascii="Times New Roman" w:hAnsi="Times New Roman" w:cs="Times New Roman"/>
          <w:sz w:val="24"/>
          <w:szCs w:val="24"/>
        </w:rPr>
        <w:t>и тоа кај 2 (4,08%) од пациентите со бениг</w:t>
      </w:r>
      <w:r w:rsidR="00243206">
        <w:rPr>
          <w:rFonts w:ascii="Times New Roman" w:hAnsi="Times New Roman" w:cs="Times New Roman"/>
          <w:sz w:val="24"/>
          <w:szCs w:val="24"/>
        </w:rPr>
        <w:t>е</w:t>
      </w:r>
      <w:r>
        <w:rPr>
          <w:rFonts w:ascii="Times New Roman" w:hAnsi="Times New Roman" w:cs="Times New Roman"/>
          <w:sz w:val="24"/>
          <w:szCs w:val="24"/>
        </w:rPr>
        <w:t xml:space="preserve">н тумор на </w:t>
      </w:r>
      <w:r>
        <w:rPr>
          <w:rFonts w:ascii="Times New Roman" w:hAnsi="Times New Roman" w:cs="Times New Roman"/>
          <w:color w:val="000000"/>
          <w:sz w:val="24"/>
          <w:szCs w:val="24"/>
        </w:rPr>
        <w:t>паротидн</w:t>
      </w:r>
      <w:r w:rsidR="00F77FC6">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жлезд</w:t>
      </w:r>
      <w:r w:rsidR="00F77FC6">
        <w:rPr>
          <w:rFonts w:ascii="Times New Roman" w:hAnsi="Times New Roman" w:cs="Times New Roman"/>
          <w:color w:val="000000"/>
          <w:sz w:val="24"/>
          <w:szCs w:val="24"/>
        </w:rPr>
        <w:t>а</w:t>
      </w:r>
      <w:r w:rsidR="00C03FBA">
        <w:rPr>
          <w:rFonts w:ascii="Times New Roman" w:hAnsi="Times New Roman" w:cs="Times New Roman"/>
          <w:color w:val="000000"/>
          <w:sz w:val="24"/>
          <w:szCs w:val="24"/>
        </w:rPr>
        <w:t xml:space="preserve"> (Табела 5</w:t>
      </w:r>
      <w:r w:rsidR="00C03FBA" w:rsidRPr="00A926CA">
        <w:rPr>
          <w:rFonts w:ascii="Times New Roman" w:hAnsi="Times New Roman" w:cs="Times New Roman"/>
          <w:color w:val="000000"/>
          <w:sz w:val="24"/>
          <w:szCs w:val="24"/>
        </w:rPr>
        <w:t xml:space="preserve"> и График </w:t>
      </w:r>
      <w:r w:rsidR="00363810">
        <w:rPr>
          <w:rFonts w:ascii="Times New Roman" w:hAnsi="Times New Roman" w:cs="Times New Roman"/>
          <w:color w:val="000000"/>
          <w:sz w:val="24"/>
          <w:szCs w:val="24"/>
        </w:rPr>
        <w:t>7</w:t>
      </w:r>
      <w:r w:rsidR="00C03FBA">
        <w:rPr>
          <w:rFonts w:ascii="Times New Roman" w:hAnsi="Times New Roman" w:cs="Times New Roman"/>
          <w:color w:val="000000"/>
          <w:sz w:val="24"/>
          <w:szCs w:val="24"/>
        </w:rPr>
        <w:t xml:space="preserve">). </w:t>
      </w:r>
    </w:p>
    <w:p w:rsidR="00C03FBA" w:rsidRPr="00C03FBA" w:rsidRDefault="002E2445" w:rsidP="0007057C">
      <w:pPr>
        <w:spacing w:after="200"/>
        <w:ind w:firstLine="720"/>
        <w:jc w:val="both"/>
        <w:rPr>
          <w:rFonts w:ascii="Times New Roman" w:hAnsi="Times New Roman" w:cs="Times New Roman"/>
          <w:sz w:val="24"/>
          <w:szCs w:val="24"/>
        </w:rPr>
      </w:pPr>
      <w:r>
        <w:rPr>
          <w:rFonts w:ascii="Times New Roman" w:hAnsi="Times New Roman" w:cs="Times New Roman"/>
          <w:color w:val="000000"/>
          <w:sz w:val="24"/>
          <w:szCs w:val="24"/>
        </w:rPr>
        <w:t>Д</w:t>
      </w:r>
      <w:r w:rsidR="00C03FBA">
        <w:rPr>
          <w:rFonts w:ascii="Times New Roman" w:hAnsi="Times New Roman" w:cs="Times New Roman"/>
          <w:color w:val="000000"/>
          <w:sz w:val="24"/>
          <w:szCs w:val="24"/>
        </w:rPr>
        <w:t>ополнително, д</w:t>
      </w:r>
      <w:r>
        <w:rPr>
          <w:rFonts w:ascii="Times New Roman" w:hAnsi="Times New Roman" w:cs="Times New Roman"/>
          <w:color w:val="000000"/>
          <w:sz w:val="24"/>
          <w:szCs w:val="24"/>
        </w:rPr>
        <w:t xml:space="preserve">истрибуцијата на бенигните тумори </w:t>
      </w:r>
      <w:r w:rsidRPr="0026223B">
        <w:rPr>
          <w:rFonts w:ascii="Times New Roman" w:hAnsi="Times New Roman" w:cs="Times New Roman"/>
          <w:color w:val="000000"/>
          <w:sz w:val="24"/>
          <w:szCs w:val="24"/>
        </w:rPr>
        <w:t>на паротидн</w:t>
      </w:r>
      <w:r w:rsidR="00363810">
        <w:rPr>
          <w:rFonts w:ascii="Times New Roman" w:hAnsi="Times New Roman" w:cs="Times New Roman"/>
          <w:color w:val="000000"/>
          <w:sz w:val="24"/>
          <w:szCs w:val="24"/>
        </w:rPr>
        <w:t>ите</w:t>
      </w:r>
      <w:r>
        <w:rPr>
          <w:rFonts w:ascii="Times New Roman" w:hAnsi="Times New Roman" w:cs="Times New Roman"/>
          <w:color w:val="000000"/>
          <w:sz w:val="24"/>
          <w:szCs w:val="24"/>
        </w:rPr>
        <w:t xml:space="preserve"> </w:t>
      </w:r>
      <w:r w:rsidRPr="0026223B">
        <w:rPr>
          <w:rFonts w:ascii="Times New Roman" w:hAnsi="Times New Roman" w:cs="Times New Roman"/>
          <w:color w:val="000000"/>
          <w:sz w:val="24"/>
          <w:szCs w:val="24"/>
        </w:rPr>
        <w:t>жлезд</w:t>
      </w:r>
      <w:r w:rsidR="00363810">
        <w:rPr>
          <w:rFonts w:ascii="Times New Roman" w:hAnsi="Times New Roman" w:cs="Times New Roman"/>
          <w:color w:val="000000"/>
          <w:sz w:val="24"/>
          <w:szCs w:val="24"/>
        </w:rPr>
        <w:t>и</w:t>
      </w:r>
      <w:r w:rsidRPr="002622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според пол</w:t>
      </w:r>
      <w:r w:rsidRPr="002622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укажа дека </w:t>
      </w:r>
      <w:r w:rsidR="00363810">
        <w:rPr>
          <w:rFonts w:ascii="Times New Roman" w:hAnsi="Times New Roman" w:cs="Times New Roman"/>
          <w:color w:val="000000"/>
          <w:sz w:val="24"/>
          <w:szCs w:val="24"/>
        </w:rPr>
        <w:t>кај</w:t>
      </w:r>
      <w:r w:rsidR="000D285A">
        <w:rPr>
          <w:rFonts w:ascii="Times New Roman" w:hAnsi="Times New Roman" w:cs="Times New Roman"/>
          <w:color w:val="000000"/>
          <w:sz w:val="24"/>
          <w:szCs w:val="24"/>
        </w:rPr>
        <w:t xml:space="preserve">: </w:t>
      </w:r>
    </w:p>
    <w:p w:rsidR="0007057C" w:rsidRPr="0007057C" w:rsidRDefault="0007057C" w:rsidP="0007057C">
      <w:pPr>
        <w:spacing w:after="200" w:line="360" w:lineRule="auto"/>
        <w:ind w:left="425"/>
        <w:jc w:val="both"/>
        <w:rPr>
          <w:rFonts w:ascii="Times New Roman" w:hAnsi="Times New Roman" w:cs="Times New Roman"/>
          <w:color w:val="000000"/>
          <w:sz w:val="24"/>
          <w:szCs w:val="24"/>
        </w:rPr>
      </w:pPr>
    </w:p>
    <w:p w:rsidR="0007057C" w:rsidRPr="0007057C" w:rsidRDefault="0007057C" w:rsidP="0007057C">
      <w:pPr>
        <w:spacing w:after="200" w:line="360" w:lineRule="auto"/>
        <w:ind w:left="425"/>
        <w:jc w:val="both"/>
        <w:rPr>
          <w:rFonts w:ascii="Times New Roman" w:hAnsi="Times New Roman" w:cs="Times New Roman"/>
          <w:color w:val="000000"/>
          <w:sz w:val="24"/>
          <w:szCs w:val="24"/>
        </w:rPr>
      </w:pPr>
    </w:p>
    <w:p w:rsidR="0007057C" w:rsidRPr="0007057C" w:rsidRDefault="0007057C" w:rsidP="0007057C">
      <w:pPr>
        <w:spacing w:after="200" w:line="360" w:lineRule="auto"/>
        <w:ind w:left="644"/>
        <w:jc w:val="both"/>
        <w:rPr>
          <w:rFonts w:ascii="Times New Roman" w:hAnsi="Times New Roman" w:cs="Times New Roman"/>
          <w:color w:val="000000"/>
          <w:sz w:val="24"/>
          <w:szCs w:val="24"/>
        </w:rPr>
      </w:pPr>
    </w:p>
    <w:p w:rsidR="00C03FBA" w:rsidRPr="00C03FBA" w:rsidRDefault="002E2445" w:rsidP="0007057C">
      <w:pPr>
        <w:numPr>
          <w:ilvl w:val="0"/>
          <w:numId w:val="14"/>
        </w:numPr>
        <w:spacing w:after="200"/>
        <w:ind w:left="425" w:hanging="425"/>
        <w:jc w:val="both"/>
        <w:rPr>
          <w:rFonts w:ascii="Times New Roman" w:hAnsi="Times New Roman" w:cs="Times New Roman"/>
          <w:color w:val="000000"/>
          <w:sz w:val="24"/>
          <w:szCs w:val="24"/>
        </w:rPr>
      </w:pPr>
      <w:r w:rsidRPr="00C03FBA">
        <w:rPr>
          <w:rFonts w:ascii="Times New Roman" w:hAnsi="Times New Roman" w:cs="Times New Roman"/>
          <w:sz w:val="24"/>
          <w:szCs w:val="24"/>
        </w:rPr>
        <w:t>WT</w:t>
      </w:r>
      <w:r w:rsidRPr="00C03FBA">
        <w:rPr>
          <w:rFonts w:ascii="Times New Roman" w:hAnsi="Times New Roman" w:cs="Times New Roman"/>
          <w:color w:val="000000"/>
          <w:sz w:val="24"/>
          <w:szCs w:val="24"/>
        </w:rPr>
        <w:t xml:space="preserve"> </w:t>
      </w:r>
      <w:r w:rsidR="00363810">
        <w:rPr>
          <w:rFonts w:ascii="Times New Roman" w:hAnsi="Times New Roman" w:cs="Times New Roman"/>
          <w:color w:val="000000"/>
          <w:sz w:val="24"/>
          <w:szCs w:val="24"/>
        </w:rPr>
        <w:t xml:space="preserve">- </w:t>
      </w:r>
      <w:r w:rsidRPr="00C03FBA">
        <w:rPr>
          <w:rFonts w:ascii="Times New Roman" w:hAnsi="Times New Roman" w:cs="Times New Roman"/>
          <w:color w:val="000000"/>
          <w:sz w:val="24"/>
          <w:szCs w:val="24"/>
        </w:rPr>
        <w:t>пропорцијата на мажи односно жени изнеуваше консеквентно 16 (59,3%) vs. 11 (40,7%)</w:t>
      </w:r>
      <w:r w:rsidR="00DE46B2">
        <w:rPr>
          <w:rFonts w:ascii="Times New Roman" w:hAnsi="Times New Roman" w:cs="Times New Roman"/>
          <w:color w:val="000000"/>
          <w:sz w:val="24"/>
          <w:szCs w:val="24"/>
        </w:rPr>
        <w:t xml:space="preserve">. За p&gt;0,05, немаше </w:t>
      </w:r>
      <w:r w:rsidR="00C03FBA" w:rsidRPr="00C03FBA">
        <w:rPr>
          <w:rFonts w:ascii="Times New Roman" w:hAnsi="Times New Roman" w:cs="Times New Roman"/>
          <w:color w:val="000000"/>
          <w:sz w:val="24"/>
          <w:szCs w:val="24"/>
        </w:rPr>
        <w:t>сигнификантна процентуална разлика во застапеноста на двата пола (p=0,1757)</w:t>
      </w:r>
      <w:r w:rsidR="000D285A" w:rsidRPr="00C03FBA">
        <w:rPr>
          <w:rFonts w:ascii="Times New Roman" w:hAnsi="Times New Roman" w:cs="Times New Roman"/>
          <w:color w:val="000000"/>
          <w:sz w:val="24"/>
          <w:szCs w:val="24"/>
        </w:rPr>
        <w:t xml:space="preserve">; </w:t>
      </w:r>
    </w:p>
    <w:p w:rsidR="00C03FBA" w:rsidRPr="00C03FBA" w:rsidRDefault="00214727" w:rsidP="0007057C">
      <w:pPr>
        <w:numPr>
          <w:ilvl w:val="0"/>
          <w:numId w:val="14"/>
        </w:numPr>
        <w:spacing w:after="200"/>
        <w:ind w:left="425" w:hanging="425"/>
        <w:jc w:val="both"/>
        <w:rPr>
          <w:rFonts w:ascii="Times New Roman" w:hAnsi="Times New Roman" w:cs="Times New Roman"/>
          <w:color w:val="000000"/>
          <w:sz w:val="24"/>
          <w:szCs w:val="24"/>
        </w:rPr>
      </w:pPr>
      <w:r>
        <w:rPr>
          <w:rFonts w:ascii="Times New Roman" w:hAnsi="Times New Roman" w:cs="Times New Roman"/>
          <w:sz w:val="24"/>
          <w:szCs w:val="24"/>
          <w:lang w:val="en-US"/>
        </w:rPr>
        <w:t>BA</w:t>
      </w:r>
      <w:r w:rsidR="00363810">
        <w:rPr>
          <w:rFonts w:ascii="Times New Roman" w:hAnsi="Times New Roman" w:cs="Times New Roman"/>
          <w:sz w:val="24"/>
          <w:szCs w:val="24"/>
        </w:rPr>
        <w:t xml:space="preserve"> - пациентите од двата пола </w:t>
      </w:r>
      <w:r w:rsidR="000D285A" w:rsidRPr="00C03FBA">
        <w:rPr>
          <w:rFonts w:ascii="Times New Roman" w:hAnsi="Times New Roman" w:cs="Times New Roman"/>
          <w:sz w:val="24"/>
          <w:szCs w:val="24"/>
        </w:rPr>
        <w:t xml:space="preserve"> беа застапени </w:t>
      </w:r>
      <w:r w:rsidR="00C03FBA" w:rsidRPr="00C03FBA">
        <w:rPr>
          <w:rFonts w:ascii="Times New Roman" w:hAnsi="Times New Roman" w:cs="Times New Roman"/>
          <w:sz w:val="24"/>
          <w:szCs w:val="24"/>
        </w:rPr>
        <w:t xml:space="preserve">подеднакво </w:t>
      </w:r>
      <w:r w:rsidR="000D285A" w:rsidRPr="00C03FBA">
        <w:rPr>
          <w:rFonts w:ascii="Times New Roman" w:hAnsi="Times New Roman" w:cs="Times New Roman"/>
          <w:sz w:val="24"/>
          <w:szCs w:val="24"/>
        </w:rPr>
        <w:t>со по 50%</w:t>
      </w:r>
      <w:r w:rsidR="00C03FBA" w:rsidRPr="00C03FBA">
        <w:rPr>
          <w:rFonts w:ascii="Times New Roman" w:hAnsi="Times New Roman" w:cs="Times New Roman"/>
          <w:sz w:val="24"/>
          <w:szCs w:val="24"/>
        </w:rPr>
        <w:t xml:space="preserve"> (</w:t>
      </w:r>
      <w:r w:rsidR="00C03FBA" w:rsidRPr="00C03FBA">
        <w:rPr>
          <w:rFonts w:ascii="Times New Roman" w:hAnsi="Times New Roman" w:cs="Times New Roman"/>
          <w:color w:val="000000"/>
          <w:sz w:val="24"/>
          <w:szCs w:val="24"/>
        </w:rPr>
        <w:t xml:space="preserve">p=1,0000); </w:t>
      </w:r>
    </w:p>
    <w:p w:rsidR="002E2445" w:rsidRPr="00C03FBA" w:rsidRDefault="00214727" w:rsidP="0007057C">
      <w:pPr>
        <w:numPr>
          <w:ilvl w:val="0"/>
          <w:numId w:val="14"/>
        </w:numPr>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Pa</w:t>
      </w:r>
      <w:r w:rsidR="002E2445" w:rsidRPr="00C03FBA">
        <w:rPr>
          <w:rFonts w:ascii="Times New Roman" w:hAnsi="Times New Roman" w:cs="Times New Roman"/>
          <w:color w:val="000000"/>
          <w:sz w:val="24"/>
          <w:szCs w:val="24"/>
        </w:rPr>
        <w:t xml:space="preserve"> </w:t>
      </w:r>
      <w:r w:rsidR="00363810">
        <w:rPr>
          <w:rFonts w:ascii="Times New Roman" w:hAnsi="Times New Roman" w:cs="Times New Roman"/>
          <w:color w:val="000000"/>
          <w:sz w:val="24"/>
          <w:szCs w:val="24"/>
        </w:rPr>
        <w:t xml:space="preserve">- </w:t>
      </w:r>
      <w:r w:rsidR="00C03FBA" w:rsidRPr="00C03FBA">
        <w:rPr>
          <w:rFonts w:ascii="Times New Roman" w:hAnsi="Times New Roman" w:cs="Times New Roman"/>
          <w:color w:val="000000"/>
          <w:sz w:val="24"/>
          <w:szCs w:val="24"/>
        </w:rPr>
        <w:t>пропоцијата на пациенти од машки пол изнесуваше 6 (30%), а на оние од женски пол 14 (70%)</w:t>
      </w:r>
      <w:r w:rsidRPr="00A926C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За </w:t>
      </w:r>
      <w:r>
        <w:rPr>
          <w:rFonts w:ascii="Times New Roman" w:hAnsi="Times New Roman" w:cs="Times New Roman"/>
          <w:color w:val="000000"/>
          <w:sz w:val="24"/>
          <w:szCs w:val="24"/>
          <w:lang w:val="en-US"/>
        </w:rPr>
        <w:t>p</w:t>
      </w:r>
      <w:r w:rsidRPr="00A926CA">
        <w:rPr>
          <w:rFonts w:ascii="Times New Roman" w:hAnsi="Times New Roman" w:cs="Times New Roman"/>
          <w:color w:val="000000"/>
          <w:sz w:val="24"/>
          <w:szCs w:val="24"/>
          <w:lang w:val="ru-RU"/>
        </w:rPr>
        <w:t xml:space="preserve">&lt;0,05 </w:t>
      </w:r>
      <w:r w:rsidR="0093070B">
        <w:rPr>
          <w:rFonts w:ascii="Times New Roman" w:hAnsi="Times New Roman" w:cs="Times New Roman"/>
          <w:color w:val="000000"/>
          <w:sz w:val="24"/>
          <w:szCs w:val="24"/>
        </w:rPr>
        <w:t>имаше</w:t>
      </w:r>
      <w:r w:rsidR="00C03FBA" w:rsidRPr="00C03FBA">
        <w:rPr>
          <w:rFonts w:ascii="Times New Roman" w:hAnsi="Times New Roman" w:cs="Times New Roman"/>
          <w:color w:val="000000"/>
          <w:sz w:val="24"/>
          <w:szCs w:val="24"/>
        </w:rPr>
        <w:t xml:space="preserve"> сигнификантна разлика во процентуалната застапеност на половите во прилог на сигнификантно поголема застапеност на женскиот пол (p=0,0021)</w:t>
      </w:r>
      <w:r w:rsidR="00363810">
        <w:rPr>
          <w:rFonts w:ascii="Times New Roman" w:hAnsi="Times New Roman" w:cs="Times New Roman"/>
          <w:color w:val="000000"/>
          <w:sz w:val="24"/>
          <w:szCs w:val="24"/>
        </w:rPr>
        <w:t>;</w:t>
      </w:r>
    </w:p>
    <w:p w:rsidR="002E2445" w:rsidRPr="002468D2" w:rsidRDefault="00446A60" w:rsidP="00243206">
      <w:pPr>
        <w:spacing w:line="360" w:lineRule="auto"/>
        <w:ind w:firstLine="720"/>
        <w:jc w:val="both"/>
        <w:rPr>
          <w:rFonts w:ascii="Times New Roman" w:hAnsi="Times New Roman" w:cs="Times New Roman"/>
          <w:sz w:val="24"/>
          <w:szCs w:val="24"/>
        </w:rPr>
      </w:pPr>
      <w:r>
        <w:rPr>
          <w:noProof/>
          <w:lang w:val="en-US"/>
        </w:rPr>
        <w:drawing>
          <wp:anchor distT="0" distB="0" distL="114300" distR="114300" simplePos="0" relativeHeight="251647488" behindDoc="1" locked="0" layoutInCell="1" allowOverlap="1">
            <wp:simplePos x="0" y="0"/>
            <wp:positionH relativeFrom="column">
              <wp:posOffset>-66675</wp:posOffset>
            </wp:positionH>
            <wp:positionV relativeFrom="paragraph">
              <wp:posOffset>262890</wp:posOffset>
            </wp:positionV>
            <wp:extent cx="6133465" cy="1724660"/>
            <wp:effectExtent l="19050" t="0" r="635" b="0"/>
            <wp:wrapTight wrapText="bothSides">
              <wp:wrapPolygon edited="0">
                <wp:start x="67" y="0"/>
                <wp:lineTo x="-67" y="11452"/>
                <wp:lineTo x="-67" y="21234"/>
                <wp:lineTo x="21602" y="21234"/>
                <wp:lineTo x="21602" y="3102"/>
                <wp:lineTo x="12680" y="0"/>
                <wp:lineTo x="67" y="0"/>
              </wp:wrapPolygon>
            </wp:wrapTight>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
                    <a:srcRect/>
                    <a:stretch>
                      <a:fillRect/>
                    </a:stretch>
                  </pic:blipFill>
                  <pic:spPr bwMode="auto">
                    <a:xfrm>
                      <a:off x="0" y="0"/>
                      <a:ext cx="6133465" cy="1724660"/>
                    </a:xfrm>
                    <a:prstGeom prst="rect">
                      <a:avLst/>
                    </a:prstGeom>
                    <a:noFill/>
                    <a:ln w="9525">
                      <a:noFill/>
                      <a:miter lim="800000"/>
                      <a:headEnd/>
                      <a:tailEnd/>
                    </a:ln>
                  </pic:spPr>
                </pic:pic>
              </a:graphicData>
            </a:graphic>
          </wp:anchor>
        </w:drawing>
      </w:r>
    </w:p>
    <w:p w:rsidR="0071419A" w:rsidRDefault="0071419A"/>
    <w:p w:rsidR="00FC4FB1" w:rsidRDefault="00FC4FB1" w:rsidP="00FC4FB1">
      <w:pPr>
        <w:jc w:val="center"/>
        <w:rPr>
          <w:rFonts w:ascii="Times New Roman" w:hAnsi="Times New Roman" w:cs="Times New Roman"/>
          <w:b/>
          <w:color w:val="000000"/>
          <w:sz w:val="20"/>
          <w:szCs w:val="20"/>
        </w:rPr>
      </w:pPr>
    </w:p>
    <w:p w:rsidR="0031101A" w:rsidRDefault="0031101A" w:rsidP="00FC4FB1">
      <w:pPr>
        <w:jc w:val="center"/>
        <w:rPr>
          <w:rFonts w:ascii="Times New Roman" w:hAnsi="Times New Roman" w:cs="Times New Roman"/>
          <w:b/>
          <w:color w:val="000000"/>
          <w:sz w:val="20"/>
          <w:szCs w:val="20"/>
        </w:rPr>
      </w:pPr>
    </w:p>
    <w:p w:rsidR="008D5555" w:rsidRDefault="00FC4FB1" w:rsidP="008D555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7</w:t>
      </w:r>
      <w:r w:rsidRPr="00AC7374">
        <w:rPr>
          <w:rFonts w:ascii="Times New Roman" w:hAnsi="Times New Roman" w:cs="Times New Roman"/>
          <w:b/>
          <w:color w:val="000000"/>
          <w:sz w:val="20"/>
          <w:szCs w:val="20"/>
        </w:rPr>
        <w:t xml:space="preserve">. Дистрибуција на </w:t>
      </w:r>
      <w:r>
        <w:rPr>
          <w:rFonts w:ascii="Times New Roman" w:hAnsi="Times New Roman" w:cs="Times New Roman"/>
          <w:b/>
          <w:color w:val="000000"/>
          <w:sz w:val="20"/>
          <w:szCs w:val="20"/>
        </w:rPr>
        <w:t xml:space="preserve">бенигни </w:t>
      </w:r>
      <w:r w:rsidRPr="00AC7374">
        <w:rPr>
          <w:rFonts w:ascii="Times New Roman" w:hAnsi="Times New Roman" w:cs="Times New Roman"/>
          <w:b/>
          <w:color w:val="000000"/>
          <w:sz w:val="20"/>
          <w:szCs w:val="20"/>
        </w:rPr>
        <w:t>тумори на</w:t>
      </w:r>
      <w:r w:rsidR="008D5555">
        <w:rPr>
          <w:rFonts w:ascii="Times New Roman" w:hAnsi="Times New Roman" w:cs="Times New Roman"/>
          <w:b/>
          <w:color w:val="000000"/>
          <w:sz w:val="20"/>
          <w:szCs w:val="20"/>
        </w:rPr>
        <w:t xml:space="preserve"> </w:t>
      </w:r>
      <w:r w:rsidRPr="00AC7374">
        <w:rPr>
          <w:rFonts w:ascii="Times New Roman" w:hAnsi="Times New Roman" w:cs="Times New Roman"/>
          <w:b/>
          <w:color w:val="000000"/>
          <w:sz w:val="20"/>
          <w:szCs w:val="20"/>
        </w:rPr>
        <w:t>паротидните жлезди</w:t>
      </w:r>
      <w:r>
        <w:rPr>
          <w:rFonts w:ascii="Times New Roman" w:hAnsi="Times New Roman" w:cs="Times New Roman"/>
          <w:b/>
          <w:color w:val="000000"/>
          <w:sz w:val="20"/>
          <w:szCs w:val="20"/>
        </w:rPr>
        <w:t xml:space="preserve"> </w:t>
      </w:r>
    </w:p>
    <w:p w:rsidR="00FC4FB1" w:rsidRPr="00AC7374" w:rsidRDefault="008D5555" w:rsidP="008D5555">
      <w:pPr>
        <w:jc w:val="center"/>
        <w:rPr>
          <w:rFonts w:ascii="Times New Roman" w:hAnsi="Times New Roman" w:cs="Times New Roman"/>
          <w:b/>
          <w:color w:val="000000"/>
          <w:sz w:val="20"/>
          <w:szCs w:val="20"/>
        </w:rPr>
      </w:pPr>
      <w:r w:rsidRPr="00AC7374">
        <w:rPr>
          <w:rFonts w:ascii="Times New Roman" w:hAnsi="Times New Roman" w:cs="Times New Roman"/>
          <w:b/>
          <w:color w:val="000000"/>
          <w:sz w:val="20"/>
          <w:szCs w:val="20"/>
        </w:rPr>
        <w:t xml:space="preserve">според тип </w:t>
      </w:r>
      <w:r>
        <w:rPr>
          <w:rFonts w:ascii="Times New Roman" w:hAnsi="Times New Roman" w:cs="Times New Roman"/>
          <w:b/>
          <w:color w:val="000000"/>
          <w:sz w:val="20"/>
          <w:szCs w:val="20"/>
        </w:rPr>
        <w:t xml:space="preserve">и пол </w:t>
      </w:r>
      <w:r w:rsidR="00FC4FB1">
        <w:rPr>
          <w:rFonts w:ascii="Times New Roman" w:hAnsi="Times New Roman" w:cs="Times New Roman"/>
          <w:b/>
          <w:color w:val="000000"/>
          <w:sz w:val="20"/>
          <w:szCs w:val="20"/>
        </w:rPr>
        <w:t>– испитувана група</w:t>
      </w:r>
    </w:p>
    <w:p w:rsidR="0007057C" w:rsidRDefault="0007057C" w:rsidP="0007057C">
      <w:pPr>
        <w:spacing w:line="360" w:lineRule="auto"/>
        <w:jc w:val="both"/>
        <w:rPr>
          <w:rFonts w:ascii="Times New Roman" w:hAnsi="Times New Roman" w:cs="Times New Roman"/>
          <w:color w:val="000000"/>
          <w:sz w:val="24"/>
          <w:szCs w:val="24"/>
        </w:rPr>
      </w:pPr>
    </w:p>
    <w:p w:rsidR="00AC7374" w:rsidRPr="002468D2" w:rsidRDefault="00AC7374" w:rsidP="0007057C">
      <w:pPr>
        <w:jc w:val="both"/>
        <w:rPr>
          <w:rFonts w:ascii="Times New Roman" w:hAnsi="Times New Roman" w:cs="Times New Roman"/>
          <w:sz w:val="24"/>
          <w:szCs w:val="24"/>
        </w:rPr>
      </w:pPr>
      <w:r w:rsidRPr="00F77FC6">
        <w:rPr>
          <w:rFonts w:ascii="Times New Roman" w:hAnsi="Times New Roman" w:cs="Times New Roman"/>
          <w:color w:val="000000"/>
          <w:sz w:val="24"/>
          <w:szCs w:val="24"/>
        </w:rPr>
        <w:t>Кај пациентите со МАЛ</w:t>
      </w:r>
      <w:r w:rsidR="00FC4FB1">
        <w:rPr>
          <w:rFonts w:ascii="Times New Roman" w:hAnsi="Times New Roman" w:cs="Times New Roman"/>
          <w:color w:val="000000"/>
          <w:sz w:val="24"/>
          <w:szCs w:val="24"/>
        </w:rPr>
        <w:t>ИГНИ ТУМОРИ</w:t>
      </w:r>
      <w:r w:rsidRPr="00F77FC6">
        <w:rPr>
          <w:rFonts w:ascii="Times New Roman" w:hAnsi="Times New Roman" w:cs="Times New Roman"/>
          <w:color w:val="000000"/>
          <w:sz w:val="24"/>
          <w:szCs w:val="24"/>
        </w:rPr>
        <w:t xml:space="preserve"> </w:t>
      </w:r>
      <w:r w:rsidR="00F77FC6" w:rsidRPr="00F77FC6">
        <w:rPr>
          <w:rFonts w:ascii="Times New Roman" w:hAnsi="Times New Roman" w:cs="Times New Roman"/>
          <w:color w:val="000000"/>
          <w:sz w:val="24"/>
          <w:szCs w:val="24"/>
        </w:rPr>
        <w:t xml:space="preserve">на паротидна жлезда </w:t>
      </w:r>
      <w:r w:rsidRPr="00F77FC6">
        <w:rPr>
          <w:rFonts w:ascii="Times New Roman" w:hAnsi="Times New Roman" w:cs="Times New Roman"/>
          <w:color w:val="000000"/>
          <w:sz w:val="24"/>
          <w:szCs w:val="24"/>
        </w:rPr>
        <w:t>(N=</w:t>
      </w:r>
      <w:r w:rsidR="008B71B4" w:rsidRPr="00F77FC6">
        <w:rPr>
          <w:rFonts w:ascii="Times New Roman" w:hAnsi="Times New Roman" w:cs="Times New Roman"/>
          <w:color w:val="000000"/>
          <w:sz w:val="24"/>
          <w:szCs w:val="24"/>
        </w:rPr>
        <w:t>13</w:t>
      </w:r>
      <w:r w:rsidRPr="00F77FC6">
        <w:rPr>
          <w:rFonts w:ascii="Times New Roman" w:hAnsi="Times New Roman" w:cs="Times New Roman"/>
          <w:color w:val="000000"/>
          <w:sz w:val="24"/>
          <w:szCs w:val="24"/>
        </w:rPr>
        <w:t xml:space="preserve">) идентификувани беа </w:t>
      </w:r>
      <w:r w:rsidR="008B71B4" w:rsidRPr="00F77FC6">
        <w:rPr>
          <w:rFonts w:ascii="Times New Roman" w:hAnsi="Times New Roman" w:cs="Times New Roman"/>
          <w:color w:val="000000"/>
          <w:sz w:val="24"/>
          <w:szCs w:val="24"/>
        </w:rPr>
        <w:t>шест</w:t>
      </w:r>
      <w:r w:rsidRPr="00F77FC6">
        <w:rPr>
          <w:rFonts w:ascii="Times New Roman" w:hAnsi="Times New Roman" w:cs="Times New Roman"/>
          <w:color w:val="000000"/>
          <w:sz w:val="24"/>
          <w:szCs w:val="24"/>
        </w:rPr>
        <w:t xml:space="preserve"> патохистолошки типови. Најзастапен</w:t>
      </w:r>
      <w:r w:rsidR="008B71B4" w:rsidRPr="00F77FC6">
        <w:rPr>
          <w:rFonts w:ascii="Times New Roman" w:hAnsi="Times New Roman" w:cs="Times New Roman"/>
          <w:color w:val="000000"/>
          <w:sz w:val="24"/>
          <w:szCs w:val="24"/>
        </w:rPr>
        <w:t>и</w:t>
      </w:r>
      <w:r w:rsidRPr="00F77FC6">
        <w:rPr>
          <w:rFonts w:ascii="Times New Roman" w:hAnsi="Times New Roman" w:cs="Times New Roman"/>
          <w:color w:val="000000"/>
          <w:sz w:val="24"/>
          <w:szCs w:val="24"/>
        </w:rPr>
        <w:t xml:space="preserve"> патохистолошки тип</w:t>
      </w:r>
      <w:r w:rsidR="008B71B4" w:rsidRPr="00F77FC6">
        <w:rPr>
          <w:rFonts w:ascii="Times New Roman" w:hAnsi="Times New Roman" w:cs="Times New Roman"/>
          <w:color w:val="000000"/>
          <w:sz w:val="24"/>
          <w:szCs w:val="24"/>
        </w:rPr>
        <w:t>ови</w:t>
      </w:r>
      <w:r w:rsidRPr="00F77FC6">
        <w:rPr>
          <w:rFonts w:ascii="Times New Roman" w:hAnsi="Times New Roman" w:cs="Times New Roman"/>
          <w:color w:val="000000"/>
          <w:sz w:val="24"/>
          <w:szCs w:val="24"/>
        </w:rPr>
        <w:t xml:space="preserve"> бе</w:t>
      </w:r>
      <w:r w:rsidR="008B71B4" w:rsidRPr="00F77FC6">
        <w:rPr>
          <w:rFonts w:ascii="Times New Roman" w:hAnsi="Times New Roman" w:cs="Times New Roman"/>
          <w:color w:val="000000"/>
          <w:sz w:val="24"/>
          <w:szCs w:val="24"/>
        </w:rPr>
        <w:t>а</w:t>
      </w:r>
      <w:r w:rsidRPr="00F77FC6">
        <w:rPr>
          <w:rFonts w:ascii="Times New Roman" w:hAnsi="Times New Roman" w:cs="Times New Roman"/>
          <w:color w:val="000000"/>
          <w:sz w:val="24"/>
          <w:szCs w:val="24"/>
        </w:rPr>
        <w:t xml:space="preserve"> </w:t>
      </w:r>
      <w:r w:rsidR="002468D2" w:rsidRPr="00F77FC6">
        <w:rPr>
          <w:rFonts w:ascii="Times New Roman" w:hAnsi="Times New Roman" w:cs="Times New Roman"/>
          <w:sz w:val="24"/>
          <w:szCs w:val="24"/>
        </w:rPr>
        <w:t>Adenocarcinoma</w:t>
      </w:r>
      <w:r w:rsidR="00732A16" w:rsidRPr="00A926CA">
        <w:rPr>
          <w:rFonts w:ascii="Times New Roman" w:hAnsi="Times New Roman" w:cs="Times New Roman"/>
          <w:sz w:val="24"/>
          <w:szCs w:val="24"/>
        </w:rPr>
        <w:t xml:space="preserve"> </w:t>
      </w:r>
      <w:r w:rsidR="00732A16" w:rsidRPr="00F77FC6">
        <w:rPr>
          <w:rFonts w:ascii="Times New Roman" w:hAnsi="Times New Roman" w:cs="Times New Roman"/>
          <w:sz w:val="24"/>
          <w:szCs w:val="24"/>
        </w:rPr>
        <w:t>gl.</w:t>
      </w:r>
      <w:r w:rsidR="00F77FC6" w:rsidRPr="00F77FC6">
        <w:rPr>
          <w:rFonts w:ascii="Times New Roman" w:hAnsi="Times New Roman" w:cs="Times New Roman"/>
          <w:sz w:val="24"/>
          <w:szCs w:val="24"/>
        </w:rPr>
        <w:t xml:space="preserve"> </w:t>
      </w:r>
      <w:r w:rsidR="00732A16" w:rsidRPr="00A926CA">
        <w:rPr>
          <w:rFonts w:ascii="Times New Roman" w:hAnsi="Times New Roman" w:cs="Times New Roman"/>
          <w:sz w:val="24"/>
          <w:szCs w:val="24"/>
        </w:rPr>
        <w:t>p</w:t>
      </w:r>
      <w:r w:rsidR="00732A16" w:rsidRPr="00F77FC6">
        <w:rPr>
          <w:rFonts w:ascii="Times New Roman" w:hAnsi="Times New Roman" w:cs="Times New Roman"/>
          <w:sz w:val="24"/>
          <w:szCs w:val="24"/>
        </w:rPr>
        <w:t>arotis</w:t>
      </w:r>
      <w:r w:rsidR="00732A16" w:rsidRPr="00A926CA">
        <w:rPr>
          <w:rFonts w:ascii="Times New Roman" w:hAnsi="Times New Roman" w:cs="Times New Roman"/>
          <w:sz w:val="24"/>
          <w:szCs w:val="24"/>
        </w:rPr>
        <w:t xml:space="preserve"> (</w:t>
      </w:r>
      <w:r w:rsidR="002468D2" w:rsidRPr="00F77FC6">
        <w:rPr>
          <w:rFonts w:ascii="Times New Roman" w:hAnsi="Times New Roman" w:cs="Times New Roman"/>
          <w:sz w:val="24"/>
          <w:szCs w:val="24"/>
        </w:rPr>
        <w:t>AC</w:t>
      </w:r>
      <w:r w:rsidR="00732A16" w:rsidRPr="00A926CA">
        <w:rPr>
          <w:rFonts w:ascii="Times New Roman" w:hAnsi="Times New Roman" w:cs="Times New Roman"/>
          <w:sz w:val="24"/>
          <w:szCs w:val="24"/>
        </w:rPr>
        <w:t>)</w:t>
      </w:r>
      <w:r w:rsidR="002468D2" w:rsidRPr="00F77FC6">
        <w:rPr>
          <w:rFonts w:ascii="Times New Roman" w:hAnsi="Times New Roman" w:cs="Times New Roman"/>
          <w:sz w:val="24"/>
          <w:szCs w:val="24"/>
        </w:rPr>
        <w:t xml:space="preserve"> </w:t>
      </w:r>
      <w:r w:rsidR="008B71B4" w:rsidRPr="00F77FC6">
        <w:rPr>
          <w:rFonts w:ascii="Times New Roman" w:hAnsi="Times New Roman" w:cs="Times New Roman"/>
          <w:sz w:val="24"/>
          <w:szCs w:val="24"/>
        </w:rPr>
        <w:t xml:space="preserve">и </w:t>
      </w:r>
      <w:r w:rsidR="002468D2" w:rsidRPr="00F77FC6">
        <w:rPr>
          <w:rFonts w:ascii="Times New Roman" w:hAnsi="Times New Roman" w:cs="Times New Roman"/>
          <w:sz w:val="24"/>
          <w:szCs w:val="24"/>
        </w:rPr>
        <w:t>Planocellular Ca</w:t>
      </w:r>
      <w:r w:rsidR="00732A16" w:rsidRPr="00A926CA">
        <w:rPr>
          <w:rFonts w:ascii="Times New Roman" w:hAnsi="Times New Roman" w:cs="Times New Roman"/>
          <w:sz w:val="24"/>
          <w:szCs w:val="24"/>
        </w:rPr>
        <w:t xml:space="preserve"> (</w:t>
      </w:r>
      <w:r w:rsidR="002468D2" w:rsidRPr="00F77FC6">
        <w:rPr>
          <w:rFonts w:ascii="Times New Roman" w:hAnsi="Times New Roman" w:cs="Times New Roman"/>
          <w:sz w:val="24"/>
          <w:szCs w:val="24"/>
        </w:rPr>
        <w:t>PC</w:t>
      </w:r>
      <w:r w:rsidR="00732A16" w:rsidRPr="00A926CA">
        <w:rPr>
          <w:rFonts w:ascii="Times New Roman" w:hAnsi="Times New Roman" w:cs="Times New Roman"/>
          <w:sz w:val="24"/>
          <w:szCs w:val="24"/>
        </w:rPr>
        <w:t>)</w:t>
      </w:r>
      <w:r w:rsidR="002468D2" w:rsidRPr="00F77FC6">
        <w:rPr>
          <w:rFonts w:ascii="Times New Roman" w:hAnsi="Times New Roman" w:cs="Times New Roman"/>
          <w:sz w:val="24"/>
          <w:szCs w:val="24"/>
        </w:rPr>
        <w:t xml:space="preserve"> </w:t>
      </w:r>
      <w:r w:rsidR="008B71B4" w:rsidRPr="00F77FC6">
        <w:rPr>
          <w:rFonts w:ascii="Times New Roman" w:hAnsi="Times New Roman" w:cs="Times New Roman"/>
          <w:sz w:val="24"/>
          <w:szCs w:val="24"/>
        </w:rPr>
        <w:t xml:space="preserve">кои беа </w:t>
      </w:r>
      <w:r w:rsidRPr="00F77FC6">
        <w:rPr>
          <w:rFonts w:ascii="Times New Roman" w:hAnsi="Times New Roman" w:cs="Times New Roman"/>
          <w:sz w:val="24"/>
          <w:szCs w:val="24"/>
        </w:rPr>
        <w:t>идентификуван</w:t>
      </w:r>
      <w:r w:rsidR="008B71B4" w:rsidRPr="00F77FC6">
        <w:rPr>
          <w:rFonts w:ascii="Times New Roman" w:hAnsi="Times New Roman" w:cs="Times New Roman"/>
          <w:sz w:val="24"/>
          <w:szCs w:val="24"/>
        </w:rPr>
        <w:t xml:space="preserve">и </w:t>
      </w:r>
      <w:r w:rsidRPr="00F77FC6">
        <w:rPr>
          <w:rFonts w:ascii="Times New Roman" w:hAnsi="Times New Roman" w:cs="Times New Roman"/>
          <w:sz w:val="24"/>
          <w:szCs w:val="24"/>
        </w:rPr>
        <w:t xml:space="preserve">кај </w:t>
      </w:r>
      <w:r w:rsidR="008B71B4" w:rsidRPr="00F77FC6">
        <w:rPr>
          <w:rFonts w:ascii="Times New Roman" w:hAnsi="Times New Roman" w:cs="Times New Roman"/>
          <w:sz w:val="24"/>
          <w:szCs w:val="24"/>
        </w:rPr>
        <w:t xml:space="preserve">подеднаков број </w:t>
      </w:r>
      <w:r w:rsidR="0016172C" w:rsidRPr="00F77FC6">
        <w:rPr>
          <w:rFonts w:ascii="Times New Roman" w:hAnsi="Times New Roman" w:cs="Times New Roman"/>
          <w:sz w:val="24"/>
          <w:szCs w:val="24"/>
        </w:rPr>
        <w:t>од</w:t>
      </w:r>
      <w:r w:rsidR="006F6C3B" w:rsidRPr="00F77FC6">
        <w:rPr>
          <w:rFonts w:ascii="Times New Roman" w:hAnsi="Times New Roman" w:cs="Times New Roman"/>
          <w:sz w:val="24"/>
          <w:szCs w:val="24"/>
        </w:rPr>
        <w:t xml:space="preserve"> </w:t>
      </w:r>
      <w:r w:rsidR="008B71B4" w:rsidRPr="00F77FC6">
        <w:rPr>
          <w:rFonts w:ascii="Times New Roman" w:hAnsi="Times New Roman" w:cs="Times New Roman"/>
          <w:sz w:val="24"/>
          <w:szCs w:val="24"/>
        </w:rPr>
        <w:t>по 4</w:t>
      </w:r>
      <w:r w:rsidRPr="00F77FC6">
        <w:rPr>
          <w:rFonts w:ascii="Times New Roman" w:hAnsi="Times New Roman" w:cs="Times New Roman"/>
          <w:sz w:val="24"/>
          <w:szCs w:val="24"/>
        </w:rPr>
        <w:t xml:space="preserve"> (</w:t>
      </w:r>
      <w:r w:rsidR="00F77FC6" w:rsidRPr="00F77FC6">
        <w:rPr>
          <w:rFonts w:ascii="Times New Roman" w:hAnsi="Times New Roman" w:cs="Times New Roman"/>
          <w:sz w:val="24"/>
          <w:szCs w:val="24"/>
        </w:rPr>
        <w:t>30,8</w:t>
      </w:r>
      <w:r w:rsidRPr="00F77FC6">
        <w:rPr>
          <w:rFonts w:ascii="Times New Roman" w:hAnsi="Times New Roman" w:cs="Times New Roman"/>
          <w:sz w:val="24"/>
          <w:szCs w:val="24"/>
        </w:rPr>
        <w:t>%)</w:t>
      </w:r>
      <w:r w:rsidR="006F6C3B" w:rsidRPr="00F77FC6">
        <w:rPr>
          <w:rFonts w:ascii="Times New Roman" w:hAnsi="Times New Roman" w:cs="Times New Roman"/>
          <w:sz w:val="24"/>
          <w:szCs w:val="24"/>
        </w:rPr>
        <w:t xml:space="preserve"> пациенти. </w:t>
      </w:r>
      <w:r w:rsidR="002468D2" w:rsidRPr="00F77FC6">
        <w:rPr>
          <w:rFonts w:ascii="Times New Roman" w:hAnsi="Times New Roman" w:cs="Times New Roman"/>
          <w:sz w:val="24"/>
          <w:szCs w:val="24"/>
        </w:rPr>
        <w:t>Carcinoma ex pleomorphic adenoma</w:t>
      </w:r>
      <w:r w:rsidR="00732A16" w:rsidRPr="00A926CA">
        <w:rPr>
          <w:rFonts w:ascii="Times New Roman" w:hAnsi="Times New Roman" w:cs="Times New Roman"/>
          <w:sz w:val="24"/>
          <w:szCs w:val="24"/>
        </w:rPr>
        <w:t xml:space="preserve"> (</w:t>
      </w:r>
      <w:r w:rsidR="002468D2" w:rsidRPr="00F77FC6">
        <w:rPr>
          <w:rFonts w:ascii="Times New Roman" w:hAnsi="Times New Roman" w:cs="Times New Roman"/>
          <w:sz w:val="24"/>
          <w:szCs w:val="24"/>
        </w:rPr>
        <w:t>CEA</w:t>
      </w:r>
      <w:r w:rsidR="00732A16" w:rsidRPr="00A926CA">
        <w:rPr>
          <w:rFonts w:ascii="Times New Roman" w:hAnsi="Times New Roman" w:cs="Times New Roman"/>
          <w:sz w:val="24"/>
          <w:szCs w:val="24"/>
        </w:rPr>
        <w:t>)</w:t>
      </w:r>
      <w:r w:rsidR="002468D2" w:rsidRPr="00F77FC6">
        <w:rPr>
          <w:rFonts w:ascii="Times New Roman" w:hAnsi="Times New Roman" w:cs="Times New Roman"/>
          <w:sz w:val="24"/>
          <w:szCs w:val="24"/>
        </w:rPr>
        <w:t xml:space="preserve"> </w:t>
      </w:r>
      <w:r w:rsidR="008B71B4" w:rsidRPr="00F77FC6">
        <w:rPr>
          <w:rFonts w:ascii="Times New Roman" w:hAnsi="Times New Roman" w:cs="Times New Roman"/>
          <w:sz w:val="24"/>
          <w:szCs w:val="24"/>
        </w:rPr>
        <w:t xml:space="preserve">беше дијагностицирана кај </w:t>
      </w:r>
      <w:r w:rsidR="0016172C" w:rsidRPr="00F77FC6">
        <w:rPr>
          <w:rFonts w:ascii="Times New Roman" w:hAnsi="Times New Roman" w:cs="Times New Roman"/>
          <w:sz w:val="24"/>
          <w:szCs w:val="24"/>
        </w:rPr>
        <w:t>2 (15,</w:t>
      </w:r>
      <w:r w:rsidR="00F77FC6" w:rsidRPr="00F77FC6">
        <w:rPr>
          <w:rFonts w:ascii="Times New Roman" w:hAnsi="Times New Roman" w:cs="Times New Roman"/>
          <w:sz w:val="24"/>
          <w:szCs w:val="24"/>
        </w:rPr>
        <w:t>4</w:t>
      </w:r>
      <w:r w:rsidR="0016172C" w:rsidRPr="00F77FC6">
        <w:rPr>
          <w:rFonts w:ascii="Times New Roman" w:hAnsi="Times New Roman" w:cs="Times New Roman"/>
          <w:sz w:val="24"/>
          <w:szCs w:val="24"/>
        </w:rPr>
        <w:t xml:space="preserve">%) </w:t>
      </w:r>
      <w:r w:rsidRPr="00F77FC6">
        <w:rPr>
          <w:rFonts w:ascii="Times New Roman" w:hAnsi="Times New Roman" w:cs="Times New Roman"/>
          <w:sz w:val="24"/>
          <w:szCs w:val="24"/>
        </w:rPr>
        <w:t xml:space="preserve">од пациентите </w:t>
      </w:r>
      <w:r w:rsidR="0016172C" w:rsidRPr="00F77FC6">
        <w:rPr>
          <w:rFonts w:ascii="Times New Roman" w:hAnsi="Times New Roman" w:cs="Times New Roman"/>
          <w:sz w:val="24"/>
          <w:szCs w:val="24"/>
        </w:rPr>
        <w:t xml:space="preserve">со малигни тумори. Застапени само </w:t>
      </w:r>
      <w:r w:rsidR="0083211E" w:rsidRPr="00F77FC6">
        <w:rPr>
          <w:rFonts w:ascii="Times New Roman" w:hAnsi="Times New Roman" w:cs="Times New Roman"/>
          <w:sz w:val="24"/>
          <w:szCs w:val="24"/>
        </w:rPr>
        <w:t>со</w:t>
      </w:r>
      <w:r w:rsidR="0016172C" w:rsidRPr="00F77FC6">
        <w:rPr>
          <w:rFonts w:ascii="Times New Roman" w:hAnsi="Times New Roman" w:cs="Times New Roman"/>
          <w:sz w:val="24"/>
          <w:szCs w:val="24"/>
        </w:rPr>
        <w:t xml:space="preserve"> по 1 (7,</w:t>
      </w:r>
      <w:r w:rsidR="00F77FC6" w:rsidRPr="00F77FC6">
        <w:rPr>
          <w:rFonts w:ascii="Times New Roman" w:hAnsi="Times New Roman" w:cs="Times New Roman"/>
          <w:sz w:val="24"/>
          <w:szCs w:val="24"/>
        </w:rPr>
        <w:t>7</w:t>
      </w:r>
      <w:r w:rsidR="0016172C" w:rsidRPr="00F77FC6">
        <w:rPr>
          <w:rFonts w:ascii="Times New Roman" w:hAnsi="Times New Roman" w:cs="Times New Roman"/>
          <w:sz w:val="24"/>
          <w:szCs w:val="24"/>
        </w:rPr>
        <w:t xml:space="preserve">%) случај беа патохистолошките типови Mucoepidermoid carcinoma gl. </w:t>
      </w:r>
      <w:r w:rsidR="00732A16" w:rsidRPr="00A926CA">
        <w:rPr>
          <w:rFonts w:ascii="Times New Roman" w:hAnsi="Times New Roman" w:cs="Times New Roman"/>
          <w:sz w:val="24"/>
          <w:szCs w:val="24"/>
        </w:rPr>
        <w:t>p</w:t>
      </w:r>
      <w:r w:rsidR="0016172C" w:rsidRPr="00F77FC6">
        <w:rPr>
          <w:rFonts w:ascii="Times New Roman" w:hAnsi="Times New Roman" w:cs="Times New Roman"/>
          <w:sz w:val="24"/>
          <w:szCs w:val="24"/>
        </w:rPr>
        <w:t>arotis</w:t>
      </w:r>
      <w:r w:rsidR="00732A16" w:rsidRPr="00A926CA">
        <w:rPr>
          <w:rFonts w:ascii="Times New Roman" w:hAnsi="Times New Roman" w:cs="Times New Roman"/>
          <w:sz w:val="24"/>
          <w:szCs w:val="24"/>
        </w:rPr>
        <w:t xml:space="preserve"> (MEC)</w:t>
      </w:r>
      <w:r w:rsidR="0016172C" w:rsidRPr="00F77FC6">
        <w:rPr>
          <w:rFonts w:ascii="Times New Roman" w:hAnsi="Times New Roman" w:cs="Times New Roman"/>
          <w:color w:val="000000"/>
          <w:sz w:val="24"/>
          <w:szCs w:val="24"/>
        </w:rPr>
        <w:t xml:space="preserve">, </w:t>
      </w:r>
      <w:r w:rsidR="00732A16" w:rsidRPr="00F77FC6">
        <w:rPr>
          <w:rFonts w:ascii="Times New Roman" w:hAnsi="Times New Roman" w:cs="Times New Roman"/>
          <w:sz w:val="24"/>
          <w:szCs w:val="24"/>
        </w:rPr>
        <w:t>Lymphoma</w:t>
      </w:r>
      <w:r w:rsidR="00732A16" w:rsidRPr="00A926CA">
        <w:rPr>
          <w:rFonts w:ascii="Times New Roman" w:hAnsi="Times New Roman" w:cs="Times New Roman"/>
          <w:sz w:val="24"/>
          <w:szCs w:val="24"/>
        </w:rPr>
        <w:t xml:space="preserve"> (</w:t>
      </w:r>
      <w:r w:rsidR="002468D2" w:rsidRPr="00F77FC6">
        <w:rPr>
          <w:rFonts w:ascii="Times New Roman" w:hAnsi="Times New Roman" w:cs="Times New Roman"/>
          <w:sz w:val="24"/>
          <w:szCs w:val="24"/>
        </w:rPr>
        <w:t>Ly</w:t>
      </w:r>
      <w:r w:rsidR="00732A16" w:rsidRPr="00A926CA">
        <w:rPr>
          <w:rFonts w:ascii="Times New Roman" w:hAnsi="Times New Roman" w:cs="Times New Roman"/>
          <w:sz w:val="24"/>
          <w:szCs w:val="24"/>
        </w:rPr>
        <w:t>)</w:t>
      </w:r>
      <w:r w:rsidR="0016172C" w:rsidRPr="00F77FC6">
        <w:rPr>
          <w:rFonts w:ascii="Times New Roman" w:hAnsi="Times New Roman" w:cs="Times New Roman"/>
          <w:color w:val="000000"/>
          <w:sz w:val="24"/>
          <w:szCs w:val="24"/>
        </w:rPr>
        <w:t xml:space="preserve"> и </w:t>
      </w:r>
      <w:r w:rsidR="002468D2" w:rsidRPr="00F77FC6">
        <w:rPr>
          <w:rFonts w:ascii="Times New Roman" w:hAnsi="Times New Roman" w:cs="Times New Roman"/>
          <w:sz w:val="24"/>
          <w:szCs w:val="24"/>
        </w:rPr>
        <w:t>Acinic cell carcinoma</w:t>
      </w:r>
      <w:r w:rsidR="00732A16" w:rsidRPr="00A926CA">
        <w:rPr>
          <w:rFonts w:ascii="Times New Roman" w:hAnsi="Times New Roman" w:cs="Times New Roman"/>
          <w:sz w:val="24"/>
          <w:szCs w:val="24"/>
        </w:rPr>
        <w:t xml:space="preserve"> (</w:t>
      </w:r>
      <w:r w:rsidR="002468D2" w:rsidRPr="00F77FC6">
        <w:rPr>
          <w:rFonts w:ascii="Times New Roman" w:hAnsi="Times New Roman" w:cs="Times New Roman"/>
          <w:sz w:val="24"/>
          <w:szCs w:val="24"/>
        </w:rPr>
        <w:t>ACC</w:t>
      </w:r>
      <w:r w:rsidR="00732A16" w:rsidRPr="00A926CA">
        <w:rPr>
          <w:rFonts w:ascii="Times New Roman" w:hAnsi="Times New Roman" w:cs="Times New Roman"/>
          <w:sz w:val="24"/>
          <w:szCs w:val="24"/>
        </w:rPr>
        <w:t>)</w:t>
      </w:r>
      <w:r w:rsidR="002468D2" w:rsidRPr="00F77FC6">
        <w:rPr>
          <w:rFonts w:ascii="Times New Roman" w:hAnsi="Times New Roman" w:cs="Times New Roman"/>
          <w:sz w:val="24"/>
          <w:szCs w:val="24"/>
        </w:rPr>
        <w:t xml:space="preserve"> </w:t>
      </w:r>
      <w:r w:rsidRPr="00F77FC6">
        <w:rPr>
          <w:rFonts w:ascii="Times New Roman" w:hAnsi="Times New Roman" w:cs="Times New Roman"/>
          <w:color w:val="000000"/>
          <w:sz w:val="24"/>
          <w:szCs w:val="24"/>
        </w:rPr>
        <w:t xml:space="preserve">(Табела </w:t>
      </w:r>
      <w:r w:rsidR="00363810">
        <w:rPr>
          <w:rFonts w:ascii="Times New Roman" w:hAnsi="Times New Roman" w:cs="Times New Roman"/>
          <w:color w:val="000000"/>
          <w:sz w:val="24"/>
          <w:szCs w:val="24"/>
        </w:rPr>
        <w:t>5</w:t>
      </w:r>
      <w:r w:rsidR="00363810" w:rsidRPr="00A926CA">
        <w:rPr>
          <w:rFonts w:ascii="Times New Roman" w:hAnsi="Times New Roman" w:cs="Times New Roman"/>
          <w:color w:val="000000"/>
          <w:sz w:val="24"/>
          <w:szCs w:val="24"/>
        </w:rPr>
        <w:t xml:space="preserve"> и График </w:t>
      </w:r>
      <w:r w:rsidR="00363810">
        <w:rPr>
          <w:rFonts w:ascii="Times New Roman" w:hAnsi="Times New Roman" w:cs="Times New Roman"/>
          <w:color w:val="000000"/>
          <w:sz w:val="24"/>
          <w:szCs w:val="24"/>
        </w:rPr>
        <w:t>8</w:t>
      </w:r>
      <w:r w:rsidRPr="00F77FC6">
        <w:rPr>
          <w:rFonts w:ascii="Times New Roman" w:hAnsi="Times New Roman" w:cs="Times New Roman"/>
          <w:color w:val="000000"/>
          <w:sz w:val="24"/>
          <w:szCs w:val="24"/>
        </w:rPr>
        <w:t>)</w:t>
      </w:r>
      <w:r w:rsidRPr="00F77FC6">
        <w:rPr>
          <w:rFonts w:ascii="Times New Roman" w:hAnsi="Times New Roman" w:cs="Times New Roman"/>
          <w:sz w:val="24"/>
          <w:szCs w:val="24"/>
        </w:rPr>
        <w:t>.</w:t>
      </w:r>
    </w:p>
    <w:p w:rsidR="0071419A" w:rsidRDefault="0071419A" w:rsidP="0007057C"/>
    <w:p w:rsidR="00784E77" w:rsidRPr="00C03FBA" w:rsidRDefault="00015DB1" w:rsidP="0007057C">
      <w:pPr>
        <w:spacing w:after="200"/>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Анализата на </w:t>
      </w:r>
      <w:r w:rsidR="00784E77">
        <w:rPr>
          <w:rFonts w:ascii="Times New Roman" w:hAnsi="Times New Roman" w:cs="Times New Roman"/>
          <w:color w:val="000000"/>
          <w:sz w:val="24"/>
          <w:szCs w:val="24"/>
        </w:rPr>
        <w:t xml:space="preserve">дистрибуцијата на малигните тумори </w:t>
      </w:r>
      <w:r w:rsidR="00784E77" w:rsidRPr="0026223B">
        <w:rPr>
          <w:rFonts w:ascii="Times New Roman" w:hAnsi="Times New Roman" w:cs="Times New Roman"/>
          <w:color w:val="000000"/>
          <w:sz w:val="24"/>
          <w:szCs w:val="24"/>
        </w:rPr>
        <w:t>на паротидн</w:t>
      </w:r>
      <w:r w:rsidR="00784E77">
        <w:rPr>
          <w:rFonts w:ascii="Times New Roman" w:hAnsi="Times New Roman" w:cs="Times New Roman"/>
          <w:color w:val="000000"/>
          <w:sz w:val="24"/>
          <w:szCs w:val="24"/>
        </w:rPr>
        <w:t xml:space="preserve">ите </w:t>
      </w:r>
      <w:r w:rsidR="00784E77" w:rsidRPr="0026223B">
        <w:rPr>
          <w:rFonts w:ascii="Times New Roman" w:hAnsi="Times New Roman" w:cs="Times New Roman"/>
          <w:color w:val="000000"/>
          <w:sz w:val="24"/>
          <w:szCs w:val="24"/>
        </w:rPr>
        <w:t>жлезд</w:t>
      </w:r>
      <w:r w:rsidR="00784E77">
        <w:rPr>
          <w:rFonts w:ascii="Times New Roman" w:hAnsi="Times New Roman" w:cs="Times New Roman"/>
          <w:color w:val="000000"/>
          <w:sz w:val="24"/>
          <w:szCs w:val="24"/>
        </w:rPr>
        <w:t>и</w:t>
      </w:r>
      <w:r w:rsidR="00784E77" w:rsidRPr="0026223B">
        <w:rPr>
          <w:rFonts w:ascii="Times New Roman" w:hAnsi="Times New Roman" w:cs="Times New Roman"/>
          <w:color w:val="000000"/>
          <w:sz w:val="24"/>
          <w:szCs w:val="24"/>
        </w:rPr>
        <w:t xml:space="preserve"> </w:t>
      </w:r>
      <w:r w:rsidR="00784E77">
        <w:rPr>
          <w:rFonts w:ascii="Times New Roman" w:hAnsi="Times New Roman" w:cs="Times New Roman"/>
          <w:color w:val="000000"/>
          <w:sz w:val="24"/>
          <w:szCs w:val="24"/>
        </w:rPr>
        <w:t>според пол</w:t>
      </w:r>
      <w:r w:rsidR="00784E77" w:rsidRPr="0026223B">
        <w:rPr>
          <w:rFonts w:ascii="Times New Roman" w:hAnsi="Times New Roman" w:cs="Times New Roman"/>
          <w:color w:val="000000"/>
          <w:sz w:val="24"/>
          <w:szCs w:val="24"/>
        </w:rPr>
        <w:t xml:space="preserve"> </w:t>
      </w:r>
      <w:r w:rsidR="00784E77">
        <w:rPr>
          <w:rFonts w:ascii="Times New Roman" w:hAnsi="Times New Roman" w:cs="Times New Roman"/>
          <w:color w:val="000000"/>
          <w:sz w:val="24"/>
          <w:szCs w:val="24"/>
        </w:rPr>
        <w:t>укажа дека</w:t>
      </w:r>
      <w:r>
        <w:rPr>
          <w:rFonts w:ascii="Times New Roman" w:hAnsi="Times New Roman" w:cs="Times New Roman"/>
          <w:color w:val="000000"/>
          <w:sz w:val="24"/>
          <w:szCs w:val="24"/>
        </w:rPr>
        <w:t xml:space="preserve"> кај</w:t>
      </w:r>
      <w:r w:rsidR="00784E77">
        <w:rPr>
          <w:rFonts w:ascii="Times New Roman" w:hAnsi="Times New Roman" w:cs="Times New Roman"/>
          <w:color w:val="000000"/>
          <w:sz w:val="24"/>
          <w:szCs w:val="24"/>
        </w:rPr>
        <w:t xml:space="preserve">: </w:t>
      </w:r>
    </w:p>
    <w:p w:rsidR="00015DB1" w:rsidRPr="00596AAB" w:rsidRDefault="00015DB1" w:rsidP="0007057C">
      <w:pPr>
        <w:numPr>
          <w:ilvl w:val="0"/>
          <w:numId w:val="14"/>
        </w:numPr>
        <w:spacing w:after="200"/>
        <w:ind w:left="425" w:hanging="425"/>
        <w:jc w:val="both"/>
        <w:rPr>
          <w:rFonts w:ascii="Times New Roman" w:hAnsi="Times New Roman" w:cs="Times New Roman"/>
          <w:color w:val="000000"/>
          <w:sz w:val="24"/>
          <w:szCs w:val="24"/>
        </w:rPr>
      </w:pPr>
      <w:r w:rsidRPr="00596AAB">
        <w:rPr>
          <w:rFonts w:ascii="Times New Roman" w:hAnsi="Times New Roman" w:cs="Times New Roman"/>
          <w:sz w:val="24"/>
          <w:szCs w:val="24"/>
        </w:rPr>
        <w:t xml:space="preserve">AC односно PC </w:t>
      </w:r>
      <w:r w:rsidRPr="00596AAB">
        <w:rPr>
          <w:rFonts w:ascii="Times New Roman" w:hAnsi="Times New Roman" w:cs="Times New Roman"/>
          <w:color w:val="000000"/>
          <w:sz w:val="24"/>
          <w:szCs w:val="24"/>
        </w:rPr>
        <w:t>пропорцијата на мажи vs. жени изнеуваше консеквентно 3 (75%) vs. 1 (25%)</w:t>
      </w:r>
      <w:r w:rsidR="00DE46B2">
        <w:rPr>
          <w:rFonts w:ascii="Times New Roman" w:hAnsi="Times New Roman" w:cs="Times New Roman"/>
          <w:color w:val="000000"/>
          <w:sz w:val="24"/>
          <w:szCs w:val="24"/>
        </w:rPr>
        <w:t xml:space="preserve">. За p&gt;0,05, немаше </w:t>
      </w:r>
      <w:r w:rsidRPr="00596AAB">
        <w:rPr>
          <w:rFonts w:ascii="Times New Roman" w:hAnsi="Times New Roman" w:cs="Times New Roman"/>
          <w:color w:val="000000"/>
          <w:sz w:val="24"/>
          <w:szCs w:val="24"/>
        </w:rPr>
        <w:t xml:space="preserve">сигнификантна процентуална разлика во застапеноста на двата пола (p=0,1859); </w:t>
      </w:r>
    </w:p>
    <w:p w:rsidR="00015DB1" w:rsidRPr="00596AAB" w:rsidRDefault="00015DB1" w:rsidP="0007057C">
      <w:pPr>
        <w:numPr>
          <w:ilvl w:val="0"/>
          <w:numId w:val="14"/>
        </w:numPr>
        <w:spacing w:after="200"/>
        <w:ind w:left="425" w:hanging="425"/>
        <w:jc w:val="both"/>
        <w:rPr>
          <w:rFonts w:ascii="Times New Roman" w:hAnsi="Times New Roman" w:cs="Times New Roman"/>
          <w:color w:val="000000"/>
          <w:sz w:val="24"/>
          <w:szCs w:val="24"/>
        </w:rPr>
      </w:pPr>
      <w:r w:rsidRPr="00596AAB">
        <w:rPr>
          <w:rFonts w:ascii="Times New Roman" w:hAnsi="Times New Roman" w:cs="Times New Roman"/>
          <w:sz w:val="24"/>
          <w:szCs w:val="24"/>
        </w:rPr>
        <w:t xml:space="preserve">CEA односно </w:t>
      </w:r>
      <w:r w:rsidRPr="00596AAB">
        <w:rPr>
          <w:rFonts w:ascii="Times New Roman" w:hAnsi="Times New Roman" w:cs="Times New Roman"/>
          <w:sz w:val="24"/>
          <w:szCs w:val="24"/>
          <w:lang w:val="en-US"/>
        </w:rPr>
        <w:t>MEC</w:t>
      </w:r>
      <w:r w:rsidRPr="00596AAB">
        <w:rPr>
          <w:rFonts w:ascii="Times New Roman" w:hAnsi="Times New Roman" w:cs="Times New Roman"/>
          <w:sz w:val="24"/>
          <w:szCs w:val="24"/>
        </w:rPr>
        <w:t xml:space="preserve"> регистрирани беа консеквентно </w:t>
      </w:r>
      <w:r w:rsidRPr="00596AAB">
        <w:rPr>
          <w:rFonts w:ascii="Times New Roman" w:hAnsi="Times New Roman" w:cs="Times New Roman"/>
          <w:color w:val="000000"/>
          <w:sz w:val="24"/>
          <w:szCs w:val="24"/>
        </w:rPr>
        <w:t xml:space="preserve">2 (100%) vs. 1 (100%) </w:t>
      </w:r>
      <w:r w:rsidRPr="00596AAB">
        <w:rPr>
          <w:rFonts w:ascii="Times New Roman" w:hAnsi="Times New Roman" w:cs="Times New Roman"/>
          <w:sz w:val="24"/>
          <w:szCs w:val="24"/>
        </w:rPr>
        <w:t>пациент од машки пол</w:t>
      </w:r>
      <w:r w:rsidRPr="00596AAB">
        <w:rPr>
          <w:rFonts w:ascii="Times New Roman" w:hAnsi="Times New Roman" w:cs="Times New Roman"/>
          <w:color w:val="000000"/>
          <w:sz w:val="24"/>
          <w:szCs w:val="24"/>
        </w:rPr>
        <w:t xml:space="preserve">; </w:t>
      </w:r>
    </w:p>
    <w:p w:rsidR="00015DB1" w:rsidRPr="00596AAB" w:rsidRDefault="00015DB1" w:rsidP="0007057C">
      <w:pPr>
        <w:numPr>
          <w:ilvl w:val="0"/>
          <w:numId w:val="14"/>
        </w:numPr>
        <w:ind w:left="426" w:hanging="426"/>
        <w:jc w:val="both"/>
        <w:rPr>
          <w:rFonts w:ascii="Times New Roman" w:hAnsi="Times New Roman" w:cs="Times New Roman"/>
          <w:color w:val="000000"/>
          <w:sz w:val="24"/>
          <w:szCs w:val="24"/>
        </w:rPr>
      </w:pPr>
      <w:r w:rsidRPr="00596AAB">
        <w:rPr>
          <w:rFonts w:ascii="Times New Roman" w:hAnsi="Times New Roman" w:cs="Times New Roman"/>
          <w:sz w:val="24"/>
          <w:szCs w:val="24"/>
        </w:rPr>
        <w:t>Ly</w:t>
      </w:r>
      <w:r w:rsidRPr="00596AAB">
        <w:rPr>
          <w:rFonts w:ascii="Times New Roman" w:hAnsi="Times New Roman" w:cs="Times New Roman"/>
          <w:color w:val="000000"/>
          <w:sz w:val="24"/>
          <w:szCs w:val="24"/>
        </w:rPr>
        <w:t xml:space="preserve"> </w:t>
      </w:r>
      <w:r w:rsidRPr="00596AAB">
        <w:rPr>
          <w:rFonts w:ascii="Times New Roman" w:hAnsi="Times New Roman" w:cs="Times New Roman"/>
          <w:sz w:val="24"/>
          <w:szCs w:val="24"/>
        </w:rPr>
        <w:t>односно</w:t>
      </w:r>
      <w:r w:rsidRPr="00596AAB">
        <w:rPr>
          <w:rFonts w:ascii="Times New Roman" w:hAnsi="Times New Roman" w:cs="Times New Roman"/>
          <w:color w:val="000000"/>
          <w:sz w:val="24"/>
          <w:szCs w:val="24"/>
        </w:rPr>
        <w:t xml:space="preserve"> </w:t>
      </w:r>
      <w:r w:rsidRPr="00596AAB">
        <w:rPr>
          <w:rFonts w:ascii="Times New Roman" w:hAnsi="Times New Roman" w:cs="Times New Roman"/>
          <w:sz w:val="24"/>
          <w:szCs w:val="24"/>
        </w:rPr>
        <w:t>ACC</w:t>
      </w:r>
      <w:r w:rsidRPr="00596AAB">
        <w:rPr>
          <w:rFonts w:ascii="Times New Roman" w:hAnsi="Times New Roman" w:cs="Times New Roman"/>
          <w:color w:val="000000"/>
          <w:sz w:val="24"/>
          <w:szCs w:val="24"/>
        </w:rPr>
        <w:t xml:space="preserve"> </w:t>
      </w:r>
      <w:r w:rsidR="00F05999" w:rsidRPr="00596AAB">
        <w:rPr>
          <w:rFonts w:ascii="Times New Roman" w:hAnsi="Times New Roman" w:cs="Times New Roman"/>
          <w:sz w:val="24"/>
          <w:szCs w:val="24"/>
        </w:rPr>
        <w:t>регистриран беше само по 1 пациент од женски пол</w:t>
      </w:r>
      <w:r w:rsidRPr="00596AAB">
        <w:rPr>
          <w:rFonts w:ascii="Times New Roman" w:hAnsi="Times New Roman" w:cs="Times New Roman"/>
          <w:color w:val="000000"/>
          <w:sz w:val="24"/>
          <w:szCs w:val="24"/>
        </w:rPr>
        <w:t>;</w:t>
      </w:r>
    </w:p>
    <w:p w:rsidR="0071419A" w:rsidRDefault="0071419A"/>
    <w:p w:rsidR="0071419A" w:rsidRDefault="0007057C">
      <w:r>
        <w:rPr>
          <w:noProof/>
          <w:lang w:val="en-US"/>
        </w:rPr>
        <w:lastRenderedPageBreak/>
        <w:drawing>
          <wp:anchor distT="0" distB="0" distL="114300" distR="114300" simplePos="0" relativeHeight="251648512" behindDoc="1" locked="0" layoutInCell="1" allowOverlap="1">
            <wp:simplePos x="0" y="0"/>
            <wp:positionH relativeFrom="column">
              <wp:posOffset>-482600</wp:posOffset>
            </wp:positionH>
            <wp:positionV relativeFrom="paragraph">
              <wp:posOffset>438150</wp:posOffset>
            </wp:positionV>
            <wp:extent cx="6584950" cy="2247900"/>
            <wp:effectExtent l="19050" t="0" r="6350" b="0"/>
            <wp:wrapTight wrapText="bothSides">
              <wp:wrapPolygon edited="0">
                <wp:start x="125" y="183"/>
                <wp:lineTo x="-62" y="1464"/>
                <wp:lineTo x="-62" y="21234"/>
                <wp:lineTo x="11185" y="21234"/>
                <wp:lineTo x="19371" y="20685"/>
                <wp:lineTo x="21621" y="20136"/>
                <wp:lineTo x="21621" y="2014"/>
                <wp:lineTo x="13935" y="183"/>
                <wp:lineTo x="125" y="183"/>
              </wp:wrapPolygon>
            </wp:wrapTight>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2"/>
                    <a:srcRect/>
                    <a:stretch>
                      <a:fillRect/>
                    </a:stretch>
                  </pic:blipFill>
                  <pic:spPr bwMode="auto">
                    <a:xfrm>
                      <a:off x="0" y="0"/>
                      <a:ext cx="6584950" cy="2247900"/>
                    </a:xfrm>
                    <a:prstGeom prst="rect">
                      <a:avLst/>
                    </a:prstGeom>
                    <a:noFill/>
                    <a:ln w="9525">
                      <a:noFill/>
                      <a:miter lim="800000"/>
                      <a:headEnd/>
                      <a:tailEnd/>
                    </a:ln>
                  </pic:spPr>
                </pic:pic>
              </a:graphicData>
            </a:graphic>
          </wp:anchor>
        </w:drawing>
      </w:r>
    </w:p>
    <w:p w:rsidR="00E27F8C" w:rsidRDefault="00E27F8C" w:rsidP="0005076C">
      <w:pPr>
        <w:jc w:val="both"/>
        <w:rPr>
          <w:rFonts w:ascii="Times New Roman" w:hAnsi="Times New Roman" w:cs="Times New Roman"/>
          <w:b/>
          <w:color w:val="000000"/>
          <w:sz w:val="20"/>
          <w:szCs w:val="20"/>
          <w:highlight w:val="yellow"/>
        </w:rPr>
      </w:pPr>
    </w:p>
    <w:p w:rsidR="008D5555" w:rsidRDefault="008D5555" w:rsidP="008D5555">
      <w:pPr>
        <w:jc w:val="center"/>
        <w:rPr>
          <w:rFonts w:ascii="Times New Roman" w:hAnsi="Times New Roman" w:cs="Times New Roman"/>
          <w:b/>
          <w:color w:val="000000"/>
          <w:sz w:val="20"/>
          <w:szCs w:val="20"/>
        </w:rPr>
      </w:pPr>
    </w:p>
    <w:p w:rsidR="0007057C" w:rsidRDefault="0007057C" w:rsidP="008D5555">
      <w:pPr>
        <w:jc w:val="center"/>
        <w:rPr>
          <w:rFonts w:ascii="Times New Roman" w:hAnsi="Times New Roman" w:cs="Times New Roman"/>
          <w:b/>
          <w:color w:val="000000"/>
          <w:sz w:val="20"/>
          <w:szCs w:val="20"/>
        </w:rPr>
      </w:pPr>
    </w:p>
    <w:p w:rsidR="008D5555" w:rsidRDefault="008D5555" w:rsidP="008D555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8</w:t>
      </w:r>
      <w:r w:rsidRPr="00AC7374">
        <w:rPr>
          <w:rFonts w:ascii="Times New Roman" w:hAnsi="Times New Roman" w:cs="Times New Roman"/>
          <w:b/>
          <w:color w:val="000000"/>
          <w:sz w:val="20"/>
          <w:szCs w:val="20"/>
        </w:rPr>
        <w:t xml:space="preserve">. Дистрибуција на </w:t>
      </w:r>
      <w:r>
        <w:rPr>
          <w:rFonts w:ascii="Times New Roman" w:hAnsi="Times New Roman" w:cs="Times New Roman"/>
          <w:b/>
          <w:color w:val="000000"/>
          <w:sz w:val="20"/>
          <w:szCs w:val="20"/>
        </w:rPr>
        <w:t xml:space="preserve">малигни </w:t>
      </w:r>
      <w:r w:rsidRPr="00AC7374">
        <w:rPr>
          <w:rFonts w:ascii="Times New Roman" w:hAnsi="Times New Roman" w:cs="Times New Roman"/>
          <w:b/>
          <w:color w:val="000000"/>
          <w:sz w:val="20"/>
          <w:szCs w:val="20"/>
        </w:rPr>
        <w:t>тумори на</w:t>
      </w:r>
      <w:r>
        <w:rPr>
          <w:rFonts w:ascii="Times New Roman" w:hAnsi="Times New Roman" w:cs="Times New Roman"/>
          <w:b/>
          <w:color w:val="000000"/>
          <w:sz w:val="20"/>
          <w:szCs w:val="20"/>
        </w:rPr>
        <w:t xml:space="preserve"> </w:t>
      </w:r>
      <w:r w:rsidRPr="00AC7374">
        <w:rPr>
          <w:rFonts w:ascii="Times New Roman" w:hAnsi="Times New Roman" w:cs="Times New Roman"/>
          <w:b/>
          <w:color w:val="000000"/>
          <w:sz w:val="20"/>
          <w:szCs w:val="20"/>
        </w:rPr>
        <w:t>паротидните жлезди</w:t>
      </w:r>
      <w:r>
        <w:rPr>
          <w:rFonts w:ascii="Times New Roman" w:hAnsi="Times New Roman" w:cs="Times New Roman"/>
          <w:b/>
          <w:color w:val="000000"/>
          <w:sz w:val="20"/>
          <w:szCs w:val="20"/>
        </w:rPr>
        <w:t xml:space="preserve"> </w:t>
      </w:r>
    </w:p>
    <w:p w:rsidR="008D5555" w:rsidRPr="00AC7374" w:rsidRDefault="008D5555" w:rsidP="008D5555">
      <w:pPr>
        <w:jc w:val="center"/>
        <w:rPr>
          <w:rFonts w:ascii="Times New Roman" w:hAnsi="Times New Roman" w:cs="Times New Roman"/>
          <w:b/>
          <w:color w:val="000000"/>
          <w:sz w:val="20"/>
          <w:szCs w:val="20"/>
        </w:rPr>
      </w:pPr>
      <w:r w:rsidRPr="00AC7374">
        <w:rPr>
          <w:rFonts w:ascii="Times New Roman" w:hAnsi="Times New Roman" w:cs="Times New Roman"/>
          <w:b/>
          <w:color w:val="000000"/>
          <w:sz w:val="20"/>
          <w:szCs w:val="20"/>
        </w:rPr>
        <w:t xml:space="preserve">според тип </w:t>
      </w:r>
      <w:r>
        <w:rPr>
          <w:rFonts w:ascii="Times New Roman" w:hAnsi="Times New Roman" w:cs="Times New Roman"/>
          <w:b/>
          <w:color w:val="000000"/>
          <w:sz w:val="20"/>
          <w:szCs w:val="20"/>
        </w:rPr>
        <w:t>и пол – испитувана група</w:t>
      </w:r>
    </w:p>
    <w:p w:rsidR="00E27F8C" w:rsidRDefault="00E27F8C" w:rsidP="008D5555">
      <w:pPr>
        <w:jc w:val="center"/>
        <w:rPr>
          <w:rFonts w:ascii="Times New Roman" w:hAnsi="Times New Roman" w:cs="Times New Roman"/>
          <w:b/>
          <w:color w:val="000000"/>
          <w:sz w:val="20"/>
          <w:szCs w:val="20"/>
          <w:highlight w:val="yellow"/>
        </w:rPr>
      </w:pPr>
    </w:p>
    <w:p w:rsidR="00E27F8C" w:rsidRDefault="00E27F8C" w:rsidP="0005076C">
      <w:pPr>
        <w:jc w:val="both"/>
        <w:rPr>
          <w:rFonts w:ascii="Times New Roman" w:hAnsi="Times New Roman" w:cs="Times New Roman"/>
          <w:b/>
          <w:color w:val="000000"/>
          <w:sz w:val="20"/>
          <w:szCs w:val="20"/>
          <w:highlight w:val="yellow"/>
        </w:rPr>
      </w:pPr>
    </w:p>
    <w:p w:rsidR="0007057C" w:rsidRDefault="0007057C" w:rsidP="0007057C">
      <w:pPr>
        <w:jc w:val="both"/>
        <w:rPr>
          <w:rFonts w:ascii="Times New Roman" w:hAnsi="Times New Roman" w:cs="Times New Roman"/>
          <w:b/>
          <w:color w:val="000000"/>
          <w:sz w:val="20"/>
          <w:szCs w:val="20"/>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07057C" w:rsidRDefault="0007057C" w:rsidP="0007057C">
      <w:pPr>
        <w:jc w:val="center"/>
        <w:rPr>
          <w:rFonts w:ascii="Times New Roman" w:hAnsi="Times New Roman" w:cs="Times New Roman"/>
          <w:b/>
          <w:color w:val="000000"/>
          <w:sz w:val="24"/>
          <w:szCs w:val="24"/>
        </w:rPr>
      </w:pPr>
    </w:p>
    <w:p w:rsidR="005C4CC0" w:rsidRPr="00437954" w:rsidRDefault="005C4CC0" w:rsidP="0007057C">
      <w:pPr>
        <w:jc w:val="center"/>
        <w:rPr>
          <w:rFonts w:ascii="Times New Roman" w:hAnsi="Times New Roman" w:cs="Times New Roman"/>
          <w:color w:val="000000"/>
          <w:sz w:val="24"/>
          <w:szCs w:val="24"/>
        </w:rPr>
      </w:pPr>
      <w:r w:rsidRPr="00EC28B2">
        <w:rPr>
          <w:rFonts w:ascii="Times New Roman" w:hAnsi="Times New Roman" w:cs="Times New Roman"/>
          <w:b/>
          <w:color w:val="000000"/>
          <w:sz w:val="24"/>
          <w:szCs w:val="24"/>
        </w:rPr>
        <w:t>Тип на тумор/ возраст/ пол -</w:t>
      </w:r>
      <w:r>
        <w:rPr>
          <w:rFonts w:ascii="Times New Roman" w:hAnsi="Times New Roman" w:cs="Times New Roman"/>
          <w:color w:val="000000"/>
          <w:sz w:val="24"/>
          <w:szCs w:val="24"/>
        </w:rPr>
        <w:t xml:space="preserve"> </w:t>
      </w:r>
      <w:r w:rsidRPr="00437954">
        <w:rPr>
          <w:rFonts w:ascii="Times New Roman" w:hAnsi="Times New Roman" w:cs="Times New Roman"/>
          <w:color w:val="000000"/>
          <w:sz w:val="24"/>
          <w:szCs w:val="24"/>
        </w:rPr>
        <w:t xml:space="preserve">Дополнително, </w:t>
      </w:r>
      <w:r w:rsidR="0063622D">
        <w:rPr>
          <w:rFonts w:ascii="Times New Roman" w:hAnsi="Times New Roman" w:cs="Times New Roman"/>
          <w:color w:val="000000"/>
          <w:sz w:val="24"/>
          <w:szCs w:val="24"/>
        </w:rPr>
        <w:t>во</w:t>
      </w:r>
      <w:r w:rsidR="0063622D">
        <w:rPr>
          <w:rFonts w:ascii="Times New Roman" w:hAnsi="Times New Roman" w:cs="Times New Roman"/>
          <w:sz w:val="24"/>
          <w:szCs w:val="24"/>
        </w:rPr>
        <w:t xml:space="preserve"> испитуваната група </w:t>
      </w:r>
      <w:r w:rsidR="0063622D" w:rsidRPr="00437954">
        <w:rPr>
          <w:rFonts w:ascii="Times New Roman" w:hAnsi="Times New Roman" w:cs="Times New Roman"/>
          <w:sz w:val="24"/>
          <w:szCs w:val="24"/>
        </w:rPr>
        <w:t xml:space="preserve">беше </w:t>
      </w:r>
      <w:r w:rsidR="00E5190C">
        <w:rPr>
          <w:rFonts w:ascii="Times New Roman" w:hAnsi="Times New Roman" w:cs="Times New Roman"/>
          <w:sz w:val="24"/>
          <w:szCs w:val="24"/>
        </w:rPr>
        <w:t>анализиран</w:t>
      </w:r>
      <w:r w:rsidR="0063622D">
        <w:rPr>
          <w:rFonts w:ascii="Times New Roman" w:hAnsi="Times New Roman" w:cs="Times New Roman"/>
          <w:sz w:val="24"/>
          <w:szCs w:val="24"/>
        </w:rPr>
        <w:t xml:space="preserve"> типот на туморот </w:t>
      </w:r>
      <w:r w:rsidR="00E5190C">
        <w:rPr>
          <w:rFonts w:ascii="Times New Roman" w:hAnsi="Times New Roman" w:cs="Times New Roman"/>
          <w:sz w:val="24"/>
          <w:szCs w:val="24"/>
        </w:rPr>
        <w:t>според</w:t>
      </w:r>
      <w:r w:rsidR="0063622D">
        <w:rPr>
          <w:rFonts w:ascii="Times New Roman" w:hAnsi="Times New Roman" w:cs="Times New Roman"/>
          <w:sz w:val="24"/>
          <w:szCs w:val="24"/>
        </w:rPr>
        <w:t xml:space="preserve"> полот и возраста на пациентите </w:t>
      </w:r>
      <w:r>
        <w:rPr>
          <w:rFonts w:ascii="Times New Roman" w:hAnsi="Times New Roman" w:cs="Times New Roman"/>
          <w:sz w:val="24"/>
          <w:szCs w:val="24"/>
        </w:rPr>
        <w:t xml:space="preserve">(Табела </w:t>
      </w:r>
      <w:r w:rsidR="00E5190C">
        <w:rPr>
          <w:rFonts w:ascii="Times New Roman" w:hAnsi="Times New Roman" w:cs="Times New Roman"/>
          <w:sz w:val="24"/>
          <w:szCs w:val="24"/>
        </w:rPr>
        <w:t>6</w:t>
      </w:r>
      <w:r>
        <w:rPr>
          <w:rFonts w:ascii="Times New Roman" w:hAnsi="Times New Roman" w:cs="Times New Roman"/>
          <w:sz w:val="24"/>
          <w:szCs w:val="24"/>
        </w:rPr>
        <w:t>).</w:t>
      </w:r>
    </w:p>
    <w:p w:rsidR="005C4CC0" w:rsidRDefault="005C4CC0" w:rsidP="005C4CC0">
      <w:pPr>
        <w:spacing w:line="360" w:lineRule="auto"/>
        <w:jc w:val="both"/>
        <w:rPr>
          <w:rFonts w:ascii="Times New Roman" w:hAnsi="Times New Roman" w:cs="Times New Roman"/>
          <w:b/>
          <w:color w:val="000000"/>
          <w:sz w:val="20"/>
          <w:szCs w:val="20"/>
          <w:highlight w:val="yellow"/>
        </w:rPr>
      </w:pPr>
    </w:p>
    <w:p w:rsidR="005C4CC0" w:rsidRPr="00995D7E" w:rsidRDefault="005C4CC0" w:rsidP="005C4CC0">
      <w:pPr>
        <w:spacing w:line="360" w:lineRule="auto"/>
        <w:jc w:val="both"/>
        <w:rPr>
          <w:rFonts w:ascii="Times New Roman" w:hAnsi="Times New Roman" w:cs="Times New Roman"/>
          <w:b/>
          <w:color w:val="000000"/>
          <w:sz w:val="20"/>
          <w:szCs w:val="20"/>
        </w:rPr>
      </w:pPr>
      <w:r w:rsidRPr="00E5190C">
        <w:rPr>
          <w:rFonts w:ascii="Times New Roman" w:hAnsi="Times New Roman" w:cs="Times New Roman"/>
          <w:b/>
          <w:color w:val="000000"/>
          <w:sz w:val="20"/>
          <w:szCs w:val="20"/>
        </w:rPr>
        <w:t xml:space="preserve">Табела </w:t>
      </w:r>
      <w:r w:rsidR="003E561D" w:rsidRPr="00E5190C">
        <w:rPr>
          <w:rFonts w:ascii="Times New Roman" w:hAnsi="Times New Roman" w:cs="Times New Roman"/>
          <w:b/>
          <w:color w:val="000000"/>
          <w:sz w:val="20"/>
          <w:szCs w:val="20"/>
        </w:rPr>
        <w:t>6</w:t>
      </w:r>
      <w:r w:rsidRPr="00E5190C">
        <w:rPr>
          <w:rFonts w:ascii="Times New Roman" w:hAnsi="Times New Roman" w:cs="Times New Roman"/>
          <w:b/>
          <w:color w:val="000000"/>
          <w:sz w:val="20"/>
          <w:szCs w:val="20"/>
        </w:rPr>
        <w:t xml:space="preserve">. Анализа на </w:t>
      </w:r>
      <w:r w:rsidR="00E5190C" w:rsidRPr="00E5190C">
        <w:rPr>
          <w:rFonts w:ascii="Times New Roman" w:hAnsi="Times New Roman" w:cs="Times New Roman"/>
          <w:b/>
          <w:color w:val="000000"/>
          <w:sz w:val="20"/>
          <w:szCs w:val="20"/>
        </w:rPr>
        <w:t>тип</w:t>
      </w:r>
      <w:r w:rsidRPr="00A926CA">
        <w:rPr>
          <w:rFonts w:ascii="Times New Roman" w:hAnsi="Times New Roman" w:cs="Times New Roman"/>
          <w:b/>
          <w:color w:val="000000"/>
          <w:sz w:val="20"/>
          <w:szCs w:val="20"/>
          <w:lang w:val="ru-RU"/>
        </w:rPr>
        <w:t xml:space="preserve"> на тумор </w:t>
      </w:r>
      <w:r w:rsidRPr="00E5190C">
        <w:rPr>
          <w:rFonts w:ascii="Times New Roman" w:hAnsi="Times New Roman" w:cs="Times New Roman"/>
          <w:b/>
          <w:color w:val="000000"/>
          <w:sz w:val="20"/>
          <w:szCs w:val="20"/>
        </w:rPr>
        <w:t xml:space="preserve">на паротидни жлезди </w:t>
      </w:r>
      <w:r w:rsidRPr="00A926CA">
        <w:rPr>
          <w:rFonts w:ascii="Times New Roman" w:hAnsi="Times New Roman" w:cs="Times New Roman"/>
          <w:b/>
          <w:color w:val="000000"/>
          <w:sz w:val="20"/>
          <w:szCs w:val="20"/>
          <w:lang w:val="ru-RU"/>
        </w:rPr>
        <w:t>според пол и в</w:t>
      </w:r>
      <w:r w:rsidRPr="00E5190C">
        <w:rPr>
          <w:rFonts w:ascii="Times New Roman" w:hAnsi="Times New Roman" w:cs="Times New Roman"/>
          <w:b/>
          <w:color w:val="000000"/>
          <w:sz w:val="20"/>
          <w:szCs w:val="20"/>
        </w:rPr>
        <w:t>озраст – испитувана група</w:t>
      </w:r>
    </w:p>
    <w:tbl>
      <w:tblPr>
        <w:tblW w:w="9356" w:type="dxa"/>
        <w:tblInd w:w="-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14"/>
        <w:gridCol w:w="1154"/>
        <w:gridCol w:w="1156"/>
        <w:gridCol w:w="1155"/>
        <w:gridCol w:w="1155"/>
        <w:gridCol w:w="687"/>
        <w:gridCol w:w="1346"/>
        <w:gridCol w:w="1489"/>
      </w:tblGrid>
      <w:tr w:rsidR="005C4CC0" w:rsidRPr="0005076C" w:rsidTr="004E4078">
        <w:trPr>
          <w:trHeight w:val="357"/>
        </w:trPr>
        <w:tc>
          <w:tcPr>
            <w:tcW w:w="1214" w:type="dxa"/>
            <w:vMerge w:val="restart"/>
            <w:shd w:val="clear" w:color="auto" w:fill="31849B"/>
            <w:vAlign w:val="center"/>
          </w:tcPr>
          <w:p w:rsidR="005C4CC0" w:rsidRPr="00A93FFF" w:rsidRDefault="0063622D" w:rsidP="004E4078">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Тип</w:t>
            </w:r>
            <w:r w:rsidR="005C4CC0" w:rsidRPr="00081C20">
              <w:rPr>
                <w:rFonts w:ascii="Times New Roman" w:hAnsi="Times New Roman" w:cs="Times New Roman"/>
                <w:b/>
                <w:color w:val="FFFFFF"/>
                <w:sz w:val="18"/>
                <w:szCs w:val="18"/>
                <w:lang w:val="en-US"/>
              </w:rPr>
              <w:t xml:space="preserve"> на тумор</w:t>
            </w:r>
            <w:r w:rsidR="005C4CC0">
              <w:rPr>
                <w:rFonts w:ascii="Times New Roman" w:hAnsi="Times New Roman" w:cs="Times New Roman"/>
                <w:b/>
                <w:color w:val="FFFFFF"/>
                <w:sz w:val="18"/>
                <w:szCs w:val="18"/>
              </w:rPr>
              <w:t>и</w:t>
            </w:r>
          </w:p>
        </w:tc>
        <w:tc>
          <w:tcPr>
            <w:tcW w:w="8142" w:type="dxa"/>
            <w:gridSpan w:val="7"/>
            <w:tcBorders>
              <w:right w:val="single" w:sz="4" w:space="0" w:color="215868"/>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lang w:val="en-US"/>
              </w:rPr>
              <w:t>Возраст (години)</w:t>
            </w:r>
          </w:p>
        </w:tc>
      </w:tr>
      <w:tr w:rsidR="005C4CC0" w:rsidRPr="0005076C" w:rsidTr="004E4078">
        <w:trPr>
          <w:trHeight w:val="357"/>
        </w:trPr>
        <w:tc>
          <w:tcPr>
            <w:tcW w:w="1214" w:type="dxa"/>
            <w:vMerge/>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p>
        </w:tc>
        <w:tc>
          <w:tcPr>
            <w:tcW w:w="2310" w:type="dxa"/>
            <w:gridSpan w:val="2"/>
            <w:tcBorders>
              <w:right w:val="single" w:sz="12" w:space="0" w:color="FFFFFF"/>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rPr>
              <w:t>Мажи</w:t>
            </w:r>
          </w:p>
        </w:tc>
        <w:tc>
          <w:tcPr>
            <w:tcW w:w="2310" w:type="dxa"/>
            <w:gridSpan w:val="2"/>
            <w:tcBorders>
              <w:left w:val="single" w:sz="12" w:space="0" w:color="FFFFFF"/>
              <w:right w:val="single" w:sz="12" w:space="0" w:color="FFFFFF"/>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rPr>
              <w:t>Жени</w:t>
            </w:r>
          </w:p>
        </w:tc>
        <w:tc>
          <w:tcPr>
            <w:tcW w:w="3522" w:type="dxa"/>
            <w:gridSpan w:val="3"/>
            <w:tcBorders>
              <w:left w:val="single" w:sz="12" w:space="0" w:color="FFFFFF"/>
              <w:right w:val="single" w:sz="4" w:space="0" w:color="215868"/>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color w:val="FFFFFF"/>
                <w:sz w:val="18"/>
                <w:szCs w:val="18"/>
                <w:lang w:val="en-US"/>
              </w:rPr>
              <w:t>Вкупно</w:t>
            </w:r>
          </w:p>
        </w:tc>
      </w:tr>
      <w:tr w:rsidR="005C4CC0" w:rsidRPr="0005076C" w:rsidTr="004E4078">
        <w:trPr>
          <w:trHeight w:val="637"/>
        </w:trPr>
        <w:tc>
          <w:tcPr>
            <w:tcW w:w="1214" w:type="dxa"/>
            <w:vMerge/>
            <w:shd w:val="clear" w:color="auto" w:fill="31849B"/>
            <w:vAlign w:val="center"/>
          </w:tcPr>
          <w:p w:rsidR="005C4CC0" w:rsidRPr="00081C20" w:rsidRDefault="005C4CC0" w:rsidP="004E4078">
            <w:pPr>
              <w:jc w:val="center"/>
              <w:rPr>
                <w:rFonts w:ascii="Times New Roman" w:hAnsi="Times New Roman" w:cs="Times New Roman"/>
                <w:b/>
                <w:color w:val="FFFFFF"/>
                <w:sz w:val="18"/>
                <w:szCs w:val="18"/>
                <w:lang w:val="en-US"/>
              </w:rPr>
            </w:pPr>
          </w:p>
        </w:tc>
        <w:tc>
          <w:tcPr>
            <w:tcW w:w="1154" w:type="dxa"/>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156" w:type="dxa"/>
            <w:tcBorders>
              <w:right w:val="single" w:sz="12" w:space="0" w:color="FFFFFF"/>
            </w:tcBorders>
            <w:shd w:val="clear" w:color="auto" w:fill="31849B"/>
            <w:vAlign w:val="center"/>
          </w:tcPr>
          <w:p w:rsidR="005C4CC0" w:rsidRPr="00881FAD" w:rsidRDefault="005C4CC0" w:rsidP="004E4078">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tc>
        <w:tc>
          <w:tcPr>
            <w:tcW w:w="1155" w:type="dxa"/>
            <w:tcBorders>
              <w:left w:val="single" w:sz="12" w:space="0" w:color="FFFFFF"/>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155" w:type="dxa"/>
            <w:tcBorders>
              <w:right w:val="single" w:sz="12" w:space="0" w:color="FFFFFF"/>
            </w:tcBorders>
            <w:shd w:val="clear" w:color="auto" w:fill="31849B"/>
            <w:vAlign w:val="center"/>
          </w:tcPr>
          <w:p w:rsidR="005C4CC0" w:rsidRPr="00881FAD" w:rsidRDefault="005C4CC0" w:rsidP="004E4078">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tc>
        <w:tc>
          <w:tcPr>
            <w:tcW w:w="687" w:type="dxa"/>
            <w:tcBorders>
              <w:left w:val="single" w:sz="12" w:space="0" w:color="FFFFFF"/>
            </w:tcBorders>
            <w:shd w:val="clear" w:color="auto" w:fill="31849B"/>
            <w:vAlign w:val="center"/>
          </w:tcPr>
          <w:p w:rsidR="005C4CC0" w:rsidRPr="00081C20" w:rsidRDefault="005C4CC0" w:rsidP="004E4078">
            <w:pPr>
              <w:jc w:val="center"/>
              <w:rPr>
                <w:rFonts w:ascii="Times New Roman" w:hAnsi="Times New Roman" w:cs="Times New Roman"/>
                <w:b/>
                <w:color w:val="FFFFFF"/>
                <w:sz w:val="18"/>
                <w:szCs w:val="18"/>
                <w:lang w:val="en-US"/>
              </w:rPr>
            </w:pPr>
            <w:r w:rsidRPr="00081C20">
              <w:rPr>
                <w:rFonts w:ascii="Times New Roman" w:hAnsi="Times New Roman" w:cs="Times New Roman"/>
                <w:b/>
                <w:color w:val="FFFFFF"/>
                <w:sz w:val="18"/>
                <w:szCs w:val="18"/>
                <w:lang w:val="en-US"/>
              </w:rPr>
              <w:t>N</w:t>
            </w:r>
          </w:p>
        </w:tc>
        <w:tc>
          <w:tcPr>
            <w:tcW w:w="1346" w:type="dxa"/>
            <w:shd w:val="clear" w:color="auto" w:fill="31849B"/>
            <w:vAlign w:val="center"/>
          </w:tcPr>
          <w:p w:rsidR="005C4CC0" w:rsidRPr="00081C20" w:rsidRDefault="005C4CC0" w:rsidP="004E4078">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rPr>
              <w:t>Mean±</w:t>
            </w:r>
            <w:r w:rsidRPr="00081C20">
              <w:rPr>
                <w:rFonts w:ascii="Times New Roman" w:hAnsi="Times New Roman" w:cs="Times New Roman"/>
                <w:b/>
                <w:color w:val="FFFFFF"/>
                <w:sz w:val="18"/>
                <w:szCs w:val="18"/>
                <w:lang w:val="en-US" w:eastAsia="mk-MK"/>
              </w:rPr>
              <w:t xml:space="preserve"> SD</w:t>
            </w:r>
          </w:p>
        </w:tc>
        <w:tc>
          <w:tcPr>
            <w:tcW w:w="1489" w:type="dxa"/>
            <w:tcBorders>
              <w:right w:val="single" w:sz="4" w:space="0" w:color="215868"/>
            </w:tcBorders>
            <w:shd w:val="clear" w:color="auto" w:fill="31849B"/>
            <w:vAlign w:val="center"/>
          </w:tcPr>
          <w:p w:rsidR="005C4CC0" w:rsidRPr="00081C20" w:rsidRDefault="005C4CC0" w:rsidP="004E4078">
            <w:pPr>
              <w:autoSpaceDE w:val="0"/>
              <w:autoSpaceDN w:val="0"/>
              <w:adjustRightInd w:val="0"/>
              <w:ind w:left="60" w:right="60"/>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Median</w:t>
            </w:r>
          </w:p>
          <w:p w:rsidR="005C4CC0" w:rsidRPr="00081C20" w:rsidRDefault="005C4CC0" w:rsidP="004E4078">
            <w:pPr>
              <w:jc w:val="center"/>
              <w:rPr>
                <w:rFonts w:ascii="Times New Roman" w:hAnsi="Times New Roman" w:cs="Times New Roman"/>
                <w:b/>
                <w:color w:val="FFFFFF"/>
                <w:sz w:val="18"/>
                <w:szCs w:val="18"/>
              </w:rPr>
            </w:pPr>
            <w:r w:rsidRPr="00081C20">
              <w:rPr>
                <w:rFonts w:ascii="Times New Roman" w:hAnsi="Times New Roman" w:cs="Times New Roman"/>
                <w:b/>
                <w:bCs/>
                <w:color w:val="FFFFFF"/>
                <w:sz w:val="18"/>
                <w:szCs w:val="18"/>
                <w:lang w:val="en-US"/>
              </w:rPr>
              <w:t>(IQR)</w:t>
            </w:r>
          </w:p>
        </w:tc>
      </w:tr>
      <w:tr w:rsidR="003E561D" w:rsidRPr="00F12E5B" w:rsidTr="003E561D">
        <w:trPr>
          <w:trHeight w:val="353"/>
        </w:trPr>
        <w:tc>
          <w:tcPr>
            <w:tcW w:w="9356" w:type="dxa"/>
            <w:gridSpan w:val="8"/>
            <w:tcBorders>
              <w:right w:val="single" w:sz="4" w:space="0" w:color="215868"/>
            </w:tcBorders>
            <w:shd w:val="clear" w:color="auto" w:fill="31849B"/>
            <w:vAlign w:val="center"/>
          </w:tcPr>
          <w:p w:rsidR="003E561D" w:rsidRPr="00F12E5B" w:rsidRDefault="003E561D" w:rsidP="003E561D">
            <w:pPr>
              <w:rPr>
                <w:rFonts w:ascii="Times New Roman" w:hAnsi="Times New Roman" w:cs="Times New Roman"/>
                <w:color w:val="FFFFFF"/>
                <w:sz w:val="18"/>
                <w:szCs w:val="18"/>
              </w:rPr>
            </w:pPr>
            <w:r w:rsidRPr="00F12E5B">
              <w:rPr>
                <w:rFonts w:ascii="Times New Roman" w:hAnsi="Times New Roman" w:cs="Times New Roman"/>
                <w:b/>
                <w:bCs/>
                <w:color w:val="FFFFFF"/>
                <w:sz w:val="18"/>
                <w:szCs w:val="18"/>
              </w:rPr>
              <w:t>Бенигни тумори</w:t>
            </w:r>
            <w:r w:rsidR="00F12E5B" w:rsidRPr="00F12E5B">
              <w:rPr>
                <w:rFonts w:ascii="Times New Roman" w:hAnsi="Times New Roman" w:cs="Times New Roman"/>
                <w:b/>
                <w:bCs/>
                <w:color w:val="FFFFFF"/>
                <w:sz w:val="18"/>
                <w:szCs w:val="18"/>
              </w:rPr>
              <w:t xml:space="preserve"> </w:t>
            </w:r>
            <w:r w:rsidR="001C332A">
              <w:rPr>
                <w:rFonts w:ascii="Times New Roman" w:hAnsi="Times New Roman" w:cs="Times New Roman"/>
                <w:b/>
                <w:color w:val="FFFFFF"/>
                <w:sz w:val="18"/>
                <w:szCs w:val="18"/>
              </w:rPr>
              <w:t>(N=</w:t>
            </w:r>
            <w:r w:rsidR="001C332A">
              <w:rPr>
                <w:rFonts w:ascii="Times New Roman" w:hAnsi="Times New Roman" w:cs="Times New Roman"/>
                <w:b/>
                <w:color w:val="FFFFFF"/>
                <w:sz w:val="18"/>
                <w:szCs w:val="18"/>
                <w:lang w:val="en-US"/>
              </w:rPr>
              <w:t>4</w:t>
            </w:r>
            <w:r w:rsidR="00F12E5B" w:rsidRPr="00F12E5B">
              <w:rPr>
                <w:rFonts w:ascii="Times New Roman" w:hAnsi="Times New Roman" w:cs="Times New Roman"/>
                <w:b/>
                <w:color w:val="FFFFFF"/>
                <w:sz w:val="18"/>
                <w:szCs w:val="18"/>
              </w:rPr>
              <w:t>9)</w:t>
            </w:r>
          </w:p>
        </w:tc>
      </w:tr>
      <w:tr w:rsidR="003E561D" w:rsidRPr="0005076C" w:rsidTr="004E4078">
        <w:trPr>
          <w:trHeight w:val="353"/>
        </w:trPr>
        <w:tc>
          <w:tcPr>
            <w:tcW w:w="1214" w:type="dxa"/>
            <w:shd w:val="clear" w:color="auto" w:fill="31849B"/>
            <w:vAlign w:val="center"/>
          </w:tcPr>
          <w:p w:rsidR="003E561D" w:rsidRPr="00C02EAA" w:rsidRDefault="00F12E5B"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WT</w:t>
            </w:r>
          </w:p>
        </w:tc>
        <w:tc>
          <w:tcPr>
            <w:tcW w:w="1154" w:type="dxa"/>
            <w:shd w:val="clear" w:color="auto" w:fill="DAEEF3"/>
            <w:vAlign w:val="center"/>
          </w:tcPr>
          <w:p w:rsidR="003E561D" w:rsidRPr="009629B0" w:rsidRDefault="00691ACC"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57,0±</w:t>
            </w:r>
            <w:r w:rsidR="00664C89">
              <w:rPr>
                <w:rFonts w:ascii="Times New Roman" w:hAnsi="Times New Roman" w:cs="Times New Roman"/>
                <w:color w:val="000000"/>
                <w:sz w:val="18"/>
                <w:szCs w:val="18"/>
                <w:lang w:val="mk-MK"/>
              </w:rPr>
              <w:t>9,1</w:t>
            </w:r>
          </w:p>
        </w:tc>
        <w:tc>
          <w:tcPr>
            <w:tcW w:w="1156" w:type="dxa"/>
            <w:tcBorders>
              <w:right w:val="single" w:sz="12" w:space="0" w:color="FFFFFF"/>
            </w:tcBorders>
            <w:shd w:val="clear" w:color="auto" w:fill="DAEEF3"/>
            <w:vAlign w:val="center"/>
          </w:tcPr>
          <w:p w:rsidR="003E561D" w:rsidRPr="00664C89" w:rsidRDefault="00664C89"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60</w:t>
            </w:r>
          </w:p>
        </w:tc>
        <w:tc>
          <w:tcPr>
            <w:tcW w:w="1155" w:type="dxa"/>
            <w:tcBorders>
              <w:left w:val="single" w:sz="12" w:space="0" w:color="FFFFFF"/>
            </w:tcBorders>
            <w:shd w:val="clear" w:color="auto" w:fill="DAEEF3"/>
            <w:vAlign w:val="center"/>
          </w:tcPr>
          <w:p w:rsidR="003E561D" w:rsidRPr="00664C89" w:rsidRDefault="00664C89"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60,6±9,5</w:t>
            </w:r>
          </w:p>
        </w:tc>
        <w:tc>
          <w:tcPr>
            <w:tcW w:w="1155" w:type="dxa"/>
            <w:tcBorders>
              <w:right w:val="single" w:sz="12" w:space="0" w:color="FFFFFF"/>
            </w:tcBorders>
            <w:shd w:val="clear" w:color="auto" w:fill="DAEEF3"/>
            <w:vAlign w:val="center"/>
          </w:tcPr>
          <w:p w:rsidR="003E561D" w:rsidRPr="00664C89" w:rsidRDefault="00664C89"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687" w:type="dxa"/>
            <w:tcBorders>
              <w:left w:val="single" w:sz="12" w:space="0" w:color="FFFFFF"/>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26</w:t>
            </w:r>
          </w:p>
        </w:tc>
        <w:tc>
          <w:tcPr>
            <w:tcW w:w="1346" w:type="dxa"/>
            <w:shd w:val="clear" w:color="auto" w:fill="DAEEF3"/>
            <w:vAlign w:val="center"/>
          </w:tcPr>
          <w:p w:rsidR="003E561D" w:rsidRDefault="009629B0" w:rsidP="004E4078">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58,5±9,3</w:t>
            </w:r>
          </w:p>
        </w:tc>
        <w:tc>
          <w:tcPr>
            <w:tcW w:w="1489" w:type="dxa"/>
            <w:tcBorders>
              <w:right w:val="single" w:sz="4" w:space="0" w:color="215868"/>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60,5 (51-64)</w:t>
            </w:r>
          </w:p>
        </w:tc>
      </w:tr>
      <w:tr w:rsidR="003E561D" w:rsidRPr="0005076C" w:rsidTr="004E4078">
        <w:trPr>
          <w:trHeight w:val="353"/>
        </w:trPr>
        <w:tc>
          <w:tcPr>
            <w:tcW w:w="1214" w:type="dxa"/>
            <w:shd w:val="clear" w:color="auto" w:fill="31849B"/>
            <w:vAlign w:val="center"/>
          </w:tcPr>
          <w:p w:rsidR="003E561D" w:rsidRPr="00C02EAA" w:rsidRDefault="00F12E5B"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BA</w:t>
            </w:r>
          </w:p>
        </w:tc>
        <w:tc>
          <w:tcPr>
            <w:tcW w:w="1154" w:type="dxa"/>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50,0±0,0</w:t>
            </w:r>
          </w:p>
        </w:tc>
        <w:tc>
          <w:tcPr>
            <w:tcW w:w="1156" w:type="dxa"/>
            <w:tcBorders>
              <w:right w:val="single" w:sz="12" w:space="0" w:color="FFFFFF"/>
            </w:tcBorders>
            <w:shd w:val="clear" w:color="auto" w:fill="DAEEF3"/>
            <w:vAlign w:val="center"/>
          </w:tcPr>
          <w:p w:rsidR="003E561D" w:rsidRPr="00664C89"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50</w:t>
            </w:r>
          </w:p>
        </w:tc>
        <w:tc>
          <w:tcPr>
            <w:tcW w:w="1155" w:type="dxa"/>
            <w:tcBorders>
              <w:lef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63±0,0</w:t>
            </w:r>
          </w:p>
        </w:tc>
        <w:tc>
          <w:tcPr>
            <w:tcW w:w="1155" w:type="dxa"/>
            <w:tcBorders>
              <w:righ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p>
        </w:tc>
        <w:tc>
          <w:tcPr>
            <w:tcW w:w="687" w:type="dxa"/>
            <w:tcBorders>
              <w:left w:val="single" w:sz="12" w:space="0" w:color="FFFFFF"/>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346" w:type="dxa"/>
            <w:shd w:val="clear" w:color="auto" w:fill="DAEEF3"/>
            <w:vAlign w:val="center"/>
          </w:tcPr>
          <w:p w:rsidR="003E561D" w:rsidRPr="009629B0" w:rsidRDefault="009629B0" w:rsidP="00726BAA">
            <w:pPr>
              <w:jc w:val="center"/>
              <w:rPr>
                <w:rFonts w:ascii="Times New Roman" w:hAnsi="Times New Roman" w:cs="Times New Roman"/>
                <w:color w:val="000000"/>
                <w:sz w:val="18"/>
                <w:szCs w:val="18"/>
              </w:rPr>
            </w:pPr>
            <w:r>
              <w:rPr>
                <w:rFonts w:ascii="Times New Roman" w:hAnsi="Times New Roman" w:cs="Times New Roman"/>
                <w:color w:val="000000"/>
                <w:sz w:val="18"/>
                <w:szCs w:val="18"/>
              </w:rPr>
              <w:t>56,5±</w:t>
            </w:r>
            <w:r w:rsidR="00726BAA">
              <w:rPr>
                <w:rFonts w:ascii="Times New Roman" w:hAnsi="Times New Roman" w:cs="Times New Roman"/>
                <w:color w:val="000000"/>
                <w:sz w:val="18"/>
                <w:szCs w:val="18"/>
              </w:rPr>
              <w:t>9</w:t>
            </w:r>
            <w:r>
              <w:rPr>
                <w:rFonts w:ascii="Times New Roman" w:hAnsi="Times New Roman" w:cs="Times New Roman"/>
                <w:color w:val="000000"/>
                <w:sz w:val="18"/>
                <w:szCs w:val="18"/>
              </w:rPr>
              <w:t>,2</w:t>
            </w:r>
          </w:p>
        </w:tc>
        <w:tc>
          <w:tcPr>
            <w:tcW w:w="1489" w:type="dxa"/>
            <w:tcBorders>
              <w:right w:val="single" w:sz="4" w:space="0" w:color="215868"/>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56,5 (50-63)</w:t>
            </w:r>
          </w:p>
        </w:tc>
      </w:tr>
      <w:tr w:rsidR="003E561D" w:rsidRPr="0005076C" w:rsidTr="004E4078">
        <w:trPr>
          <w:trHeight w:val="353"/>
        </w:trPr>
        <w:tc>
          <w:tcPr>
            <w:tcW w:w="1214" w:type="dxa"/>
            <w:shd w:val="clear" w:color="auto" w:fill="31849B"/>
            <w:vAlign w:val="center"/>
          </w:tcPr>
          <w:p w:rsidR="003E561D" w:rsidRPr="00C02EAA" w:rsidRDefault="00F12E5B"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Pa</w:t>
            </w:r>
          </w:p>
        </w:tc>
        <w:tc>
          <w:tcPr>
            <w:tcW w:w="1154" w:type="dxa"/>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34,2±18,7</w:t>
            </w:r>
          </w:p>
        </w:tc>
        <w:tc>
          <w:tcPr>
            <w:tcW w:w="1156" w:type="dxa"/>
            <w:tcBorders>
              <w:right w:val="single" w:sz="12" w:space="0" w:color="FFFFFF"/>
            </w:tcBorders>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28</w:t>
            </w:r>
          </w:p>
        </w:tc>
        <w:tc>
          <w:tcPr>
            <w:tcW w:w="1155" w:type="dxa"/>
            <w:tcBorders>
              <w:lef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50,9±15,9</w:t>
            </w:r>
          </w:p>
        </w:tc>
        <w:tc>
          <w:tcPr>
            <w:tcW w:w="1155" w:type="dxa"/>
            <w:tcBorders>
              <w:righ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56,5</w:t>
            </w:r>
          </w:p>
        </w:tc>
        <w:tc>
          <w:tcPr>
            <w:tcW w:w="687" w:type="dxa"/>
            <w:tcBorders>
              <w:left w:val="single" w:sz="12" w:space="0" w:color="FFFFFF"/>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346" w:type="dxa"/>
            <w:shd w:val="clear" w:color="auto" w:fill="DAEEF3"/>
            <w:vAlign w:val="center"/>
          </w:tcPr>
          <w:p w:rsidR="003E561D" w:rsidRDefault="009629B0" w:rsidP="004E4078">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45,9±18,1</w:t>
            </w:r>
          </w:p>
        </w:tc>
        <w:tc>
          <w:tcPr>
            <w:tcW w:w="1489" w:type="dxa"/>
            <w:tcBorders>
              <w:right w:val="single" w:sz="4" w:space="0" w:color="215868"/>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53 (32,5-58)</w:t>
            </w:r>
          </w:p>
        </w:tc>
      </w:tr>
      <w:tr w:rsidR="00285115" w:rsidRPr="0005076C" w:rsidTr="00285115">
        <w:trPr>
          <w:trHeight w:val="353"/>
        </w:trPr>
        <w:tc>
          <w:tcPr>
            <w:tcW w:w="1214" w:type="dxa"/>
            <w:shd w:val="clear" w:color="auto" w:fill="31849B"/>
            <w:vAlign w:val="center"/>
          </w:tcPr>
          <w:p w:rsidR="00285115" w:rsidRPr="00F12E5B" w:rsidRDefault="00285115" w:rsidP="00C02EAA">
            <w:pPr>
              <w:jc w:val="center"/>
              <w:rPr>
                <w:rFonts w:ascii="Times New Roman" w:hAnsi="Times New Roman" w:cs="Times New Roman"/>
                <w:color w:val="FFFFFF"/>
                <w:sz w:val="18"/>
                <w:szCs w:val="18"/>
                <w:lang w:val="en-US"/>
              </w:rPr>
            </w:pPr>
            <w:r w:rsidRPr="00081C20">
              <w:rPr>
                <w:rFonts w:ascii="Times New Roman" w:hAnsi="Times New Roman" w:cs="Times New Roman"/>
                <w:b/>
                <w:bCs/>
                <w:color w:val="FFFFFF"/>
                <w:sz w:val="18"/>
                <w:szCs w:val="18"/>
                <w:lang w:val="en-US"/>
              </w:rPr>
              <w:t>p</w:t>
            </w:r>
          </w:p>
        </w:tc>
        <w:tc>
          <w:tcPr>
            <w:tcW w:w="2310" w:type="dxa"/>
            <w:gridSpan w:val="2"/>
            <w:tcBorders>
              <w:right w:val="single" w:sz="12" w:space="0" w:color="FFFFFF"/>
            </w:tcBorders>
            <w:shd w:val="clear" w:color="auto" w:fill="B6DDE8"/>
            <w:vAlign w:val="center"/>
          </w:tcPr>
          <w:p w:rsidR="00285115" w:rsidRPr="00E77319" w:rsidRDefault="00E77319" w:rsidP="00E77319">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rPr>
              <w:t>2)</w:t>
            </w:r>
            <w:r>
              <w:rPr>
                <w:rFonts w:ascii="Times New Roman" w:hAnsi="Times New Roman" w:cs="Times New Roman"/>
                <w:color w:val="000000"/>
                <w:sz w:val="18"/>
                <w:szCs w:val="18"/>
              </w:rPr>
              <w:t>=</w:t>
            </w:r>
            <w:r>
              <w:rPr>
                <w:rFonts w:ascii="Times New Roman" w:hAnsi="Times New Roman" w:cs="Times New Roman"/>
                <w:color w:val="000000"/>
                <w:sz w:val="18"/>
                <w:szCs w:val="18"/>
                <w:lang w:val="mk-MK"/>
              </w:rPr>
              <w:t>6,847</w:t>
            </w:r>
            <w:r>
              <w:rPr>
                <w:rFonts w:ascii="Times New Roman" w:hAnsi="Times New Roman" w:cs="Times New Roman"/>
                <w:color w:val="000000"/>
                <w:sz w:val="18"/>
                <w:szCs w:val="18"/>
              </w:rPr>
              <w:t xml:space="preserve">; </w:t>
            </w:r>
            <w:r w:rsidRPr="00E77319">
              <w:rPr>
                <w:rFonts w:ascii="Times New Roman" w:hAnsi="Times New Roman" w:cs="Times New Roman"/>
                <w:color w:val="FF0000"/>
                <w:sz w:val="18"/>
                <w:szCs w:val="18"/>
              </w:rPr>
              <w:t>p=0,0</w:t>
            </w:r>
            <w:r w:rsidRPr="00E77319">
              <w:rPr>
                <w:rFonts w:ascii="Times New Roman" w:hAnsi="Times New Roman" w:cs="Times New Roman"/>
                <w:color w:val="FF0000"/>
                <w:sz w:val="18"/>
                <w:szCs w:val="18"/>
                <w:lang w:val="mk-MK"/>
              </w:rPr>
              <w:t>33*</w:t>
            </w:r>
          </w:p>
        </w:tc>
        <w:tc>
          <w:tcPr>
            <w:tcW w:w="2310" w:type="dxa"/>
            <w:gridSpan w:val="2"/>
            <w:tcBorders>
              <w:left w:val="single" w:sz="12" w:space="0" w:color="FFFFFF"/>
              <w:right w:val="single" w:sz="12" w:space="0" w:color="FFFFFF"/>
            </w:tcBorders>
            <w:shd w:val="clear" w:color="auto" w:fill="B6DDE8"/>
            <w:vAlign w:val="center"/>
          </w:tcPr>
          <w:p w:rsidR="00285115" w:rsidRDefault="00E77319" w:rsidP="00E7731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rPr>
              <w:t>2)</w:t>
            </w:r>
            <w:r>
              <w:rPr>
                <w:rFonts w:ascii="Times New Roman" w:hAnsi="Times New Roman" w:cs="Times New Roman"/>
                <w:color w:val="000000"/>
                <w:sz w:val="18"/>
                <w:szCs w:val="18"/>
              </w:rPr>
              <w:t>=2,196; p=0,333</w:t>
            </w:r>
          </w:p>
        </w:tc>
        <w:tc>
          <w:tcPr>
            <w:tcW w:w="687" w:type="dxa"/>
            <w:tcBorders>
              <w:left w:val="single" w:sz="12" w:space="0" w:color="FFFFFF"/>
            </w:tcBorders>
            <w:shd w:val="clear" w:color="auto" w:fill="B6DDE8"/>
            <w:vAlign w:val="center"/>
          </w:tcPr>
          <w:p w:rsidR="00285115" w:rsidRPr="009629B0" w:rsidRDefault="00285115"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48</w:t>
            </w:r>
          </w:p>
        </w:tc>
        <w:tc>
          <w:tcPr>
            <w:tcW w:w="2835" w:type="dxa"/>
            <w:gridSpan w:val="2"/>
            <w:tcBorders>
              <w:right w:val="single" w:sz="4" w:space="0" w:color="215868"/>
            </w:tcBorders>
            <w:shd w:val="clear" w:color="auto" w:fill="B6DDE8"/>
            <w:vAlign w:val="center"/>
          </w:tcPr>
          <w:p w:rsidR="00285115" w:rsidRPr="00E1032B" w:rsidRDefault="00E1032B" w:rsidP="00E1032B">
            <w:pPr>
              <w:jc w:val="center"/>
              <w:rPr>
                <w:rFonts w:ascii="Times New Roman" w:hAnsi="Times New Roman" w:cs="Times New Roman"/>
                <w:color w:val="000000"/>
                <w:sz w:val="18"/>
                <w:szCs w:val="18"/>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rPr>
              <w:t>2)</w:t>
            </w:r>
            <w:r>
              <w:rPr>
                <w:rFonts w:ascii="Times New Roman" w:hAnsi="Times New Roman" w:cs="Times New Roman"/>
                <w:color w:val="000000"/>
                <w:sz w:val="18"/>
                <w:szCs w:val="18"/>
              </w:rPr>
              <w:t>=5,366; p=0,068</w:t>
            </w:r>
          </w:p>
        </w:tc>
      </w:tr>
      <w:tr w:rsidR="003E561D" w:rsidRPr="00F12E5B" w:rsidTr="004E4078">
        <w:trPr>
          <w:trHeight w:val="353"/>
        </w:trPr>
        <w:tc>
          <w:tcPr>
            <w:tcW w:w="9356" w:type="dxa"/>
            <w:gridSpan w:val="8"/>
            <w:tcBorders>
              <w:right w:val="single" w:sz="4" w:space="0" w:color="215868"/>
            </w:tcBorders>
            <w:shd w:val="clear" w:color="auto" w:fill="31849B"/>
            <w:vAlign w:val="center"/>
          </w:tcPr>
          <w:p w:rsidR="003E561D" w:rsidRPr="00F12E5B" w:rsidRDefault="003E561D" w:rsidP="003E561D">
            <w:pPr>
              <w:rPr>
                <w:rFonts w:ascii="Times New Roman" w:hAnsi="Times New Roman" w:cs="Times New Roman"/>
                <w:color w:val="FFFFFF"/>
                <w:sz w:val="18"/>
                <w:szCs w:val="18"/>
              </w:rPr>
            </w:pPr>
            <w:r w:rsidRPr="00F12E5B">
              <w:rPr>
                <w:rFonts w:ascii="Times New Roman" w:hAnsi="Times New Roman" w:cs="Times New Roman"/>
                <w:b/>
                <w:bCs/>
                <w:color w:val="FFFFFF"/>
                <w:sz w:val="18"/>
                <w:szCs w:val="18"/>
              </w:rPr>
              <w:t>Малигни тумори</w:t>
            </w:r>
            <w:r w:rsidR="00F12E5B" w:rsidRPr="00F12E5B">
              <w:rPr>
                <w:rFonts w:ascii="Times New Roman" w:hAnsi="Times New Roman" w:cs="Times New Roman"/>
                <w:b/>
                <w:bCs/>
                <w:color w:val="FFFFFF"/>
                <w:sz w:val="18"/>
                <w:szCs w:val="18"/>
              </w:rPr>
              <w:t xml:space="preserve"> </w:t>
            </w:r>
            <w:r w:rsidR="00F12E5B" w:rsidRPr="00F12E5B">
              <w:rPr>
                <w:rFonts w:ascii="Times New Roman" w:hAnsi="Times New Roman" w:cs="Times New Roman"/>
                <w:b/>
                <w:color w:val="FFFFFF"/>
                <w:sz w:val="18"/>
                <w:szCs w:val="18"/>
                <w:lang w:val="en-US"/>
              </w:rPr>
              <w:t>(N=13)</w:t>
            </w:r>
          </w:p>
        </w:tc>
      </w:tr>
      <w:tr w:rsidR="003E561D" w:rsidRPr="0005076C" w:rsidTr="004E4078">
        <w:trPr>
          <w:trHeight w:val="353"/>
        </w:trPr>
        <w:tc>
          <w:tcPr>
            <w:tcW w:w="1214" w:type="dxa"/>
            <w:shd w:val="clear" w:color="auto" w:fill="31849B"/>
            <w:vAlign w:val="center"/>
          </w:tcPr>
          <w:p w:rsidR="003E561D" w:rsidRPr="00C02EAA" w:rsidRDefault="00F12E5B"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AC</w:t>
            </w:r>
          </w:p>
        </w:tc>
        <w:tc>
          <w:tcPr>
            <w:tcW w:w="1154" w:type="dxa"/>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63,0±16,1</w:t>
            </w:r>
          </w:p>
        </w:tc>
        <w:tc>
          <w:tcPr>
            <w:tcW w:w="1156" w:type="dxa"/>
            <w:tcBorders>
              <w:right w:val="single" w:sz="12" w:space="0" w:color="FFFFFF"/>
            </w:tcBorders>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65</w:t>
            </w:r>
          </w:p>
        </w:tc>
        <w:tc>
          <w:tcPr>
            <w:tcW w:w="1155" w:type="dxa"/>
            <w:tcBorders>
              <w:left w:val="single" w:sz="12" w:space="0" w:color="FFFFFF"/>
            </w:tcBorders>
            <w:shd w:val="clear" w:color="auto" w:fill="DAEEF3"/>
            <w:vAlign w:val="center"/>
          </w:tcPr>
          <w:p w:rsidR="003E561D" w:rsidRPr="00A2408E" w:rsidRDefault="00CF0D2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155" w:type="dxa"/>
            <w:tcBorders>
              <w:right w:val="single" w:sz="12" w:space="0" w:color="FFFFFF"/>
            </w:tcBorders>
            <w:shd w:val="clear" w:color="auto" w:fill="DAEEF3"/>
            <w:vAlign w:val="center"/>
          </w:tcPr>
          <w:p w:rsidR="003E561D" w:rsidRPr="00A2408E" w:rsidRDefault="00CF0D2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687" w:type="dxa"/>
            <w:tcBorders>
              <w:left w:val="single" w:sz="12" w:space="0" w:color="FFFFFF"/>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346" w:type="dxa"/>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63±16,1</w:t>
            </w:r>
          </w:p>
        </w:tc>
        <w:tc>
          <w:tcPr>
            <w:tcW w:w="1489" w:type="dxa"/>
            <w:tcBorders>
              <w:right w:val="single" w:sz="4" w:space="0" w:color="215868"/>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65 (46-78)</w:t>
            </w:r>
          </w:p>
        </w:tc>
      </w:tr>
      <w:tr w:rsidR="003E561D" w:rsidRPr="0005076C" w:rsidTr="004E4078">
        <w:trPr>
          <w:trHeight w:val="353"/>
        </w:trPr>
        <w:tc>
          <w:tcPr>
            <w:tcW w:w="1214" w:type="dxa"/>
            <w:shd w:val="clear" w:color="auto" w:fill="31849B"/>
            <w:vAlign w:val="center"/>
          </w:tcPr>
          <w:p w:rsidR="003E561D" w:rsidRPr="00C02EAA" w:rsidRDefault="00F12E5B"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PC</w:t>
            </w:r>
          </w:p>
        </w:tc>
        <w:tc>
          <w:tcPr>
            <w:tcW w:w="1154" w:type="dxa"/>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73,0±9,5</w:t>
            </w:r>
          </w:p>
        </w:tc>
        <w:tc>
          <w:tcPr>
            <w:tcW w:w="1156" w:type="dxa"/>
            <w:tcBorders>
              <w:right w:val="single" w:sz="12" w:space="0" w:color="FFFFFF"/>
            </w:tcBorders>
            <w:shd w:val="clear" w:color="auto" w:fill="DAEEF3"/>
            <w:vAlign w:val="center"/>
          </w:tcPr>
          <w:p w:rsidR="003E561D"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78</w:t>
            </w:r>
          </w:p>
        </w:tc>
        <w:tc>
          <w:tcPr>
            <w:tcW w:w="1155" w:type="dxa"/>
            <w:tcBorders>
              <w:lef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84±0,0</w:t>
            </w:r>
          </w:p>
        </w:tc>
        <w:tc>
          <w:tcPr>
            <w:tcW w:w="1155" w:type="dxa"/>
            <w:tcBorders>
              <w:right w:val="single" w:sz="12" w:space="0" w:color="FFFFFF"/>
            </w:tcBorders>
            <w:shd w:val="clear" w:color="auto" w:fill="DAEEF3"/>
            <w:vAlign w:val="center"/>
          </w:tcPr>
          <w:p w:rsidR="003E561D" w:rsidRPr="00A2408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84</w:t>
            </w:r>
          </w:p>
        </w:tc>
        <w:tc>
          <w:tcPr>
            <w:tcW w:w="687" w:type="dxa"/>
            <w:tcBorders>
              <w:left w:val="single" w:sz="12" w:space="0" w:color="FFFFFF"/>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346" w:type="dxa"/>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75,7±9,5</w:t>
            </w:r>
          </w:p>
        </w:tc>
        <w:tc>
          <w:tcPr>
            <w:tcW w:w="1489" w:type="dxa"/>
            <w:tcBorders>
              <w:right w:val="single" w:sz="4" w:space="0" w:color="215868"/>
            </w:tcBorders>
            <w:shd w:val="clear" w:color="auto" w:fill="DAEEF3"/>
            <w:vAlign w:val="center"/>
          </w:tcPr>
          <w:p w:rsidR="003E561D" w:rsidRPr="009629B0" w:rsidRDefault="009629B0"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78,5 (70-81)</w:t>
            </w:r>
          </w:p>
        </w:tc>
      </w:tr>
      <w:tr w:rsidR="00A2408E" w:rsidRPr="0005076C" w:rsidTr="004E4078">
        <w:trPr>
          <w:trHeight w:val="353"/>
        </w:trPr>
        <w:tc>
          <w:tcPr>
            <w:tcW w:w="1214" w:type="dxa"/>
            <w:shd w:val="clear" w:color="auto" w:fill="31849B"/>
            <w:vAlign w:val="center"/>
          </w:tcPr>
          <w:p w:rsidR="00A2408E" w:rsidRPr="00C02EAA" w:rsidRDefault="00A2408E"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MEC</w:t>
            </w:r>
          </w:p>
        </w:tc>
        <w:tc>
          <w:tcPr>
            <w:tcW w:w="1154" w:type="dxa"/>
            <w:shd w:val="clear" w:color="auto" w:fill="DAEEF3"/>
            <w:vAlign w:val="center"/>
          </w:tcPr>
          <w:p w:rsidR="00A2408E"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54,0±0,0</w:t>
            </w:r>
          </w:p>
        </w:tc>
        <w:tc>
          <w:tcPr>
            <w:tcW w:w="1156" w:type="dxa"/>
            <w:tcBorders>
              <w:right w:val="single" w:sz="12" w:space="0" w:color="FFFFFF"/>
            </w:tcBorders>
            <w:shd w:val="clear" w:color="auto" w:fill="DAEEF3"/>
            <w:vAlign w:val="center"/>
          </w:tcPr>
          <w:p w:rsidR="00A2408E"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54</w:t>
            </w:r>
          </w:p>
        </w:tc>
        <w:tc>
          <w:tcPr>
            <w:tcW w:w="1155" w:type="dxa"/>
            <w:tcBorders>
              <w:left w:val="single" w:sz="12" w:space="0" w:color="FFFFFF"/>
            </w:tcBorders>
            <w:shd w:val="clear" w:color="auto" w:fill="DAEEF3"/>
            <w:vAlign w:val="center"/>
          </w:tcPr>
          <w:p w:rsidR="00A2408E" w:rsidRPr="00A2408E"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5" w:type="dxa"/>
            <w:tcBorders>
              <w:right w:val="single" w:sz="12" w:space="0" w:color="FFFFFF"/>
            </w:tcBorders>
            <w:shd w:val="clear" w:color="auto" w:fill="DAEEF3"/>
            <w:vAlign w:val="center"/>
          </w:tcPr>
          <w:p w:rsidR="00A2408E" w:rsidRPr="00A2408E"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687" w:type="dxa"/>
            <w:tcBorders>
              <w:left w:val="single" w:sz="12" w:space="0" w:color="FFFFFF"/>
            </w:tcBorders>
            <w:shd w:val="clear" w:color="auto" w:fill="DAEEF3"/>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46" w:type="dxa"/>
            <w:shd w:val="clear" w:color="auto" w:fill="DAEEF3"/>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54,0±0,0</w:t>
            </w:r>
          </w:p>
        </w:tc>
        <w:tc>
          <w:tcPr>
            <w:tcW w:w="1489" w:type="dxa"/>
            <w:tcBorders>
              <w:right w:val="single" w:sz="4" w:space="0" w:color="215868"/>
            </w:tcBorders>
            <w:shd w:val="clear" w:color="auto" w:fill="DAEEF3"/>
            <w:vAlign w:val="center"/>
          </w:tcPr>
          <w:p w:rsidR="00A2408E" w:rsidRPr="00285115"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54 (54-54)</w:t>
            </w:r>
          </w:p>
        </w:tc>
      </w:tr>
      <w:tr w:rsidR="00A2408E" w:rsidRPr="0005076C" w:rsidTr="004E4078">
        <w:trPr>
          <w:trHeight w:val="353"/>
        </w:trPr>
        <w:tc>
          <w:tcPr>
            <w:tcW w:w="1214" w:type="dxa"/>
            <w:shd w:val="clear" w:color="auto" w:fill="31849B"/>
            <w:vAlign w:val="center"/>
          </w:tcPr>
          <w:p w:rsidR="00A2408E" w:rsidRPr="00C02EAA" w:rsidRDefault="00A2408E"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CEA</w:t>
            </w:r>
          </w:p>
        </w:tc>
        <w:tc>
          <w:tcPr>
            <w:tcW w:w="1154" w:type="dxa"/>
            <w:shd w:val="clear" w:color="auto" w:fill="DAEEF3"/>
            <w:vAlign w:val="center"/>
          </w:tcPr>
          <w:p w:rsidR="00A2408E"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47,0±0,0</w:t>
            </w:r>
          </w:p>
        </w:tc>
        <w:tc>
          <w:tcPr>
            <w:tcW w:w="1156" w:type="dxa"/>
            <w:tcBorders>
              <w:right w:val="single" w:sz="12" w:space="0" w:color="FFFFFF"/>
            </w:tcBorders>
            <w:shd w:val="clear" w:color="auto" w:fill="DAEEF3"/>
            <w:vAlign w:val="center"/>
          </w:tcPr>
          <w:p w:rsidR="00A2408E" w:rsidRPr="00A2408E" w:rsidRDefault="00A2408E"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47</w:t>
            </w:r>
          </w:p>
        </w:tc>
        <w:tc>
          <w:tcPr>
            <w:tcW w:w="1155" w:type="dxa"/>
            <w:tcBorders>
              <w:left w:val="single" w:sz="12" w:space="0" w:color="FFFFFF"/>
            </w:tcBorders>
            <w:shd w:val="clear" w:color="auto" w:fill="DAEEF3"/>
            <w:vAlign w:val="center"/>
          </w:tcPr>
          <w:p w:rsidR="00A2408E" w:rsidRPr="00A2408E"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5" w:type="dxa"/>
            <w:tcBorders>
              <w:right w:val="single" w:sz="12" w:space="0" w:color="FFFFFF"/>
            </w:tcBorders>
            <w:shd w:val="clear" w:color="auto" w:fill="DAEEF3"/>
            <w:vAlign w:val="center"/>
          </w:tcPr>
          <w:p w:rsidR="00A2408E" w:rsidRPr="00A2408E"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687" w:type="dxa"/>
            <w:tcBorders>
              <w:left w:val="single" w:sz="12" w:space="0" w:color="FFFFFF"/>
            </w:tcBorders>
            <w:shd w:val="clear" w:color="auto" w:fill="DAEEF3"/>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346" w:type="dxa"/>
            <w:shd w:val="clear" w:color="auto" w:fill="DAEEF3"/>
            <w:vAlign w:val="center"/>
          </w:tcPr>
          <w:p w:rsidR="00A2408E" w:rsidRPr="00285115" w:rsidRDefault="00A2408E" w:rsidP="00285115">
            <w:pPr>
              <w:jc w:val="center"/>
              <w:rPr>
                <w:rFonts w:ascii="Times New Roman" w:hAnsi="Times New Roman" w:cs="Times New Roman"/>
                <w:color w:val="000000"/>
                <w:sz w:val="18"/>
                <w:szCs w:val="18"/>
              </w:rPr>
            </w:pPr>
            <w:r>
              <w:rPr>
                <w:rFonts w:ascii="Times New Roman" w:hAnsi="Times New Roman" w:cs="Times New Roman"/>
                <w:color w:val="000000"/>
                <w:sz w:val="18"/>
                <w:szCs w:val="18"/>
              </w:rPr>
              <w:t>47,0±8,5</w:t>
            </w:r>
          </w:p>
        </w:tc>
        <w:tc>
          <w:tcPr>
            <w:tcW w:w="1489" w:type="dxa"/>
            <w:tcBorders>
              <w:right w:val="single" w:sz="4" w:space="0" w:color="215868"/>
            </w:tcBorders>
            <w:shd w:val="clear" w:color="auto" w:fill="DAEEF3"/>
            <w:vAlign w:val="center"/>
          </w:tcPr>
          <w:p w:rsidR="00A2408E" w:rsidRPr="00285115" w:rsidRDefault="00A2408E" w:rsidP="00285115">
            <w:pPr>
              <w:jc w:val="center"/>
              <w:rPr>
                <w:rFonts w:ascii="Times New Roman" w:hAnsi="Times New Roman" w:cs="Times New Roman"/>
                <w:color w:val="000000"/>
                <w:sz w:val="18"/>
                <w:szCs w:val="18"/>
              </w:rPr>
            </w:pPr>
            <w:r>
              <w:rPr>
                <w:rFonts w:ascii="Times New Roman" w:hAnsi="Times New Roman" w:cs="Times New Roman"/>
                <w:color w:val="000000"/>
                <w:sz w:val="18"/>
                <w:szCs w:val="18"/>
              </w:rPr>
              <w:t>47 (41-53)</w:t>
            </w:r>
          </w:p>
        </w:tc>
      </w:tr>
      <w:tr w:rsidR="00A2408E" w:rsidRPr="0005076C" w:rsidTr="004E4078">
        <w:trPr>
          <w:trHeight w:val="353"/>
        </w:trPr>
        <w:tc>
          <w:tcPr>
            <w:tcW w:w="1214" w:type="dxa"/>
            <w:shd w:val="clear" w:color="auto" w:fill="31849B"/>
            <w:vAlign w:val="center"/>
          </w:tcPr>
          <w:p w:rsidR="00A2408E" w:rsidRPr="00C02EAA" w:rsidRDefault="00A2408E" w:rsidP="004E4078">
            <w:pPr>
              <w:rPr>
                <w:rFonts w:ascii="Times New Roman" w:hAnsi="Times New Roman" w:cs="Times New Roman"/>
                <w:b/>
                <w:bCs/>
                <w:color w:val="FFFFFF"/>
                <w:sz w:val="18"/>
                <w:szCs w:val="18"/>
              </w:rPr>
            </w:pPr>
            <w:r w:rsidRPr="00C02EAA">
              <w:rPr>
                <w:rFonts w:ascii="Times New Roman" w:hAnsi="Times New Roman" w:cs="Times New Roman"/>
                <w:b/>
                <w:color w:val="FFFFFF"/>
                <w:sz w:val="18"/>
                <w:szCs w:val="18"/>
                <w:lang w:val="en-US"/>
              </w:rPr>
              <w:t>Ly</w:t>
            </w:r>
          </w:p>
        </w:tc>
        <w:tc>
          <w:tcPr>
            <w:tcW w:w="1154" w:type="dxa"/>
            <w:shd w:val="clear" w:color="auto" w:fill="DAEEF3"/>
            <w:vAlign w:val="center"/>
          </w:tcPr>
          <w:p w:rsidR="00A2408E" w:rsidRPr="003A0198"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6" w:type="dxa"/>
            <w:tcBorders>
              <w:right w:val="single" w:sz="12" w:space="0" w:color="FFFFFF"/>
            </w:tcBorders>
            <w:shd w:val="clear" w:color="auto" w:fill="DAEEF3"/>
            <w:vAlign w:val="center"/>
          </w:tcPr>
          <w:p w:rsidR="00A2408E" w:rsidRPr="00995D7E"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5" w:type="dxa"/>
            <w:tcBorders>
              <w:left w:val="single" w:sz="12" w:space="0" w:color="FFFFFF"/>
            </w:tcBorders>
            <w:shd w:val="clear" w:color="auto" w:fill="DAEEF3"/>
            <w:vAlign w:val="center"/>
          </w:tcPr>
          <w:p w:rsidR="00A2408E" w:rsidRPr="00452D42" w:rsidRDefault="003A0198" w:rsidP="004E4078">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72,0±0,0</w:t>
            </w:r>
          </w:p>
        </w:tc>
        <w:tc>
          <w:tcPr>
            <w:tcW w:w="1155" w:type="dxa"/>
            <w:tcBorders>
              <w:right w:val="single" w:sz="12" w:space="0" w:color="FFFFFF"/>
            </w:tcBorders>
            <w:shd w:val="clear" w:color="auto" w:fill="DAEEF3"/>
            <w:vAlign w:val="center"/>
          </w:tcPr>
          <w:p w:rsidR="00A2408E" w:rsidRPr="00995D7E" w:rsidRDefault="003A0198"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p>
        </w:tc>
        <w:tc>
          <w:tcPr>
            <w:tcW w:w="687" w:type="dxa"/>
            <w:tcBorders>
              <w:left w:val="single" w:sz="12" w:space="0" w:color="FFFFFF"/>
            </w:tcBorders>
            <w:shd w:val="clear" w:color="auto" w:fill="DAEEF3"/>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46" w:type="dxa"/>
            <w:shd w:val="clear" w:color="auto" w:fill="DAEEF3"/>
            <w:vAlign w:val="center"/>
          </w:tcPr>
          <w:p w:rsidR="00A2408E" w:rsidRPr="00285115" w:rsidRDefault="002E1147"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r w:rsidR="00A2408E">
              <w:rPr>
                <w:rFonts w:ascii="Times New Roman" w:hAnsi="Times New Roman" w:cs="Times New Roman"/>
                <w:color w:val="000000"/>
                <w:sz w:val="18"/>
                <w:szCs w:val="18"/>
              </w:rPr>
              <w:t>,0±0,0</w:t>
            </w:r>
          </w:p>
        </w:tc>
        <w:tc>
          <w:tcPr>
            <w:tcW w:w="1489" w:type="dxa"/>
            <w:tcBorders>
              <w:right w:val="single" w:sz="4" w:space="0" w:color="215868"/>
            </w:tcBorders>
            <w:shd w:val="clear" w:color="auto" w:fill="DAEEF3"/>
            <w:vAlign w:val="center"/>
          </w:tcPr>
          <w:p w:rsidR="00A2408E" w:rsidRPr="00995D7E"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72 (72-72)</w:t>
            </w:r>
          </w:p>
        </w:tc>
      </w:tr>
      <w:tr w:rsidR="00A2408E" w:rsidRPr="0005076C" w:rsidTr="004E4078">
        <w:trPr>
          <w:trHeight w:val="353"/>
        </w:trPr>
        <w:tc>
          <w:tcPr>
            <w:tcW w:w="1214" w:type="dxa"/>
            <w:shd w:val="clear" w:color="auto" w:fill="31849B"/>
            <w:vAlign w:val="center"/>
          </w:tcPr>
          <w:p w:rsidR="00A2408E" w:rsidRPr="00C02EAA" w:rsidRDefault="00A2408E" w:rsidP="004E4078">
            <w:pPr>
              <w:rPr>
                <w:rFonts w:ascii="Times New Roman" w:hAnsi="Times New Roman" w:cs="Times New Roman"/>
                <w:b/>
                <w:color w:val="FFFFFF"/>
                <w:sz w:val="18"/>
                <w:szCs w:val="18"/>
                <w:lang w:val="en-US"/>
              </w:rPr>
            </w:pPr>
            <w:r w:rsidRPr="00C02EAA">
              <w:rPr>
                <w:rFonts w:ascii="Times New Roman" w:hAnsi="Times New Roman" w:cs="Times New Roman"/>
                <w:b/>
                <w:color w:val="FFFFFF"/>
                <w:sz w:val="18"/>
                <w:szCs w:val="18"/>
                <w:lang w:val="en-US"/>
              </w:rPr>
              <w:t>ACC</w:t>
            </w:r>
          </w:p>
        </w:tc>
        <w:tc>
          <w:tcPr>
            <w:tcW w:w="1154" w:type="dxa"/>
            <w:shd w:val="clear" w:color="auto" w:fill="DAEEF3"/>
            <w:vAlign w:val="center"/>
          </w:tcPr>
          <w:p w:rsidR="00A2408E" w:rsidRPr="003A0198"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6" w:type="dxa"/>
            <w:tcBorders>
              <w:right w:val="single" w:sz="12" w:space="0" w:color="FFFFFF"/>
            </w:tcBorders>
            <w:shd w:val="clear" w:color="auto" w:fill="DAEEF3"/>
            <w:vAlign w:val="center"/>
          </w:tcPr>
          <w:p w:rsidR="00A2408E" w:rsidRPr="003A0198" w:rsidRDefault="003A0198" w:rsidP="004E407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lang w:val="mk-MK"/>
              </w:rPr>
              <w:t>-</w:t>
            </w:r>
          </w:p>
        </w:tc>
        <w:tc>
          <w:tcPr>
            <w:tcW w:w="1155" w:type="dxa"/>
            <w:tcBorders>
              <w:left w:val="single" w:sz="12" w:space="0" w:color="FFFFFF"/>
            </w:tcBorders>
            <w:shd w:val="clear" w:color="auto" w:fill="DAEEF3"/>
            <w:vAlign w:val="center"/>
          </w:tcPr>
          <w:p w:rsidR="00A2408E" w:rsidRPr="003A0198" w:rsidRDefault="003A0198"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62,0±0,0</w:t>
            </w:r>
          </w:p>
        </w:tc>
        <w:tc>
          <w:tcPr>
            <w:tcW w:w="1155" w:type="dxa"/>
            <w:tcBorders>
              <w:right w:val="single" w:sz="12" w:space="0" w:color="FFFFFF"/>
            </w:tcBorders>
            <w:shd w:val="clear" w:color="auto" w:fill="DAEEF3"/>
            <w:vAlign w:val="center"/>
          </w:tcPr>
          <w:p w:rsidR="00A2408E" w:rsidRPr="003A0198" w:rsidRDefault="003A0198"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687" w:type="dxa"/>
            <w:tcBorders>
              <w:left w:val="single" w:sz="12" w:space="0" w:color="FFFFFF"/>
            </w:tcBorders>
            <w:shd w:val="clear" w:color="auto" w:fill="DAEEF3"/>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46" w:type="dxa"/>
            <w:shd w:val="clear" w:color="auto" w:fill="DAEEF3"/>
            <w:vAlign w:val="center"/>
          </w:tcPr>
          <w:p w:rsidR="00A2408E" w:rsidRPr="00285115"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62,0±0,0</w:t>
            </w:r>
          </w:p>
        </w:tc>
        <w:tc>
          <w:tcPr>
            <w:tcW w:w="1489" w:type="dxa"/>
            <w:tcBorders>
              <w:right w:val="single" w:sz="4" w:space="0" w:color="215868"/>
            </w:tcBorders>
            <w:shd w:val="clear" w:color="auto" w:fill="DAEEF3"/>
            <w:vAlign w:val="center"/>
          </w:tcPr>
          <w:p w:rsidR="00A2408E" w:rsidRPr="00285115"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62 (62-62)</w:t>
            </w:r>
          </w:p>
        </w:tc>
      </w:tr>
      <w:tr w:rsidR="00A2408E" w:rsidRPr="0005076C" w:rsidTr="004E4078">
        <w:trPr>
          <w:trHeight w:val="353"/>
        </w:trPr>
        <w:tc>
          <w:tcPr>
            <w:tcW w:w="1214" w:type="dxa"/>
            <w:shd w:val="clear" w:color="auto" w:fill="31849B"/>
            <w:vAlign w:val="center"/>
          </w:tcPr>
          <w:p w:rsidR="00A2408E" w:rsidRPr="00081C20" w:rsidRDefault="00A2408E" w:rsidP="004E4078">
            <w:pPr>
              <w:jc w:val="center"/>
              <w:rPr>
                <w:rFonts w:ascii="Times New Roman" w:hAnsi="Times New Roman" w:cs="Times New Roman"/>
                <w:b/>
                <w:bCs/>
                <w:color w:val="FFFFFF"/>
                <w:sz w:val="18"/>
                <w:szCs w:val="18"/>
                <w:lang w:val="en-US"/>
              </w:rPr>
            </w:pPr>
            <w:r w:rsidRPr="00081C20">
              <w:rPr>
                <w:rFonts w:ascii="Times New Roman" w:hAnsi="Times New Roman" w:cs="Times New Roman"/>
                <w:b/>
                <w:bCs/>
                <w:color w:val="FFFFFF"/>
                <w:sz w:val="18"/>
                <w:szCs w:val="18"/>
                <w:lang w:val="en-US"/>
              </w:rPr>
              <w:t>p</w:t>
            </w:r>
          </w:p>
        </w:tc>
        <w:tc>
          <w:tcPr>
            <w:tcW w:w="2310" w:type="dxa"/>
            <w:gridSpan w:val="2"/>
            <w:tcBorders>
              <w:right w:val="single" w:sz="12" w:space="0" w:color="FFFFFF"/>
            </w:tcBorders>
            <w:shd w:val="clear" w:color="auto" w:fill="B6DDE8"/>
            <w:vAlign w:val="center"/>
          </w:tcPr>
          <w:p w:rsidR="00A2408E" w:rsidRPr="00E61568" w:rsidRDefault="00E61568" w:rsidP="00E6156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lang w:val="mk-MK"/>
              </w:rPr>
              <w:t>3</w:t>
            </w:r>
            <w:r>
              <w:rPr>
                <w:rFonts w:ascii="Times New Roman" w:hAnsi="Times New Roman" w:cs="Times New Roman"/>
                <w:color w:val="000000"/>
                <w:sz w:val="18"/>
                <w:szCs w:val="18"/>
                <w:vertAlign w:val="subscript"/>
              </w:rPr>
              <w:t>)</w:t>
            </w:r>
            <w:r>
              <w:rPr>
                <w:rFonts w:ascii="Times New Roman" w:hAnsi="Times New Roman" w:cs="Times New Roman"/>
                <w:color w:val="000000"/>
                <w:sz w:val="18"/>
                <w:szCs w:val="18"/>
              </w:rPr>
              <w:t>=</w:t>
            </w:r>
            <w:r>
              <w:rPr>
                <w:rFonts w:ascii="Times New Roman" w:hAnsi="Times New Roman" w:cs="Times New Roman"/>
                <w:color w:val="000000"/>
                <w:sz w:val="18"/>
                <w:szCs w:val="18"/>
                <w:lang w:val="mk-MK"/>
              </w:rPr>
              <w:t>4,459</w:t>
            </w:r>
            <w:r>
              <w:rPr>
                <w:rFonts w:ascii="Times New Roman" w:hAnsi="Times New Roman" w:cs="Times New Roman"/>
                <w:color w:val="000000"/>
                <w:sz w:val="18"/>
                <w:szCs w:val="18"/>
              </w:rPr>
              <w:t>; p=0,2</w:t>
            </w:r>
            <w:r>
              <w:rPr>
                <w:rFonts w:ascii="Times New Roman" w:hAnsi="Times New Roman" w:cs="Times New Roman"/>
                <w:color w:val="000000"/>
                <w:sz w:val="18"/>
                <w:szCs w:val="18"/>
                <w:lang w:val="mk-MK"/>
              </w:rPr>
              <w:t>16</w:t>
            </w:r>
          </w:p>
        </w:tc>
        <w:tc>
          <w:tcPr>
            <w:tcW w:w="2310" w:type="dxa"/>
            <w:gridSpan w:val="2"/>
            <w:tcBorders>
              <w:left w:val="single" w:sz="12" w:space="0" w:color="FFFFFF"/>
              <w:right w:val="single" w:sz="12" w:space="0" w:color="FFFFFF"/>
            </w:tcBorders>
            <w:shd w:val="clear" w:color="auto" w:fill="B6DDE8"/>
            <w:vAlign w:val="center"/>
          </w:tcPr>
          <w:p w:rsidR="00A2408E" w:rsidRPr="00E61568" w:rsidRDefault="00E61568" w:rsidP="00E61568">
            <w:pPr>
              <w:pStyle w:val="NormalWeb"/>
              <w:spacing w:before="0" w:beforeAutospacing="0" w:after="0" w:afterAutospacing="0"/>
              <w:jc w:val="center"/>
              <w:rPr>
                <w:rFonts w:ascii="Times New Roman" w:hAnsi="Times New Roman" w:cs="Times New Roman"/>
                <w:color w:val="000000"/>
                <w:sz w:val="18"/>
                <w:szCs w:val="18"/>
                <w:lang w:val="mk-MK"/>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lang w:val="mk-MK"/>
              </w:rPr>
              <w:t>2</w:t>
            </w:r>
            <w:r>
              <w:rPr>
                <w:rFonts w:ascii="Times New Roman" w:hAnsi="Times New Roman" w:cs="Times New Roman"/>
                <w:color w:val="000000"/>
                <w:sz w:val="18"/>
                <w:szCs w:val="18"/>
                <w:vertAlign w:val="subscript"/>
              </w:rPr>
              <w:t>)</w:t>
            </w:r>
            <w:r>
              <w:rPr>
                <w:rFonts w:ascii="Times New Roman" w:hAnsi="Times New Roman" w:cs="Times New Roman"/>
                <w:color w:val="000000"/>
                <w:sz w:val="18"/>
                <w:szCs w:val="18"/>
              </w:rPr>
              <w:t>=</w:t>
            </w:r>
            <w:r>
              <w:rPr>
                <w:rFonts w:ascii="Times New Roman" w:hAnsi="Times New Roman" w:cs="Times New Roman"/>
                <w:color w:val="000000"/>
                <w:sz w:val="18"/>
                <w:szCs w:val="18"/>
                <w:lang w:val="mk-MK"/>
              </w:rPr>
              <w:t>2,000</w:t>
            </w:r>
            <w:r>
              <w:rPr>
                <w:rFonts w:ascii="Times New Roman" w:hAnsi="Times New Roman" w:cs="Times New Roman"/>
                <w:color w:val="000000"/>
                <w:sz w:val="18"/>
                <w:szCs w:val="18"/>
              </w:rPr>
              <w:t>; p=0,</w:t>
            </w:r>
            <w:r>
              <w:rPr>
                <w:rFonts w:ascii="Times New Roman" w:hAnsi="Times New Roman" w:cs="Times New Roman"/>
                <w:color w:val="000000"/>
                <w:sz w:val="18"/>
                <w:szCs w:val="18"/>
                <w:lang w:val="mk-MK"/>
              </w:rPr>
              <w:t>369</w:t>
            </w:r>
          </w:p>
        </w:tc>
        <w:tc>
          <w:tcPr>
            <w:tcW w:w="687" w:type="dxa"/>
            <w:tcBorders>
              <w:left w:val="single" w:sz="12" w:space="0" w:color="FFFFFF"/>
            </w:tcBorders>
            <w:shd w:val="clear" w:color="auto" w:fill="B6DDE8"/>
            <w:vAlign w:val="center"/>
          </w:tcPr>
          <w:p w:rsidR="00A2408E" w:rsidRPr="009629B0" w:rsidRDefault="00A2408E" w:rsidP="004E4078">
            <w:pPr>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2835" w:type="dxa"/>
            <w:gridSpan w:val="2"/>
            <w:tcBorders>
              <w:right w:val="single" w:sz="4" w:space="0" w:color="215868"/>
            </w:tcBorders>
            <w:shd w:val="clear" w:color="auto" w:fill="B6DDE8"/>
            <w:vAlign w:val="center"/>
          </w:tcPr>
          <w:p w:rsidR="00A2408E" w:rsidRPr="00995D7E" w:rsidRDefault="00E1032B" w:rsidP="00E1032B">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X</w:t>
            </w:r>
            <w:r w:rsidRPr="00450F24">
              <w:rPr>
                <w:rFonts w:ascii="Times New Roman" w:hAnsi="Times New Roman" w:cs="Times New Roman"/>
                <w:color w:val="000000"/>
                <w:sz w:val="18"/>
                <w:szCs w:val="18"/>
                <w:vertAlign w:val="superscript"/>
              </w:rPr>
              <w:t>2</w:t>
            </w:r>
            <w:r w:rsidRPr="00450F24">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rPr>
              <w:t>5)</w:t>
            </w:r>
            <w:r>
              <w:rPr>
                <w:rFonts w:ascii="Times New Roman" w:hAnsi="Times New Roman" w:cs="Times New Roman"/>
                <w:color w:val="000000"/>
                <w:sz w:val="18"/>
                <w:szCs w:val="18"/>
              </w:rPr>
              <w:t>=6,688; p=0,245</w:t>
            </w:r>
          </w:p>
        </w:tc>
      </w:tr>
      <w:tr w:rsidR="00A2408E" w:rsidRPr="00A926CA" w:rsidTr="0068747F">
        <w:trPr>
          <w:trHeight w:val="1181"/>
        </w:trPr>
        <w:tc>
          <w:tcPr>
            <w:tcW w:w="9356" w:type="dxa"/>
            <w:gridSpan w:val="8"/>
            <w:tcBorders>
              <w:right w:val="single" w:sz="4" w:space="0" w:color="215868"/>
            </w:tcBorders>
            <w:shd w:val="clear" w:color="auto" w:fill="31849B"/>
            <w:vAlign w:val="center"/>
          </w:tcPr>
          <w:p w:rsidR="00A2408E" w:rsidRDefault="00A2408E" w:rsidP="00F12E5B">
            <w:pPr>
              <w:spacing w:line="276" w:lineRule="auto"/>
              <w:jc w:val="center"/>
              <w:rPr>
                <w:rFonts w:ascii="Times New Roman" w:hAnsi="Times New Roman" w:cs="Times New Roman"/>
                <w:color w:val="FFFFFF"/>
                <w:sz w:val="18"/>
                <w:szCs w:val="18"/>
              </w:rPr>
            </w:pPr>
            <w:r w:rsidRPr="00F12E5B">
              <w:rPr>
                <w:rFonts w:ascii="Times New Roman" w:hAnsi="Times New Roman" w:cs="Times New Roman"/>
                <w:color w:val="FFFFFF"/>
                <w:sz w:val="18"/>
                <w:szCs w:val="18"/>
                <w:lang w:val="en-US"/>
              </w:rPr>
              <w:t>WT</w:t>
            </w:r>
            <w:r w:rsidRPr="00F12E5B">
              <w:rPr>
                <w:rFonts w:ascii="Times New Roman" w:hAnsi="Times New Roman" w:cs="Times New Roman"/>
                <w:color w:val="FFFFFF"/>
                <w:sz w:val="18"/>
                <w:szCs w:val="18"/>
              </w:rPr>
              <w:t xml:space="preserve"> - Warthin  </w:t>
            </w:r>
            <w:r w:rsidRPr="00F12E5B">
              <w:rPr>
                <w:rFonts w:ascii="Times New Roman" w:hAnsi="Times New Roman" w:cs="Times New Roman"/>
                <w:color w:val="FFFFFF"/>
                <w:sz w:val="18"/>
                <w:szCs w:val="18"/>
                <w:lang w:val="en-US"/>
              </w:rPr>
              <w:t>Tu</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 xml:space="preserve"> BA</w:t>
            </w:r>
            <w:r w:rsidRPr="00F12E5B">
              <w:rPr>
                <w:rFonts w:ascii="Times New Roman" w:hAnsi="Times New Roman" w:cs="Times New Roman"/>
                <w:color w:val="FFFFFF"/>
                <w:sz w:val="18"/>
                <w:szCs w:val="18"/>
              </w:rPr>
              <w:t xml:space="preserve"> - Basal cell adenoma; </w:t>
            </w:r>
            <w:r w:rsidRPr="00F12E5B">
              <w:rPr>
                <w:rFonts w:ascii="Times New Roman" w:hAnsi="Times New Roman" w:cs="Times New Roman"/>
                <w:color w:val="FFFFFF"/>
                <w:sz w:val="18"/>
                <w:szCs w:val="18"/>
                <w:lang w:val="en-US"/>
              </w:rPr>
              <w:t>Pa</w:t>
            </w:r>
            <w:r w:rsidRPr="00F12E5B">
              <w:rPr>
                <w:rFonts w:ascii="Times New Roman" w:hAnsi="Times New Roman" w:cs="Times New Roman"/>
                <w:color w:val="FFFFFF"/>
                <w:sz w:val="18"/>
                <w:szCs w:val="18"/>
              </w:rPr>
              <w:t xml:space="preserve"> - Tu mixtus; </w:t>
            </w:r>
            <w:r w:rsidRPr="00F12E5B">
              <w:rPr>
                <w:rFonts w:ascii="Times New Roman" w:hAnsi="Times New Roman" w:cs="Times New Roman"/>
                <w:color w:val="FFFFFF"/>
                <w:sz w:val="18"/>
                <w:szCs w:val="18"/>
                <w:lang w:val="en-US"/>
              </w:rPr>
              <w:t>AC</w:t>
            </w:r>
            <w:r w:rsidRPr="00F12E5B">
              <w:rPr>
                <w:rFonts w:ascii="Times New Roman" w:hAnsi="Times New Roman" w:cs="Times New Roman"/>
                <w:color w:val="FFFFFF"/>
                <w:sz w:val="18"/>
                <w:szCs w:val="18"/>
              </w:rPr>
              <w:t xml:space="preserve"> - Adenocarcinoma gl. parotis; </w:t>
            </w:r>
            <w:r w:rsidRPr="00F12E5B">
              <w:rPr>
                <w:rFonts w:ascii="Times New Roman" w:hAnsi="Times New Roman" w:cs="Times New Roman"/>
                <w:color w:val="FFFFFF"/>
                <w:sz w:val="18"/>
                <w:szCs w:val="18"/>
                <w:lang w:val="en-US"/>
              </w:rPr>
              <w:t xml:space="preserve">PC </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P</w:t>
            </w:r>
            <w:r w:rsidRPr="00F12E5B">
              <w:rPr>
                <w:rFonts w:ascii="Times New Roman" w:hAnsi="Times New Roman" w:cs="Times New Roman"/>
                <w:color w:val="FFFFFF"/>
                <w:sz w:val="18"/>
                <w:szCs w:val="18"/>
              </w:rPr>
              <w:t>lanocellular</w:t>
            </w:r>
            <w:r w:rsidRPr="00F12E5B">
              <w:rPr>
                <w:rFonts w:ascii="Times New Roman" w:hAnsi="Times New Roman" w:cs="Times New Roman"/>
                <w:color w:val="FFFFFF"/>
                <w:sz w:val="18"/>
                <w:szCs w:val="18"/>
                <w:lang w:val="en-US"/>
              </w:rPr>
              <w:t xml:space="preserve"> Ca</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 xml:space="preserve"> </w:t>
            </w:r>
          </w:p>
          <w:p w:rsidR="00A2408E" w:rsidRPr="00F12E5B" w:rsidRDefault="00A2408E" w:rsidP="00F12E5B">
            <w:pPr>
              <w:spacing w:line="276" w:lineRule="auto"/>
              <w:jc w:val="center"/>
              <w:rPr>
                <w:rFonts w:ascii="Times New Roman" w:hAnsi="Times New Roman" w:cs="Times New Roman"/>
                <w:color w:val="FFFFFF"/>
                <w:sz w:val="18"/>
                <w:szCs w:val="18"/>
              </w:rPr>
            </w:pPr>
            <w:r w:rsidRPr="00F12E5B">
              <w:rPr>
                <w:rFonts w:ascii="Times New Roman" w:hAnsi="Times New Roman" w:cs="Times New Roman"/>
                <w:color w:val="FFFFFF"/>
                <w:sz w:val="18"/>
                <w:szCs w:val="18"/>
                <w:lang w:val="en-US"/>
              </w:rPr>
              <w:t>MEC</w:t>
            </w:r>
            <w:r w:rsidRPr="00F12E5B">
              <w:rPr>
                <w:rFonts w:ascii="Times New Roman" w:hAnsi="Times New Roman" w:cs="Times New Roman"/>
                <w:color w:val="FFFFFF"/>
                <w:sz w:val="18"/>
                <w:szCs w:val="18"/>
              </w:rPr>
              <w:t xml:space="preserve"> - Mucoepidermoid carcinoma gl. </w:t>
            </w:r>
            <w:r w:rsidRPr="00F12E5B">
              <w:rPr>
                <w:rFonts w:ascii="Times New Roman" w:hAnsi="Times New Roman" w:cs="Times New Roman"/>
                <w:color w:val="FFFFFF"/>
                <w:sz w:val="18"/>
                <w:szCs w:val="18"/>
                <w:lang w:val="en-US"/>
              </w:rPr>
              <w:t>p</w:t>
            </w:r>
            <w:r w:rsidRPr="00F12E5B">
              <w:rPr>
                <w:rFonts w:ascii="Times New Roman" w:hAnsi="Times New Roman" w:cs="Times New Roman"/>
                <w:color w:val="FFFFFF"/>
                <w:sz w:val="18"/>
                <w:szCs w:val="18"/>
              </w:rPr>
              <w:t xml:space="preserve">arotis; </w:t>
            </w:r>
            <w:r w:rsidRPr="00F12E5B">
              <w:rPr>
                <w:rFonts w:ascii="Times New Roman" w:hAnsi="Times New Roman" w:cs="Times New Roman"/>
                <w:color w:val="FFFFFF"/>
                <w:sz w:val="18"/>
                <w:szCs w:val="18"/>
                <w:lang w:val="en-US"/>
              </w:rPr>
              <w:t>CEA</w:t>
            </w:r>
            <w:r w:rsidRPr="00F12E5B">
              <w:rPr>
                <w:rFonts w:ascii="Times New Roman" w:hAnsi="Times New Roman" w:cs="Times New Roman"/>
                <w:color w:val="FFFFFF"/>
                <w:sz w:val="18"/>
                <w:szCs w:val="18"/>
              </w:rPr>
              <w:t xml:space="preserve"> - Carcinoma ex pleomorphic adenoma; </w:t>
            </w:r>
            <w:r w:rsidRPr="00F12E5B">
              <w:rPr>
                <w:rFonts w:ascii="Times New Roman" w:hAnsi="Times New Roman" w:cs="Times New Roman"/>
                <w:color w:val="FFFFFF"/>
                <w:sz w:val="18"/>
                <w:szCs w:val="18"/>
                <w:lang w:val="en-US"/>
              </w:rPr>
              <w:t xml:space="preserve"> </w:t>
            </w:r>
          </w:p>
          <w:p w:rsidR="00A2408E" w:rsidRPr="00F12E5B" w:rsidRDefault="00A2408E" w:rsidP="00F12E5B">
            <w:pPr>
              <w:spacing w:line="276" w:lineRule="auto"/>
              <w:jc w:val="center"/>
              <w:rPr>
                <w:rFonts w:ascii="Times New Roman" w:hAnsi="Times New Roman" w:cs="Times New Roman"/>
                <w:color w:val="FFFFFF"/>
                <w:sz w:val="20"/>
                <w:szCs w:val="20"/>
                <w:highlight w:val="yellow"/>
              </w:rPr>
            </w:pPr>
            <w:r w:rsidRPr="00F12E5B">
              <w:rPr>
                <w:rFonts w:ascii="Times New Roman" w:hAnsi="Times New Roman" w:cs="Times New Roman"/>
                <w:color w:val="FFFFFF"/>
                <w:sz w:val="18"/>
                <w:szCs w:val="18"/>
                <w:lang w:val="en-US"/>
              </w:rPr>
              <w:t>Ly</w:t>
            </w:r>
            <w:r w:rsidRPr="00F12E5B">
              <w:rPr>
                <w:rFonts w:ascii="Times New Roman" w:hAnsi="Times New Roman" w:cs="Times New Roman"/>
                <w:color w:val="FFFFFF"/>
                <w:sz w:val="18"/>
                <w:szCs w:val="18"/>
              </w:rPr>
              <w:t xml:space="preserve"> – Lymphoma; </w:t>
            </w:r>
            <w:r w:rsidRPr="00F12E5B">
              <w:rPr>
                <w:rFonts w:ascii="Times New Roman" w:hAnsi="Times New Roman" w:cs="Times New Roman"/>
                <w:color w:val="FFFFFF"/>
                <w:sz w:val="18"/>
                <w:szCs w:val="18"/>
                <w:lang w:val="en-US"/>
              </w:rPr>
              <w:t xml:space="preserve"> ACC</w:t>
            </w:r>
            <w:r w:rsidRPr="00F12E5B">
              <w:rPr>
                <w:rFonts w:ascii="Times New Roman" w:hAnsi="Times New Roman" w:cs="Times New Roman"/>
                <w:color w:val="FFFFFF"/>
                <w:sz w:val="18"/>
                <w:szCs w:val="18"/>
              </w:rPr>
              <w:t xml:space="preserve"> - Acinic cell carcinoma;</w:t>
            </w:r>
          </w:p>
          <w:p w:rsidR="00A2408E" w:rsidRPr="009E21A8" w:rsidRDefault="009E21A8" w:rsidP="00A4345E">
            <w:pPr>
              <w:spacing w:line="276" w:lineRule="auto"/>
              <w:jc w:val="center"/>
              <w:rPr>
                <w:rFonts w:ascii="Times New Roman" w:hAnsi="Times New Roman" w:cs="Times New Roman"/>
                <w:color w:val="FFFFFF"/>
                <w:sz w:val="18"/>
                <w:szCs w:val="18"/>
              </w:rPr>
            </w:pPr>
            <w:r>
              <w:rPr>
                <w:rFonts w:ascii="Times New Roman" w:hAnsi="Times New Roman" w:cs="Times New Roman"/>
                <w:color w:val="FFFFFF"/>
                <w:sz w:val="18"/>
                <w:szCs w:val="18"/>
              </w:rPr>
              <w:t xml:space="preserve">† за двајца пациенти нема возраст;             </w:t>
            </w:r>
            <w:r w:rsidR="00E1032B" w:rsidRPr="00E1032B">
              <w:rPr>
                <w:rFonts w:ascii="Times New Roman" w:hAnsi="Times New Roman" w:cs="Times New Roman"/>
                <w:color w:val="FFFFFF"/>
                <w:sz w:val="18"/>
                <w:szCs w:val="18"/>
              </w:rPr>
              <w:t>X</w:t>
            </w:r>
            <w:r w:rsidR="00E1032B" w:rsidRPr="00E1032B">
              <w:rPr>
                <w:rFonts w:ascii="Times New Roman" w:hAnsi="Times New Roman" w:cs="Times New Roman"/>
                <w:color w:val="FFFFFF"/>
                <w:sz w:val="18"/>
                <w:szCs w:val="18"/>
                <w:vertAlign w:val="superscript"/>
              </w:rPr>
              <w:t>2</w:t>
            </w:r>
            <w:r w:rsidR="00E1032B" w:rsidRPr="00A926CA">
              <w:rPr>
                <w:rFonts w:ascii="Times New Roman" w:hAnsi="Times New Roman" w:cs="Times New Roman"/>
                <w:color w:val="FFFFFF"/>
                <w:sz w:val="18"/>
                <w:szCs w:val="18"/>
                <w:lang w:val="ru-RU"/>
              </w:rPr>
              <w:t>=</w:t>
            </w:r>
            <w:r w:rsidR="00E1032B" w:rsidRPr="00E1032B">
              <w:rPr>
                <w:rFonts w:ascii="Times New Roman" w:hAnsi="Times New Roman"/>
                <w:color w:val="FFFFFF"/>
                <w:sz w:val="18"/>
                <w:szCs w:val="18"/>
              </w:rPr>
              <w:t xml:space="preserve">Kruskal-Wallis </w:t>
            </w:r>
            <w:r w:rsidR="00E1032B" w:rsidRPr="00E1032B">
              <w:rPr>
                <w:rFonts w:ascii="Times New Roman" w:hAnsi="Times New Roman"/>
                <w:color w:val="FFFFFF"/>
                <w:sz w:val="18"/>
                <w:szCs w:val="18"/>
                <w:lang w:val="en-US"/>
              </w:rPr>
              <w:t>H</w:t>
            </w:r>
            <w:r w:rsidR="00E1032B" w:rsidRPr="00A926CA">
              <w:rPr>
                <w:rFonts w:ascii="Times New Roman" w:hAnsi="Times New Roman"/>
                <w:color w:val="FFFFFF"/>
                <w:sz w:val="18"/>
                <w:szCs w:val="18"/>
                <w:lang w:val="ru-RU"/>
              </w:rPr>
              <w:t xml:space="preserve"> </w:t>
            </w:r>
            <w:r w:rsidR="00E1032B" w:rsidRPr="00E1032B">
              <w:rPr>
                <w:rFonts w:ascii="Times New Roman" w:hAnsi="Times New Roman"/>
                <w:color w:val="FFFFFF"/>
                <w:sz w:val="18"/>
                <w:szCs w:val="18"/>
              </w:rPr>
              <w:t>test</w:t>
            </w:r>
            <w:r w:rsidR="00E1032B" w:rsidRPr="00A926CA">
              <w:rPr>
                <w:rFonts w:ascii="Times New Roman" w:hAnsi="Times New Roman"/>
                <w:color w:val="FFFFFF"/>
                <w:sz w:val="18"/>
                <w:szCs w:val="18"/>
                <w:lang w:val="ru-RU"/>
              </w:rPr>
              <w:t>;</w:t>
            </w:r>
            <w:r w:rsidR="00E1032B" w:rsidRPr="00A926CA">
              <w:rPr>
                <w:rFonts w:ascii="Times New Roman" w:hAnsi="Times New Roman"/>
                <w:color w:val="000000"/>
                <w:sz w:val="18"/>
                <w:szCs w:val="18"/>
                <w:lang w:val="ru-RU"/>
              </w:rPr>
              <w:t xml:space="preserve"> </w:t>
            </w:r>
            <w:r w:rsidR="00E1032B" w:rsidRPr="00E1032B">
              <w:rPr>
                <w:rFonts w:ascii="Times New Roman" w:hAnsi="Times New Roman"/>
                <w:color w:val="000000"/>
                <w:sz w:val="18"/>
                <w:szCs w:val="18"/>
              </w:rPr>
              <w:t xml:space="preserve"> </w:t>
            </w:r>
            <w:r>
              <w:rPr>
                <w:rFonts w:ascii="Times New Roman" w:hAnsi="Times New Roman"/>
                <w:color w:val="000000"/>
                <w:sz w:val="18"/>
                <w:szCs w:val="18"/>
              </w:rPr>
              <w:t xml:space="preserve">                     </w:t>
            </w:r>
            <w:r w:rsidR="00A2408E" w:rsidRPr="00E1032B">
              <w:rPr>
                <w:rFonts w:ascii="Times New Roman" w:hAnsi="Times New Roman" w:cs="Times New Roman"/>
                <w:color w:val="FFFFFF"/>
                <w:sz w:val="18"/>
                <w:szCs w:val="18"/>
              </w:rPr>
              <w:t xml:space="preserve">*сигнификантно за </w:t>
            </w:r>
            <w:r w:rsidR="00A2408E" w:rsidRPr="00E1032B">
              <w:rPr>
                <w:rFonts w:ascii="Times New Roman" w:hAnsi="Times New Roman" w:cs="Times New Roman"/>
                <w:color w:val="FFFFFF"/>
                <w:sz w:val="18"/>
                <w:szCs w:val="18"/>
                <w:lang w:val="it-IT"/>
              </w:rPr>
              <w:t>p&lt;0,05</w:t>
            </w:r>
          </w:p>
        </w:tc>
      </w:tr>
    </w:tbl>
    <w:p w:rsidR="005C4CC0" w:rsidRDefault="005C4CC0" w:rsidP="005C4CC0"/>
    <w:p w:rsidR="00E27F8C" w:rsidRDefault="00E27F8C" w:rsidP="0005076C">
      <w:pPr>
        <w:jc w:val="both"/>
        <w:rPr>
          <w:rFonts w:ascii="Times New Roman" w:hAnsi="Times New Roman" w:cs="Times New Roman"/>
          <w:b/>
          <w:color w:val="000000"/>
          <w:sz w:val="20"/>
          <w:szCs w:val="20"/>
          <w:highlight w:val="yellow"/>
        </w:rPr>
      </w:pPr>
    </w:p>
    <w:p w:rsidR="002E1147" w:rsidRDefault="002E1147" w:rsidP="0007057C">
      <w:pPr>
        <w:jc w:val="both"/>
        <w:rPr>
          <w:rFonts w:ascii="Times New Roman" w:hAnsi="Times New Roman" w:cs="Times New Roman"/>
          <w:b/>
          <w:color w:val="000000"/>
          <w:sz w:val="20"/>
          <w:szCs w:val="20"/>
          <w:highlight w:val="yellow"/>
        </w:rPr>
      </w:pPr>
    </w:p>
    <w:p w:rsidR="00E1032B" w:rsidRPr="00E5190C" w:rsidRDefault="00E1032B" w:rsidP="0007057C">
      <w:pPr>
        <w:ind w:firstLine="720"/>
        <w:jc w:val="both"/>
        <w:rPr>
          <w:rFonts w:ascii="Times New Roman" w:hAnsi="Times New Roman" w:cs="Times New Roman"/>
          <w:color w:val="000000"/>
          <w:sz w:val="24"/>
          <w:szCs w:val="24"/>
        </w:rPr>
      </w:pPr>
      <w:r w:rsidRPr="00E5190C">
        <w:rPr>
          <w:rFonts w:ascii="Times New Roman" w:hAnsi="Times New Roman" w:cs="Times New Roman"/>
          <w:color w:val="000000"/>
          <w:sz w:val="24"/>
          <w:szCs w:val="24"/>
        </w:rPr>
        <w:t xml:space="preserve">Согласно ХИСТОПАТОЛОШКИОТ НАОД, во </w:t>
      </w:r>
      <w:r w:rsidR="00E5190C" w:rsidRPr="00E5190C">
        <w:rPr>
          <w:rFonts w:ascii="Times New Roman" w:hAnsi="Times New Roman" w:cs="Times New Roman"/>
          <w:color w:val="000000"/>
          <w:sz w:val="24"/>
          <w:szCs w:val="24"/>
        </w:rPr>
        <w:t>целиот примерок</w:t>
      </w:r>
      <w:r w:rsidRPr="00E5190C">
        <w:rPr>
          <w:rFonts w:ascii="Times New Roman" w:hAnsi="Times New Roman" w:cs="Times New Roman"/>
          <w:color w:val="000000"/>
          <w:sz w:val="24"/>
          <w:szCs w:val="24"/>
        </w:rPr>
        <w:t xml:space="preserve"> на испитаници</w:t>
      </w:r>
      <w:r w:rsidR="00E5190C" w:rsidRPr="00E5190C">
        <w:rPr>
          <w:rFonts w:ascii="Times New Roman" w:hAnsi="Times New Roman" w:cs="Times New Roman"/>
          <w:color w:val="000000"/>
          <w:sz w:val="24"/>
          <w:szCs w:val="24"/>
        </w:rPr>
        <w:t xml:space="preserve"> со БЕНИГЕН ТУМОР на паротидните жлезди</w:t>
      </w:r>
      <w:r w:rsidRPr="00E5190C">
        <w:rPr>
          <w:rFonts w:ascii="Times New Roman" w:hAnsi="Times New Roman" w:cs="Times New Roman"/>
          <w:color w:val="000000"/>
          <w:sz w:val="24"/>
          <w:szCs w:val="24"/>
        </w:rPr>
        <w:t>, највисока просечната возраст беше регистрирана</w:t>
      </w:r>
      <w:r w:rsidRPr="00A926CA">
        <w:rPr>
          <w:rFonts w:ascii="Times New Roman" w:hAnsi="Times New Roman" w:cs="Times New Roman"/>
          <w:color w:val="000000"/>
          <w:sz w:val="24"/>
          <w:szCs w:val="24"/>
          <w:lang w:val="ru-RU"/>
        </w:rPr>
        <w:t xml:space="preserve"> </w:t>
      </w:r>
      <w:r w:rsidRPr="00E5190C">
        <w:rPr>
          <w:rFonts w:ascii="Times New Roman" w:hAnsi="Times New Roman" w:cs="Times New Roman"/>
          <w:color w:val="000000"/>
          <w:sz w:val="24"/>
          <w:szCs w:val="24"/>
        </w:rPr>
        <w:t xml:space="preserve">кај </w:t>
      </w:r>
      <w:r w:rsidR="00E5190C" w:rsidRPr="00E5190C">
        <w:rPr>
          <w:rFonts w:ascii="Times New Roman" w:hAnsi="Times New Roman" w:cs="Times New Roman"/>
          <w:bCs/>
          <w:color w:val="000000"/>
          <w:sz w:val="24"/>
          <w:szCs w:val="24"/>
          <w:lang w:val="en-US"/>
        </w:rPr>
        <w:t>WT</w:t>
      </w:r>
      <w:r w:rsidRPr="00E5190C">
        <w:rPr>
          <w:rFonts w:ascii="Times New Roman" w:hAnsi="Times New Roman" w:cs="Times New Roman"/>
          <w:bCs/>
          <w:color w:val="000000"/>
          <w:sz w:val="24"/>
          <w:szCs w:val="24"/>
        </w:rPr>
        <w:t xml:space="preserve"> - </w:t>
      </w:r>
      <w:r w:rsidR="00E5190C" w:rsidRPr="00E5190C">
        <w:rPr>
          <w:rFonts w:ascii="Times New Roman" w:hAnsi="Times New Roman" w:cs="Times New Roman"/>
          <w:color w:val="000000"/>
          <w:sz w:val="24"/>
          <w:szCs w:val="24"/>
        </w:rPr>
        <w:t xml:space="preserve">58,5±9,3 </w:t>
      </w:r>
      <w:r w:rsidRPr="00A926CA">
        <w:rPr>
          <w:rFonts w:ascii="Times New Roman" w:hAnsi="Times New Roman" w:cs="Times New Roman"/>
          <w:color w:val="000000"/>
          <w:sz w:val="24"/>
          <w:szCs w:val="24"/>
          <w:lang w:val="ru-RU"/>
        </w:rPr>
        <w:t>години</w:t>
      </w:r>
      <w:r w:rsidRPr="00E5190C">
        <w:rPr>
          <w:rFonts w:ascii="Times New Roman" w:hAnsi="Times New Roman" w:cs="Times New Roman"/>
          <w:color w:val="000000"/>
          <w:sz w:val="24"/>
          <w:szCs w:val="24"/>
        </w:rPr>
        <w:t xml:space="preserve"> со 50% пациенти на возраст </w:t>
      </w:r>
      <w:r w:rsidRPr="00A926CA">
        <w:rPr>
          <w:rFonts w:ascii="Times New Roman" w:hAnsi="Times New Roman" w:cs="Times New Roman"/>
          <w:color w:val="000000"/>
          <w:sz w:val="24"/>
          <w:szCs w:val="24"/>
          <w:lang w:val="ru-RU"/>
        </w:rPr>
        <w:t>&lt;</w:t>
      </w:r>
      <w:r w:rsidR="00E5190C" w:rsidRPr="00E5190C">
        <w:rPr>
          <w:rFonts w:ascii="Times New Roman" w:hAnsi="Times New Roman" w:cs="Times New Roman"/>
          <w:color w:val="000000"/>
          <w:sz w:val="24"/>
          <w:szCs w:val="24"/>
        </w:rPr>
        <w:t>60,5</w:t>
      </w:r>
      <w:r w:rsidRPr="00A926CA">
        <w:rPr>
          <w:rFonts w:ascii="Times New Roman" w:hAnsi="Times New Roman" w:cs="Times New Roman"/>
          <w:color w:val="000000"/>
          <w:sz w:val="24"/>
          <w:szCs w:val="24"/>
          <w:lang w:val="ru-RU"/>
        </w:rPr>
        <w:t xml:space="preserve"> години за </w:t>
      </w:r>
      <w:r w:rsidRPr="00E5190C">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E5190C">
        <w:rPr>
          <w:rFonts w:ascii="Times New Roman" w:hAnsi="Times New Roman" w:cs="Times New Roman"/>
          <w:color w:val="000000"/>
          <w:sz w:val="24"/>
          <w:szCs w:val="24"/>
          <w:lang w:val="en-US"/>
        </w:rPr>
        <w:t>IQR</w:t>
      </w:r>
      <w:r w:rsidRPr="00E5190C">
        <w:rPr>
          <w:rFonts w:ascii="Times New Roman" w:hAnsi="Times New Roman" w:cs="Times New Roman"/>
          <w:color w:val="000000"/>
          <w:sz w:val="24"/>
          <w:szCs w:val="24"/>
        </w:rPr>
        <w:t>=</w:t>
      </w:r>
      <w:r w:rsidR="00E5190C" w:rsidRPr="00E5190C">
        <w:rPr>
          <w:rFonts w:ascii="Times New Roman" w:hAnsi="Times New Roman" w:cs="Times New Roman"/>
          <w:color w:val="000000"/>
          <w:sz w:val="24"/>
          <w:szCs w:val="24"/>
        </w:rPr>
        <w:t>60,5 (51-64)</w:t>
      </w:r>
      <w:r w:rsidR="009E2AA2">
        <w:rPr>
          <w:rFonts w:ascii="Times New Roman" w:hAnsi="Times New Roman" w:cs="Times New Roman"/>
          <w:color w:val="000000"/>
          <w:sz w:val="24"/>
          <w:szCs w:val="24"/>
        </w:rPr>
        <w:t>,</w:t>
      </w:r>
      <w:r w:rsidR="00E5190C" w:rsidRPr="00E5190C">
        <w:rPr>
          <w:rFonts w:ascii="Times New Roman" w:hAnsi="Times New Roman" w:cs="Times New Roman"/>
          <w:color w:val="000000"/>
          <w:sz w:val="24"/>
          <w:szCs w:val="24"/>
        </w:rPr>
        <w:t xml:space="preserve"> </w:t>
      </w:r>
      <w:r w:rsidRPr="00E5190C">
        <w:rPr>
          <w:rFonts w:ascii="Times New Roman" w:hAnsi="Times New Roman" w:cs="Times New Roman"/>
          <w:color w:val="000000"/>
          <w:sz w:val="24"/>
          <w:szCs w:val="24"/>
        </w:rPr>
        <w:t xml:space="preserve">следено со </w:t>
      </w:r>
      <w:r w:rsidR="00E5190C" w:rsidRPr="00E5190C">
        <w:rPr>
          <w:rFonts w:ascii="Times New Roman" w:hAnsi="Times New Roman" w:cs="Times New Roman"/>
          <w:bCs/>
          <w:color w:val="000000"/>
          <w:sz w:val="24"/>
          <w:szCs w:val="24"/>
          <w:lang w:val="en-US"/>
        </w:rPr>
        <w:t>BA</w:t>
      </w:r>
      <w:r w:rsidRPr="00E5190C">
        <w:rPr>
          <w:rFonts w:ascii="Times New Roman" w:hAnsi="Times New Roman" w:cs="Times New Roman"/>
          <w:bCs/>
          <w:color w:val="000000"/>
          <w:sz w:val="24"/>
          <w:szCs w:val="24"/>
        </w:rPr>
        <w:t xml:space="preserve"> - </w:t>
      </w:r>
      <w:r w:rsidR="00E5190C" w:rsidRPr="00E5190C">
        <w:rPr>
          <w:rFonts w:ascii="Times New Roman" w:hAnsi="Times New Roman" w:cs="Times New Roman"/>
          <w:color w:val="000000"/>
          <w:sz w:val="24"/>
          <w:szCs w:val="24"/>
        </w:rPr>
        <w:t>56,5±0,2</w:t>
      </w:r>
      <w:r w:rsidR="00E5190C"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години</w:t>
      </w:r>
      <w:r w:rsidRPr="00E5190C">
        <w:rPr>
          <w:rFonts w:ascii="Times New Roman" w:hAnsi="Times New Roman" w:cs="Times New Roman"/>
          <w:color w:val="000000"/>
          <w:sz w:val="24"/>
          <w:szCs w:val="24"/>
        </w:rPr>
        <w:t xml:space="preserve"> со 50% на возраст </w:t>
      </w:r>
      <w:r w:rsidRPr="00A926CA">
        <w:rPr>
          <w:rFonts w:ascii="Times New Roman" w:hAnsi="Times New Roman" w:cs="Times New Roman"/>
          <w:color w:val="000000"/>
          <w:sz w:val="24"/>
          <w:szCs w:val="24"/>
          <w:lang w:val="ru-RU"/>
        </w:rPr>
        <w:t>&lt;</w:t>
      </w:r>
      <w:r w:rsidR="00E5190C" w:rsidRPr="00A926CA">
        <w:rPr>
          <w:rFonts w:ascii="Times New Roman" w:hAnsi="Times New Roman" w:cs="Times New Roman"/>
          <w:color w:val="000000"/>
          <w:sz w:val="24"/>
          <w:szCs w:val="24"/>
          <w:lang w:val="ru-RU"/>
        </w:rPr>
        <w:t>56,5</w:t>
      </w:r>
      <w:r w:rsidRPr="00A926CA">
        <w:rPr>
          <w:rFonts w:ascii="Times New Roman" w:hAnsi="Times New Roman" w:cs="Times New Roman"/>
          <w:color w:val="000000"/>
          <w:sz w:val="24"/>
          <w:szCs w:val="24"/>
          <w:lang w:val="ru-RU"/>
        </w:rPr>
        <w:t xml:space="preserve"> години за </w:t>
      </w:r>
      <w:r w:rsidRPr="00E5190C">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E5190C">
        <w:rPr>
          <w:rFonts w:ascii="Times New Roman" w:hAnsi="Times New Roman" w:cs="Times New Roman"/>
          <w:color w:val="000000"/>
          <w:sz w:val="24"/>
          <w:szCs w:val="24"/>
          <w:lang w:val="en-US"/>
        </w:rPr>
        <w:t>IQR</w:t>
      </w:r>
      <w:r w:rsidRPr="00E5190C">
        <w:rPr>
          <w:rFonts w:ascii="Times New Roman" w:hAnsi="Times New Roman" w:cs="Times New Roman"/>
          <w:color w:val="000000"/>
          <w:sz w:val="24"/>
          <w:szCs w:val="24"/>
        </w:rPr>
        <w:t>=</w:t>
      </w:r>
      <w:r w:rsidR="00E5190C" w:rsidRPr="00E5190C">
        <w:rPr>
          <w:rFonts w:ascii="Times New Roman" w:hAnsi="Times New Roman" w:cs="Times New Roman"/>
          <w:color w:val="000000"/>
          <w:sz w:val="24"/>
          <w:szCs w:val="24"/>
        </w:rPr>
        <w:t>56,5 (50-63)</w:t>
      </w:r>
      <w:r w:rsidRPr="00E5190C">
        <w:rPr>
          <w:rFonts w:ascii="Times New Roman" w:hAnsi="Times New Roman" w:cs="Times New Roman"/>
          <w:color w:val="000000"/>
          <w:sz w:val="24"/>
          <w:szCs w:val="24"/>
        </w:rPr>
        <w:t xml:space="preserve">. Најниска просечна возраст беше регистрирана кај </w:t>
      </w:r>
      <w:r w:rsidR="00E5190C" w:rsidRPr="00E5190C">
        <w:rPr>
          <w:rFonts w:ascii="Times New Roman" w:hAnsi="Times New Roman" w:cs="Times New Roman"/>
          <w:color w:val="000000"/>
          <w:sz w:val="24"/>
          <w:szCs w:val="24"/>
        </w:rPr>
        <w:t xml:space="preserve">пациентите </w:t>
      </w:r>
      <w:r w:rsidR="00E5190C">
        <w:rPr>
          <w:rFonts w:ascii="Times New Roman" w:hAnsi="Times New Roman" w:cs="Times New Roman"/>
          <w:color w:val="000000"/>
          <w:sz w:val="24"/>
          <w:szCs w:val="24"/>
        </w:rPr>
        <w:t>со</w:t>
      </w:r>
      <w:r w:rsidR="00E5190C" w:rsidRPr="00A926CA">
        <w:rPr>
          <w:rFonts w:ascii="Times New Roman" w:hAnsi="Times New Roman" w:cs="Times New Roman"/>
          <w:color w:val="000000"/>
          <w:sz w:val="24"/>
          <w:szCs w:val="24"/>
          <w:lang w:val="ru-RU"/>
        </w:rPr>
        <w:t xml:space="preserve"> </w:t>
      </w:r>
      <w:r w:rsidR="00E5190C" w:rsidRPr="00E5190C">
        <w:rPr>
          <w:rFonts w:ascii="Times New Roman" w:hAnsi="Times New Roman" w:cs="Times New Roman"/>
          <w:bCs/>
          <w:color w:val="000000"/>
          <w:sz w:val="24"/>
          <w:szCs w:val="24"/>
          <w:lang w:val="en-US"/>
        </w:rPr>
        <w:t>Pa</w:t>
      </w:r>
      <w:r w:rsidRPr="00E5190C">
        <w:rPr>
          <w:rFonts w:ascii="Times New Roman" w:hAnsi="Times New Roman" w:cs="Times New Roman"/>
          <w:bCs/>
          <w:color w:val="000000"/>
          <w:sz w:val="24"/>
          <w:szCs w:val="24"/>
        </w:rPr>
        <w:t xml:space="preserve"> - </w:t>
      </w:r>
      <w:r w:rsidR="00E5190C" w:rsidRPr="00E5190C">
        <w:rPr>
          <w:rFonts w:ascii="Times New Roman" w:hAnsi="Times New Roman" w:cs="Times New Roman"/>
          <w:color w:val="000000"/>
          <w:sz w:val="24"/>
          <w:szCs w:val="24"/>
        </w:rPr>
        <w:t>45,9±18,1</w:t>
      </w:r>
      <w:r w:rsidR="00E5190C"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години</w:t>
      </w:r>
      <w:r w:rsidRPr="00E5190C">
        <w:rPr>
          <w:rFonts w:ascii="Times New Roman" w:hAnsi="Times New Roman" w:cs="Times New Roman"/>
          <w:color w:val="000000"/>
          <w:sz w:val="24"/>
          <w:szCs w:val="24"/>
        </w:rPr>
        <w:t xml:space="preserve"> </w:t>
      </w:r>
      <w:r w:rsidR="00E5190C">
        <w:rPr>
          <w:rFonts w:ascii="Times New Roman" w:hAnsi="Times New Roman" w:cs="Times New Roman"/>
          <w:color w:val="000000"/>
          <w:sz w:val="24"/>
          <w:szCs w:val="24"/>
        </w:rPr>
        <w:t>каде</w:t>
      </w:r>
      <w:r w:rsidRPr="00E5190C">
        <w:rPr>
          <w:rFonts w:ascii="Times New Roman" w:hAnsi="Times New Roman" w:cs="Times New Roman"/>
          <w:color w:val="000000"/>
          <w:sz w:val="24"/>
          <w:szCs w:val="24"/>
        </w:rPr>
        <w:t xml:space="preserve"> 50% </w:t>
      </w:r>
      <w:r w:rsidR="00726BAA">
        <w:rPr>
          <w:rFonts w:ascii="Times New Roman" w:hAnsi="Times New Roman" w:cs="Times New Roman"/>
          <w:color w:val="000000"/>
          <w:sz w:val="24"/>
          <w:szCs w:val="24"/>
        </w:rPr>
        <w:t xml:space="preserve">беа </w:t>
      </w:r>
      <w:r w:rsidRPr="00E5190C">
        <w:rPr>
          <w:rFonts w:ascii="Times New Roman" w:hAnsi="Times New Roman" w:cs="Times New Roman"/>
          <w:color w:val="000000"/>
          <w:sz w:val="24"/>
          <w:szCs w:val="24"/>
        </w:rPr>
        <w:t xml:space="preserve">на возраст </w:t>
      </w:r>
      <w:r w:rsidRPr="00A926CA">
        <w:rPr>
          <w:rFonts w:ascii="Times New Roman" w:hAnsi="Times New Roman" w:cs="Times New Roman"/>
          <w:color w:val="000000"/>
          <w:sz w:val="24"/>
          <w:szCs w:val="24"/>
          <w:lang w:val="ru-RU"/>
        </w:rPr>
        <w:t>&lt;</w:t>
      </w:r>
      <w:r w:rsidRPr="00E5190C">
        <w:rPr>
          <w:rFonts w:ascii="Times New Roman" w:hAnsi="Times New Roman" w:cs="Times New Roman"/>
          <w:color w:val="000000"/>
          <w:sz w:val="24"/>
          <w:szCs w:val="24"/>
        </w:rPr>
        <w:t>5</w:t>
      </w:r>
      <w:r w:rsidR="00E5190C" w:rsidRPr="00A926CA">
        <w:rPr>
          <w:rFonts w:ascii="Times New Roman" w:hAnsi="Times New Roman" w:cs="Times New Roman"/>
          <w:color w:val="000000"/>
          <w:sz w:val="24"/>
          <w:szCs w:val="24"/>
          <w:lang w:val="ru-RU"/>
        </w:rPr>
        <w:t>3</w:t>
      </w:r>
      <w:r w:rsidRPr="00A926CA">
        <w:rPr>
          <w:rFonts w:ascii="Times New Roman" w:hAnsi="Times New Roman" w:cs="Times New Roman"/>
          <w:color w:val="000000"/>
          <w:sz w:val="24"/>
          <w:szCs w:val="24"/>
          <w:lang w:val="ru-RU"/>
        </w:rPr>
        <w:t xml:space="preserve">години за </w:t>
      </w:r>
      <w:r w:rsidRPr="00E5190C">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E5190C">
        <w:rPr>
          <w:rFonts w:ascii="Times New Roman" w:hAnsi="Times New Roman" w:cs="Times New Roman"/>
          <w:color w:val="000000"/>
          <w:sz w:val="24"/>
          <w:szCs w:val="24"/>
          <w:lang w:val="en-US"/>
        </w:rPr>
        <w:t>IQR</w:t>
      </w:r>
      <w:r w:rsidRPr="00E5190C">
        <w:rPr>
          <w:rFonts w:ascii="Times New Roman" w:hAnsi="Times New Roman" w:cs="Times New Roman"/>
          <w:color w:val="000000"/>
          <w:sz w:val="24"/>
          <w:szCs w:val="24"/>
        </w:rPr>
        <w:t>=</w:t>
      </w:r>
      <w:r w:rsidR="00E5190C" w:rsidRPr="00E5190C">
        <w:rPr>
          <w:rFonts w:ascii="Times New Roman" w:hAnsi="Times New Roman" w:cs="Times New Roman"/>
          <w:color w:val="000000"/>
          <w:sz w:val="24"/>
          <w:szCs w:val="24"/>
        </w:rPr>
        <w:t>53 (32,5-58)</w:t>
      </w:r>
      <w:r w:rsidRPr="00E5190C">
        <w:rPr>
          <w:rFonts w:ascii="Times New Roman" w:hAnsi="Times New Roman" w:cs="Times New Roman"/>
          <w:color w:val="000000"/>
          <w:sz w:val="24"/>
          <w:szCs w:val="24"/>
        </w:rPr>
        <w:t xml:space="preserve">. За p&gt;0,05, немаше сигнификантна разлика помеѓу типовите на </w:t>
      </w:r>
      <w:r w:rsidR="00E5190C" w:rsidRPr="00E5190C">
        <w:rPr>
          <w:rFonts w:ascii="Times New Roman" w:hAnsi="Times New Roman" w:cs="Times New Roman"/>
          <w:color w:val="000000"/>
          <w:sz w:val="24"/>
          <w:szCs w:val="24"/>
        </w:rPr>
        <w:t>бенигни</w:t>
      </w:r>
      <w:r w:rsidR="00E5190C" w:rsidRPr="00A926CA">
        <w:rPr>
          <w:rFonts w:ascii="Times New Roman" w:hAnsi="Times New Roman" w:cs="Times New Roman"/>
          <w:color w:val="000000"/>
          <w:sz w:val="24"/>
          <w:szCs w:val="24"/>
          <w:lang w:val="ru-RU"/>
        </w:rPr>
        <w:t xml:space="preserve"> </w:t>
      </w:r>
      <w:r w:rsidRPr="00E5190C">
        <w:rPr>
          <w:rFonts w:ascii="Times New Roman" w:hAnsi="Times New Roman" w:cs="Times New Roman"/>
          <w:color w:val="000000"/>
          <w:sz w:val="24"/>
          <w:szCs w:val="24"/>
        </w:rPr>
        <w:t xml:space="preserve">тумори во однос на возраста на пациентите за </w:t>
      </w:r>
      <w:r w:rsidRPr="00E5190C">
        <w:rPr>
          <w:rFonts w:ascii="Times New Roman" w:hAnsi="Times New Roman"/>
          <w:color w:val="000000"/>
          <w:sz w:val="24"/>
          <w:szCs w:val="24"/>
        </w:rPr>
        <w:t>Kruskal-Wallis test=</w:t>
      </w:r>
      <w:r w:rsidRPr="00E5190C">
        <w:rPr>
          <w:rFonts w:ascii="Times New Roman" w:hAnsi="Times New Roman" w:cs="Times New Roman"/>
          <w:color w:val="000000"/>
          <w:sz w:val="24"/>
          <w:szCs w:val="24"/>
        </w:rPr>
        <w:t xml:space="preserve"> </w:t>
      </w:r>
      <w:r w:rsidR="00E5190C" w:rsidRPr="00E5190C">
        <w:rPr>
          <w:rFonts w:ascii="Times New Roman" w:hAnsi="Times New Roman" w:cs="Times New Roman"/>
          <w:color w:val="000000"/>
          <w:sz w:val="24"/>
          <w:szCs w:val="24"/>
        </w:rPr>
        <w:t>X</w:t>
      </w:r>
      <w:r w:rsidR="00E5190C" w:rsidRPr="00E5190C">
        <w:rPr>
          <w:rFonts w:ascii="Times New Roman" w:hAnsi="Times New Roman" w:cs="Times New Roman"/>
          <w:color w:val="000000"/>
          <w:sz w:val="24"/>
          <w:szCs w:val="24"/>
          <w:vertAlign w:val="superscript"/>
        </w:rPr>
        <w:t>2</w:t>
      </w:r>
      <w:r w:rsidR="00E5190C" w:rsidRPr="00E5190C">
        <w:rPr>
          <w:rFonts w:ascii="Times New Roman" w:hAnsi="Times New Roman" w:cs="Times New Roman"/>
          <w:color w:val="000000"/>
          <w:sz w:val="24"/>
          <w:szCs w:val="24"/>
          <w:vertAlign w:val="subscript"/>
        </w:rPr>
        <w:t>(2)</w:t>
      </w:r>
      <w:r w:rsidR="00E5190C" w:rsidRPr="00E5190C">
        <w:rPr>
          <w:rFonts w:ascii="Times New Roman" w:hAnsi="Times New Roman" w:cs="Times New Roman"/>
          <w:color w:val="000000"/>
          <w:sz w:val="24"/>
          <w:szCs w:val="24"/>
        </w:rPr>
        <w:t xml:space="preserve">=5,366; p=0,068 </w:t>
      </w:r>
      <w:r w:rsidRPr="00E5190C">
        <w:rPr>
          <w:rFonts w:ascii="Times New Roman" w:hAnsi="Times New Roman" w:cs="Times New Roman"/>
          <w:color w:val="000000"/>
          <w:sz w:val="24"/>
          <w:szCs w:val="24"/>
        </w:rPr>
        <w:t xml:space="preserve">(Табела </w:t>
      </w:r>
      <w:r w:rsidR="00E5190C" w:rsidRPr="00E5190C">
        <w:rPr>
          <w:rFonts w:ascii="Times New Roman" w:hAnsi="Times New Roman" w:cs="Times New Roman"/>
          <w:color w:val="000000"/>
          <w:sz w:val="24"/>
          <w:szCs w:val="24"/>
        </w:rPr>
        <w:t>6</w:t>
      </w:r>
      <w:r w:rsidRPr="00A926CA">
        <w:rPr>
          <w:rFonts w:ascii="Times New Roman" w:hAnsi="Times New Roman" w:cs="Times New Roman"/>
          <w:color w:val="000000"/>
          <w:sz w:val="24"/>
          <w:szCs w:val="24"/>
          <w:lang w:val="ru-RU"/>
        </w:rPr>
        <w:t xml:space="preserve"> и График </w:t>
      </w:r>
      <w:r w:rsidR="00E5190C" w:rsidRPr="00E5190C">
        <w:rPr>
          <w:rFonts w:ascii="Times New Roman" w:hAnsi="Times New Roman" w:cs="Times New Roman"/>
          <w:color w:val="000000"/>
          <w:sz w:val="24"/>
          <w:szCs w:val="24"/>
        </w:rPr>
        <w:t>9</w:t>
      </w:r>
      <w:r w:rsidRPr="00E5190C">
        <w:rPr>
          <w:rFonts w:ascii="Times New Roman" w:hAnsi="Times New Roman" w:cs="Times New Roman"/>
          <w:color w:val="000000"/>
          <w:sz w:val="24"/>
          <w:szCs w:val="24"/>
        </w:rPr>
        <w:t>).</w:t>
      </w:r>
    </w:p>
    <w:p w:rsidR="0007057C" w:rsidRDefault="0007057C" w:rsidP="0007057C">
      <w:pPr>
        <w:spacing w:after="200"/>
        <w:jc w:val="both"/>
        <w:rPr>
          <w:rFonts w:ascii="Times New Roman" w:hAnsi="Times New Roman" w:cs="Times New Roman"/>
          <w:b/>
          <w:color w:val="000000"/>
          <w:sz w:val="20"/>
          <w:szCs w:val="20"/>
        </w:rPr>
      </w:pPr>
    </w:p>
    <w:p w:rsidR="0007057C" w:rsidRDefault="0007057C" w:rsidP="0007057C">
      <w:pPr>
        <w:spacing w:after="200"/>
        <w:jc w:val="both"/>
        <w:rPr>
          <w:rFonts w:ascii="Times New Roman" w:hAnsi="Times New Roman" w:cs="Times New Roman"/>
          <w:b/>
          <w:color w:val="000000"/>
          <w:sz w:val="20"/>
          <w:szCs w:val="20"/>
        </w:rPr>
      </w:pPr>
    </w:p>
    <w:p w:rsidR="0007057C" w:rsidRDefault="0007057C" w:rsidP="0007057C">
      <w:pPr>
        <w:spacing w:after="200"/>
        <w:jc w:val="both"/>
        <w:rPr>
          <w:rFonts w:ascii="Times New Roman" w:hAnsi="Times New Roman" w:cs="Times New Roman"/>
          <w:b/>
          <w:color w:val="000000"/>
          <w:sz w:val="20"/>
          <w:szCs w:val="20"/>
        </w:rPr>
      </w:pPr>
    </w:p>
    <w:p w:rsidR="0007057C" w:rsidRDefault="0007057C" w:rsidP="0007057C">
      <w:pPr>
        <w:spacing w:after="200"/>
        <w:jc w:val="both"/>
        <w:rPr>
          <w:rFonts w:ascii="Times New Roman" w:hAnsi="Times New Roman" w:cs="Times New Roman"/>
          <w:b/>
          <w:color w:val="000000"/>
          <w:sz w:val="20"/>
          <w:szCs w:val="20"/>
        </w:rPr>
      </w:pPr>
    </w:p>
    <w:p w:rsidR="0007057C" w:rsidRDefault="0007057C" w:rsidP="0007057C">
      <w:pPr>
        <w:spacing w:after="200"/>
        <w:jc w:val="both"/>
        <w:rPr>
          <w:rFonts w:ascii="Times New Roman" w:hAnsi="Times New Roman" w:cs="Times New Roman"/>
          <w:b/>
          <w:color w:val="000000"/>
          <w:sz w:val="20"/>
          <w:szCs w:val="20"/>
        </w:rPr>
      </w:pPr>
    </w:p>
    <w:p w:rsidR="0083211E" w:rsidRPr="005B4E13" w:rsidRDefault="00596AAB" w:rsidP="0007057C">
      <w:pPr>
        <w:spacing w:after="200"/>
        <w:jc w:val="both"/>
        <w:rPr>
          <w:sz w:val="24"/>
          <w:szCs w:val="24"/>
        </w:rPr>
      </w:pPr>
      <w:r w:rsidRPr="005B4E13">
        <w:rPr>
          <w:rFonts w:ascii="Times New Roman" w:hAnsi="Times New Roman" w:cs="Times New Roman"/>
          <w:sz w:val="24"/>
          <w:szCs w:val="24"/>
        </w:rPr>
        <w:t xml:space="preserve">Кај пациентите </w:t>
      </w:r>
      <w:r w:rsidR="00492C9C" w:rsidRPr="005B4E13">
        <w:rPr>
          <w:rFonts w:ascii="Times New Roman" w:hAnsi="Times New Roman" w:cs="Times New Roman"/>
          <w:sz w:val="24"/>
          <w:szCs w:val="24"/>
        </w:rPr>
        <w:t xml:space="preserve">со бенигни тумори на паротидните жлезди </w:t>
      </w:r>
      <w:r w:rsidR="00BD626A">
        <w:rPr>
          <w:rFonts w:ascii="Times New Roman" w:hAnsi="Times New Roman" w:cs="Times New Roman"/>
          <w:sz w:val="24"/>
          <w:szCs w:val="24"/>
        </w:rPr>
        <w:t>кај секој од половите</w:t>
      </w:r>
      <w:r w:rsidRPr="005B4E13">
        <w:rPr>
          <w:rFonts w:ascii="Times New Roman" w:hAnsi="Times New Roman" w:cs="Times New Roman"/>
          <w:sz w:val="24"/>
          <w:szCs w:val="24"/>
        </w:rPr>
        <w:t xml:space="preserve"> (мажи/жени)</w:t>
      </w:r>
      <w:r w:rsidR="00492C9C" w:rsidRPr="005B4E13">
        <w:rPr>
          <w:rFonts w:ascii="Times New Roman" w:hAnsi="Times New Roman" w:cs="Times New Roman"/>
          <w:sz w:val="24"/>
          <w:szCs w:val="24"/>
        </w:rPr>
        <w:t>,</w:t>
      </w:r>
      <w:r w:rsidRPr="005B4E13">
        <w:rPr>
          <w:rFonts w:ascii="Times New Roman" w:hAnsi="Times New Roman" w:cs="Times New Roman"/>
          <w:sz w:val="24"/>
          <w:szCs w:val="24"/>
        </w:rPr>
        <w:t xml:space="preserve"> највисока просечна возраст беше регистрирана кај </w:t>
      </w:r>
      <w:r w:rsidRPr="005B4E13">
        <w:rPr>
          <w:rFonts w:ascii="Times New Roman" w:hAnsi="Times New Roman" w:cs="Times New Roman"/>
          <w:bCs/>
          <w:color w:val="000000"/>
          <w:sz w:val="24"/>
          <w:szCs w:val="24"/>
          <w:lang w:val="en-US"/>
        </w:rPr>
        <w:t>WT</w:t>
      </w:r>
      <w:r w:rsidRPr="005B4E13">
        <w:rPr>
          <w:rFonts w:ascii="Times New Roman" w:hAnsi="Times New Roman" w:cs="Times New Roman"/>
          <w:bCs/>
          <w:color w:val="000000"/>
          <w:sz w:val="24"/>
          <w:szCs w:val="24"/>
        </w:rPr>
        <w:t xml:space="preserve"> за консеквентно </w:t>
      </w:r>
      <w:r w:rsidRPr="005B4E13">
        <w:rPr>
          <w:rFonts w:ascii="Times New Roman" w:hAnsi="Times New Roman" w:cs="Times New Roman"/>
          <w:color w:val="000000"/>
          <w:sz w:val="24"/>
          <w:szCs w:val="24"/>
        </w:rPr>
        <w:t xml:space="preserve">57,0±9,1 со 50% пациенти </w:t>
      </w:r>
      <w:r w:rsidRPr="00A926CA">
        <w:rPr>
          <w:rFonts w:ascii="Times New Roman" w:hAnsi="Times New Roman" w:cs="Times New Roman"/>
          <w:color w:val="000000"/>
          <w:sz w:val="24"/>
          <w:szCs w:val="24"/>
          <w:lang w:val="ru-RU"/>
        </w:rPr>
        <w:t>&lt;</w:t>
      </w:r>
      <w:r w:rsidRPr="005B4E13">
        <w:rPr>
          <w:rFonts w:ascii="Times New Roman" w:hAnsi="Times New Roman" w:cs="Times New Roman"/>
          <w:color w:val="000000"/>
          <w:sz w:val="24"/>
          <w:szCs w:val="24"/>
        </w:rPr>
        <w:t>60 г</w:t>
      </w:r>
      <w:r w:rsidRPr="00A926CA">
        <w:rPr>
          <w:rFonts w:ascii="Times New Roman" w:hAnsi="Times New Roman" w:cs="Times New Roman"/>
          <w:color w:val="000000"/>
          <w:sz w:val="24"/>
          <w:szCs w:val="24"/>
          <w:lang w:val="ru-RU"/>
        </w:rPr>
        <w:t>одини</w:t>
      </w:r>
      <w:r w:rsidRPr="005B4E13">
        <w:rPr>
          <w:rFonts w:ascii="Times New Roman" w:hAnsi="Times New Roman" w:cs="Times New Roman"/>
          <w:color w:val="000000"/>
          <w:sz w:val="24"/>
          <w:szCs w:val="24"/>
        </w:rPr>
        <w:t xml:space="preserve"> vs. 60,6±9,5</w:t>
      </w:r>
      <w:r w:rsidRPr="00A926CA">
        <w:rPr>
          <w:rFonts w:ascii="Times New Roman" w:hAnsi="Times New Roman" w:cs="Times New Roman"/>
          <w:color w:val="000000"/>
          <w:sz w:val="24"/>
          <w:szCs w:val="24"/>
          <w:lang w:val="ru-RU"/>
        </w:rPr>
        <w:t xml:space="preserve"> години</w:t>
      </w:r>
      <w:r w:rsidRPr="005B4E13">
        <w:rPr>
          <w:rFonts w:ascii="Times New Roman" w:hAnsi="Times New Roman" w:cs="Times New Roman"/>
          <w:color w:val="000000"/>
          <w:sz w:val="24"/>
          <w:szCs w:val="24"/>
        </w:rPr>
        <w:t xml:space="preserve"> со 50% пациенти </w:t>
      </w:r>
      <w:r w:rsidRPr="00A926CA">
        <w:rPr>
          <w:rFonts w:ascii="Times New Roman" w:hAnsi="Times New Roman" w:cs="Times New Roman"/>
          <w:color w:val="000000"/>
          <w:sz w:val="24"/>
          <w:szCs w:val="24"/>
          <w:lang w:val="ru-RU"/>
        </w:rPr>
        <w:t>&lt;</w:t>
      </w:r>
      <w:r w:rsidRPr="005B4E13">
        <w:rPr>
          <w:rFonts w:ascii="Times New Roman" w:hAnsi="Times New Roman" w:cs="Times New Roman"/>
          <w:color w:val="000000"/>
          <w:sz w:val="24"/>
          <w:szCs w:val="24"/>
        </w:rPr>
        <w:t>66 г</w:t>
      </w:r>
      <w:r w:rsidRPr="00A926CA">
        <w:rPr>
          <w:rFonts w:ascii="Times New Roman" w:hAnsi="Times New Roman" w:cs="Times New Roman"/>
          <w:color w:val="000000"/>
          <w:sz w:val="24"/>
          <w:szCs w:val="24"/>
          <w:lang w:val="ru-RU"/>
        </w:rPr>
        <w:t>одини</w:t>
      </w:r>
      <w:r w:rsidRPr="005B4E13">
        <w:rPr>
          <w:rFonts w:ascii="Times New Roman" w:hAnsi="Times New Roman" w:cs="Times New Roman"/>
          <w:color w:val="000000"/>
          <w:sz w:val="24"/>
          <w:szCs w:val="24"/>
        </w:rPr>
        <w:t xml:space="preserve">. Најмала просечна возраст и кај двата пола имаа пациентите со </w:t>
      </w:r>
      <w:r w:rsidRPr="005B4E13">
        <w:rPr>
          <w:rFonts w:ascii="Times New Roman" w:hAnsi="Times New Roman" w:cs="Times New Roman"/>
          <w:bCs/>
          <w:color w:val="000000"/>
          <w:sz w:val="24"/>
          <w:szCs w:val="24"/>
          <w:lang w:val="en-US"/>
        </w:rPr>
        <w:t>Pa</w:t>
      </w:r>
      <w:r w:rsidRPr="005B4E13">
        <w:rPr>
          <w:rFonts w:ascii="Times New Roman" w:hAnsi="Times New Roman" w:cs="Times New Roman"/>
          <w:bCs/>
          <w:color w:val="000000"/>
          <w:sz w:val="24"/>
          <w:szCs w:val="24"/>
        </w:rPr>
        <w:t xml:space="preserve"> и тоа </w:t>
      </w:r>
      <w:r w:rsidRPr="005B4E13">
        <w:rPr>
          <w:rFonts w:ascii="Times New Roman" w:hAnsi="Times New Roman" w:cs="Times New Roman"/>
          <w:color w:val="000000"/>
          <w:sz w:val="24"/>
          <w:szCs w:val="24"/>
        </w:rPr>
        <w:t xml:space="preserve">34,2±18,7 години со 50% </w:t>
      </w:r>
      <w:r w:rsidRPr="00A926CA">
        <w:rPr>
          <w:rFonts w:ascii="Times New Roman" w:hAnsi="Times New Roman" w:cs="Times New Roman"/>
          <w:color w:val="000000"/>
          <w:sz w:val="24"/>
          <w:szCs w:val="24"/>
          <w:lang w:val="ru-RU"/>
        </w:rPr>
        <w:t>&lt;</w:t>
      </w:r>
      <w:r w:rsidRPr="005B4E13">
        <w:rPr>
          <w:rFonts w:ascii="Times New Roman" w:hAnsi="Times New Roman" w:cs="Times New Roman"/>
          <w:color w:val="000000"/>
          <w:sz w:val="24"/>
          <w:szCs w:val="24"/>
        </w:rPr>
        <w:t>28 г</w:t>
      </w:r>
      <w:r w:rsidRPr="00A926CA">
        <w:rPr>
          <w:rFonts w:ascii="Times New Roman" w:hAnsi="Times New Roman" w:cs="Times New Roman"/>
          <w:color w:val="000000"/>
          <w:sz w:val="24"/>
          <w:szCs w:val="24"/>
          <w:lang w:val="ru-RU"/>
        </w:rPr>
        <w:t>одини</w:t>
      </w:r>
      <w:r w:rsidRPr="005B4E13">
        <w:rPr>
          <w:rFonts w:ascii="Times New Roman" w:hAnsi="Times New Roman" w:cs="Times New Roman"/>
          <w:color w:val="000000"/>
          <w:sz w:val="24"/>
          <w:szCs w:val="24"/>
        </w:rPr>
        <w:t xml:space="preserve"> кај мажите и 50,9±15,9</w:t>
      </w:r>
      <w:r w:rsidR="00492C9C" w:rsidRPr="005B4E13">
        <w:rPr>
          <w:rFonts w:ascii="Times New Roman" w:hAnsi="Times New Roman" w:cs="Times New Roman"/>
          <w:color w:val="000000"/>
          <w:sz w:val="24"/>
          <w:szCs w:val="24"/>
        </w:rPr>
        <w:t xml:space="preserve"> со 50% </w:t>
      </w:r>
      <w:r w:rsidR="00492C9C" w:rsidRPr="00A926CA">
        <w:rPr>
          <w:rFonts w:ascii="Times New Roman" w:hAnsi="Times New Roman" w:cs="Times New Roman"/>
          <w:color w:val="000000"/>
          <w:sz w:val="24"/>
          <w:szCs w:val="24"/>
          <w:lang w:val="ru-RU"/>
        </w:rPr>
        <w:t>&lt;</w:t>
      </w:r>
      <w:r w:rsidR="00492C9C" w:rsidRPr="005B4E13">
        <w:rPr>
          <w:rFonts w:ascii="Times New Roman" w:hAnsi="Times New Roman" w:cs="Times New Roman"/>
          <w:color w:val="000000"/>
          <w:sz w:val="24"/>
          <w:szCs w:val="24"/>
        </w:rPr>
        <w:t>56,5 г</w:t>
      </w:r>
      <w:r w:rsidR="00492C9C" w:rsidRPr="00A926CA">
        <w:rPr>
          <w:rFonts w:ascii="Times New Roman" w:hAnsi="Times New Roman" w:cs="Times New Roman"/>
          <w:color w:val="000000"/>
          <w:sz w:val="24"/>
          <w:szCs w:val="24"/>
          <w:lang w:val="ru-RU"/>
        </w:rPr>
        <w:t>одини</w:t>
      </w:r>
      <w:r w:rsidR="00492C9C" w:rsidRPr="005B4E13">
        <w:rPr>
          <w:rFonts w:ascii="Times New Roman" w:hAnsi="Times New Roman" w:cs="Times New Roman"/>
          <w:color w:val="000000"/>
          <w:sz w:val="24"/>
          <w:szCs w:val="24"/>
        </w:rPr>
        <w:t xml:space="preserve"> кај жените.</w:t>
      </w:r>
    </w:p>
    <w:p w:rsidR="005B4E13" w:rsidRPr="005B4E13" w:rsidRDefault="00997D5A" w:rsidP="0007057C">
      <w:pPr>
        <w:ind w:firstLine="720"/>
        <w:jc w:val="both"/>
        <w:rPr>
          <w:rFonts w:ascii="Times New Roman" w:hAnsi="Times New Roman" w:cs="Times New Roman"/>
          <w:color w:val="000000"/>
          <w:sz w:val="24"/>
          <w:szCs w:val="24"/>
        </w:rPr>
      </w:pPr>
      <w:r w:rsidRPr="005B4E13">
        <w:rPr>
          <w:rFonts w:ascii="Times New Roman" w:hAnsi="Times New Roman" w:cs="Times New Roman"/>
          <w:color w:val="000000"/>
          <w:sz w:val="24"/>
          <w:szCs w:val="24"/>
        </w:rPr>
        <w:t>За p</w:t>
      </w:r>
      <w:r w:rsidRPr="00A926CA">
        <w:rPr>
          <w:rFonts w:ascii="Times New Roman" w:hAnsi="Times New Roman" w:cs="Times New Roman"/>
          <w:color w:val="000000"/>
          <w:sz w:val="24"/>
          <w:szCs w:val="24"/>
          <w:lang w:val="ru-RU"/>
        </w:rPr>
        <w:t>&lt;</w:t>
      </w:r>
      <w:r w:rsidRPr="005B4E13">
        <w:rPr>
          <w:rFonts w:ascii="Times New Roman" w:hAnsi="Times New Roman" w:cs="Times New Roman"/>
          <w:color w:val="000000"/>
          <w:sz w:val="24"/>
          <w:szCs w:val="24"/>
        </w:rPr>
        <w:t xml:space="preserve">0,05, утврдена беше сигнификантна разлика </w:t>
      </w:r>
      <w:r w:rsidR="005B4E13" w:rsidRPr="005B4E13">
        <w:rPr>
          <w:rFonts w:ascii="Times New Roman" w:hAnsi="Times New Roman" w:cs="Times New Roman"/>
          <w:color w:val="000000"/>
          <w:sz w:val="24"/>
          <w:szCs w:val="24"/>
        </w:rPr>
        <w:t>меѓу</w:t>
      </w:r>
      <w:r w:rsidRPr="005B4E13">
        <w:rPr>
          <w:rFonts w:ascii="Times New Roman" w:hAnsi="Times New Roman" w:cs="Times New Roman"/>
          <w:color w:val="000000"/>
          <w:sz w:val="24"/>
          <w:szCs w:val="24"/>
        </w:rPr>
        <w:t xml:space="preserve"> возраста на мажите кај трите различни типови на бенигни</w:t>
      </w:r>
      <w:r w:rsidRPr="00A926CA">
        <w:rPr>
          <w:rFonts w:ascii="Times New Roman" w:hAnsi="Times New Roman" w:cs="Times New Roman"/>
          <w:color w:val="000000"/>
          <w:sz w:val="24"/>
          <w:szCs w:val="24"/>
          <w:lang w:val="ru-RU"/>
        </w:rPr>
        <w:t xml:space="preserve"> </w:t>
      </w:r>
      <w:r w:rsidRPr="005B4E13">
        <w:rPr>
          <w:rFonts w:ascii="Times New Roman" w:hAnsi="Times New Roman" w:cs="Times New Roman"/>
          <w:color w:val="000000"/>
          <w:sz w:val="24"/>
          <w:szCs w:val="24"/>
        </w:rPr>
        <w:t xml:space="preserve">тумори на паротидните жлезди за </w:t>
      </w:r>
      <w:r w:rsidRPr="005B4E13">
        <w:rPr>
          <w:rFonts w:ascii="Times New Roman" w:hAnsi="Times New Roman"/>
          <w:color w:val="000000"/>
          <w:sz w:val="24"/>
          <w:szCs w:val="24"/>
        </w:rPr>
        <w:t>Kruskal-Wallis test=</w:t>
      </w:r>
      <w:r w:rsidRPr="005B4E13">
        <w:rPr>
          <w:rFonts w:ascii="Times New Roman" w:hAnsi="Times New Roman" w:cs="Times New Roman"/>
          <w:color w:val="000000"/>
          <w:sz w:val="24"/>
          <w:szCs w:val="24"/>
        </w:rPr>
        <w:t xml:space="preserve"> X</w:t>
      </w:r>
      <w:r w:rsidRPr="005B4E13">
        <w:rPr>
          <w:rFonts w:ascii="Times New Roman" w:hAnsi="Times New Roman" w:cs="Times New Roman"/>
          <w:color w:val="000000"/>
          <w:sz w:val="24"/>
          <w:szCs w:val="24"/>
          <w:vertAlign w:val="superscript"/>
        </w:rPr>
        <w:t>2</w:t>
      </w:r>
      <w:r w:rsidRPr="005B4E13">
        <w:rPr>
          <w:rFonts w:ascii="Times New Roman" w:hAnsi="Times New Roman" w:cs="Times New Roman"/>
          <w:color w:val="000000"/>
          <w:sz w:val="24"/>
          <w:szCs w:val="24"/>
          <w:vertAlign w:val="subscript"/>
        </w:rPr>
        <w:t>(2)</w:t>
      </w:r>
      <w:r w:rsidRPr="005B4E13">
        <w:rPr>
          <w:rFonts w:ascii="Times New Roman" w:hAnsi="Times New Roman" w:cs="Times New Roman"/>
          <w:color w:val="000000"/>
          <w:sz w:val="24"/>
          <w:szCs w:val="24"/>
        </w:rPr>
        <w:t xml:space="preserve">=6,847; p=0,033 во прилог на сигнификантно најмлади пациенти со дијагноза </w:t>
      </w:r>
      <w:r w:rsidRPr="005B4E13">
        <w:rPr>
          <w:rFonts w:ascii="Times New Roman" w:hAnsi="Times New Roman" w:cs="Times New Roman"/>
          <w:bCs/>
          <w:color w:val="000000"/>
          <w:sz w:val="24"/>
          <w:szCs w:val="24"/>
          <w:lang w:val="en-US"/>
        </w:rPr>
        <w:t>Pa</w:t>
      </w:r>
      <w:r w:rsidRPr="005B4E13">
        <w:rPr>
          <w:rFonts w:ascii="Times New Roman" w:hAnsi="Times New Roman" w:cs="Times New Roman"/>
          <w:color w:val="000000"/>
          <w:sz w:val="24"/>
          <w:szCs w:val="24"/>
        </w:rPr>
        <w:t>.</w:t>
      </w:r>
      <w:r w:rsidR="007A5EC2">
        <w:rPr>
          <w:rFonts w:ascii="Times New Roman" w:hAnsi="Times New Roman" w:cs="Times New Roman"/>
          <w:color w:val="000000"/>
          <w:sz w:val="24"/>
          <w:szCs w:val="24"/>
        </w:rPr>
        <w:t xml:space="preserve"> </w:t>
      </w:r>
      <w:r w:rsidR="000369ED">
        <w:rPr>
          <w:rFonts w:ascii="Times New Roman" w:hAnsi="Times New Roman" w:cs="Times New Roman"/>
          <w:color w:val="000000"/>
          <w:sz w:val="24"/>
          <w:szCs w:val="24"/>
        </w:rPr>
        <w:t>Дополнително, з</w:t>
      </w:r>
      <w:r w:rsidR="005B4E13" w:rsidRPr="005B4E13">
        <w:rPr>
          <w:rFonts w:ascii="Times New Roman" w:hAnsi="Times New Roman" w:cs="Times New Roman"/>
          <w:color w:val="000000"/>
          <w:sz w:val="24"/>
          <w:szCs w:val="24"/>
        </w:rPr>
        <w:t>а p</w:t>
      </w:r>
      <w:r w:rsidR="005B4E13" w:rsidRPr="00A926CA">
        <w:rPr>
          <w:rFonts w:ascii="Times New Roman" w:hAnsi="Times New Roman" w:cs="Times New Roman"/>
          <w:color w:val="000000"/>
          <w:sz w:val="24"/>
          <w:szCs w:val="24"/>
          <w:lang w:val="ru-RU"/>
        </w:rPr>
        <w:t>&gt;</w:t>
      </w:r>
      <w:r w:rsidR="005B4E13" w:rsidRPr="005B4E13">
        <w:rPr>
          <w:rFonts w:ascii="Times New Roman" w:hAnsi="Times New Roman" w:cs="Times New Roman"/>
          <w:color w:val="000000"/>
          <w:sz w:val="24"/>
          <w:szCs w:val="24"/>
        </w:rPr>
        <w:t>0,05, немаше сигнификантна разлика меѓу возраста на жените кај трите различни типови на бенигни</w:t>
      </w:r>
      <w:r w:rsidR="005B4E13" w:rsidRPr="00A926CA">
        <w:rPr>
          <w:rFonts w:ascii="Times New Roman" w:hAnsi="Times New Roman" w:cs="Times New Roman"/>
          <w:color w:val="000000"/>
          <w:sz w:val="24"/>
          <w:szCs w:val="24"/>
          <w:lang w:val="ru-RU"/>
        </w:rPr>
        <w:t xml:space="preserve"> </w:t>
      </w:r>
      <w:r w:rsidR="005B4E13" w:rsidRPr="005B4E13">
        <w:rPr>
          <w:rFonts w:ascii="Times New Roman" w:hAnsi="Times New Roman" w:cs="Times New Roman"/>
          <w:color w:val="000000"/>
          <w:sz w:val="24"/>
          <w:szCs w:val="24"/>
        </w:rPr>
        <w:t xml:space="preserve">тумори на паротидните жлезди за </w:t>
      </w:r>
      <w:r w:rsidR="005B4E13" w:rsidRPr="005B4E13">
        <w:rPr>
          <w:rFonts w:ascii="Times New Roman" w:hAnsi="Times New Roman"/>
          <w:color w:val="000000"/>
          <w:sz w:val="24"/>
          <w:szCs w:val="24"/>
        </w:rPr>
        <w:t>Kruskal-Wallis test=</w:t>
      </w:r>
      <w:r w:rsidR="005B4E13" w:rsidRPr="005B4E13">
        <w:rPr>
          <w:rFonts w:ascii="Times New Roman" w:hAnsi="Times New Roman" w:cs="Times New Roman"/>
          <w:color w:val="000000"/>
          <w:sz w:val="24"/>
          <w:szCs w:val="24"/>
        </w:rPr>
        <w:t xml:space="preserve"> X</w:t>
      </w:r>
      <w:r w:rsidR="005B4E13" w:rsidRPr="005B4E13">
        <w:rPr>
          <w:rFonts w:ascii="Times New Roman" w:hAnsi="Times New Roman" w:cs="Times New Roman"/>
          <w:color w:val="000000"/>
          <w:sz w:val="24"/>
          <w:szCs w:val="24"/>
          <w:vertAlign w:val="superscript"/>
        </w:rPr>
        <w:t>2</w:t>
      </w:r>
      <w:r w:rsidR="005B4E13" w:rsidRPr="005B4E13">
        <w:rPr>
          <w:rFonts w:ascii="Times New Roman" w:hAnsi="Times New Roman" w:cs="Times New Roman"/>
          <w:color w:val="000000"/>
          <w:sz w:val="24"/>
          <w:szCs w:val="24"/>
          <w:vertAlign w:val="subscript"/>
        </w:rPr>
        <w:t>(2)</w:t>
      </w:r>
      <w:r w:rsidR="005B4E13" w:rsidRPr="005B4E13">
        <w:rPr>
          <w:rFonts w:ascii="Times New Roman" w:hAnsi="Times New Roman" w:cs="Times New Roman"/>
          <w:color w:val="000000"/>
          <w:sz w:val="24"/>
          <w:szCs w:val="24"/>
        </w:rPr>
        <w:t>=2,196; p=0,333 (Табела 6</w:t>
      </w:r>
      <w:r w:rsidR="005B4E13" w:rsidRPr="00A926CA">
        <w:rPr>
          <w:rFonts w:ascii="Times New Roman" w:hAnsi="Times New Roman" w:cs="Times New Roman"/>
          <w:color w:val="000000"/>
          <w:sz w:val="24"/>
          <w:szCs w:val="24"/>
          <w:lang w:val="ru-RU"/>
        </w:rPr>
        <w:t xml:space="preserve"> и График </w:t>
      </w:r>
      <w:r w:rsidR="005B4E13" w:rsidRPr="005B4E13">
        <w:rPr>
          <w:rFonts w:ascii="Times New Roman" w:hAnsi="Times New Roman" w:cs="Times New Roman"/>
          <w:color w:val="000000"/>
          <w:sz w:val="24"/>
          <w:szCs w:val="24"/>
        </w:rPr>
        <w:t>9).</w:t>
      </w:r>
    </w:p>
    <w:p w:rsidR="0083211E" w:rsidRDefault="0083211E"/>
    <w:p w:rsidR="0083211E" w:rsidRDefault="00446A60">
      <w:r>
        <w:rPr>
          <w:noProof/>
          <w:lang w:val="en-US"/>
        </w:rPr>
        <w:drawing>
          <wp:anchor distT="0" distB="0" distL="114300" distR="114300" simplePos="0" relativeHeight="251651584" behindDoc="1" locked="0" layoutInCell="1" allowOverlap="1">
            <wp:simplePos x="0" y="0"/>
            <wp:positionH relativeFrom="column">
              <wp:posOffset>808355</wp:posOffset>
            </wp:positionH>
            <wp:positionV relativeFrom="paragraph">
              <wp:posOffset>-2540</wp:posOffset>
            </wp:positionV>
            <wp:extent cx="3317240" cy="1732915"/>
            <wp:effectExtent l="19050" t="0" r="0" b="0"/>
            <wp:wrapTight wrapText="bothSides">
              <wp:wrapPolygon edited="0">
                <wp:start x="-124" y="0"/>
                <wp:lineTo x="-124" y="21133"/>
                <wp:lineTo x="21583" y="21133"/>
                <wp:lineTo x="21583" y="0"/>
                <wp:lineTo x="-124" y="0"/>
              </wp:wrapPolygon>
            </wp:wrapTight>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3"/>
                    <a:srcRect/>
                    <a:stretch>
                      <a:fillRect/>
                    </a:stretch>
                  </pic:blipFill>
                  <pic:spPr bwMode="auto">
                    <a:xfrm>
                      <a:off x="0" y="0"/>
                      <a:ext cx="3317240" cy="1732915"/>
                    </a:xfrm>
                    <a:prstGeom prst="rect">
                      <a:avLst/>
                    </a:prstGeom>
                    <a:noFill/>
                    <a:ln w="9525">
                      <a:noFill/>
                      <a:miter lim="800000"/>
                      <a:headEnd/>
                      <a:tailEnd/>
                    </a:ln>
                  </pic:spPr>
                </pic:pic>
              </a:graphicData>
            </a:graphic>
          </wp:anchor>
        </w:drawing>
      </w:r>
    </w:p>
    <w:p w:rsidR="0083211E" w:rsidRDefault="0083211E"/>
    <w:p w:rsidR="009629B0" w:rsidRDefault="009629B0"/>
    <w:p w:rsidR="009629B0" w:rsidRDefault="009629B0"/>
    <w:p w:rsidR="009629B0" w:rsidRDefault="009629B0"/>
    <w:p w:rsidR="009629B0" w:rsidRDefault="009629B0"/>
    <w:p w:rsidR="009629B0" w:rsidRDefault="009629B0"/>
    <w:p w:rsidR="009629B0" w:rsidRDefault="009629B0"/>
    <w:p w:rsidR="0083211E" w:rsidRDefault="0083211E"/>
    <w:p w:rsidR="0083211E" w:rsidRDefault="00446A60">
      <w:r>
        <w:rPr>
          <w:noProof/>
          <w:lang w:val="en-US"/>
        </w:rPr>
        <w:drawing>
          <wp:anchor distT="0" distB="0" distL="114300" distR="114300" simplePos="0" relativeHeight="251653632" behindDoc="1" locked="0" layoutInCell="1" allowOverlap="1">
            <wp:simplePos x="0" y="0"/>
            <wp:positionH relativeFrom="column">
              <wp:posOffset>989330</wp:posOffset>
            </wp:positionH>
            <wp:positionV relativeFrom="paragraph">
              <wp:posOffset>26035</wp:posOffset>
            </wp:positionV>
            <wp:extent cx="3285490" cy="1669415"/>
            <wp:effectExtent l="19050" t="0" r="0" b="0"/>
            <wp:wrapTight wrapText="bothSides">
              <wp:wrapPolygon edited="0">
                <wp:start x="-125" y="0"/>
                <wp:lineTo x="-125" y="21444"/>
                <wp:lineTo x="21166" y="21444"/>
                <wp:lineTo x="21166" y="0"/>
                <wp:lineTo x="-125" y="0"/>
              </wp:wrapPolygon>
            </wp:wrapTight>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4"/>
                    <a:srcRect r="-1651" b="4849"/>
                    <a:stretch>
                      <a:fillRect/>
                    </a:stretch>
                  </pic:blipFill>
                  <pic:spPr bwMode="auto">
                    <a:xfrm>
                      <a:off x="0" y="0"/>
                      <a:ext cx="3285490" cy="1669415"/>
                    </a:xfrm>
                    <a:prstGeom prst="rect">
                      <a:avLst/>
                    </a:prstGeom>
                    <a:noFill/>
                    <a:ln w="9525">
                      <a:noFill/>
                      <a:miter lim="800000"/>
                      <a:headEnd/>
                      <a:tailEnd/>
                    </a:ln>
                  </pic:spPr>
                </pic:pic>
              </a:graphicData>
            </a:graphic>
          </wp:anchor>
        </w:drawing>
      </w:r>
    </w:p>
    <w:p w:rsidR="007A5EC2" w:rsidRDefault="007A5EC2"/>
    <w:p w:rsidR="007A5EC2" w:rsidRDefault="007A5EC2"/>
    <w:p w:rsidR="007A5EC2" w:rsidRDefault="007A5EC2"/>
    <w:p w:rsidR="007A5EC2" w:rsidRDefault="007A5EC2"/>
    <w:p w:rsidR="007A5EC2" w:rsidRDefault="007A5EC2"/>
    <w:p w:rsidR="0083211E" w:rsidRDefault="0083211E"/>
    <w:p w:rsidR="007A5EC2" w:rsidRDefault="007A5EC2"/>
    <w:p w:rsidR="007A5EC2" w:rsidRDefault="007A5EC2" w:rsidP="007A5EC2">
      <w:pPr>
        <w:rPr>
          <w:rFonts w:ascii="Times New Roman" w:hAnsi="Times New Roman" w:cs="Times New Roman"/>
          <w:b/>
          <w:color w:val="000000"/>
          <w:sz w:val="20"/>
          <w:szCs w:val="20"/>
        </w:rPr>
      </w:pPr>
    </w:p>
    <w:p w:rsidR="007A5EC2" w:rsidRDefault="007A5EC2" w:rsidP="007A5EC2">
      <w:pPr>
        <w:rPr>
          <w:rFonts w:ascii="Times New Roman" w:hAnsi="Times New Roman" w:cs="Times New Roman"/>
          <w:b/>
          <w:color w:val="000000"/>
          <w:sz w:val="20"/>
          <w:szCs w:val="20"/>
        </w:rPr>
      </w:pPr>
    </w:p>
    <w:p w:rsidR="007A5EC2" w:rsidRDefault="00446A60" w:rsidP="007A5EC2">
      <w:pPr>
        <w:rPr>
          <w:rFonts w:ascii="Times New Roman" w:hAnsi="Times New Roman" w:cs="Times New Roman"/>
          <w:b/>
          <w:color w:val="000000"/>
          <w:sz w:val="20"/>
          <w:szCs w:val="20"/>
        </w:rPr>
      </w:pPr>
      <w:r>
        <w:rPr>
          <w:noProof/>
          <w:lang w:val="en-US"/>
        </w:rPr>
        <w:drawing>
          <wp:anchor distT="0" distB="0" distL="114300" distR="114300" simplePos="0" relativeHeight="251652608" behindDoc="1" locked="0" layoutInCell="1" allowOverlap="1">
            <wp:simplePos x="0" y="0"/>
            <wp:positionH relativeFrom="column">
              <wp:posOffset>989330</wp:posOffset>
            </wp:positionH>
            <wp:positionV relativeFrom="paragraph">
              <wp:posOffset>38735</wp:posOffset>
            </wp:positionV>
            <wp:extent cx="3285490" cy="1732915"/>
            <wp:effectExtent l="19050" t="0" r="0" b="0"/>
            <wp:wrapTight wrapText="bothSides">
              <wp:wrapPolygon edited="0">
                <wp:start x="-125" y="0"/>
                <wp:lineTo x="-125" y="21133"/>
                <wp:lineTo x="21542" y="21133"/>
                <wp:lineTo x="21542" y="0"/>
                <wp:lineTo x="-125" y="0"/>
              </wp:wrapPolygon>
            </wp:wrapTight>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5"/>
                    <a:srcRect/>
                    <a:stretch>
                      <a:fillRect/>
                    </a:stretch>
                  </pic:blipFill>
                  <pic:spPr bwMode="auto">
                    <a:xfrm>
                      <a:off x="0" y="0"/>
                      <a:ext cx="3285490" cy="1732915"/>
                    </a:xfrm>
                    <a:prstGeom prst="rect">
                      <a:avLst/>
                    </a:prstGeom>
                    <a:noFill/>
                    <a:ln w="9525">
                      <a:noFill/>
                      <a:miter lim="800000"/>
                      <a:headEnd/>
                      <a:tailEnd/>
                    </a:ln>
                  </pic:spPr>
                </pic:pic>
              </a:graphicData>
            </a:graphic>
          </wp:anchor>
        </w:drawing>
      </w:r>
    </w:p>
    <w:p w:rsidR="007A5EC2" w:rsidRDefault="007A5EC2" w:rsidP="007A5EC2">
      <w:pPr>
        <w:rPr>
          <w:rFonts w:ascii="Times New Roman" w:hAnsi="Times New Roman" w:cs="Times New Roman"/>
          <w:b/>
          <w:color w:val="000000"/>
          <w:sz w:val="20"/>
          <w:szCs w:val="20"/>
        </w:rPr>
      </w:pPr>
    </w:p>
    <w:p w:rsidR="0083211E" w:rsidRDefault="0083211E"/>
    <w:p w:rsidR="002E1147" w:rsidRDefault="002E1147" w:rsidP="00E5190C">
      <w:pPr>
        <w:spacing w:line="360" w:lineRule="auto"/>
        <w:ind w:firstLine="720"/>
        <w:jc w:val="both"/>
        <w:rPr>
          <w:rFonts w:ascii="Times New Roman" w:hAnsi="Times New Roman" w:cs="Times New Roman"/>
          <w:color w:val="000000"/>
          <w:sz w:val="24"/>
          <w:szCs w:val="24"/>
        </w:rPr>
      </w:pPr>
    </w:p>
    <w:p w:rsidR="002E1147" w:rsidRDefault="002E1147" w:rsidP="00E5190C">
      <w:pPr>
        <w:spacing w:line="360" w:lineRule="auto"/>
        <w:ind w:firstLine="720"/>
        <w:jc w:val="both"/>
        <w:rPr>
          <w:rFonts w:ascii="Times New Roman" w:hAnsi="Times New Roman" w:cs="Times New Roman"/>
          <w:color w:val="000000"/>
          <w:sz w:val="24"/>
          <w:szCs w:val="24"/>
        </w:rPr>
      </w:pPr>
    </w:p>
    <w:p w:rsidR="002E1147" w:rsidRDefault="002E1147" w:rsidP="00E5190C">
      <w:pPr>
        <w:spacing w:line="360" w:lineRule="auto"/>
        <w:ind w:firstLine="720"/>
        <w:jc w:val="both"/>
        <w:rPr>
          <w:rFonts w:ascii="Times New Roman" w:hAnsi="Times New Roman" w:cs="Times New Roman"/>
          <w:color w:val="000000"/>
          <w:sz w:val="24"/>
          <w:szCs w:val="24"/>
        </w:rPr>
      </w:pPr>
    </w:p>
    <w:p w:rsidR="002E1147" w:rsidRDefault="002E1147" w:rsidP="00E5190C">
      <w:pPr>
        <w:spacing w:line="360" w:lineRule="auto"/>
        <w:ind w:firstLine="720"/>
        <w:jc w:val="both"/>
        <w:rPr>
          <w:rFonts w:ascii="Times New Roman" w:hAnsi="Times New Roman" w:cs="Times New Roman"/>
          <w:color w:val="000000"/>
          <w:sz w:val="24"/>
          <w:szCs w:val="24"/>
        </w:rPr>
      </w:pPr>
    </w:p>
    <w:p w:rsidR="007A5EC2" w:rsidRDefault="007A5EC2" w:rsidP="007A5EC2">
      <w:pPr>
        <w:rPr>
          <w:rFonts w:ascii="Times New Roman" w:hAnsi="Times New Roman" w:cs="Times New Roman"/>
          <w:b/>
          <w:color w:val="000000"/>
          <w:sz w:val="20"/>
          <w:szCs w:val="20"/>
        </w:rPr>
      </w:pPr>
    </w:p>
    <w:p w:rsidR="00BD626A" w:rsidRDefault="00BD626A" w:rsidP="007A5EC2">
      <w:pPr>
        <w:jc w:val="center"/>
        <w:rPr>
          <w:rFonts w:ascii="Times New Roman" w:hAnsi="Times New Roman" w:cs="Times New Roman"/>
          <w:b/>
          <w:color w:val="000000"/>
          <w:sz w:val="20"/>
          <w:szCs w:val="20"/>
        </w:rPr>
      </w:pPr>
    </w:p>
    <w:p w:rsidR="007A5EC2" w:rsidRDefault="007A5EC2" w:rsidP="007A5EC2">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9</w:t>
      </w:r>
      <w:r w:rsidRPr="00E5190C">
        <w:rPr>
          <w:rFonts w:ascii="Times New Roman" w:hAnsi="Times New Roman" w:cs="Times New Roman"/>
          <w:b/>
          <w:color w:val="000000"/>
          <w:sz w:val="20"/>
          <w:szCs w:val="20"/>
        </w:rPr>
        <w:t>. Анализа на тип</w:t>
      </w:r>
      <w:r w:rsidRPr="00A926CA">
        <w:rPr>
          <w:rFonts w:ascii="Times New Roman" w:hAnsi="Times New Roman" w:cs="Times New Roman"/>
          <w:b/>
          <w:color w:val="000000"/>
          <w:sz w:val="20"/>
          <w:szCs w:val="20"/>
          <w:lang w:val="ru-RU"/>
        </w:rPr>
        <w:t xml:space="preserve"> на </w:t>
      </w:r>
      <w:r>
        <w:rPr>
          <w:rFonts w:ascii="Times New Roman" w:hAnsi="Times New Roman" w:cs="Times New Roman"/>
          <w:b/>
          <w:color w:val="000000"/>
          <w:sz w:val="20"/>
          <w:szCs w:val="20"/>
        </w:rPr>
        <w:t xml:space="preserve">бенигни </w:t>
      </w:r>
      <w:r w:rsidRPr="00A926CA">
        <w:rPr>
          <w:rFonts w:ascii="Times New Roman" w:hAnsi="Times New Roman" w:cs="Times New Roman"/>
          <w:b/>
          <w:color w:val="000000"/>
          <w:sz w:val="20"/>
          <w:szCs w:val="20"/>
          <w:lang w:val="ru-RU"/>
        </w:rPr>
        <w:t>тумор</w:t>
      </w:r>
      <w:r>
        <w:rPr>
          <w:rFonts w:ascii="Times New Roman" w:hAnsi="Times New Roman" w:cs="Times New Roman"/>
          <w:b/>
          <w:color w:val="000000"/>
          <w:sz w:val="20"/>
          <w:szCs w:val="20"/>
        </w:rPr>
        <w:t>и</w:t>
      </w:r>
      <w:r w:rsidRPr="00A926CA">
        <w:rPr>
          <w:rFonts w:ascii="Times New Roman" w:hAnsi="Times New Roman" w:cs="Times New Roman"/>
          <w:b/>
          <w:color w:val="000000"/>
          <w:sz w:val="20"/>
          <w:szCs w:val="20"/>
          <w:lang w:val="ru-RU"/>
        </w:rPr>
        <w:t xml:space="preserve"> </w:t>
      </w:r>
      <w:r w:rsidRPr="00E5190C">
        <w:rPr>
          <w:rFonts w:ascii="Times New Roman" w:hAnsi="Times New Roman" w:cs="Times New Roman"/>
          <w:b/>
          <w:color w:val="000000"/>
          <w:sz w:val="20"/>
          <w:szCs w:val="20"/>
        </w:rPr>
        <w:t xml:space="preserve">на паротидни жлезди </w:t>
      </w:r>
      <w:r w:rsidRPr="00A926CA">
        <w:rPr>
          <w:rFonts w:ascii="Times New Roman" w:hAnsi="Times New Roman" w:cs="Times New Roman"/>
          <w:b/>
          <w:color w:val="000000"/>
          <w:sz w:val="20"/>
          <w:szCs w:val="20"/>
          <w:lang w:val="ru-RU"/>
        </w:rPr>
        <w:t>според</w:t>
      </w:r>
      <w:r>
        <w:rPr>
          <w:rFonts w:ascii="Times New Roman" w:hAnsi="Times New Roman" w:cs="Times New Roman"/>
          <w:b/>
          <w:color w:val="000000"/>
          <w:sz w:val="20"/>
          <w:szCs w:val="20"/>
        </w:rPr>
        <w:t xml:space="preserve"> </w:t>
      </w:r>
    </w:p>
    <w:p w:rsidR="007A5EC2" w:rsidRPr="00995D7E" w:rsidRDefault="007A5EC2" w:rsidP="007A5EC2">
      <w:pPr>
        <w:jc w:val="center"/>
        <w:rPr>
          <w:rFonts w:ascii="Times New Roman" w:hAnsi="Times New Roman" w:cs="Times New Roman"/>
          <w:b/>
          <w:color w:val="000000"/>
          <w:sz w:val="20"/>
          <w:szCs w:val="20"/>
        </w:rPr>
      </w:pPr>
      <w:r w:rsidRPr="00A926CA">
        <w:rPr>
          <w:rFonts w:ascii="Times New Roman" w:hAnsi="Times New Roman" w:cs="Times New Roman"/>
          <w:b/>
          <w:color w:val="000000"/>
          <w:sz w:val="20"/>
          <w:szCs w:val="20"/>
          <w:lang w:val="ru-RU"/>
        </w:rPr>
        <w:t>пол и в</w:t>
      </w:r>
      <w:r w:rsidRPr="00E5190C">
        <w:rPr>
          <w:rFonts w:ascii="Times New Roman" w:hAnsi="Times New Roman" w:cs="Times New Roman"/>
          <w:b/>
          <w:color w:val="000000"/>
          <w:sz w:val="20"/>
          <w:szCs w:val="20"/>
        </w:rPr>
        <w:t>озраст – испитувана група</w:t>
      </w:r>
    </w:p>
    <w:p w:rsidR="007A5EC2" w:rsidRDefault="007A5EC2" w:rsidP="00E5190C">
      <w:pPr>
        <w:spacing w:line="360" w:lineRule="auto"/>
        <w:ind w:firstLine="720"/>
        <w:jc w:val="both"/>
        <w:rPr>
          <w:rFonts w:ascii="Times New Roman" w:hAnsi="Times New Roman" w:cs="Times New Roman"/>
          <w:color w:val="000000"/>
          <w:sz w:val="24"/>
          <w:szCs w:val="24"/>
        </w:rPr>
      </w:pPr>
    </w:p>
    <w:p w:rsidR="0007057C" w:rsidRDefault="0007057C" w:rsidP="008424D9">
      <w:pPr>
        <w:spacing w:after="200" w:line="360" w:lineRule="auto"/>
        <w:ind w:firstLine="720"/>
        <w:jc w:val="both"/>
        <w:rPr>
          <w:rFonts w:ascii="Times New Roman" w:hAnsi="Times New Roman" w:cs="Times New Roman"/>
          <w:color w:val="000000"/>
          <w:sz w:val="24"/>
          <w:szCs w:val="24"/>
        </w:rPr>
      </w:pPr>
    </w:p>
    <w:p w:rsidR="0007057C" w:rsidRDefault="0007057C" w:rsidP="008424D9">
      <w:pPr>
        <w:spacing w:after="200" w:line="360" w:lineRule="auto"/>
        <w:ind w:firstLine="720"/>
        <w:jc w:val="both"/>
        <w:rPr>
          <w:rFonts w:ascii="Times New Roman" w:hAnsi="Times New Roman" w:cs="Times New Roman"/>
          <w:color w:val="000000"/>
          <w:sz w:val="24"/>
          <w:szCs w:val="24"/>
        </w:rPr>
      </w:pPr>
    </w:p>
    <w:p w:rsidR="0007057C" w:rsidRDefault="0007057C" w:rsidP="008424D9">
      <w:pPr>
        <w:spacing w:after="200" w:line="360" w:lineRule="auto"/>
        <w:ind w:firstLine="720"/>
        <w:jc w:val="both"/>
        <w:rPr>
          <w:rFonts w:ascii="Times New Roman" w:hAnsi="Times New Roman" w:cs="Times New Roman"/>
          <w:color w:val="000000"/>
          <w:sz w:val="24"/>
          <w:szCs w:val="24"/>
        </w:rPr>
      </w:pPr>
    </w:p>
    <w:p w:rsidR="000369ED" w:rsidRPr="001B279B" w:rsidRDefault="000369ED" w:rsidP="0007057C">
      <w:pPr>
        <w:spacing w:after="200"/>
        <w:ind w:firstLine="720"/>
        <w:jc w:val="both"/>
        <w:rPr>
          <w:rFonts w:ascii="Times New Roman" w:hAnsi="Times New Roman" w:cs="Times New Roman"/>
          <w:color w:val="000000"/>
          <w:sz w:val="24"/>
          <w:szCs w:val="24"/>
        </w:rPr>
      </w:pPr>
      <w:r w:rsidRPr="001B279B">
        <w:rPr>
          <w:rFonts w:ascii="Times New Roman" w:hAnsi="Times New Roman" w:cs="Times New Roman"/>
          <w:color w:val="000000"/>
          <w:sz w:val="24"/>
          <w:szCs w:val="24"/>
        </w:rPr>
        <w:t>Согласно ХИСТОПАТОЛОШКИОТ НАОД, во целиот примерок на испитаници со МАЛИГЕН ТУМОР на паротидните жлезди, највисока просечната возраст беше регистрирана</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кај </w:t>
      </w:r>
      <w:r w:rsidR="009E2AA2" w:rsidRPr="001B279B">
        <w:rPr>
          <w:rFonts w:ascii="Times New Roman" w:hAnsi="Times New Roman" w:cs="Times New Roman"/>
          <w:bCs/>
          <w:color w:val="000000"/>
          <w:sz w:val="24"/>
          <w:szCs w:val="24"/>
          <w:lang w:val="en-US"/>
        </w:rPr>
        <w:t>PC</w:t>
      </w:r>
      <w:r w:rsidRPr="001B279B">
        <w:rPr>
          <w:rFonts w:ascii="Times New Roman" w:hAnsi="Times New Roman" w:cs="Times New Roman"/>
          <w:bCs/>
          <w:color w:val="000000"/>
          <w:sz w:val="24"/>
          <w:szCs w:val="24"/>
        </w:rPr>
        <w:t xml:space="preserve"> - </w:t>
      </w:r>
      <w:r w:rsidR="009E2AA2" w:rsidRPr="001B279B">
        <w:rPr>
          <w:rFonts w:ascii="Times New Roman" w:hAnsi="Times New Roman" w:cs="Times New Roman"/>
          <w:color w:val="000000"/>
          <w:sz w:val="24"/>
          <w:szCs w:val="24"/>
        </w:rPr>
        <w:t>75,7±9,5</w:t>
      </w:r>
      <w:r w:rsidR="009E2AA2"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години</w:t>
      </w:r>
      <w:r w:rsidRPr="001B279B">
        <w:rPr>
          <w:rFonts w:ascii="Times New Roman" w:hAnsi="Times New Roman" w:cs="Times New Roman"/>
          <w:color w:val="000000"/>
          <w:sz w:val="24"/>
          <w:szCs w:val="24"/>
        </w:rPr>
        <w:t xml:space="preserve"> со 50% пациенти на возраст </w:t>
      </w:r>
      <w:r w:rsidRPr="00A926CA">
        <w:rPr>
          <w:rFonts w:ascii="Times New Roman" w:hAnsi="Times New Roman" w:cs="Times New Roman"/>
          <w:color w:val="000000"/>
          <w:sz w:val="24"/>
          <w:szCs w:val="24"/>
          <w:lang w:val="ru-RU"/>
        </w:rPr>
        <w:t>&lt;</w:t>
      </w:r>
      <w:r w:rsidR="009E2AA2" w:rsidRPr="00A926CA">
        <w:rPr>
          <w:rFonts w:ascii="Times New Roman" w:hAnsi="Times New Roman" w:cs="Times New Roman"/>
          <w:color w:val="000000"/>
          <w:sz w:val="24"/>
          <w:szCs w:val="24"/>
          <w:lang w:val="ru-RU"/>
        </w:rPr>
        <w:t>78</w:t>
      </w:r>
      <w:r w:rsidRPr="001B279B">
        <w:rPr>
          <w:rFonts w:ascii="Times New Roman" w:hAnsi="Times New Roman" w:cs="Times New Roman"/>
          <w:color w:val="000000"/>
          <w:sz w:val="24"/>
          <w:szCs w:val="24"/>
        </w:rPr>
        <w:t>,5</w:t>
      </w:r>
      <w:r w:rsidRPr="00A926CA">
        <w:rPr>
          <w:rFonts w:ascii="Times New Roman" w:hAnsi="Times New Roman" w:cs="Times New Roman"/>
          <w:color w:val="000000"/>
          <w:sz w:val="24"/>
          <w:szCs w:val="24"/>
          <w:lang w:val="ru-RU"/>
        </w:rPr>
        <w:t xml:space="preserve"> години за </w:t>
      </w:r>
      <w:r w:rsidRPr="001B279B">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lang w:val="en-US"/>
        </w:rPr>
        <w:t>IQR</w:t>
      </w:r>
      <w:r w:rsidRPr="001B279B">
        <w:rPr>
          <w:rFonts w:ascii="Times New Roman" w:hAnsi="Times New Roman" w:cs="Times New Roman"/>
          <w:color w:val="000000"/>
          <w:sz w:val="24"/>
          <w:szCs w:val="24"/>
        </w:rPr>
        <w:t>=</w:t>
      </w:r>
      <w:r w:rsidR="009E2AA2" w:rsidRPr="001B279B">
        <w:rPr>
          <w:rFonts w:ascii="Times New Roman" w:hAnsi="Times New Roman" w:cs="Times New Roman"/>
          <w:color w:val="000000"/>
          <w:sz w:val="24"/>
          <w:szCs w:val="24"/>
        </w:rPr>
        <w:t>78,5 (70-81)</w:t>
      </w:r>
      <w:r w:rsidR="009E2AA2"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следено со </w:t>
      </w:r>
      <w:r w:rsidR="009E2AA2" w:rsidRPr="001B279B">
        <w:rPr>
          <w:rFonts w:ascii="Times New Roman" w:hAnsi="Times New Roman" w:cs="Times New Roman"/>
          <w:color w:val="000000"/>
          <w:sz w:val="24"/>
          <w:szCs w:val="24"/>
          <w:lang w:val="en-US"/>
        </w:rPr>
        <w:t>Ly</w:t>
      </w:r>
      <w:r w:rsidR="009E2AA2" w:rsidRPr="00A926CA">
        <w:rPr>
          <w:rFonts w:ascii="Times New Roman" w:hAnsi="Times New Roman" w:cs="Times New Roman"/>
          <w:color w:val="000000"/>
          <w:sz w:val="24"/>
          <w:szCs w:val="24"/>
          <w:lang w:val="ru-RU"/>
        </w:rPr>
        <w:t xml:space="preserve"> - </w:t>
      </w:r>
      <w:r w:rsidR="009E2AA2" w:rsidRPr="001B279B">
        <w:rPr>
          <w:rFonts w:ascii="Times New Roman" w:hAnsi="Times New Roman" w:cs="Times New Roman"/>
          <w:color w:val="000000"/>
          <w:sz w:val="24"/>
          <w:szCs w:val="24"/>
        </w:rPr>
        <w:t xml:space="preserve">72,0±0,0 години, </w:t>
      </w:r>
      <w:r w:rsidR="009E2AA2" w:rsidRPr="001B279B">
        <w:rPr>
          <w:rFonts w:ascii="Times New Roman" w:hAnsi="Times New Roman" w:cs="Times New Roman"/>
          <w:bCs/>
          <w:color w:val="000000"/>
          <w:sz w:val="24"/>
          <w:szCs w:val="24"/>
          <w:lang w:val="en-US"/>
        </w:rPr>
        <w:t>AC</w:t>
      </w:r>
      <w:r w:rsidRPr="001B279B">
        <w:rPr>
          <w:rFonts w:ascii="Times New Roman" w:hAnsi="Times New Roman" w:cs="Times New Roman"/>
          <w:bCs/>
          <w:color w:val="000000"/>
          <w:sz w:val="24"/>
          <w:szCs w:val="24"/>
        </w:rPr>
        <w:t xml:space="preserve"> - </w:t>
      </w:r>
      <w:r w:rsidR="009E2AA2" w:rsidRPr="001B279B">
        <w:rPr>
          <w:rFonts w:ascii="Times New Roman" w:hAnsi="Times New Roman" w:cs="Times New Roman"/>
          <w:color w:val="000000"/>
          <w:sz w:val="24"/>
          <w:szCs w:val="24"/>
        </w:rPr>
        <w:t>63±16,1</w:t>
      </w:r>
      <w:r w:rsidR="009E2AA2"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години</w:t>
      </w:r>
      <w:r w:rsidRPr="001B279B">
        <w:rPr>
          <w:rFonts w:ascii="Times New Roman" w:hAnsi="Times New Roman" w:cs="Times New Roman"/>
          <w:color w:val="000000"/>
          <w:sz w:val="24"/>
          <w:szCs w:val="24"/>
        </w:rPr>
        <w:t xml:space="preserve"> со 50% на возраст </w:t>
      </w:r>
      <w:r w:rsidRPr="00A926CA">
        <w:rPr>
          <w:rFonts w:ascii="Times New Roman" w:hAnsi="Times New Roman" w:cs="Times New Roman"/>
          <w:color w:val="000000"/>
          <w:sz w:val="24"/>
          <w:szCs w:val="24"/>
          <w:lang w:val="ru-RU"/>
        </w:rPr>
        <w:t>&lt;</w:t>
      </w:r>
      <w:r w:rsidR="009E2AA2" w:rsidRPr="00A926CA">
        <w:rPr>
          <w:rFonts w:ascii="Times New Roman" w:hAnsi="Times New Roman" w:cs="Times New Roman"/>
          <w:color w:val="000000"/>
          <w:sz w:val="24"/>
          <w:szCs w:val="24"/>
          <w:lang w:val="ru-RU"/>
        </w:rPr>
        <w:t>6</w:t>
      </w:r>
      <w:r w:rsidRPr="00A926CA">
        <w:rPr>
          <w:rFonts w:ascii="Times New Roman" w:hAnsi="Times New Roman" w:cs="Times New Roman"/>
          <w:color w:val="000000"/>
          <w:sz w:val="24"/>
          <w:szCs w:val="24"/>
          <w:lang w:val="ru-RU"/>
        </w:rPr>
        <w:t xml:space="preserve">5 години за </w:t>
      </w:r>
      <w:r w:rsidRPr="001B279B">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lang w:val="en-US"/>
        </w:rPr>
        <w:t>IQR</w:t>
      </w:r>
      <w:r w:rsidRPr="001B279B">
        <w:rPr>
          <w:rFonts w:ascii="Times New Roman" w:hAnsi="Times New Roman" w:cs="Times New Roman"/>
          <w:color w:val="000000"/>
          <w:sz w:val="24"/>
          <w:szCs w:val="24"/>
        </w:rPr>
        <w:t>=</w:t>
      </w:r>
      <w:r w:rsidR="009E2AA2" w:rsidRPr="001B279B">
        <w:rPr>
          <w:rFonts w:ascii="Times New Roman" w:hAnsi="Times New Roman" w:cs="Times New Roman"/>
          <w:color w:val="000000"/>
          <w:sz w:val="24"/>
          <w:szCs w:val="24"/>
        </w:rPr>
        <w:t>65 (46-78) и ACC - 62,0±0,0</w:t>
      </w:r>
      <w:r w:rsidR="009E2AA2" w:rsidRPr="00A926CA">
        <w:rPr>
          <w:rFonts w:ascii="Times New Roman" w:hAnsi="Times New Roman" w:cs="Times New Roman"/>
          <w:color w:val="000000"/>
          <w:sz w:val="24"/>
          <w:szCs w:val="24"/>
          <w:lang w:val="ru-RU"/>
        </w:rPr>
        <w:t xml:space="preserve"> </w:t>
      </w:r>
      <w:r w:rsidR="009E2AA2" w:rsidRPr="001B279B">
        <w:rPr>
          <w:rFonts w:ascii="Times New Roman" w:hAnsi="Times New Roman" w:cs="Times New Roman"/>
          <w:color w:val="000000"/>
          <w:sz w:val="24"/>
          <w:szCs w:val="24"/>
        </w:rPr>
        <w:t>години</w:t>
      </w:r>
      <w:r w:rsidRPr="001B279B">
        <w:rPr>
          <w:rFonts w:ascii="Times New Roman" w:hAnsi="Times New Roman" w:cs="Times New Roman"/>
          <w:color w:val="000000"/>
          <w:sz w:val="24"/>
          <w:szCs w:val="24"/>
        </w:rPr>
        <w:t>. Најниска просечна возраст беше регистрирана кај пациентите со</w:t>
      </w:r>
      <w:r w:rsidRPr="00A926CA">
        <w:rPr>
          <w:rFonts w:ascii="Times New Roman" w:hAnsi="Times New Roman" w:cs="Times New Roman"/>
          <w:color w:val="000000"/>
          <w:sz w:val="24"/>
          <w:szCs w:val="24"/>
          <w:lang w:val="ru-RU"/>
        </w:rPr>
        <w:t xml:space="preserve"> </w:t>
      </w:r>
      <w:r w:rsidR="009E2AA2" w:rsidRPr="001B279B">
        <w:rPr>
          <w:rFonts w:ascii="Times New Roman" w:hAnsi="Times New Roman" w:cs="Times New Roman"/>
          <w:bCs/>
          <w:color w:val="000000"/>
          <w:sz w:val="24"/>
          <w:szCs w:val="24"/>
          <w:lang w:val="en-US"/>
        </w:rPr>
        <w:t>CEA</w:t>
      </w:r>
      <w:r w:rsidR="009E2AA2" w:rsidRPr="00A926CA">
        <w:rPr>
          <w:rFonts w:ascii="Times New Roman" w:hAnsi="Times New Roman" w:cs="Times New Roman"/>
          <w:bCs/>
          <w:color w:val="000000"/>
          <w:sz w:val="24"/>
          <w:szCs w:val="24"/>
          <w:lang w:val="ru-RU"/>
        </w:rPr>
        <w:t xml:space="preserve"> </w:t>
      </w:r>
      <w:r w:rsidRPr="001B279B">
        <w:rPr>
          <w:rFonts w:ascii="Times New Roman" w:hAnsi="Times New Roman" w:cs="Times New Roman"/>
          <w:bCs/>
          <w:color w:val="000000"/>
          <w:sz w:val="24"/>
          <w:szCs w:val="24"/>
        </w:rPr>
        <w:t xml:space="preserve">- </w:t>
      </w:r>
      <w:r w:rsidR="009E2AA2" w:rsidRPr="001B279B">
        <w:rPr>
          <w:rFonts w:ascii="Times New Roman" w:hAnsi="Times New Roman" w:cs="Times New Roman"/>
          <w:color w:val="000000"/>
          <w:sz w:val="24"/>
          <w:szCs w:val="24"/>
        </w:rPr>
        <w:t>47,0±8,5</w:t>
      </w:r>
      <w:r w:rsidR="009E2AA2"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години</w:t>
      </w:r>
      <w:r w:rsidRPr="001B279B">
        <w:rPr>
          <w:rFonts w:ascii="Times New Roman" w:hAnsi="Times New Roman" w:cs="Times New Roman"/>
          <w:color w:val="000000"/>
          <w:sz w:val="24"/>
          <w:szCs w:val="24"/>
        </w:rPr>
        <w:t xml:space="preserve"> каде 50% беа на возраст </w:t>
      </w:r>
      <w:r w:rsidRPr="00A926CA">
        <w:rPr>
          <w:rFonts w:ascii="Times New Roman" w:hAnsi="Times New Roman" w:cs="Times New Roman"/>
          <w:color w:val="000000"/>
          <w:sz w:val="24"/>
          <w:szCs w:val="24"/>
          <w:lang w:val="ru-RU"/>
        </w:rPr>
        <w:t>&lt;</w:t>
      </w:r>
      <w:r w:rsidR="009E2AA2" w:rsidRPr="00A926CA">
        <w:rPr>
          <w:rFonts w:ascii="Times New Roman" w:hAnsi="Times New Roman" w:cs="Times New Roman"/>
          <w:color w:val="000000"/>
          <w:sz w:val="24"/>
          <w:szCs w:val="24"/>
          <w:lang w:val="ru-RU"/>
        </w:rPr>
        <w:t xml:space="preserve">47 </w:t>
      </w:r>
      <w:r w:rsidRPr="00A926CA">
        <w:rPr>
          <w:rFonts w:ascii="Times New Roman" w:hAnsi="Times New Roman" w:cs="Times New Roman"/>
          <w:color w:val="000000"/>
          <w:sz w:val="24"/>
          <w:szCs w:val="24"/>
          <w:lang w:val="ru-RU"/>
        </w:rPr>
        <w:t xml:space="preserve">години за </w:t>
      </w:r>
      <w:r w:rsidRPr="001B279B">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lang w:val="en-US"/>
        </w:rPr>
        <w:t>IQR</w:t>
      </w:r>
      <w:r w:rsidRPr="001B279B">
        <w:rPr>
          <w:rFonts w:ascii="Times New Roman" w:hAnsi="Times New Roman" w:cs="Times New Roman"/>
          <w:color w:val="000000"/>
          <w:sz w:val="24"/>
          <w:szCs w:val="24"/>
        </w:rPr>
        <w:t>=</w:t>
      </w:r>
      <w:r w:rsidR="009E2AA2" w:rsidRPr="001B279B">
        <w:rPr>
          <w:rFonts w:ascii="Times New Roman" w:hAnsi="Times New Roman" w:cs="Times New Roman"/>
          <w:color w:val="000000"/>
          <w:sz w:val="24"/>
          <w:szCs w:val="24"/>
        </w:rPr>
        <w:t>47 (41-53)</w:t>
      </w:r>
      <w:r w:rsidRPr="001B279B">
        <w:rPr>
          <w:rFonts w:ascii="Times New Roman" w:hAnsi="Times New Roman" w:cs="Times New Roman"/>
          <w:color w:val="000000"/>
          <w:sz w:val="24"/>
          <w:szCs w:val="24"/>
        </w:rPr>
        <w:t xml:space="preserve">. За p&gt;0,05, немаше сигнификантна разлика помеѓу типовите на </w:t>
      </w:r>
      <w:r w:rsidR="009E2AA2" w:rsidRPr="001B279B">
        <w:rPr>
          <w:rFonts w:ascii="Times New Roman" w:hAnsi="Times New Roman" w:cs="Times New Roman"/>
          <w:color w:val="000000"/>
          <w:sz w:val="24"/>
          <w:szCs w:val="24"/>
        </w:rPr>
        <w:t>малигни</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тумори во однос на возраста на пациентите за </w:t>
      </w:r>
      <w:r w:rsidRPr="001B279B">
        <w:rPr>
          <w:rFonts w:ascii="Times New Roman" w:hAnsi="Times New Roman"/>
          <w:color w:val="000000"/>
          <w:sz w:val="24"/>
          <w:szCs w:val="24"/>
        </w:rPr>
        <w:t>Kruskal-Wallis test=</w:t>
      </w:r>
      <w:r w:rsidR="009E2AA2" w:rsidRPr="001B279B">
        <w:rPr>
          <w:rFonts w:ascii="Times New Roman" w:hAnsi="Times New Roman" w:cs="Times New Roman"/>
          <w:color w:val="000000"/>
          <w:sz w:val="24"/>
          <w:szCs w:val="24"/>
        </w:rPr>
        <w:t>X</w:t>
      </w:r>
      <w:r w:rsidR="009E2AA2" w:rsidRPr="001B279B">
        <w:rPr>
          <w:rFonts w:ascii="Times New Roman" w:hAnsi="Times New Roman" w:cs="Times New Roman"/>
          <w:color w:val="000000"/>
          <w:sz w:val="24"/>
          <w:szCs w:val="24"/>
          <w:vertAlign w:val="superscript"/>
        </w:rPr>
        <w:t>2</w:t>
      </w:r>
      <w:r w:rsidR="009E2AA2" w:rsidRPr="001B279B">
        <w:rPr>
          <w:rFonts w:ascii="Times New Roman" w:hAnsi="Times New Roman" w:cs="Times New Roman"/>
          <w:color w:val="000000"/>
          <w:sz w:val="24"/>
          <w:szCs w:val="24"/>
          <w:vertAlign w:val="subscript"/>
        </w:rPr>
        <w:t>(5)</w:t>
      </w:r>
      <w:r w:rsidR="009E2AA2" w:rsidRPr="001B279B">
        <w:rPr>
          <w:rFonts w:ascii="Times New Roman" w:hAnsi="Times New Roman" w:cs="Times New Roman"/>
          <w:color w:val="000000"/>
          <w:sz w:val="24"/>
          <w:szCs w:val="24"/>
        </w:rPr>
        <w:t xml:space="preserve">=6,688; p=0,245 </w:t>
      </w:r>
      <w:r w:rsidRPr="001B279B">
        <w:rPr>
          <w:rFonts w:ascii="Times New Roman" w:hAnsi="Times New Roman" w:cs="Times New Roman"/>
          <w:color w:val="000000"/>
          <w:sz w:val="24"/>
          <w:szCs w:val="24"/>
        </w:rPr>
        <w:t>(Табела 6</w:t>
      </w:r>
      <w:r w:rsidRPr="00A926CA">
        <w:rPr>
          <w:rFonts w:ascii="Times New Roman" w:hAnsi="Times New Roman" w:cs="Times New Roman"/>
          <w:color w:val="000000"/>
          <w:sz w:val="24"/>
          <w:szCs w:val="24"/>
          <w:lang w:val="ru-RU"/>
        </w:rPr>
        <w:t xml:space="preserve"> и График </w:t>
      </w:r>
      <w:r w:rsidR="009E2AA2" w:rsidRPr="001B279B">
        <w:rPr>
          <w:rFonts w:ascii="Times New Roman" w:hAnsi="Times New Roman" w:cs="Times New Roman"/>
          <w:color w:val="000000"/>
          <w:sz w:val="24"/>
          <w:szCs w:val="24"/>
        </w:rPr>
        <w:t>10</w:t>
      </w:r>
      <w:r w:rsidRPr="001B279B">
        <w:rPr>
          <w:rFonts w:ascii="Times New Roman" w:hAnsi="Times New Roman" w:cs="Times New Roman"/>
          <w:color w:val="000000"/>
          <w:sz w:val="24"/>
          <w:szCs w:val="24"/>
        </w:rPr>
        <w:t>).</w:t>
      </w:r>
    </w:p>
    <w:p w:rsidR="0058698E" w:rsidRPr="00A926CA" w:rsidRDefault="00446A60" w:rsidP="00D56A63">
      <w:pPr>
        <w:spacing w:after="200" w:line="360" w:lineRule="auto"/>
        <w:jc w:val="both"/>
        <w:rPr>
          <w:rFonts w:ascii="Times New Roman" w:hAnsi="Times New Roman" w:cs="Times New Roman"/>
          <w:sz w:val="24"/>
          <w:szCs w:val="24"/>
          <w:lang w:val="ru-RU"/>
        </w:rPr>
      </w:pPr>
      <w:r>
        <w:rPr>
          <w:noProof/>
          <w:lang w:val="en-US"/>
        </w:rPr>
        <w:drawing>
          <wp:anchor distT="0" distB="0" distL="114300" distR="114300" simplePos="0" relativeHeight="251654656" behindDoc="1" locked="0" layoutInCell="1" allowOverlap="1">
            <wp:simplePos x="0" y="0"/>
            <wp:positionH relativeFrom="column">
              <wp:posOffset>287020</wp:posOffset>
            </wp:positionH>
            <wp:positionV relativeFrom="paragraph">
              <wp:posOffset>125730</wp:posOffset>
            </wp:positionV>
            <wp:extent cx="5133975" cy="2150110"/>
            <wp:effectExtent l="19050" t="0" r="9525" b="0"/>
            <wp:wrapTight wrapText="bothSides">
              <wp:wrapPolygon edited="0">
                <wp:start x="-80" y="0"/>
                <wp:lineTo x="-80" y="21243"/>
                <wp:lineTo x="21640" y="21243"/>
                <wp:lineTo x="21640" y="0"/>
                <wp:lineTo x="-80" y="0"/>
              </wp:wrapPolygon>
            </wp:wrapTight>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6"/>
                    <a:srcRect/>
                    <a:stretch>
                      <a:fillRect/>
                    </a:stretch>
                  </pic:blipFill>
                  <pic:spPr bwMode="auto">
                    <a:xfrm>
                      <a:off x="0" y="0"/>
                      <a:ext cx="5133975" cy="2150110"/>
                    </a:xfrm>
                    <a:prstGeom prst="rect">
                      <a:avLst/>
                    </a:prstGeom>
                    <a:noFill/>
                    <a:ln w="9525">
                      <a:noFill/>
                      <a:miter lim="800000"/>
                      <a:headEnd/>
                      <a:tailEnd/>
                    </a:ln>
                  </pic:spPr>
                </pic:pic>
              </a:graphicData>
            </a:graphic>
          </wp:anchor>
        </w:drawing>
      </w:r>
      <w:r w:rsidR="000369ED" w:rsidRPr="001B279B">
        <w:rPr>
          <w:rFonts w:ascii="Times New Roman" w:hAnsi="Times New Roman" w:cs="Times New Roman"/>
          <w:sz w:val="24"/>
          <w:szCs w:val="24"/>
        </w:rPr>
        <w:tab/>
      </w:r>
    </w:p>
    <w:p w:rsidR="0058698E" w:rsidRPr="00A926CA" w:rsidRDefault="0058698E" w:rsidP="00D56A63">
      <w:pPr>
        <w:spacing w:after="200" w:line="360" w:lineRule="auto"/>
        <w:jc w:val="both"/>
        <w:rPr>
          <w:rFonts w:ascii="Times New Roman" w:hAnsi="Times New Roman" w:cs="Times New Roman"/>
          <w:sz w:val="24"/>
          <w:szCs w:val="24"/>
          <w:lang w:val="ru-RU"/>
        </w:rPr>
      </w:pPr>
    </w:p>
    <w:p w:rsidR="0058698E" w:rsidRPr="00A926CA" w:rsidRDefault="0058698E" w:rsidP="00D56A63">
      <w:pPr>
        <w:spacing w:after="200" w:line="360" w:lineRule="auto"/>
        <w:jc w:val="both"/>
        <w:rPr>
          <w:rFonts w:ascii="Times New Roman" w:hAnsi="Times New Roman" w:cs="Times New Roman"/>
          <w:sz w:val="24"/>
          <w:szCs w:val="24"/>
          <w:lang w:val="ru-RU"/>
        </w:rPr>
      </w:pPr>
    </w:p>
    <w:p w:rsidR="0058698E" w:rsidRPr="00A926CA" w:rsidRDefault="0058698E" w:rsidP="00D56A63">
      <w:pPr>
        <w:spacing w:after="200" w:line="360" w:lineRule="auto"/>
        <w:jc w:val="both"/>
        <w:rPr>
          <w:rFonts w:ascii="Times New Roman" w:hAnsi="Times New Roman" w:cs="Times New Roman"/>
          <w:sz w:val="24"/>
          <w:szCs w:val="24"/>
          <w:lang w:val="ru-RU"/>
        </w:rPr>
      </w:pPr>
    </w:p>
    <w:p w:rsidR="0058698E" w:rsidRPr="00A926CA" w:rsidRDefault="0058698E" w:rsidP="00D56A63">
      <w:pPr>
        <w:spacing w:after="200" w:line="360" w:lineRule="auto"/>
        <w:jc w:val="both"/>
        <w:rPr>
          <w:rFonts w:ascii="Times New Roman" w:hAnsi="Times New Roman" w:cs="Times New Roman"/>
          <w:sz w:val="24"/>
          <w:szCs w:val="24"/>
          <w:lang w:val="ru-RU"/>
        </w:rPr>
      </w:pPr>
    </w:p>
    <w:p w:rsidR="0058698E" w:rsidRPr="00A926CA" w:rsidRDefault="0058698E" w:rsidP="00D56A63">
      <w:pPr>
        <w:spacing w:after="200" w:line="360" w:lineRule="auto"/>
        <w:jc w:val="both"/>
        <w:rPr>
          <w:rFonts w:ascii="Times New Roman" w:hAnsi="Times New Roman" w:cs="Times New Roman"/>
          <w:sz w:val="24"/>
          <w:szCs w:val="24"/>
          <w:lang w:val="ru-RU"/>
        </w:rPr>
      </w:pPr>
    </w:p>
    <w:p w:rsidR="0058698E" w:rsidRDefault="0058698E" w:rsidP="00A4345E">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10</w:t>
      </w:r>
      <w:r w:rsidRPr="00E5190C">
        <w:rPr>
          <w:rFonts w:ascii="Times New Roman" w:hAnsi="Times New Roman" w:cs="Times New Roman"/>
          <w:b/>
          <w:color w:val="000000"/>
          <w:sz w:val="20"/>
          <w:szCs w:val="20"/>
        </w:rPr>
        <w:t>. Анализа на тип</w:t>
      </w:r>
      <w:r w:rsidRPr="00A926CA">
        <w:rPr>
          <w:rFonts w:ascii="Times New Roman" w:hAnsi="Times New Roman" w:cs="Times New Roman"/>
          <w:b/>
          <w:color w:val="000000"/>
          <w:sz w:val="20"/>
          <w:szCs w:val="20"/>
          <w:lang w:val="ru-RU"/>
        </w:rPr>
        <w:t xml:space="preserve"> на </w:t>
      </w:r>
      <w:r>
        <w:rPr>
          <w:rFonts w:ascii="Times New Roman" w:hAnsi="Times New Roman" w:cs="Times New Roman"/>
          <w:b/>
          <w:color w:val="000000"/>
          <w:sz w:val="20"/>
          <w:szCs w:val="20"/>
        </w:rPr>
        <w:t xml:space="preserve">малигни </w:t>
      </w:r>
      <w:r w:rsidRPr="00A926CA">
        <w:rPr>
          <w:rFonts w:ascii="Times New Roman" w:hAnsi="Times New Roman" w:cs="Times New Roman"/>
          <w:b/>
          <w:color w:val="000000"/>
          <w:sz w:val="20"/>
          <w:szCs w:val="20"/>
          <w:lang w:val="ru-RU"/>
        </w:rPr>
        <w:t>тумор</w:t>
      </w:r>
      <w:r>
        <w:rPr>
          <w:rFonts w:ascii="Times New Roman" w:hAnsi="Times New Roman" w:cs="Times New Roman"/>
          <w:b/>
          <w:color w:val="000000"/>
          <w:sz w:val="20"/>
          <w:szCs w:val="20"/>
        </w:rPr>
        <w:t>и</w:t>
      </w:r>
      <w:r w:rsidRPr="00A926CA">
        <w:rPr>
          <w:rFonts w:ascii="Times New Roman" w:hAnsi="Times New Roman" w:cs="Times New Roman"/>
          <w:b/>
          <w:color w:val="000000"/>
          <w:sz w:val="20"/>
          <w:szCs w:val="20"/>
          <w:lang w:val="ru-RU"/>
        </w:rPr>
        <w:t xml:space="preserve"> </w:t>
      </w:r>
      <w:r w:rsidRPr="00E5190C">
        <w:rPr>
          <w:rFonts w:ascii="Times New Roman" w:hAnsi="Times New Roman" w:cs="Times New Roman"/>
          <w:b/>
          <w:color w:val="000000"/>
          <w:sz w:val="20"/>
          <w:szCs w:val="20"/>
        </w:rPr>
        <w:t xml:space="preserve">на паротидни жлезди </w:t>
      </w:r>
      <w:r w:rsidRPr="00A926CA">
        <w:rPr>
          <w:rFonts w:ascii="Times New Roman" w:hAnsi="Times New Roman" w:cs="Times New Roman"/>
          <w:b/>
          <w:color w:val="000000"/>
          <w:sz w:val="20"/>
          <w:szCs w:val="20"/>
          <w:lang w:val="ru-RU"/>
        </w:rPr>
        <w:t>според</w:t>
      </w:r>
      <w:r>
        <w:rPr>
          <w:rFonts w:ascii="Times New Roman" w:hAnsi="Times New Roman" w:cs="Times New Roman"/>
          <w:b/>
          <w:color w:val="000000"/>
          <w:sz w:val="20"/>
          <w:szCs w:val="20"/>
        </w:rPr>
        <w:t xml:space="preserve"> </w:t>
      </w:r>
    </w:p>
    <w:p w:rsidR="0058698E" w:rsidRPr="00995D7E" w:rsidRDefault="0058698E" w:rsidP="0058698E">
      <w:pPr>
        <w:jc w:val="center"/>
        <w:rPr>
          <w:rFonts w:ascii="Times New Roman" w:hAnsi="Times New Roman" w:cs="Times New Roman"/>
          <w:b/>
          <w:color w:val="000000"/>
          <w:sz w:val="20"/>
          <w:szCs w:val="20"/>
        </w:rPr>
      </w:pPr>
      <w:r w:rsidRPr="00A926CA">
        <w:rPr>
          <w:rFonts w:ascii="Times New Roman" w:hAnsi="Times New Roman" w:cs="Times New Roman"/>
          <w:b/>
          <w:color w:val="000000"/>
          <w:sz w:val="20"/>
          <w:szCs w:val="20"/>
          <w:lang w:val="ru-RU"/>
        </w:rPr>
        <w:t>в</w:t>
      </w:r>
      <w:r w:rsidRPr="00E5190C">
        <w:rPr>
          <w:rFonts w:ascii="Times New Roman" w:hAnsi="Times New Roman" w:cs="Times New Roman"/>
          <w:b/>
          <w:color w:val="000000"/>
          <w:sz w:val="20"/>
          <w:szCs w:val="20"/>
        </w:rPr>
        <w:t>озраст – испитувана група</w:t>
      </w:r>
    </w:p>
    <w:p w:rsidR="0058698E" w:rsidRPr="00A926CA" w:rsidRDefault="0058698E" w:rsidP="00D56A63">
      <w:pPr>
        <w:spacing w:after="200" w:line="360" w:lineRule="auto"/>
        <w:jc w:val="both"/>
        <w:rPr>
          <w:rFonts w:ascii="Times New Roman" w:hAnsi="Times New Roman" w:cs="Times New Roman"/>
          <w:sz w:val="24"/>
          <w:szCs w:val="24"/>
          <w:lang w:val="ru-RU"/>
        </w:rPr>
      </w:pPr>
    </w:p>
    <w:p w:rsidR="00D56A63" w:rsidRPr="001B279B" w:rsidRDefault="00D56A63" w:rsidP="00066A6D">
      <w:pPr>
        <w:spacing w:after="200"/>
        <w:ind w:firstLine="720"/>
        <w:jc w:val="both"/>
        <w:rPr>
          <w:rFonts w:ascii="Times New Roman" w:hAnsi="Times New Roman" w:cs="Times New Roman"/>
          <w:sz w:val="24"/>
          <w:szCs w:val="24"/>
        </w:rPr>
      </w:pPr>
      <w:r w:rsidRPr="001B279B">
        <w:rPr>
          <w:rFonts w:ascii="Times New Roman" w:hAnsi="Times New Roman" w:cs="Times New Roman"/>
          <w:sz w:val="24"/>
          <w:szCs w:val="24"/>
          <w:lang w:val="en-US"/>
        </w:rPr>
        <w:t>O</w:t>
      </w:r>
      <w:r w:rsidRPr="001B279B">
        <w:rPr>
          <w:rFonts w:ascii="Times New Roman" w:hAnsi="Times New Roman" w:cs="Times New Roman"/>
          <w:sz w:val="24"/>
          <w:szCs w:val="24"/>
        </w:rPr>
        <w:t xml:space="preserve">д шестте анализирани типови </w:t>
      </w:r>
      <w:r w:rsidRPr="00A926CA">
        <w:rPr>
          <w:rFonts w:ascii="Times New Roman" w:hAnsi="Times New Roman" w:cs="Times New Roman"/>
          <w:sz w:val="24"/>
          <w:szCs w:val="24"/>
          <w:lang w:val="ru-RU"/>
        </w:rPr>
        <w:t>на</w:t>
      </w:r>
      <w:r w:rsidR="000369ED" w:rsidRPr="001B279B">
        <w:rPr>
          <w:rFonts w:ascii="Times New Roman" w:hAnsi="Times New Roman" w:cs="Times New Roman"/>
          <w:sz w:val="24"/>
          <w:szCs w:val="24"/>
        </w:rPr>
        <w:t xml:space="preserve"> </w:t>
      </w:r>
      <w:r w:rsidR="008424D9" w:rsidRPr="001B279B">
        <w:rPr>
          <w:rFonts w:ascii="Times New Roman" w:hAnsi="Times New Roman" w:cs="Times New Roman"/>
          <w:sz w:val="24"/>
          <w:szCs w:val="24"/>
        </w:rPr>
        <w:t xml:space="preserve">малигни тумори на паротидните жлезди, кај мажите беа присутни 4 </w:t>
      </w:r>
      <w:r w:rsidR="00B87CC5">
        <w:rPr>
          <w:rFonts w:ascii="Times New Roman" w:hAnsi="Times New Roman" w:cs="Times New Roman"/>
          <w:sz w:val="24"/>
          <w:szCs w:val="24"/>
        </w:rPr>
        <w:t xml:space="preserve">типа </w:t>
      </w:r>
      <w:r w:rsidR="008424D9" w:rsidRPr="001B279B">
        <w:rPr>
          <w:rFonts w:ascii="Times New Roman" w:hAnsi="Times New Roman" w:cs="Times New Roman"/>
          <w:sz w:val="24"/>
          <w:szCs w:val="24"/>
        </w:rPr>
        <w:t>(AC. PC, MEC</w:t>
      </w:r>
      <w:r w:rsidR="008424D9" w:rsidRPr="001B279B">
        <w:rPr>
          <w:rFonts w:ascii="Times New Roman" w:hAnsi="Times New Roman" w:cs="Times New Roman"/>
          <w:sz w:val="24"/>
          <w:szCs w:val="24"/>
          <w:lang w:val="en-US"/>
        </w:rPr>
        <w:t>, и</w:t>
      </w:r>
      <w:r w:rsidR="008424D9" w:rsidRPr="001B279B">
        <w:rPr>
          <w:rFonts w:ascii="Times New Roman" w:hAnsi="Times New Roman" w:cs="Times New Roman"/>
          <w:sz w:val="24"/>
          <w:szCs w:val="24"/>
        </w:rPr>
        <w:t xml:space="preserve"> CEA), а кај жените три </w:t>
      </w:r>
      <w:r w:rsidR="00B87CC5">
        <w:rPr>
          <w:rFonts w:ascii="Times New Roman" w:hAnsi="Times New Roman" w:cs="Times New Roman"/>
          <w:sz w:val="24"/>
          <w:szCs w:val="24"/>
        </w:rPr>
        <w:t xml:space="preserve">типа </w:t>
      </w:r>
      <w:r w:rsidR="008424D9" w:rsidRPr="001B279B">
        <w:rPr>
          <w:rFonts w:ascii="Times New Roman" w:hAnsi="Times New Roman" w:cs="Times New Roman"/>
          <w:sz w:val="24"/>
          <w:szCs w:val="24"/>
        </w:rPr>
        <w:t>(PC, Ly, и ACC)</w:t>
      </w:r>
      <w:r w:rsidR="00B87CC5">
        <w:rPr>
          <w:rFonts w:ascii="Times New Roman" w:hAnsi="Times New Roman" w:cs="Times New Roman"/>
          <w:sz w:val="24"/>
          <w:szCs w:val="24"/>
        </w:rPr>
        <w:t xml:space="preserve"> (Табела 6</w:t>
      </w:r>
      <w:r w:rsidR="0058698E">
        <w:rPr>
          <w:rFonts w:ascii="Times New Roman" w:hAnsi="Times New Roman" w:cs="Times New Roman"/>
          <w:sz w:val="24"/>
          <w:szCs w:val="24"/>
          <w:lang w:val="en-US"/>
        </w:rPr>
        <w:t xml:space="preserve"> </w:t>
      </w:r>
      <w:r w:rsidR="00555439">
        <w:rPr>
          <w:rFonts w:ascii="Times New Roman" w:hAnsi="Times New Roman" w:cs="Times New Roman"/>
          <w:sz w:val="24"/>
          <w:szCs w:val="24"/>
        </w:rPr>
        <w:t>и</w:t>
      </w:r>
      <w:r w:rsidR="0058698E">
        <w:rPr>
          <w:rFonts w:ascii="Times New Roman" w:hAnsi="Times New Roman" w:cs="Times New Roman"/>
          <w:sz w:val="24"/>
          <w:szCs w:val="24"/>
          <w:lang w:val="en-US"/>
        </w:rPr>
        <w:t xml:space="preserve"> </w:t>
      </w:r>
      <w:r w:rsidR="0058698E" w:rsidRPr="001B279B">
        <w:rPr>
          <w:rFonts w:ascii="Times New Roman" w:hAnsi="Times New Roman" w:cs="Times New Roman"/>
          <w:color w:val="000000"/>
          <w:sz w:val="24"/>
          <w:szCs w:val="24"/>
          <w:lang w:val="en-US"/>
        </w:rPr>
        <w:t xml:space="preserve">График </w:t>
      </w:r>
      <w:r w:rsidR="0058698E" w:rsidRPr="001B279B">
        <w:rPr>
          <w:rFonts w:ascii="Times New Roman" w:hAnsi="Times New Roman" w:cs="Times New Roman"/>
          <w:color w:val="000000"/>
          <w:sz w:val="24"/>
          <w:szCs w:val="24"/>
        </w:rPr>
        <w:t>1</w:t>
      </w:r>
      <w:r w:rsidR="0058698E">
        <w:rPr>
          <w:rFonts w:ascii="Times New Roman" w:hAnsi="Times New Roman" w:cs="Times New Roman"/>
          <w:color w:val="000000"/>
          <w:sz w:val="24"/>
          <w:szCs w:val="24"/>
          <w:lang w:val="en-US"/>
        </w:rPr>
        <w:t>1</w:t>
      </w:r>
      <w:r w:rsidR="00B87CC5">
        <w:rPr>
          <w:rFonts w:ascii="Times New Roman" w:hAnsi="Times New Roman" w:cs="Times New Roman"/>
          <w:sz w:val="24"/>
          <w:szCs w:val="24"/>
        </w:rPr>
        <w:t>)</w:t>
      </w:r>
      <w:r w:rsidR="008424D9" w:rsidRPr="001B279B">
        <w:rPr>
          <w:rFonts w:ascii="Times New Roman" w:hAnsi="Times New Roman" w:cs="Times New Roman"/>
          <w:sz w:val="24"/>
          <w:szCs w:val="24"/>
        </w:rPr>
        <w:t xml:space="preserve">. </w:t>
      </w:r>
    </w:p>
    <w:p w:rsidR="000369ED" w:rsidRPr="001B279B" w:rsidRDefault="00D56A63" w:rsidP="00066A6D">
      <w:pPr>
        <w:ind w:firstLine="720"/>
        <w:jc w:val="both"/>
        <w:rPr>
          <w:sz w:val="24"/>
          <w:szCs w:val="24"/>
        </w:rPr>
      </w:pPr>
      <w:r w:rsidRPr="001B279B">
        <w:rPr>
          <w:rFonts w:ascii="Times New Roman" w:hAnsi="Times New Roman" w:cs="Times New Roman"/>
          <w:sz w:val="24"/>
          <w:szCs w:val="24"/>
        </w:rPr>
        <w:t>К</w:t>
      </w:r>
      <w:r w:rsidR="008424D9" w:rsidRPr="001B279B">
        <w:rPr>
          <w:rFonts w:ascii="Times New Roman" w:hAnsi="Times New Roman" w:cs="Times New Roman"/>
          <w:sz w:val="24"/>
          <w:szCs w:val="24"/>
        </w:rPr>
        <w:t xml:space="preserve">ај </w:t>
      </w:r>
      <w:r w:rsidRPr="001B279B">
        <w:rPr>
          <w:rFonts w:ascii="Times New Roman" w:hAnsi="Times New Roman" w:cs="Times New Roman"/>
          <w:sz w:val="24"/>
          <w:szCs w:val="24"/>
        </w:rPr>
        <w:t xml:space="preserve">пациентите со малиген тумор на паротидните жлезди од машки пол, </w:t>
      </w:r>
      <w:r w:rsidR="000369ED" w:rsidRPr="001B279B">
        <w:rPr>
          <w:rFonts w:ascii="Times New Roman" w:hAnsi="Times New Roman" w:cs="Times New Roman"/>
          <w:sz w:val="24"/>
          <w:szCs w:val="24"/>
        </w:rPr>
        <w:t xml:space="preserve">највисока просечна возраст беше регистрирана кај </w:t>
      </w:r>
      <w:r w:rsidRPr="001B279B">
        <w:rPr>
          <w:rFonts w:ascii="Times New Roman" w:hAnsi="Times New Roman" w:cs="Times New Roman"/>
          <w:sz w:val="24"/>
          <w:szCs w:val="24"/>
        </w:rPr>
        <w:t>PC</w:t>
      </w:r>
      <w:r w:rsidR="000369ED" w:rsidRPr="001B279B">
        <w:rPr>
          <w:rFonts w:ascii="Times New Roman" w:hAnsi="Times New Roman" w:cs="Times New Roman"/>
          <w:bCs/>
          <w:color w:val="000000"/>
          <w:sz w:val="24"/>
          <w:szCs w:val="24"/>
        </w:rPr>
        <w:t xml:space="preserve"> за консеквентно </w:t>
      </w:r>
      <w:r w:rsidRPr="001B279B">
        <w:rPr>
          <w:rFonts w:ascii="Times New Roman" w:hAnsi="Times New Roman" w:cs="Times New Roman"/>
          <w:color w:val="000000"/>
          <w:sz w:val="24"/>
          <w:szCs w:val="24"/>
        </w:rPr>
        <w:t xml:space="preserve">73,0±9,5 години, следено со </w:t>
      </w:r>
      <w:r w:rsidRPr="001B279B">
        <w:rPr>
          <w:rFonts w:ascii="Times New Roman" w:hAnsi="Times New Roman" w:cs="Times New Roman"/>
          <w:sz w:val="24"/>
          <w:szCs w:val="24"/>
        </w:rPr>
        <w:t>AC</w:t>
      </w:r>
      <w:r w:rsidRPr="001B279B">
        <w:rPr>
          <w:rFonts w:ascii="Times New Roman" w:hAnsi="Times New Roman" w:cs="Times New Roman"/>
          <w:color w:val="000000"/>
          <w:sz w:val="24"/>
          <w:szCs w:val="24"/>
        </w:rPr>
        <w:t xml:space="preserve"> - 63,0±16,1 </w:t>
      </w:r>
      <w:r w:rsidR="000369ED" w:rsidRPr="001B279B">
        <w:rPr>
          <w:rFonts w:ascii="Times New Roman" w:hAnsi="Times New Roman" w:cs="Times New Roman"/>
          <w:color w:val="000000"/>
          <w:sz w:val="24"/>
          <w:szCs w:val="24"/>
        </w:rPr>
        <w:t xml:space="preserve">со 50% пациенти </w:t>
      </w:r>
      <w:r w:rsidR="00703301">
        <w:rPr>
          <w:rFonts w:ascii="Times New Roman" w:hAnsi="Times New Roman" w:cs="Times New Roman"/>
          <w:color w:val="000000"/>
          <w:sz w:val="24"/>
          <w:szCs w:val="24"/>
        </w:rPr>
        <w:t xml:space="preserve">на возраст </w:t>
      </w:r>
      <w:r w:rsidR="000369ED" w:rsidRPr="00A926CA">
        <w:rPr>
          <w:rFonts w:ascii="Times New Roman" w:hAnsi="Times New Roman" w:cs="Times New Roman"/>
          <w:color w:val="000000"/>
          <w:sz w:val="24"/>
          <w:szCs w:val="24"/>
          <w:lang w:val="ru-RU"/>
        </w:rPr>
        <w:t>&lt;</w:t>
      </w:r>
      <w:r w:rsidR="000369ED" w:rsidRPr="001B279B">
        <w:rPr>
          <w:rFonts w:ascii="Times New Roman" w:hAnsi="Times New Roman" w:cs="Times New Roman"/>
          <w:color w:val="000000"/>
          <w:sz w:val="24"/>
          <w:szCs w:val="24"/>
        </w:rPr>
        <w:t>6</w:t>
      </w:r>
      <w:r w:rsidRPr="001B279B">
        <w:rPr>
          <w:rFonts w:ascii="Times New Roman" w:hAnsi="Times New Roman" w:cs="Times New Roman"/>
          <w:color w:val="000000"/>
          <w:sz w:val="24"/>
          <w:szCs w:val="24"/>
        </w:rPr>
        <w:t>6</w:t>
      </w:r>
      <w:r w:rsidR="000369ED" w:rsidRPr="001B279B">
        <w:rPr>
          <w:rFonts w:ascii="Times New Roman" w:hAnsi="Times New Roman" w:cs="Times New Roman"/>
          <w:color w:val="000000"/>
          <w:sz w:val="24"/>
          <w:szCs w:val="24"/>
        </w:rPr>
        <w:t xml:space="preserve"> г</w:t>
      </w:r>
      <w:r w:rsidR="000369ED" w:rsidRPr="00A926CA">
        <w:rPr>
          <w:rFonts w:ascii="Times New Roman" w:hAnsi="Times New Roman" w:cs="Times New Roman"/>
          <w:color w:val="000000"/>
          <w:sz w:val="24"/>
          <w:szCs w:val="24"/>
          <w:lang w:val="ru-RU"/>
        </w:rPr>
        <w:t>одини</w:t>
      </w:r>
      <w:r w:rsidR="000369ED" w:rsidRPr="001B279B">
        <w:rPr>
          <w:rFonts w:ascii="Times New Roman" w:hAnsi="Times New Roman" w:cs="Times New Roman"/>
          <w:color w:val="000000"/>
          <w:sz w:val="24"/>
          <w:szCs w:val="24"/>
        </w:rPr>
        <w:t xml:space="preserve">. Најмала просечна возраст </w:t>
      </w:r>
      <w:r w:rsidRPr="001B279B">
        <w:rPr>
          <w:rFonts w:ascii="Times New Roman" w:hAnsi="Times New Roman" w:cs="Times New Roman"/>
          <w:color w:val="000000"/>
          <w:sz w:val="24"/>
          <w:szCs w:val="24"/>
        </w:rPr>
        <w:t xml:space="preserve">кај мажите со малигни тумори беше регистрирана кај </w:t>
      </w:r>
      <w:r w:rsidRPr="001B279B">
        <w:rPr>
          <w:rFonts w:ascii="Times New Roman" w:hAnsi="Times New Roman" w:cs="Times New Roman"/>
          <w:sz w:val="24"/>
          <w:szCs w:val="24"/>
        </w:rPr>
        <w:t>MEC</w:t>
      </w:r>
      <w:r w:rsidRPr="00A926CA">
        <w:rPr>
          <w:rFonts w:ascii="Times New Roman" w:hAnsi="Times New Roman" w:cs="Times New Roman"/>
          <w:sz w:val="24"/>
          <w:szCs w:val="24"/>
          <w:lang w:val="ru-RU"/>
        </w:rPr>
        <w:t>, и</w:t>
      </w:r>
      <w:r w:rsidRPr="001B279B">
        <w:rPr>
          <w:rFonts w:ascii="Times New Roman" w:hAnsi="Times New Roman" w:cs="Times New Roman"/>
          <w:sz w:val="24"/>
          <w:szCs w:val="24"/>
        </w:rPr>
        <w:t xml:space="preserve"> CEA</w:t>
      </w:r>
      <w:r w:rsidRPr="001B279B">
        <w:rPr>
          <w:rFonts w:ascii="Times New Roman" w:hAnsi="Times New Roman" w:cs="Times New Roman"/>
          <w:color w:val="000000"/>
          <w:sz w:val="24"/>
          <w:szCs w:val="24"/>
        </w:rPr>
        <w:t xml:space="preserve"> за консеквентно 54,0±0,0 vs. 47,0±0,0</w:t>
      </w:r>
      <w:r w:rsidRPr="00A926CA">
        <w:rPr>
          <w:rFonts w:ascii="Times New Roman" w:hAnsi="Times New Roman" w:cs="Times New Roman"/>
          <w:color w:val="000000"/>
          <w:sz w:val="24"/>
          <w:szCs w:val="24"/>
          <w:lang w:val="ru-RU"/>
        </w:rPr>
        <w:t xml:space="preserve"> </w:t>
      </w:r>
      <w:r w:rsidR="000369ED" w:rsidRPr="001B279B">
        <w:rPr>
          <w:rFonts w:ascii="Times New Roman" w:hAnsi="Times New Roman" w:cs="Times New Roman"/>
          <w:color w:val="000000"/>
          <w:sz w:val="24"/>
          <w:szCs w:val="24"/>
        </w:rPr>
        <w:t>години</w:t>
      </w:r>
      <w:r w:rsidRPr="001B279B">
        <w:rPr>
          <w:rFonts w:ascii="Times New Roman" w:hAnsi="Times New Roman" w:cs="Times New Roman"/>
          <w:color w:val="000000"/>
          <w:sz w:val="24"/>
          <w:szCs w:val="24"/>
        </w:rPr>
        <w:t xml:space="preserve"> (Табела 6</w:t>
      </w:r>
      <w:r w:rsidRPr="00A926CA">
        <w:rPr>
          <w:rFonts w:ascii="Times New Roman" w:hAnsi="Times New Roman" w:cs="Times New Roman"/>
          <w:color w:val="000000"/>
          <w:sz w:val="24"/>
          <w:szCs w:val="24"/>
          <w:lang w:val="ru-RU"/>
        </w:rPr>
        <w:t xml:space="preserve"> и График </w:t>
      </w:r>
      <w:r w:rsidRPr="001B279B">
        <w:rPr>
          <w:rFonts w:ascii="Times New Roman" w:hAnsi="Times New Roman" w:cs="Times New Roman"/>
          <w:color w:val="000000"/>
          <w:sz w:val="24"/>
          <w:szCs w:val="24"/>
        </w:rPr>
        <w:t>1</w:t>
      </w:r>
      <w:r w:rsidR="0058698E" w:rsidRPr="00A926CA">
        <w:rPr>
          <w:rFonts w:ascii="Times New Roman" w:hAnsi="Times New Roman" w:cs="Times New Roman"/>
          <w:color w:val="000000"/>
          <w:sz w:val="24"/>
          <w:szCs w:val="24"/>
          <w:lang w:val="ru-RU"/>
        </w:rPr>
        <w:t>1</w:t>
      </w:r>
      <w:r w:rsidRPr="001B279B">
        <w:rPr>
          <w:rFonts w:ascii="Times New Roman" w:hAnsi="Times New Roman" w:cs="Times New Roman"/>
          <w:color w:val="000000"/>
          <w:sz w:val="24"/>
          <w:szCs w:val="24"/>
        </w:rPr>
        <w:t>)</w:t>
      </w:r>
      <w:r w:rsidR="000369ED" w:rsidRPr="001B279B">
        <w:rPr>
          <w:rFonts w:ascii="Times New Roman" w:hAnsi="Times New Roman" w:cs="Times New Roman"/>
          <w:color w:val="000000"/>
          <w:sz w:val="24"/>
          <w:szCs w:val="24"/>
        </w:rPr>
        <w:t>.</w:t>
      </w:r>
    </w:p>
    <w:p w:rsidR="00066A6D" w:rsidRDefault="00066A6D" w:rsidP="00066A6D">
      <w:pPr>
        <w:spacing w:after="200"/>
        <w:jc w:val="both"/>
        <w:rPr>
          <w:sz w:val="24"/>
          <w:szCs w:val="24"/>
        </w:rPr>
      </w:pPr>
    </w:p>
    <w:p w:rsidR="00D56A63" w:rsidRPr="00A926CA" w:rsidRDefault="00D56A63" w:rsidP="00066A6D">
      <w:pPr>
        <w:spacing w:after="200"/>
        <w:jc w:val="both"/>
        <w:rPr>
          <w:sz w:val="24"/>
          <w:szCs w:val="24"/>
          <w:lang w:val="ru-RU"/>
        </w:rPr>
      </w:pPr>
      <w:r w:rsidRPr="001B279B">
        <w:rPr>
          <w:rFonts w:ascii="Times New Roman" w:hAnsi="Times New Roman" w:cs="Times New Roman"/>
          <w:sz w:val="24"/>
          <w:szCs w:val="24"/>
        </w:rPr>
        <w:t>Највисока просечна возраст кај пациентите со малиген тумор на паротидните жлезди од женски пол беше регистрирана кај PC</w:t>
      </w:r>
      <w:r w:rsidRPr="001B279B">
        <w:rPr>
          <w:rFonts w:ascii="Times New Roman" w:hAnsi="Times New Roman" w:cs="Times New Roman"/>
          <w:bCs/>
          <w:color w:val="000000"/>
          <w:sz w:val="24"/>
          <w:szCs w:val="24"/>
        </w:rPr>
        <w:t xml:space="preserve"> за консеквентно </w:t>
      </w:r>
      <w:r w:rsidRPr="001B279B">
        <w:rPr>
          <w:rFonts w:ascii="Times New Roman" w:hAnsi="Times New Roman" w:cs="Times New Roman"/>
          <w:color w:val="000000"/>
          <w:sz w:val="24"/>
          <w:szCs w:val="24"/>
        </w:rPr>
        <w:t xml:space="preserve">84±0,0 години, следено со </w:t>
      </w:r>
      <w:r w:rsidRPr="001B279B">
        <w:rPr>
          <w:rFonts w:ascii="Times New Roman" w:hAnsi="Times New Roman" w:cs="Times New Roman"/>
          <w:sz w:val="24"/>
          <w:szCs w:val="24"/>
          <w:lang w:val="en-US"/>
        </w:rPr>
        <w:t>Ly</w:t>
      </w:r>
      <w:r w:rsidRPr="001B279B">
        <w:rPr>
          <w:rFonts w:ascii="Times New Roman" w:hAnsi="Times New Roman" w:cs="Times New Roman"/>
          <w:color w:val="000000"/>
          <w:sz w:val="24"/>
          <w:szCs w:val="24"/>
        </w:rPr>
        <w:t xml:space="preserve"> - 72,0±0,0</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г</w:t>
      </w:r>
      <w:r w:rsidRPr="00A926CA">
        <w:rPr>
          <w:rFonts w:ascii="Times New Roman" w:hAnsi="Times New Roman" w:cs="Times New Roman"/>
          <w:color w:val="000000"/>
          <w:sz w:val="24"/>
          <w:szCs w:val="24"/>
          <w:lang w:val="ru-RU"/>
        </w:rPr>
        <w:t xml:space="preserve">одини </w:t>
      </w:r>
      <w:r w:rsidRPr="001B279B">
        <w:rPr>
          <w:rFonts w:ascii="Times New Roman" w:hAnsi="Times New Roman" w:cs="Times New Roman"/>
          <w:color w:val="000000"/>
          <w:sz w:val="24"/>
          <w:szCs w:val="24"/>
        </w:rPr>
        <w:t>и</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најмала кај </w:t>
      </w:r>
      <w:r w:rsidRPr="001B279B">
        <w:rPr>
          <w:rFonts w:ascii="Times New Roman" w:hAnsi="Times New Roman" w:cs="Times New Roman"/>
          <w:color w:val="000000"/>
          <w:sz w:val="24"/>
          <w:szCs w:val="24"/>
          <w:lang w:val="en-US"/>
        </w:rPr>
        <w:t>ACC</w:t>
      </w:r>
      <w:r w:rsidRPr="001B279B">
        <w:rPr>
          <w:rFonts w:ascii="Times New Roman" w:hAnsi="Times New Roman" w:cs="Times New Roman"/>
          <w:color w:val="000000"/>
          <w:sz w:val="24"/>
          <w:szCs w:val="24"/>
        </w:rPr>
        <w:t xml:space="preserve"> - 62,0±0,0 години (Табела 6</w:t>
      </w:r>
      <w:r w:rsidRPr="00A926CA">
        <w:rPr>
          <w:rFonts w:ascii="Times New Roman" w:hAnsi="Times New Roman" w:cs="Times New Roman"/>
          <w:color w:val="000000"/>
          <w:sz w:val="24"/>
          <w:szCs w:val="24"/>
          <w:lang w:val="ru-RU"/>
        </w:rPr>
        <w:t xml:space="preserve"> и График </w:t>
      </w:r>
      <w:r w:rsidRPr="001B279B">
        <w:rPr>
          <w:rFonts w:ascii="Times New Roman" w:hAnsi="Times New Roman" w:cs="Times New Roman"/>
          <w:color w:val="000000"/>
          <w:sz w:val="24"/>
          <w:szCs w:val="24"/>
        </w:rPr>
        <w:t>1</w:t>
      </w:r>
      <w:r w:rsidR="0058698E" w:rsidRPr="00A926CA">
        <w:rPr>
          <w:rFonts w:ascii="Times New Roman" w:hAnsi="Times New Roman" w:cs="Times New Roman"/>
          <w:color w:val="000000"/>
          <w:sz w:val="24"/>
          <w:szCs w:val="24"/>
          <w:lang w:val="ru-RU"/>
        </w:rPr>
        <w:t>1</w:t>
      </w:r>
      <w:r w:rsidRPr="001B279B">
        <w:rPr>
          <w:rFonts w:ascii="Times New Roman" w:hAnsi="Times New Roman" w:cs="Times New Roman"/>
          <w:color w:val="000000"/>
          <w:sz w:val="24"/>
          <w:szCs w:val="24"/>
        </w:rPr>
        <w:t xml:space="preserve">). </w:t>
      </w:r>
    </w:p>
    <w:p w:rsidR="001B279B" w:rsidRPr="001B279B" w:rsidRDefault="001B279B" w:rsidP="00066A6D">
      <w:pPr>
        <w:spacing w:after="200"/>
        <w:ind w:firstLine="720"/>
        <w:jc w:val="both"/>
        <w:rPr>
          <w:rFonts w:ascii="Times New Roman" w:hAnsi="Times New Roman" w:cs="Times New Roman"/>
          <w:color w:val="000000"/>
          <w:sz w:val="24"/>
          <w:szCs w:val="24"/>
        </w:rPr>
      </w:pPr>
      <w:r w:rsidRPr="001B279B">
        <w:rPr>
          <w:rFonts w:ascii="Times New Roman" w:hAnsi="Times New Roman" w:cs="Times New Roman"/>
          <w:color w:val="000000"/>
          <w:sz w:val="24"/>
          <w:szCs w:val="24"/>
        </w:rPr>
        <w:t>За p</w:t>
      </w:r>
      <w:r w:rsidRPr="00A926CA">
        <w:rPr>
          <w:rFonts w:ascii="Times New Roman" w:hAnsi="Times New Roman" w:cs="Times New Roman"/>
          <w:color w:val="000000"/>
          <w:sz w:val="24"/>
          <w:szCs w:val="24"/>
          <w:lang w:val="ru-RU"/>
        </w:rPr>
        <w:t>&gt;</w:t>
      </w:r>
      <w:r w:rsidRPr="001B279B">
        <w:rPr>
          <w:rFonts w:ascii="Times New Roman" w:hAnsi="Times New Roman" w:cs="Times New Roman"/>
          <w:color w:val="000000"/>
          <w:sz w:val="24"/>
          <w:szCs w:val="24"/>
        </w:rPr>
        <w:t>0,05, немаше сигнификантна разлика меѓу возраста на мажите кај четирите различни типови на малигни</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тумори на паротидните жлезди за </w:t>
      </w:r>
      <w:r w:rsidRPr="001B279B">
        <w:rPr>
          <w:rFonts w:ascii="Times New Roman" w:hAnsi="Times New Roman"/>
          <w:color w:val="000000"/>
          <w:sz w:val="24"/>
          <w:szCs w:val="24"/>
        </w:rPr>
        <w:t>Kruskal-Wallis test=</w:t>
      </w:r>
      <w:r w:rsidRPr="001B279B">
        <w:rPr>
          <w:rFonts w:ascii="Times New Roman" w:hAnsi="Times New Roman" w:cs="Times New Roman"/>
          <w:color w:val="000000"/>
          <w:sz w:val="24"/>
          <w:szCs w:val="24"/>
        </w:rPr>
        <w:t>X</w:t>
      </w:r>
      <w:r w:rsidRPr="001B279B">
        <w:rPr>
          <w:rFonts w:ascii="Times New Roman" w:hAnsi="Times New Roman" w:cs="Times New Roman"/>
          <w:color w:val="000000"/>
          <w:sz w:val="24"/>
          <w:szCs w:val="24"/>
          <w:vertAlign w:val="superscript"/>
        </w:rPr>
        <w:t>2</w:t>
      </w:r>
      <w:r w:rsidRPr="001B279B">
        <w:rPr>
          <w:rFonts w:ascii="Times New Roman" w:hAnsi="Times New Roman" w:cs="Times New Roman"/>
          <w:color w:val="000000"/>
          <w:sz w:val="24"/>
          <w:szCs w:val="24"/>
          <w:vertAlign w:val="subscript"/>
        </w:rPr>
        <w:t>(3)</w:t>
      </w:r>
      <w:r w:rsidRPr="001B279B">
        <w:rPr>
          <w:rFonts w:ascii="Times New Roman" w:hAnsi="Times New Roman" w:cs="Times New Roman"/>
          <w:color w:val="000000"/>
          <w:sz w:val="24"/>
          <w:szCs w:val="24"/>
        </w:rPr>
        <w:t>=4,459; p=0,216 (Табела 6</w:t>
      </w:r>
      <w:r w:rsidRPr="00A926CA">
        <w:rPr>
          <w:rFonts w:ascii="Times New Roman" w:hAnsi="Times New Roman" w:cs="Times New Roman"/>
          <w:color w:val="000000"/>
          <w:sz w:val="24"/>
          <w:szCs w:val="24"/>
          <w:lang w:val="ru-RU"/>
        </w:rPr>
        <w:t xml:space="preserve"> и График </w:t>
      </w:r>
      <w:r w:rsidR="0058698E" w:rsidRPr="00A926CA">
        <w:rPr>
          <w:rFonts w:ascii="Times New Roman" w:hAnsi="Times New Roman" w:cs="Times New Roman"/>
          <w:color w:val="000000"/>
          <w:sz w:val="24"/>
          <w:szCs w:val="24"/>
          <w:lang w:val="ru-RU"/>
        </w:rPr>
        <w:t>11</w:t>
      </w:r>
      <w:r w:rsidRPr="001B279B">
        <w:rPr>
          <w:rFonts w:ascii="Times New Roman" w:hAnsi="Times New Roman" w:cs="Times New Roman"/>
          <w:color w:val="000000"/>
          <w:sz w:val="24"/>
          <w:szCs w:val="24"/>
        </w:rPr>
        <w:t>).</w:t>
      </w:r>
    </w:p>
    <w:p w:rsidR="00066A6D" w:rsidRDefault="00066A6D" w:rsidP="00066A6D">
      <w:pPr>
        <w:spacing w:after="200"/>
        <w:ind w:firstLine="720"/>
        <w:jc w:val="both"/>
        <w:rPr>
          <w:rFonts w:ascii="Times New Roman" w:hAnsi="Times New Roman" w:cs="Times New Roman"/>
          <w:color w:val="000000"/>
          <w:sz w:val="24"/>
          <w:szCs w:val="24"/>
        </w:rPr>
      </w:pPr>
    </w:p>
    <w:p w:rsidR="00066A6D" w:rsidRDefault="00066A6D" w:rsidP="00066A6D">
      <w:pPr>
        <w:spacing w:after="200"/>
        <w:ind w:firstLine="720"/>
        <w:jc w:val="both"/>
        <w:rPr>
          <w:rFonts w:ascii="Times New Roman" w:hAnsi="Times New Roman" w:cs="Times New Roman"/>
          <w:color w:val="000000"/>
          <w:sz w:val="24"/>
          <w:szCs w:val="24"/>
        </w:rPr>
      </w:pPr>
    </w:p>
    <w:p w:rsidR="00066A6D" w:rsidRDefault="00066A6D" w:rsidP="00066A6D">
      <w:pPr>
        <w:spacing w:after="200"/>
        <w:ind w:firstLine="720"/>
        <w:jc w:val="both"/>
        <w:rPr>
          <w:rFonts w:ascii="Times New Roman" w:hAnsi="Times New Roman" w:cs="Times New Roman"/>
          <w:color w:val="000000"/>
          <w:sz w:val="24"/>
          <w:szCs w:val="24"/>
        </w:rPr>
      </w:pPr>
    </w:p>
    <w:p w:rsidR="001B279B" w:rsidRPr="001B279B" w:rsidRDefault="001B279B" w:rsidP="00066A6D">
      <w:pPr>
        <w:spacing w:after="200"/>
        <w:ind w:firstLine="720"/>
        <w:jc w:val="both"/>
        <w:rPr>
          <w:rFonts w:ascii="Times New Roman" w:hAnsi="Times New Roman" w:cs="Times New Roman"/>
          <w:color w:val="000000"/>
          <w:sz w:val="24"/>
          <w:szCs w:val="24"/>
        </w:rPr>
      </w:pPr>
      <w:r w:rsidRPr="001B279B">
        <w:rPr>
          <w:rFonts w:ascii="Times New Roman" w:hAnsi="Times New Roman" w:cs="Times New Roman"/>
          <w:color w:val="000000"/>
          <w:sz w:val="24"/>
          <w:szCs w:val="24"/>
        </w:rPr>
        <w:t>За p</w:t>
      </w:r>
      <w:r w:rsidRPr="00A926CA">
        <w:rPr>
          <w:rFonts w:ascii="Times New Roman" w:hAnsi="Times New Roman" w:cs="Times New Roman"/>
          <w:color w:val="000000"/>
          <w:sz w:val="24"/>
          <w:szCs w:val="24"/>
          <w:lang w:val="ru-RU"/>
        </w:rPr>
        <w:t>&gt;</w:t>
      </w:r>
      <w:r w:rsidRPr="001B279B">
        <w:rPr>
          <w:rFonts w:ascii="Times New Roman" w:hAnsi="Times New Roman" w:cs="Times New Roman"/>
          <w:color w:val="000000"/>
          <w:sz w:val="24"/>
          <w:szCs w:val="24"/>
        </w:rPr>
        <w:t>0,05, немаше сигнификантна разлика ниту меѓу возраста на жените кај трите различни типови на малигни</w:t>
      </w:r>
      <w:r w:rsidRPr="00A926CA">
        <w:rPr>
          <w:rFonts w:ascii="Times New Roman" w:hAnsi="Times New Roman" w:cs="Times New Roman"/>
          <w:color w:val="000000"/>
          <w:sz w:val="24"/>
          <w:szCs w:val="24"/>
          <w:lang w:val="ru-RU"/>
        </w:rPr>
        <w:t xml:space="preserve"> </w:t>
      </w:r>
      <w:r w:rsidRPr="001B279B">
        <w:rPr>
          <w:rFonts w:ascii="Times New Roman" w:hAnsi="Times New Roman" w:cs="Times New Roman"/>
          <w:color w:val="000000"/>
          <w:sz w:val="24"/>
          <w:szCs w:val="24"/>
        </w:rPr>
        <w:t xml:space="preserve">тумори на паротидните жлезди за </w:t>
      </w:r>
      <w:r w:rsidRPr="001B279B">
        <w:rPr>
          <w:rFonts w:ascii="Times New Roman" w:hAnsi="Times New Roman"/>
          <w:color w:val="000000"/>
          <w:sz w:val="24"/>
          <w:szCs w:val="24"/>
        </w:rPr>
        <w:t>Kruskal-Wallis test=</w:t>
      </w:r>
      <w:r w:rsidRPr="001B279B">
        <w:rPr>
          <w:rFonts w:ascii="Times New Roman" w:hAnsi="Times New Roman" w:cs="Times New Roman"/>
          <w:color w:val="000000"/>
          <w:sz w:val="24"/>
          <w:szCs w:val="24"/>
        </w:rPr>
        <w:t>X</w:t>
      </w:r>
      <w:r w:rsidRPr="001B279B">
        <w:rPr>
          <w:rFonts w:ascii="Times New Roman" w:hAnsi="Times New Roman" w:cs="Times New Roman"/>
          <w:color w:val="000000"/>
          <w:sz w:val="24"/>
          <w:szCs w:val="24"/>
          <w:vertAlign w:val="superscript"/>
        </w:rPr>
        <w:t>2</w:t>
      </w:r>
      <w:r w:rsidRPr="001B279B">
        <w:rPr>
          <w:rFonts w:ascii="Times New Roman" w:hAnsi="Times New Roman" w:cs="Times New Roman"/>
          <w:color w:val="000000"/>
          <w:sz w:val="24"/>
          <w:szCs w:val="24"/>
          <w:vertAlign w:val="subscript"/>
        </w:rPr>
        <w:t>(2)</w:t>
      </w:r>
      <w:r w:rsidRPr="001B279B">
        <w:rPr>
          <w:rFonts w:ascii="Times New Roman" w:hAnsi="Times New Roman" w:cs="Times New Roman"/>
          <w:color w:val="000000"/>
          <w:sz w:val="24"/>
          <w:szCs w:val="24"/>
        </w:rPr>
        <w:t>=2,000; p=0,369 (Табела 6</w:t>
      </w:r>
      <w:r w:rsidRPr="00A926CA">
        <w:rPr>
          <w:rFonts w:ascii="Times New Roman" w:hAnsi="Times New Roman" w:cs="Times New Roman"/>
          <w:color w:val="000000"/>
          <w:sz w:val="24"/>
          <w:szCs w:val="24"/>
          <w:lang w:val="ru-RU"/>
        </w:rPr>
        <w:t xml:space="preserve"> и График </w:t>
      </w:r>
      <w:r w:rsidR="0058698E" w:rsidRPr="00A926CA">
        <w:rPr>
          <w:rFonts w:ascii="Times New Roman" w:hAnsi="Times New Roman" w:cs="Times New Roman"/>
          <w:color w:val="000000"/>
          <w:sz w:val="24"/>
          <w:szCs w:val="24"/>
          <w:lang w:val="ru-RU"/>
        </w:rPr>
        <w:t>11</w:t>
      </w:r>
      <w:r w:rsidRPr="001B279B">
        <w:rPr>
          <w:rFonts w:ascii="Times New Roman" w:hAnsi="Times New Roman" w:cs="Times New Roman"/>
          <w:color w:val="000000"/>
          <w:sz w:val="24"/>
          <w:szCs w:val="24"/>
        </w:rPr>
        <w:t>).</w:t>
      </w: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446A60" w:rsidP="00E5190C">
      <w:pPr>
        <w:spacing w:line="360" w:lineRule="auto"/>
        <w:ind w:firstLine="720"/>
        <w:jc w:val="both"/>
        <w:rPr>
          <w:rFonts w:ascii="Times New Roman" w:hAnsi="Times New Roman" w:cs="Times New Roman"/>
          <w:color w:val="000000"/>
          <w:sz w:val="24"/>
          <w:szCs w:val="24"/>
        </w:rPr>
      </w:pPr>
      <w:r>
        <w:rPr>
          <w:noProof/>
          <w:lang w:val="en-US"/>
        </w:rPr>
        <w:drawing>
          <wp:anchor distT="0" distB="0" distL="114300" distR="114300" simplePos="0" relativeHeight="251655680" behindDoc="1" locked="0" layoutInCell="1" allowOverlap="1">
            <wp:simplePos x="0" y="0"/>
            <wp:positionH relativeFrom="column">
              <wp:posOffset>765810</wp:posOffset>
            </wp:positionH>
            <wp:positionV relativeFrom="paragraph">
              <wp:posOffset>35560</wp:posOffset>
            </wp:positionV>
            <wp:extent cx="3939540" cy="3585845"/>
            <wp:effectExtent l="19050" t="0" r="3810" b="0"/>
            <wp:wrapTight wrapText="bothSides">
              <wp:wrapPolygon edited="0">
                <wp:start x="-104" y="0"/>
                <wp:lineTo x="-104" y="10557"/>
                <wp:lineTo x="2925" y="11016"/>
                <wp:lineTo x="10758" y="11016"/>
                <wp:lineTo x="-104" y="11705"/>
                <wp:lineTo x="-104" y="21344"/>
                <wp:lineTo x="19323" y="21344"/>
                <wp:lineTo x="19532" y="11819"/>
                <wp:lineTo x="18279" y="11590"/>
                <wp:lineTo x="10758" y="11016"/>
                <wp:lineTo x="18592" y="11016"/>
                <wp:lineTo x="21621" y="10557"/>
                <wp:lineTo x="21621" y="0"/>
                <wp:lineTo x="-104" y="0"/>
              </wp:wrapPolygon>
            </wp:wrapTight>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7"/>
                    <a:srcRect/>
                    <a:stretch>
                      <a:fillRect/>
                    </a:stretch>
                  </pic:blipFill>
                  <pic:spPr bwMode="auto">
                    <a:xfrm>
                      <a:off x="0" y="0"/>
                      <a:ext cx="3939540" cy="3585845"/>
                    </a:xfrm>
                    <a:prstGeom prst="rect">
                      <a:avLst/>
                    </a:prstGeom>
                    <a:noFill/>
                    <a:ln w="9525">
                      <a:noFill/>
                      <a:miter lim="800000"/>
                      <a:headEnd/>
                      <a:tailEnd/>
                    </a:ln>
                  </pic:spPr>
                </pic:pic>
              </a:graphicData>
            </a:graphic>
          </wp:anchor>
        </w:drawing>
      </w: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1C332A" w:rsidRPr="00A926CA" w:rsidRDefault="001C332A"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A926CA" w:rsidRDefault="00507A24" w:rsidP="00C319D2">
      <w:pPr>
        <w:jc w:val="center"/>
        <w:rPr>
          <w:rFonts w:ascii="Times New Roman" w:hAnsi="Times New Roman" w:cs="Times New Roman"/>
          <w:b/>
          <w:color w:val="000000"/>
          <w:sz w:val="20"/>
          <w:szCs w:val="20"/>
          <w:lang w:val="ru-RU"/>
        </w:rPr>
      </w:pPr>
    </w:p>
    <w:p w:rsidR="00507A24" w:rsidRPr="00874946" w:rsidRDefault="00507A24" w:rsidP="00874946">
      <w:pPr>
        <w:rPr>
          <w:rFonts w:ascii="Times New Roman" w:hAnsi="Times New Roman" w:cs="Times New Roman"/>
          <w:b/>
          <w:color w:val="000000"/>
          <w:sz w:val="20"/>
          <w:szCs w:val="20"/>
        </w:rPr>
      </w:pPr>
    </w:p>
    <w:p w:rsidR="00507A24" w:rsidRPr="00A926CA" w:rsidRDefault="00507A24" w:rsidP="00C319D2">
      <w:pPr>
        <w:jc w:val="center"/>
        <w:rPr>
          <w:rFonts w:ascii="Times New Roman" w:hAnsi="Times New Roman" w:cs="Times New Roman"/>
          <w:b/>
          <w:color w:val="000000"/>
          <w:sz w:val="20"/>
          <w:szCs w:val="20"/>
          <w:lang w:val="ru-RU"/>
        </w:rPr>
      </w:pPr>
    </w:p>
    <w:p w:rsidR="00C319D2" w:rsidRDefault="00C319D2" w:rsidP="00C319D2">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1</w:t>
      </w:r>
      <w:r w:rsidR="0058698E" w:rsidRPr="00A926CA">
        <w:rPr>
          <w:rFonts w:ascii="Times New Roman" w:hAnsi="Times New Roman" w:cs="Times New Roman"/>
          <w:b/>
          <w:color w:val="000000"/>
          <w:sz w:val="20"/>
          <w:szCs w:val="20"/>
          <w:lang w:val="ru-RU"/>
        </w:rPr>
        <w:t>1</w:t>
      </w:r>
      <w:r w:rsidRPr="00E5190C">
        <w:rPr>
          <w:rFonts w:ascii="Times New Roman" w:hAnsi="Times New Roman" w:cs="Times New Roman"/>
          <w:b/>
          <w:color w:val="000000"/>
          <w:sz w:val="20"/>
          <w:szCs w:val="20"/>
        </w:rPr>
        <w:t>. Анализа на тип</w:t>
      </w:r>
      <w:r w:rsidRPr="00A926CA">
        <w:rPr>
          <w:rFonts w:ascii="Times New Roman" w:hAnsi="Times New Roman" w:cs="Times New Roman"/>
          <w:b/>
          <w:color w:val="000000"/>
          <w:sz w:val="20"/>
          <w:szCs w:val="20"/>
          <w:lang w:val="ru-RU"/>
        </w:rPr>
        <w:t xml:space="preserve"> на </w:t>
      </w:r>
      <w:r>
        <w:rPr>
          <w:rFonts w:ascii="Times New Roman" w:hAnsi="Times New Roman" w:cs="Times New Roman"/>
          <w:b/>
          <w:color w:val="000000"/>
          <w:sz w:val="20"/>
          <w:szCs w:val="20"/>
        </w:rPr>
        <w:t xml:space="preserve">малигни </w:t>
      </w:r>
      <w:r w:rsidRPr="00A926CA">
        <w:rPr>
          <w:rFonts w:ascii="Times New Roman" w:hAnsi="Times New Roman" w:cs="Times New Roman"/>
          <w:b/>
          <w:color w:val="000000"/>
          <w:sz w:val="20"/>
          <w:szCs w:val="20"/>
          <w:lang w:val="ru-RU"/>
        </w:rPr>
        <w:t>тумор</w:t>
      </w:r>
      <w:r>
        <w:rPr>
          <w:rFonts w:ascii="Times New Roman" w:hAnsi="Times New Roman" w:cs="Times New Roman"/>
          <w:b/>
          <w:color w:val="000000"/>
          <w:sz w:val="20"/>
          <w:szCs w:val="20"/>
        </w:rPr>
        <w:t>и</w:t>
      </w:r>
      <w:r w:rsidRPr="00A926CA">
        <w:rPr>
          <w:rFonts w:ascii="Times New Roman" w:hAnsi="Times New Roman" w:cs="Times New Roman"/>
          <w:b/>
          <w:color w:val="000000"/>
          <w:sz w:val="20"/>
          <w:szCs w:val="20"/>
          <w:lang w:val="ru-RU"/>
        </w:rPr>
        <w:t xml:space="preserve"> </w:t>
      </w:r>
      <w:r w:rsidRPr="00E5190C">
        <w:rPr>
          <w:rFonts w:ascii="Times New Roman" w:hAnsi="Times New Roman" w:cs="Times New Roman"/>
          <w:b/>
          <w:color w:val="000000"/>
          <w:sz w:val="20"/>
          <w:szCs w:val="20"/>
        </w:rPr>
        <w:t xml:space="preserve">на паротидни жлезди </w:t>
      </w:r>
      <w:r w:rsidRPr="00A926CA">
        <w:rPr>
          <w:rFonts w:ascii="Times New Roman" w:hAnsi="Times New Roman" w:cs="Times New Roman"/>
          <w:b/>
          <w:color w:val="000000"/>
          <w:sz w:val="20"/>
          <w:szCs w:val="20"/>
          <w:lang w:val="ru-RU"/>
        </w:rPr>
        <w:t>според</w:t>
      </w:r>
      <w:r>
        <w:rPr>
          <w:rFonts w:ascii="Times New Roman" w:hAnsi="Times New Roman" w:cs="Times New Roman"/>
          <w:b/>
          <w:color w:val="000000"/>
          <w:sz w:val="20"/>
          <w:szCs w:val="20"/>
        </w:rPr>
        <w:t xml:space="preserve"> </w:t>
      </w:r>
    </w:p>
    <w:p w:rsidR="00C319D2" w:rsidRPr="00995D7E" w:rsidRDefault="00C319D2" w:rsidP="00C319D2">
      <w:pPr>
        <w:jc w:val="center"/>
        <w:rPr>
          <w:rFonts w:ascii="Times New Roman" w:hAnsi="Times New Roman" w:cs="Times New Roman"/>
          <w:b/>
          <w:color w:val="000000"/>
          <w:sz w:val="20"/>
          <w:szCs w:val="20"/>
        </w:rPr>
      </w:pPr>
      <w:r w:rsidRPr="00A926CA">
        <w:rPr>
          <w:rFonts w:ascii="Times New Roman" w:hAnsi="Times New Roman" w:cs="Times New Roman"/>
          <w:b/>
          <w:color w:val="000000"/>
          <w:sz w:val="20"/>
          <w:szCs w:val="20"/>
          <w:lang w:val="ru-RU"/>
        </w:rPr>
        <w:t>пол и в</w:t>
      </w:r>
      <w:r w:rsidRPr="00E5190C">
        <w:rPr>
          <w:rFonts w:ascii="Times New Roman" w:hAnsi="Times New Roman" w:cs="Times New Roman"/>
          <w:b/>
          <w:color w:val="000000"/>
          <w:sz w:val="20"/>
          <w:szCs w:val="20"/>
        </w:rPr>
        <w:t>озраст – испитувана група</w:t>
      </w:r>
    </w:p>
    <w:p w:rsidR="00793E78" w:rsidRDefault="00793E78" w:rsidP="00E5190C">
      <w:pPr>
        <w:spacing w:line="360" w:lineRule="auto"/>
        <w:ind w:firstLine="720"/>
        <w:jc w:val="both"/>
        <w:rPr>
          <w:rFonts w:ascii="Times New Roman" w:hAnsi="Times New Roman" w:cs="Times New Roman"/>
          <w:color w:val="000000"/>
          <w:sz w:val="24"/>
          <w:szCs w:val="24"/>
        </w:rPr>
      </w:pPr>
    </w:p>
    <w:p w:rsidR="00793E78" w:rsidRDefault="00793E78" w:rsidP="00E5190C">
      <w:pPr>
        <w:spacing w:line="360" w:lineRule="auto"/>
        <w:ind w:firstLine="720"/>
        <w:jc w:val="both"/>
        <w:rPr>
          <w:rFonts w:ascii="Times New Roman" w:hAnsi="Times New Roman" w:cs="Times New Roman"/>
          <w:color w:val="000000"/>
          <w:sz w:val="24"/>
          <w:szCs w:val="24"/>
        </w:rPr>
      </w:pPr>
    </w:p>
    <w:p w:rsidR="00066A6D" w:rsidRDefault="00AD167F" w:rsidP="000C0EF5">
      <w:pPr>
        <w:spacing w:after="36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66A6D" w:rsidRDefault="00066A6D" w:rsidP="00066A6D">
      <w:pPr>
        <w:spacing w:after="360"/>
        <w:jc w:val="both"/>
        <w:rPr>
          <w:rFonts w:ascii="Times New Roman" w:hAnsi="Times New Roman" w:cs="Times New Roman"/>
          <w:color w:val="000000"/>
          <w:sz w:val="24"/>
          <w:szCs w:val="24"/>
        </w:rPr>
      </w:pPr>
    </w:p>
    <w:p w:rsidR="000C0EF5" w:rsidRPr="00EC28B2" w:rsidRDefault="0076051F" w:rsidP="00066A6D">
      <w:pPr>
        <w:spacing w:after="360"/>
        <w:jc w:val="both"/>
        <w:rPr>
          <w:rFonts w:ascii="Times New Roman" w:hAnsi="Times New Roman" w:cs="Times New Roman"/>
          <w:b/>
          <w:color w:val="000000"/>
          <w:sz w:val="24"/>
          <w:szCs w:val="24"/>
        </w:rPr>
      </w:pPr>
      <w:r>
        <w:rPr>
          <w:rFonts w:ascii="Times New Roman" w:hAnsi="Times New Roman" w:cs="Times New Roman"/>
          <w:b/>
          <w:color w:val="000000"/>
          <w:sz w:val="24"/>
          <w:szCs w:val="24"/>
        </w:rPr>
        <w:t>6.2.3</w:t>
      </w:r>
      <w:r w:rsidR="000C0EF5" w:rsidRPr="00EC28B2">
        <w:rPr>
          <w:rFonts w:ascii="Times New Roman" w:hAnsi="Times New Roman" w:cs="Times New Roman"/>
          <w:b/>
          <w:color w:val="000000"/>
          <w:sz w:val="24"/>
          <w:szCs w:val="24"/>
        </w:rPr>
        <w:t xml:space="preserve"> Локација </w:t>
      </w:r>
      <w:r w:rsidR="000C0EF5" w:rsidRPr="00A926CA">
        <w:rPr>
          <w:rFonts w:ascii="Times New Roman" w:hAnsi="Times New Roman" w:cs="Times New Roman"/>
          <w:b/>
          <w:color w:val="000000"/>
          <w:sz w:val="24"/>
          <w:szCs w:val="24"/>
          <w:lang w:val="ru-RU"/>
        </w:rPr>
        <w:t>на тумор</w:t>
      </w:r>
      <w:r w:rsidR="000C0EF5" w:rsidRPr="00EC28B2">
        <w:rPr>
          <w:rFonts w:ascii="Times New Roman" w:hAnsi="Times New Roman" w:cs="Times New Roman"/>
          <w:b/>
          <w:color w:val="000000"/>
          <w:sz w:val="24"/>
          <w:szCs w:val="24"/>
        </w:rPr>
        <w:t>и на паротидни жлезди</w:t>
      </w:r>
    </w:p>
    <w:p w:rsidR="00793E78" w:rsidRDefault="000C0EF5" w:rsidP="00066A6D">
      <w:pPr>
        <w:ind w:firstLine="720"/>
        <w:jc w:val="both"/>
        <w:rPr>
          <w:rFonts w:ascii="Times New Roman" w:hAnsi="Times New Roman" w:cs="Times New Roman"/>
          <w:sz w:val="24"/>
          <w:szCs w:val="24"/>
        </w:rPr>
      </w:pPr>
      <w:r>
        <w:rPr>
          <w:rFonts w:ascii="Times New Roman" w:hAnsi="Times New Roman" w:cs="Times New Roman"/>
          <w:sz w:val="24"/>
          <w:szCs w:val="24"/>
        </w:rPr>
        <w:t xml:space="preserve">Кај пациентите од испитуваната група направена беше анализа </w:t>
      </w:r>
      <w:r w:rsidR="007D2D91">
        <w:rPr>
          <w:rFonts w:ascii="Times New Roman" w:hAnsi="Times New Roman" w:cs="Times New Roman"/>
          <w:sz w:val="24"/>
          <w:szCs w:val="24"/>
        </w:rPr>
        <w:t>на видот и типот на тумор</w:t>
      </w:r>
      <w:r w:rsidR="00555439">
        <w:rPr>
          <w:rFonts w:ascii="Times New Roman" w:hAnsi="Times New Roman" w:cs="Times New Roman"/>
          <w:sz w:val="24"/>
          <w:szCs w:val="24"/>
        </w:rPr>
        <w:t xml:space="preserve">ите </w:t>
      </w:r>
      <w:r w:rsidR="00555439" w:rsidRPr="00243206">
        <w:rPr>
          <w:rFonts w:ascii="Times New Roman" w:hAnsi="Times New Roman" w:cs="Times New Roman"/>
          <w:sz w:val="24"/>
          <w:szCs w:val="24"/>
        </w:rPr>
        <w:t xml:space="preserve">на паротидните жлезди </w:t>
      </w:r>
      <w:r>
        <w:rPr>
          <w:rFonts w:ascii="Times New Roman" w:hAnsi="Times New Roman" w:cs="Times New Roman"/>
          <w:sz w:val="24"/>
          <w:szCs w:val="24"/>
        </w:rPr>
        <w:t>во однос на локација</w:t>
      </w:r>
      <w:r w:rsidR="006A3333">
        <w:rPr>
          <w:rFonts w:ascii="Times New Roman" w:hAnsi="Times New Roman" w:cs="Times New Roman"/>
          <w:sz w:val="24"/>
          <w:szCs w:val="24"/>
        </w:rPr>
        <w:t>та</w:t>
      </w:r>
      <w:r w:rsidR="007D2D91">
        <w:rPr>
          <w:rFonts w:ascii="Times New Roman" w:hAnsi="Times New Roman" w:cs="Times New Roman"/>
          <w:sz w:val="24"/>
          <w:szCs w:val="24"/>
        </w:rPr>
        <w:t xml:space="preserve"> </w:t>
      </w:r>
      <w:r w:rsidR="00D21851">
        <w:rPr>
          <w:rFonts w:ascii="Times New Roman" w:hAnsi="Times New Roman" w:cs="Times New Roman"/>
          <w:sz w:val="24"/>
          <w:szCs w:val="24"/>
        </w:rPr>
        <w:t>(лево/ десно)</w:t>
      </w:r>
      <w:r w:rsidR="00874946">
        <w:rPr>
          <w:rFonts w:ascii="Times New Roman" w:hAnsi="Times New Roman" w:cs="Times New Roman"/>
          <w:sz w:val="24"/>
          <w:szCs w:val="24"/>
        </w:rPr>
        <w:t xml:space="preserve"> (Табела 7)</w:t>
      </w:r>
      <w:r w:rsidR="00555439">
        <w:rPr>
          <w:rFonts w:ascii="Times New Roman" w:hAnsi="Times New Roman" w:cs="Times New Roman"/>
          <w:sz w:val="24"/>
          <w:szCs w:val="24"/>
        </w:rPr>
        <w:t>.</w:t>
      </w:r>
    </w:p>
    <w:p w:rsidR="00F61B37" w:rsidRPr="00F61B37" w:rsidRDefault="00F61B37" w:rsidP="00F61B37">
      <w:pPr>
        <w:spacing w:line="360" w:lineRule="auto"/>
        <w:ind w:firstLine="720"/>
        <w:jc w:val="both"/>
        <w:rPr>
          <w:rFonts w:ascii="Times New Roman" w:hAnsi="Times New Roman" w:cs="Times New Roman"/>
          <w:sz w:val="24"/>
          <w:szCs w:val="24"/>
        </w:rPr>
      </w:pPr>
    </w:p>
    <w:p w:rsidR="00D21851" w:rsidRPr="00AC7374" w:rsidRDefault="007D2D91" w:rsidP="00D21851">
      <w:pPr>
        <w:spacing w:line="360" w:lineRule="auto"/>
        <w:jc w:val="both"/>
        <w:rPr>
          <w:rFonts w:ascii="Times New Roman" w:hAnsi="Times New Roman" w:cs="Times New Roman"/>
          <w:b/>
          <w:color w:val="000000"/>
          <w:sz w:val="20"/>
          <w:szCs w:val="20"/>
        </w:rPr>
      </w:pPr>
      <w:r w:rsidRPr="00874946">
        <w:rPr>
          <w:rFonts w:ascii="Times New Roman" w:hAnsi="Times New Roman" w:cs="Times New Roman"/>
          <w:b/>
          <w:color w:val="000000"/>
          <w:sz w:val="20"/>
          <w:szCs w:val="20"/>
        </w:rPr>
        <w:t xml:space="preserve">Табела </w:t>
      </w:r>
      <w:r w:rsidRPr="00A926CA">
        <w:rPr>
          <w:rFonts w:ascii="Times New Roman" w:hAnsi="Times New Roman" w:cs="Times New Roman"/>
          <w:b/>
          <w:color w:val="000000"/>
          <w:sz w:val="20"/>
          <w:szCs w:val="20"/>
          <w:lang w:val="ru-RU"/>
        </w:rPr>
        <w:t>7</w:t>
      </w:r>
      <w:r w:rsidR="00D21851" w:rsidRPr="00874946">
        <w:rPr>
          <w:rFonts w:ascii="Times New Roman" w:hAnsi="Times New Roman" w:cs="Times New Roman"/>
          <w:b/>
          <w:color w:val="000000"/>
          <w:sz w:val="20"/>
          <w:szCs w:val="20"/>
        </w:rPr>
        <w:t xml:space="preserve">. Дистрибуција </w:t>
      </w:r>
      <w:r w:rsidR="00874946" w:rsidRPr="00874946">
        <w:rPr>
          <w:rFonts w:ascii="Times New Roman" w:hAnsi="Times New Roman" w:cs="Times New Roman"/>
          <w:b/>
          <w:color w:val="000000"/>
          <w:sz w:val="20"/>
          <w:szCs w:val="20"/>
        </w:rPr>
        <w:t xml:space="preserve">на </w:t>
      </w:r>
      <w:r w:rsidR="00D21851" w:rsidRPr="00874946">
        <w:rPr>
          <w:rFonts w:ascii="Times New Roman" w:hAnsi="Times New Roman" w:cs="Times New Roman"/>
          <w:b/>
          <w:color w:val="000000"/>
          <w:sz w:val="20"/>
          <w:szCs w:val="20"/>
        </w:rPr>
        <w:t xml:space="preserve">вид и тип на тумори на паротидните жлезди </w:t>
      </w:r>
      <w:r w:rsidR="00874946" w:rsidRPr="00874946">
        <w:rPr>
          <w:rFonts w:ascii="Times New Roman" w:hAnsi="Times New Roman" w:cs="Times New Roman"/>
          <w:b/>
          <w:color w:val="000000"/>
          <w:sz w:val="20"/>
          <w:szCs w:val="20"/>
        </w:rPr>
        <w:t>според локација</w:t>
      </w:r>
    </w:p>
    <w:tbl>
      <w:tblPr>
        <w:tblW w:w="935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8"/>
        <w:gridCol w:w="708"/>
        <w:gridCol w:w="1985"/>
        <w:gridCol w:w="1986"/>
        <w:gridCol w:w="2410"/>
      </w:tblGrid>
      <w:tr w:rsidR="00D21851" w:rsidRPr="0071419A" w:rsidTr="00B42751">
        <w:trPr>
          <w:trHeight w:val="392"/>
        </w:trPr>
        <w:tc>
          <w:tcPr>
            <w:tcW w:w="2268" w:type="dxa"/>
            <w:vMerge w:val="restart"/>
            <w:shd w:val="clear" w:color="auto" w:fill="31849B"/>
            <w:vAlign w:val="center"/>
          </w:tcPr>
          <w:p w:rsidR="00D21851" w:rsidRDefault="005C6E10" w:rsidP="005C6E10">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Вид и т</w:t>
            </w:r>
            <w:r w:rsidR="00D21851">
              <w:rPr>
                <w:rFonts w:ascii="Times New Roman" w:hAnsi="Times New Roman" w:cs="Times New Roman"/>
                <w:b/>
                <w:color w:val="FFFFFF"/>
                <w:sz w:val="18"/>
                <w:szCs w:val="18"/>
              </w:rPr>
              <w:t>ип на тумор на паротидни жлезди</w:t>
            </w:r>
          </w:p>
        </w:tc>
        <w:tc>
          <w:tcPr>
            <w:tcW w:w="4679" w:type="dxa"/>
            <w:gridSpan w:val="3"/>
            <w:shd w:val="clear" w:color="auto" w:fill="31849B"/>
            <w:vAlign w:val="center"/>
          </w:tcPr>
          <w:p w:rsidR="00D21851" w:rsidRPr="00D21851" w:rsidRDefault="00D21851" w:rsidP="005C6E10">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Локација на тумор</w:t>
            </w:r>
          </w:p>
        </w:tc>
        <w:tc>
          <w:tcPr>
            <w:tcW w:w="2410" w:type="dxa"/>
            <w:vMerge w:val="restart"/>
            <w:shd w:val="clear" w:color="auto" w:fill="31849B"/>
            <w:vAlign w:val="center"/>
          </w:tcPr>
          <w:p w:rsidR="00D21851" w:rsidRPr="001E7726" w:rsidRDefault="00D21851"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p</w:t>
            </w:r>
          </w:p>
        </w:tc>
      </w:tr>
      <w:tr w:rsidR="00D21851" w:rsidRPr="0071419A" w:rsidTr="00C37EBC">
        <w:trPr>
          <w:trHeight w:val="617"/>
        </w:trPr>
        <w:tc>
          <w:tcPr>
            <w:tcW w:w="2268" w:type="dxa"/>
            <w:vMerge/>
            <w:shd w:val="clear" w:color="auto" w:fill="31849B"/>
            <w:vAlign w:val="center"/>
          </w:tcPr>
          <w:p w:rsidR="00D21851" w:rsidRPr="0071419A" w:rsidRDefault="00D21851" w:rsidP="00753801">
            <w:pPr>
              <w:jc w:val="center"/>
              <w:rPr>
                <w:rFonts w:ascii="Times New Roman" w:hAnsi="Times New Roman" w:cs="Times New Roman"/>
                <w:b/>
                <w:color w:val="FFFFFF"/>
                <w:sz w:val="18"/>
                <w:szCs w:val="18"/>
              </w:rPr>
            </w:pPr>
          </w:p>
        </w:tc>
        <w:tc>
          <w:tcPr>
            <w:tcW w:w="708" w:type="dxa"/>
            <w:shd w:val="clear" w:color="auto" w:fill="31849B"/>
            <w:vAlign w:val="center"/>
          </w:tcPr>
          <w:p w:rsidR="00D21851" w:rsidRPr="00D21851" w:rsidRDefault="00D21851"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w:t>
            </w:r>
          </w:p>
        </w:tc>
        <w:tc>
          <w:tcPr>
            <w:tcW w:w="1985" w:type="dxa"/>
            <w:shd w:val="clear" w:color="auto" w:fill="31849B"/>
            <w:vAlign w:val="center"/>
          </w:tcPr>
          <w:p w:rsidR="00D21851" w:rsidRDefault="005C6E10"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Лево</w:t>
            </w:r>
          </w:p>
          <w:p w:rsidR="00C37EBC" w:rsidRPr="00C37EBC" w:rsidRDefault="00C37EBC"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 (%)</w:t>
            </w:r>
          </w:p>
        </w:tc>
        <w:tc>
          <w:tcPr>
            <w:tcW w:w="1986" w:type="dxa"/>
            <w:shd w:val="clear" w:color="auto" w:fill="31849B"/>
            <w:vAlign w:val="center"/>
          </w:tcPr>
          <w:p w:rsidR="00D21851" w:rsidRDefault="00D21851"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Десно</w:t>
            </w:r>
          </w:p>
          <w:p w:rsidR="00C37EBC" w:rsidRPr="00C37EBC" w:rsidRDefault="00C37EBC"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N (%)</w:t>
            </w:r>
          </w:p>
        </w:tc>
        <w:tc>
          <w:tcPr>
            <w:tcW w:w="2410" w:type="dxa"/>
            <w:vMerge/>
            <w:shd w:val="clear" w:color="auto" w:fill="31849B"/>
          </w:tcPr>
          <w:p w:rsidR="00D21851" w:rsidRPr="0071419A" w:rsidRDefault="00D21851" w:rsidP="00753801">
            <w:pPr>
              <w:jc w:val="center"/>
              <w:rPr>
                <w:rFonts w:ascii="Times New Roman" w:hAnsi="Times New Roman" w:cs="Times New Roman"/>
                <w:b/>
                <w:color w:val="FFFFFF"/>
                <w:sz w:val="18"/>
                <w:szCs w:val="18"/>
                <w:lang w:val="en-US"/>
              </w:rPr>
            </w:pPr>
          </w:p>
        </w:tc>
      </w:tr>
      <w:tr w:rsidR="00E15BA6" w:rsidRPr="0071419A" w:rsidTr="006B7203">
        <w:trPr>
          <w:trHeight w:val="353"/>
        </w:trPr>
        <w:tc>
          <w:tcPr>
            <w:tcW w:w="2268" w:type="dxa"/>
            <w:shd w:val="clear" w:color="auto" w:fill="31849B"/>
            <w:vAlign w:val="center"/>
          </w:tcPr>
          <w:p w:rsidR="00E15BA6" w:rsidRPr="00555439" w:rsidRDefault="00555439" w:rsidP="006B7203">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Бенигни</w:t>
            </w:r>
          </w:p>
        </w:tc>
        <w:tc>
          <w:tcPr>
            <w:tcW w:w="708" w:type="dxa"/>
            <w:shd w:val="clear" w:color="auto" w:fill="DAEEF3"/>
            <w:vAlign w:val="center"/>
          </w:tcPr>
          <w:p w:rsidR="00E15BA6" w:rsidRPr="00E0146C" w:rsidRDefault="00E15BA6"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49</w:t>
            </w:r>
          </w:p>
        </w:tc>
        <w:tc>
          <w:tcPr>
            <w:tcW w:w="1985" w:type="dxa"/>
            <w:shd w:val="clear" w:color="auto" w:fill="DAEEF3"/>
            <w:vAlign w:val="center"/>
          </w:tcPr>
          <w:p w:rsidR="00E15BA6" w:rsidRPr="00CC4290" w:rsidRDefault="00507A24"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27 (55,1%)</w:t>
            </w:r>
          </w:p>
        </w:tc>
        <w:tc>
          <w:tcPr>
            <w:tcW w:w="1986" w:type="dxa"/>
            <w:shd w:val="clear" w:color="auto" w:fill="DAEEF3"/>
            <w:vAlign w:val="center"/>
          </w:tcPr>
          <w:p w:rsidR="00E15BA6" w:rsidRPr="004A3DA3" w:rsidRDefault="00507A24"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22 (44,9%)</w:t>
            </w:r>
          </w:p>
        </w:tc>
        <w:tc>
          <w:tcPr>
            <w:tcW w:w="2410" w:type="dxa"/>
            <w:shd w:val="clear" w:color="auto" w:fill="DAEEF3"/>
            <w:vAlign w:val="center"/>
          </w:tcPr>
          <w:p w:rsidR="00E15BA6" w:rsidRPr="00096BB2" w:rsidRDefault="00E15BA6" w:rsidP="00096BB2">
            <w:pPr>
              <w:pStyle w:val="NormalWeb"/>
              <w:spacing w:before="0" w:beforeAutospacing="0" w:after="0" w:afterAutospacing="0"/>
              <w:jc w:val="center"/>
              <w:rPr>
                <w:rFonts w:ascii="Times New Roman" w:hAnsi="Times New Roman" w:cs="Times New Roman"/>
                <w:color w:val="000000"/>
                <w:sz w:val="18"/>
                <w:szCs w:val="18"/>
              </w:rPr>
            </w:pPr>
            <w:r w:rsidRPr="00096BB2">
              <w:rPr>
                <w:rFonts w:ascii="Times New Roman" w:hAnsi="Times New Roman" w:cs="Times New Roman"/>
                <w:color w:val="000000"/>
                <w:sz w:val="18"/>
                <w:szCs w:val="18"/>
              </w:rPr>
              <w:t>p=</w:t>
            </w:r>
            <w:r w:rsidR="00096BB2" w:rsidRPr="00096BB2">
              <w:rPr>
                <w:rFonts w:ascii="Times New Roman" w:hAnsi="Times New Roman" w:cs="Times New Roman"/>
                <w:color w:val="000000"/>
                <w:sz w:val="18"/>
                <w:szCs w:val="18"/>
              </w:rPr>
              <w:t>0,3151</w:t>
            </w:r>
          </w:p>
        </w:tc>
      </w:tr>
      <w:tr w:rsidR="00E15BA6" w:rsidRPr="0071419A" w:rsidTr="006B7203">
        <w:trPr>
          <w:trHeight w:val="353"/>
        </w:trPr>
        <w:tc>
          <w:tcPr>
            <w:tcW w:w="2268" w:type="dxa"/>
            <w:shd w:val="clear" w:color="auto" w:fill="31849B"/>
            <w:vAlign w:val="center"/>
          </w:tcPr>
          <w:p w:rsidR="00E15BA6" w:rsidRPr="00555439" w:rsidRDefault="00555439" w:rsidP="006B7203">
            <w:pPr>
              <w:rPr>
                <w:rFonts w:ascii="Times New Roman" w:hAnsi="Times New Roman" w:cs="Times New Roman"/>
                <w:b/>
                <w:color w:val="FFFFFF"/>
                <w:sz w:val="18"/>
                <w:szCs w:val="18"/>
              </w:rPr>
            </w:pPr>
            <w:r>
              <w:rPr>
                <w:rFonts w:ascii="Times New Roman" w:hAnsi="Times New Roman" w:cs="Times New Roman"/>
                <w:b/>
                <w:color w:val="FFFFFF"/>
                <w:sz w:val="18"/>
                <w:szCs w:val="18"/>
              </w:rPr>
              <w:t>Малигни</w:t>
            </w:r>
          </w:p>
        </w:tc>
        <w:tc>
          <w:tcPr>
            <w:tcW w:w="708" w:type="dxa"/>
            <w:shd w:val="clear" w:color="auto" w:fill="DAEEF3"/>
            <w:vAlign w:val="center"/>
          </w:tcPr>
          <w:p w:rsidR="00E15BA6" w:rsidRPr="00E0146C" w:rsidRDefault="00E15BA6"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1985" w:type="dxa"/>
            <w:shd w:val="clear" w:color="auto" w:fill="DAEEF3"/>
            <w:vAlign w:val="center"/>
          </w:tcPr>
          <w:p w:rsidR="00E15BA6" w:rsidRPr="00CC4290" w:rsidRDefault="00507A24"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8 (66,7%)</w:t>
            </w:r>
          </w:p>
        </w:tc>
        <w:tc>
          <w:tcPr>
            <w:tcW w:w="1986" w:type="dxa"/>
            <w:shd w:val="clear" w:color="auto" w:fill="DAEEF3"/>
            <w:vAlign w:val="center"/>
          </w:tcPr>
          <w:p w:rsidR="00E15BA6" w:rsidRPr="004A3DA3" w:rsidRDefault="00507A24" w:rsidP="006B7203">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4 (33,3%)</w:t>
            </w:r>
          </w:p>
        </w:tc>
        <w:tc>
          <w:tcPr>
            <w:tcW w:w="2410" w:type="dxa"/>
            <w:shd w:val="clear" w:color="auto" w:fill="DAEEF3"/>
            <w:vAlign w:val="center"/>
          </w:tcPr>
          <w:p w:rsidR="00E15BA6" w:rsidRPr="00096BB2" w:rsidRDefault="00096BB2" w:rsidP="00096BB2">
            <w:pPr>
              <w:pStyle w:val="NormalWeb"/>
              <w:spacing w:before="0" w:beforeAutospacing="0" w:after="0" w:afterAutospacing="0"/>
              <w:jc w:val="center"/>
              <w:rPr>
                <w:rFonts w:ascii="Times New Roman" w:hAnsi="Times New Roman" w:cs="Times New Roman"/>
                <w:color w:val="FF0000"/>
                <w:sz w:val="18"/>
                <w:szCs w:val="18"/>
              </w:rPr>
            </w:pPr>
            <w:r w:rsidRPr="00096BB2">
              <w:rPr>
                <w:rFonts w:ascii="Times New Roman" w:hAnsi="Times New Roman" w:cs="Times New Roman"/>
                <w:color w:val="000000"/>
                <w:sz w:val="18"/>
                <w:szCs w:val="18"/>
              </w:rPr>
              <w:t>p=0,1092</w:t>
            </w:r>
          </w:p>
        </w:tc>
      </w:tr>
      <w:tr w:rsidR="002D2249" w:rsidRPr="0071419A" w:rsidTr="006B7203">
        <w:trPr>
          <w:trHeight w:val="353"/>
        </w:trPr>
        <w:tc>
          <w:tcPr>
            <w:tcW w:w="2268" w:type="dxa"/>
            <w:shd w:val="clear" w:color="auto" w:fill="31849B"/>
            <w:vAlign w:val="center"/>
          </w:tcPr>
          <w:p w:rsidR="002D2249" w:rsidRPr="00996BA6" w:rsidRDefault="002D2249" w:rsidP="006B7203">
            <w:pPr>
              <w:jc w:val="center"/>
              <w:rPr>
                <w:rFonts w:ascii="Times New Roman" w:hAnsi="Times New Roman" w:cs="Times New Roman"/>
                <w:b/>
                <w:color w:val="FFFFFF"/>
                <w:sz w:val="18"/>
                <w:szCs w:val="18"/>
              </w:rPr>
            </w:pPr>
            <w:r>
              <w:rPr>
                <w:rFonts w:ascii="Times New Roman" w:hAnsi="Times New Roman" w:cs="Times New Roman"/>
                <w:b/>
                <w:color w:val="FFFFFF"/>
                <w:sz w:val="18"/>
                <w:szCs w:val="18"/>
              </w:rPr>
              <w:t>Вкупно</w:t>
            </w:r>
          </w:p>
        </w:tc>
        <w:tc>
          <w:tcPr>
            <w:tcW w:w="708" w:type="dxa"/>
            <w:shd w:val="clear" w:color="auto" w:fill="31849B"/>
            <w:vAlign w:val="center"/>
          </w:tcPr>
          <w:p w:rsidR="002D2249" w:rsidRPr="00E0146C" w:rsidRDefault="002D2249" w:rsidP="006B7203">
            <w:pPr>
              <w:pStyle w:val="NormalWeb"/>
              <w:spacing w:before="0" w:beforeAutospacing="0" w:after="0" w:afterAutospacing="0"/>
              <w:jc w:val="center"/>
              <w:rPr>
                <w:rFonts w:ascii="Times New Roman" w:hAnsi="Times New Roman" w:cs="Times New Roman"/>
                <w:color w:val="FFFFFF"/>
                <w:sz w:val="18"/>
                <w:szCs w:val="18"/>
              </w:rPr>
            </w:pPr>
            <w:r>
              <w:rPr>
                <w:rFonts w:ascii="Times New Roman" w:hAnsi="Times New Roman" w:cs="Times New Roman"/>
                <w:color w:val="FFFFFF"/>
                <w:sz w:val="18"/>
                <w:szCs w:val="18"/>
              </w:rPr>
              <w:t>60</w:t>
            </w:r>
          </w:p>
        </w:tc>
        <w:tc>
          <w:tcPr>
            <w:tcW w:w="3971" w:type="dxa"/>
            <w:gridSpan w:val="2"/>
            <w:shd w:val="clear" w:color="auto" w:fill="31849B"/>
            <w:vAlign w:val="center"/>
          </w:tcPr>
          <w:p w:rsidR="002D2249" w:rsidRPr="002D2249" w:rsidRDefault="002D2249" w:rsidP="006B7203">
            <w:pPr>
              <w:pStyle w:val="NormalWeb"/>
              <w:spacing w:before="0" w:beforeAutospacing="0" w:after="0" w:afterAutospacing="0"/>
              <w:jc w:val="center"/>
              <w:rPr>
                <w:rFonts w:ascii="Times New Roman" w:hAnsi="Times New Roman" w:cs="Times New Roman"/>
                <w:color w:val="FFFFFF"/>
                <w:sz w:val="18"/>
                <w:szCs w:val="18"/>
              </w:rPr>
            </w:pPr>
            <w:r>
              <w:rPr>
                <w:rFonts w:ascii="Times New Roman" w:hAnsi="Times New Roman" w:cs="Times New Roman"/>
                <w:color w:val="FFFFFF"/>
                <w:sz w:val="18"/>
                <w:szCs w:val="18"/>
              </w:rPr>
              <w:t>Fisher exact test: p=</w:t>
            </w:r>
            <w:r w:rsidR="003C36F3">
              <w:rPr>
                <w:rFonts w:ascii="Times New Roman" w:hAnsi="Times New Roman" w:cs="Times New Roman"/>
                <w:color w:val="FFFFFF"/>
                <w:sz w:val="18"/>
                <w:szCs w:val="18"/>
              </w:rPr>
              <w:t>0,5316</w:t>
            </w:r>
          </w:p>
        </w:tc>
        <w:tc>
          <w:tcPr>
            <w:tcW w:w="2410" w:type="dxa"/>
            <w:shd w:val="clear" w:color="auto" w:fill="31849B"/>
            <w:vAlign w:val="center"/>
          </w:tcPr>
          <w:p w:rsidR="002D2249" w:rsidRPr="0068010C" w:rsidRDefault="002D2249" w:rsidP="006B7203">
            <w:pPr>
              <w:pStyle w:val="NormalWeb"/>
              <w:spacing w:before="0" w:beforeAutospacing="0" w:after="0" w:afterAutospacing="0"/>
              <w:jc w:val="center"/>
              <w:rPr>
                <w:rFonts w:ascii="Times New Roman" w:hAnsi="Times New Roman" w:cs="Times New Roman"/>
                <w:color w:val="FFFFFF"/>
                <w:sz w:val="18"/>
                <w:szCs w:val="18"/>
                <w:lang w:val="mk-MK"/>
              </w:rPr>
            </w:pPr>
          </w:p>
        </w:tc>
      </w:tr>
      <w:tr w:rsidR="00C37EBC" w:rsidRPr="00996BA6" w:rsidTr="00753801">
        <w:trPr>
          <w:trHeight w:val="416"/>
        </w:trPr>
        <w:tc>
          <w:tcPr>
            <w:tcW w:w="9357" w:type="dxa"/>
            <w:gridSpan w:val="5"/>
            <w:shd w:val="clear" w:color="auto" w:fill="B6DDE8"/>
            <w:vAlign w:val="center"/>
          </w:tcPr>
          <w:p w:rsidR="00C37EBC" w:rsidRPr="00C37EBC" w:rsidRDefault="00C37EBC" w:rsidP="00C37EBC">
            <w:pPr>
              <w:rPr>
                <w:rFonts w:ascii="Times New Roman" w:hAnsi="Times New Roman" w:cs="Times New Roman"/>
                <w:b/>
                <w:color w:val="000000"/>
                <w:sz w:val="18"/>
                <w:szCs w:val="18"/>
                <w:lang w:val="en-US"/>
              </w:rPr>
            </w:pPr>
            <w:r w:rsidRPr="00996BA6">
              <w:rPr>
                <w:rFonts w:ascii="Times New Roman" w:hAnsi="Times New Roman" w:cs="Times New Roman"/>
                <w:b/>
                <w:color w:val="000000"/>
                <w:sz w:val="18"/>
                <w:szCs w:val="18"/>
              </w:rPr>
              <w:t>Бенигни тумори</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lang w:val="en-US"/>
              </w:rPr>
              <w:t>WT</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27</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12 (44,4%)</w:t>
            </w:r>
          </w:p>
        </w:tc>
        <w:tc>
          <w:tcPr>
            <w:tcW w:w="1986" w:type="dxa"/>
            <w:shd w:val="clear" w:color="auto" w:fill="DAEEF3"/>
            <w:vAlign w:val="center"/>
          </w:tcPr>
          <w:p w:rsidR="00D21851" w:rsidRPr="004A3DA3" w:rsidRDefault="00F1266F"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15 (55,</w:t>
            </w:r>
            <w:r w:rsidR="00CC4290">
              <w:rPr>
                <w:rFonts w:ascii="Times New Roman" w:hAnsi="Times New Roman" w:cs="Times New Roman"/>
                <w:color w:val="000000"/>
                <w:sz w:val="18"/>
                <w:szCs w:val="18"/>
              </w:rPr>
              <w:t>6%)</w:t>
            </w:r>
          </w:p>
        </w:tc>
        <w:tc>
          <w:tcPr>
            <w:tcW w:w="2410" w:type="dxa"/>
            <w:shd w:val="clear" w:color="auto" w:fill="DAEEF3"/>
            <w:vAlign w:val="center"/>
          </w:tcPr>
          <w:p w:rsidR="00D21851" w:rsidRPr="00096BB2" w:rsidRDefault="00D21851" w:rsidP="00096BB2">
            <w:pPr>
              <w:pStyle w:val="NormalWeb"/>
              <w:spacing w:before="0" w:beforeAutospacing="0" w:after="0" w:afterAutospacing="0"/>
              <w:jc w:val="center"/>
              <w:rPr>
                <w:rFonts w:ascii="Times New Roman" w:hAnsi="Times New Roman" w:cs="Times New Roman"/>
                <w:color w:val="000000"/>
                <w:sz w:val="18"/>
                <w:szCs w:val="18"/>
              </w:rPr>
            </w:pPr>
            <w:r w:rsidRPr="00096BB2">
              <w:rPr>
                <w:rFonts w:ascii="Times New Roman" w:hAnsi="Times New Roman" w:cs="Times New Roman"/>
                <w:color w:val="000000"/>
                <w:sz w:val="18"/>
                <w:szCs w:val="18"/>
              </w:rPr>
              <w:t>p=0,</w:t>
            </w:r>
            <w:r w:rsidR="00096BB2" w:rsidRPr="00096BB2">
              <w:rPr>
                <w:rFonts w:ascii="Times New Roman" w:hAnsi="Times New Roman" w:cs="Times New Roman"/>
                <w:color w:val="000000"/>
                <w:sz w:val="18"/>
                <w:szCs w:val="18"/>
              </w:rPr>
              <w:t>4165</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lang w:val="en-US"/>
              </w:rPr>
              <w:t>BA</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(50%)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(50%)</w:t>
            </w:r>
          </w:p>
        </w:tc>
        <w:tc>
          <w:tcPr>
            <w:tcW w:w="2410" w:type="dxa"/>
            <w:shd w:val="clear" w:color="auto" w:fill="DAEEF3"/>
            <w:vAlign w:val="center"/>
          </w:tcPr>
          <w:p w:rsidR="00D21851" w:rsidRPr="00096BB2" w:rsidRDefault="00D21851" w:rsidP="00753801">
            <w:pPr>
              <w:pStyle w:val="NormalWeb"/>
              <w:spacing w:before="0" w:beforeAutospacing="0" w:after="0" w:afterAutospacing="0"/>
              <w:jc w:val="center"/>
              <w:rPr>
                <w:rFonts w:ascii="Times New Roman" w:hAnsi="Times New Roman" w:cs="Times New Roman"/>
                <w:color w:val="000000"/>
                <w:sz w:val="18"/>
                <w:szCs w:val="18"/>
              </w:rPr>
            </w:pPr>
            <w:r w:rsidRPr="00096BB2">
              <w:rPr>
                <w:rFonts w:ascii="Times New Roman" w:hAnsi="Times New Roman" w:cs="Times New Roman"/>
                <w:color w:val="000000"/>
                <w:sz w:val="18"/>
                <w:szCs w:val="18"/>
              </w:rPr>
              <w:t>p=1,0000</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Pa</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20</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14 (70%)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6 (30%)</w:t>
            </w:r>
          </w:p>
        </w:tc>
        <w:tc>
          <w:tcPr>
            <w:tcW w:w="2410" w:type="dxa"/>
            <w:shd w:val="clear" w:color="auto" w:fill="DAEEF3"/>
            <w:vAlign w:val="center"/>
          </w:tcPr>
          <w:p w:rsidR="00D21851" w:rsidRPr="00096BB2" w:rsidRDefault="00096BB2" w:rsidP="00096BB2">
            <w:pPr>
              <w:pStyle w:val="NormalWeb"/>
              <w:spacing w:before="0" w:beforeAutospacing="0" w:after="0" w:afterAutospacing="0"/>
              <w:jc w:val="center"/>
              <w:rPr>
                <w:rFonts w:ascii="Times New Roman" w:hAnsi="Times New Roman" w:cs="Times New Roman"/>
                <w:color w:val="FF0000"/>
                <w:sz w:val="18"/>
                <w:szCs w:val="18"/>
              </w:rPr>
            </w:pPr>
            <w:r w:rsidRPr="00096BB2">
              <w:rPr>
                <w:rFonts w:ascii="Times New Roman" w:hAnsi="Times New Roman" w:cs="Times New Roman"/>
                <w:color w:val="FF0000"/>
                <w:sz w:val="18"/>
                <w:szCs w:val="18"/>
              </w:rPr>
              <w:t>p=0,0126</w:t>
            </w:r>
            <w:r w:rsidR="00D21851" w:rsidRPr="00096BB2">
              <w:rPr>
                <w:rFonts w:ascii="Times New Roman" w:hAnsi="Times New Roman" w:cs="Times New Roman"/>
                <w:color w:val="FF0000"/>
                <w:sz w:val="18"/>
                <w:szCs w:val="18"/>
              </w:rPr>
              <w:t>*</w:t>
            </w:r>
          </w:p>
        </w:tc>
      </w:tr>
      <w:tr w:rsidR="002D2249" w:rsidRPr="0071419A" w:rsidTr="006B7203">
        <w:trPr>
          <w:trHeight w:val="353"/>
        </w:trPr>
        <w:tc>
          <w:tcPr>
            <w:tcW w:w="2268" w:type="dxa"/>
            <w:shd w:val="clear" w:color="auto" w:fill="31849B"/>
            <w:vAlign w:val="center"/>
          </w:tcPr>
          <w:p w:rsidR="002D2249" w:rsidRPr="003C7F24" w:rsidRDefault="003C7F24" w:rsidP="00753801">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p</w:t>
            </w:r>
          </w:p>
        </w:tc>
        <w:tc>
          <w:tcPr>
            <w:tcW w:w="708" w:type="dxa"/>
            <w:shd w:val="clear" w:color="auto" w:fill="31849B"/>
            <w:vAlign w:val="center"/>
          </w:tcPr>
          <w:p w:rsidR="002D2249" w:rsidRPr="00E0146C" w:rsidRDefault="002D2249" w:rsidP="00753801">
            <w:pPr>
              <w:pStyle w:val="NormalWeb"/>
              <w:spacing w:before="0" w:beforeAutospacing="0" w:after="0" w:afterAutospacing="0"/>
              <w:jc w:val="center"/>
              <w:rPr>
                <w:rFonts w:ascii="Times New Roman" w:hAnsi="Times New Roman" w:cs="Times New Roman"/>
                <w:color w:val="FFFFFF"/>
                <w:sz w:val="18"/>
                <w:szCs w:val="18"/>
              </w:rPr>
            </w:pPr>
            <w:r>
              <w:rPr>
                <w:rFonts w:ascii="Times New Roman" w:hAnsi="Times New Roman" w:cs="Times New Roman"/>
                <w:color w:val="FFFFFF"/>
                <w:sz w:val="18"/>
                <w:szCs w:val="18"/>
              </w:rPr>
              <w:t>49</w:t>
            </w:r>
          </w:p>
        </w:tc>
        <w:tc>
          <w:tcPr>
            <w:tcW w:w="3971" w:type="dxa"/>
            <w:gridSpan w:val="2"/>
            <w:shd w:val="clear" w:color="auto" w:fill="31849B"/>
            <w:vAlign w:val="center"/>
          </w:tcPr>
          <w:p w:rsidR="002D2249" w:rsidRPr="00F023D6" w:rsidRDefault="00B42751" w:rsidP="00753801">
            <w:pPr>
              <w:pStyle w:val="NormalWeb"/>
              <w:spacing w:before="0" w:beforeAutospacing="0" w:after="0" w:afterAutospacing="0"/>
              <w:jc w:val="center"/>
              <w:rPr>
                <w:rFonts w:ascii="Times New Roman" w:hAnsi="Times New Roman" w:cs="Times New Roman"/>
                <w:color w:val="FFFFFF"/>
                <w:sz w:val="18"/>
                <w:szCs w:val="18"/>
                <w:lang w:val="mk-MK"/>
              </w:rPr>
            </w:pPr>
            <w:r>
              <w:rPr>
                <w:rFonts w:ascii="Times New Roman" w:hAnsi="Times New Roman"/>
                <w:color w:val="FFFFFF"/>
                <w:sz w:val="18"/>
                <w:szCs w:val="18"/>
              </w:rPr>
              <w:t>Fisher</w:t>
            </w:r>
            <w:r>
              <w:rPr>
                <w:rFonts w:ascii="Times New Roman" w:hAnsi="Times New Roman"/>
                <w:color w:val="FFFFFF"/>
                <w:sz w:val="18"/>
                <w:szCs w:val="18"/>
                <w:lang w:val="mk-MK"/>
              </w:rPr>
              <w:t xml:space="preserve"> </w:t>
            </w:r>
            <w:r>
              <w:rPr>
                <w:rFonts w:ascii="Times New Roman" w:hAnsi="Times New Roman"/>
                <w:color w:val="FFFFFF"/>
                <w:sz w:val="18"/>
                <w:szCs w:val="18"/>
              </w:rPr>
              <w:t>Freeman</w:t>
            </w:r>
            <w:r>
              <w:rPr>
                <w:rFonts w:ascii="Times New Roman" w:hAnsi="Times New Roman"/>
                <w:color w:val="FFFFFF"/>
                <w:sz w:val="18"/>
                <w:szCs w:val="18"/>
                <w:lang w:val="mk-MK"/>
              </w:rPr>
              <w:t xml:space="preserve"> </w:t>
            </w:r>
            <w:r w:rsidR="00F023D6" w:rsidRPr="00F023D6">
              <w:rPr>
                <w:rFonts w:ascii="Times New Roman" w:hAnsi="Times New Roman"/>
                <w:color w:val="FFFFFF"/>
                <w:sz w:val="18"/>
                <w:szCs w:val="18"/>
              </w:rPr>
              <w:t>Halton exact test</w:t>
            </w:r>
            <w:r w:rsidR="00F023D6">
              <w:rPr>
                <w:rFonts w:ascii="Times New Roman" w:hAnsi="Times New Roman"/>
                <w:color w:val="FFFFFF"/>
                <w:sz w:val="18"/>
                <w:szCs w:val="18"/>
              </w:rPr>
              <w:t>: p=0,2171</w:t>
            </w:r>
          </w:p>
        </w:tc>
        <w:tc>
          <w:tcPr>
            <w:tcW w:w="2410" w:type="dxa"/>
            <w:shd w:val="clear" w:color="auto" w:fill="31849B"/>
            <w:vAlign w:val="center"/>
          </w:tcPr>
          <w:p w:rsidR="002D2249" w:rsidRPr="0068010C" w:rsidRDefault="002D2249" w:rsidP="00753801">
            <w:pPr>
              <w:pStyle w:val="NormalWeb"/>
              <w:spacing w:before="0" w:beforeAutospacing="0" w:after="0" w:afterAutospacing="0"/>
              <w:jc w:val="center"/>
              <w:rPr>
                <w:rFonts w:ascii="Times New Roman" w:hAnsi="Times New Roman" w:cs="Times New Roman"/>
                <w:color w:val="FFFFFF"/>
                <w:sz w:val="18"/>
                <w:szCs w:val="18"/>
                <w:lang w:val="mk-MK"/>
              </w:rPr>
            </w:pPr>
          </w:p>
        </w:tc>
      </w:tr>
      <w:tr w:rsidR="00C37EBC" w:rsidRPr="00996BA6" w:rsidTr="00753801">
        <w:trPr>
          <w:trHeight w:val="416"/>
        </w:trPr>
        <w:tc>
          <w:tcPr>
            <w:tcW w:w="9357" w:type="dxa"/>
            <w:gridSpan w:val="5"/>
            <w:shd w:val="clear" w:color="auto" w:fill="B6DDE8"/>
            <w:vAlign w:val="center"/>
          </w:tcPr>
          <w:p w:rsidR="00C37EBC" w:rsidRPr="00996BA6" w:rsidRDefault="00C37EBC" w:rsidP="00C37EBC">
            <w:pPr>
              <w:rPr>
                <w:rFonts w:ascii="Times New Roman" w:hAnsi="Times New Roman" w:cs="Times New Roman"/>
                <w:b/>
                <w:color w:val="000000"/>
                <w:sz w:val="18"/>
                <w:szCs w:val="18"/>
              </w:rPr>
            </w:pPr>
            <w:r w:rsidRPr="00996BA6">
              <w:rPr>
                <w:rFonts w:ascii="Times New Roman" w:hAnsi="Times New Roman" w:cs="Times New Roman"/>
                <w:b/>
                <w:color w:val="000000"/>
                <w:sz w:val="18"/>
                <w:szCs w:val="18"/>
              </w:rPr>
              <w:t>Малигни тумори</w:t>
            </w:r>
            <w:r>
              <w:rPr>
                <w:rFonts w:ascii="Times New Roman" w:hAnsi="Times New Roman" w:cs="Times New Roman"/>
                <w:b/>
                <w:color w:val="000000"/>
                <w:sz w:val="18"/>
                <w:szCs w:val="18"/>
                <w:lang w:val="en-US"/>
              </w:rPr>
              <w:t xml:space="preserve"> </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lang w:val="en-US"/>
              </w:rPr>
              <w:t>AC</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3 (100%)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c>
          <w:tcPr>
            <w:tcW w:w="2410" w:type="dxa"/>
            <w:shd w:val="clear" w:color="auto" w:fill="DAEEF3"/>
            <w:vAlign w:val="center"/>
          </w:tcPr>
          <w:p w:rsidR="00D21851" w:rsidRPr="00E0146C" w:rsidRDefault="00DA6FCD" w:rsidP="00753801">
            <w:pPr>
              <w:pStyle w:val="NormalWeb"/>
              <w:spacing w:before="0" w:beforeAutospacing="0" w:after="0" w:afterAutospacing="0"/>
              <w:jc w:val="center"/>
              <w:rPr>
                <w:rFonts w:ascii="Times New Roman" w:hAnsi="Times New Roman" w:cs="Times New Roman"/>
                <w:color w:val="000000"/>
                <w:sz w:val="18"/>
                <w:szCs w:val="18"/>
                <w:highlight w:val="yellow"/>
              </w:rPr>
            </w:pPr>
            <w:r w:rsidRPr="00DA6FCD">
              <w:rPr>
                <w:rFonts w:ascii="Times New Roman" w:hAnsi="Times New Roman" w:cs="Times New Roman"/>
                <w:color w:val="000000"/>
                <w:sz w:val="18"/>
                <w:szCs w:val="18"/>
              </w:rPr>
              <w:t>-</w:t>
            </w:r>
          </w:p>
        </w:tc>
      </w:tr>
      <w:tr w:rsidR="00D21851" w:rsidRPr="0071419A" w:rsidTr="00C37EBC">
        <w:trPr>
          <w:trHeight w:val="353"/>
        </w:trPr>
        <w:tc>
          <w:tcPr>
            <w:tcW w:w="2268" w:type="dxa"/>
            <w:shd w:val="clear" w:color="auto" w:fill="31849B"/>
            <w:vAlign w:val="center"/>
          </w:tcPr>
          <w:p w:rsidR="00D21851" w:rsidRPr="00996BA6" w:rsidRDefault="00D21851" w:rsidP="00753801">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val="en-US"/>
              </w:rPr>
              <w:t>PC</w:t>
            </w:r>
            <w:r w:rsidRPr="00996BA6">
              <w:rPr>
                <w:rFonts w:ascii="Times New Roman" w:hAnsi="Times New Roman" w:cs="Times New Roman"/>
                <w:b/>
                <w:color w:val="FFFFFF"/>
                <w:sz w:val="18"/>
                <w:szCs w:val="18"/>
              </w:rPr>
              <w:t xml:space="preserve"> </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 (50%)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 (50%)</w:t>
            </w:r>
          </w:p>
        </w:tc>
        <w:tc>
          <w:tcPr>
            <w:tcW w:w="2410" w:type="dxa"/>
            <w:shd w:val="clear" w:color="auto" w:fill="DAEEF3"/>
            <w:vAlign w:val="center"/>
          </w:tcPr>
          <w:p w:rsidR="00D21851" w:rsidRPr="00E0146C" w:rsidRDefault="00DA6FCD" w:rsidP="00753801">
            <w:pPr>
              <w:pStyle w:val="NormalWeb"/>
              <w:spacing w:before="0" w:beforeAutospacing="0" w:after="0" w:afterAutospacing="0"/>
              <w:jc w:val="center"/>
              <w:rPr>
                <w:rFonts w:ascii="Times New Roman" w:hAnsi="Times New Roman" w:cs="Times New Roman"/>
                <w:color w:val="000000"/>
                <w:sz w:val="18"/>
                <w:szCs w:val="18"/>
                <w:highlight w:val="yellow"/>
              </w:rPr>
            </w:pPr>
            <w:r w:rsidRPr="00DA6FCD">
              <w:rPr>
                <w:rFonts w:ascii="Times New Roman" w:hAnsi="Times New Roman" w:cs="Times New Roman"/>
                <w:color w:val="000000"/>
                <w:sz w:val="18"/>
                <w:szCs w:val="18"/>
              </w:rPr>
              <w:t>p=1,0000</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MEC</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(100%)</w:t>
            </w:r>
          </w:p>
        </w:tc>
        <w:tc>
          <w:tcPr>
            <w:tcW w:w="2410" w:type="dxa"/>
            <w:shd w:val="clear" w:color="auto" w:fill="DAEEF3"/>
            <w:vAlign w:val="center"/>
          </w:tcPr>
          <w:p w:rsidR="00D21851" w:rsidRPr="001E7726" w:rsidRDefault="00D21851" w:rsidP="00753801">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CEA</w:t>
            </w:r>
          </w:p>
        </w:tc>
        <w:tc>
          <w:tcPr>
            <w:tcW w:w="708" w:type="dxa"/>
            <w:shd w:val="clear" w:color="auto" w:fill="DAEEF3"/>
            <w:vAlign w:val="center"/>
          </w:tcPr>
          <w:p w:rsidR="00D21851" w:rsidRPr="00E0146C"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1985" w:type="dxa"/>
            <w:shd w:val="clear" w:color="auto" w:fill="DAEEF3"/>
            <w:vAlign w:val="center"/>
          </w:tcPr>
          <w:p w:rsidR="00D21851"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2 (100%)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c>
          <w:tcPr>
            <w:tcW w:w="2410" w:type="dxa"/>
            <w:shd w:val="clear" w:color="auto" w:fill="DAEEF3"/>
            <w:vAlign w:val="center"/>
          </w:tcPr>
          <w:p w:rsidR="00D21851" w:rsidRPr="001E7726" w:rsidRDefault="00D21851" w:rsidP="00753801">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Ly</w:t>
            </w:r>
          </w:p>
        </w:tc>
        <w:tc>
          <w:tcPr>
            <w:tcW w:w="708" w:type="dxa"/>
            <w:shd w:val="clear" w:color="auto" w:fill="DAEEF3"/>
            <w:vAlign w:val="center"/>
          </w:tcPr>
          <w:p w:rsidR="00D21851"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(100%)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c>
          <w:tcPr>
            <w:tcW w:w="2410" w:type="dxa"/>
            <w:shd w:val="clear" w:color="auto" w:fill="DAEEF3"/>
            <w:vAlign w:val="center"/>
          </w:tcPr>
          <w:p w:rsidR="00D21851" w:rsidRPr="001E7726" w:rsidRDefault="00D21851" w:rsidP="00753801">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D21851" w:rsidRPr="0071419A" w:rsidTr="00C37EBC">
        <w:trPr>
          <w:trHeight w:val="353"/>
        </w:trPr>
        <w:tc>
          <w:tcPr>
            <w:tcW w:w="2268" w:type="dxa"/>
            <w:shd w:val="clear" w:color="auto" w:fill="31849B"/>
            <w:vAlign w:val="center"/>
          </w:tcPr>
          <w:p w:rsidR="00D21851" w:rsidRPr="00732A16" w:rsidRDefault="00D21851" w:rsidP="00753801">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ACC</w:t>
            </w:r>
          </w:p>
        </w:tc>
        <w:tc>
          <w:tcPr>
            <w:tcW w:w="708" w:type="dxa"/>
            <w:shd w:val="clear" w:color="auto" w:fill="DAEEF3"/>
            <w:vAlign w:val="center"/>
          </w:tcPr>
          <w:p w:rsidR="00D21851" w:rsidRDefault="00E0146C"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985" w:type="dxa"/>
            <w:shd w:val="clear" w:color="auto" w:fill="DAEEF3"/>
            <w:vAlign w:val="center"/>
          </w:tcPr>
          <w:p w:rsidR="00D21851" w:rsidRPr="00CC4290"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0 (0%)</w:t>
            </w:r>
          </w:p>
        </w:tc>
        <w:tc>
          <w:tcPr>
            <w:tcW w:w="1986" w:type="dxa"/>
            <w:shd w:val="clear" w:color="auto" w:fill="DAEEF3"/>
            <w:vAlign w:val="center"/>
          </w:tcPr>
          <w:p w:rsidR="00D21851" w:rsidRPr="004A3DA3" w:rsidRDefault="00CC4290" w:rsidP="00753801">
            <w:pPr>
              <w:pStyle w:val="NormalWeb"/>
              <w:spacing w:before="0" w:beforeAutospacing="0" w:after="0" w:afterAutospacing="0"/>
              <w:jc w:val="center"/>
              <w:rPr>
                <w:rFonts w:ascii="Times New Roman" w:hAnsi="Times New Roman" w:cs="Times New Roman"/>
                <w:color w:val="000000"/>
                <w:sz w:val="18"/>
                <w:szCs w:val="18"/>
              </w:rPr>
            </w:pPr>
            <w:r>
              <w:rPr>
                <w:rFonts w:ascii="Times New Roman" w:hAnsi="Times New Roman" w:cs="Times New Roman"/>
                <w:color w:val="000000"/>
                <w:sz w:val="18"/>
                <w:szCs w:val="18"/>
              </w:rPr>
              <w:t>1 (100%)</w:t>
            </w:r>
          </w:p>
        </w:tc>
        <w:tc>
          <w:tcPr>
            <w:tcW w:w="2410" w:type="dxa"/>
            <w:shd w:val="clear" w:color="auto" w:fill="DAEEF3"/>
            <w:vAlign w:val="center"/>
          </w:tcPr>
          <w:p w:rsidR="00D21851" w:rsidRPr="001E7726" w:rsidRDefault="00D21851" w:rsidP="00753801">
            <w:pPr>
              <w:pStyle w:val="NormalWeb"/>
              <w:spacing w:before="0" w:beforeAutospacing="0" w:after="0" w:afterAutospacing="0"/>
              <w:jc w:val="center"/>
              <w:rPr>
                <w:rFonts w:ascii="Times New Roman" w:hAnsi="Times New Roman" w:cs="Times New Roman"/>
                <w:color w:val="000000"/>
                <w:sz w:val="18"/>
                <w:szCs w:val="18"/>
              </w:rPr>
            </w:pPr>
            <w:r w:rsidRPr="001E7726">
              <w:rPr>
                <w:rFonts w:ascii="Times New Roman" w:hAnsi="Times New Roman" w:cs="Times New Roman"/>
                <w:color w:val="000000"/>
                <w:sz w:val="18"/>
                <w:szCs w:val="18"/>
              </w:rPr>
              <w:t>-</w:t>
            </w:r>
          </w:p>
        </w:tc>
      </w:tr>
      <w:tr w:rsidR="00D21851" w:rsidRPr="0071419A" w:rsidTr="00C37EBC">
        <w:trPr>
          <w:trHeight w:val="1301"/>
        </w:trPr>
        <w:tc>
          <w:tcPr>
            <w:tcW w:w="9357" w:type="dxa"/>
            <w:gridSpan w:val="5"/>
            <w:shd w:val="clear" w:color="auto" w:fill="31849B"/>
            <w:vAlign w:val="center"/>
          </w:tcPr>
          <w:p w:rsidR="00C37EBC" w:rsidRDefault="00C37EBC" w:rsidP="00C37EBC">
            <w:pPr>
              <w:spacing w:line="276" w:lineRule="auto"/>
              <w:jc w:val="center"/>
              <w:rPr>
                <w:rFonts w:ascii="Times New Roman" w:hAnsi="Times New Roman" w:cs="Times New Roman"/>
                <w:color w:val="FFFFFF"/>
                <w:sz w:val="18"/>
                <w:szCs w:val="18"/>
              </w:rPr>
            </w:pPr>
            <w:r w:rsidRPr="00F12E5B">
              <w:rPr>
                <w:rFonts w:ascii="Times New Roman" w:hAnsi="Times New Roman" w:cs="Times New Roman"/>
                <w:color w:val="FFFFFF"/>
                <w:sz w:val="18"/>
                <w:szCs w:val="18"/>
                <w:lang w:val="en-US"/>
              </w:rPr>
              <w:t>WT</w:t>
            </w:r>
            <w:r w:rsidRPr="00F12E5B">
              <w:rPr>
                <w:rFonts w:ascii="Times New Roman" w:hAnsi="Times New Roman" w:cs="Times New Roman"/>
                <w:color w:val="FFFFFF"/>
                <w:sz w:val="18"/>
                <w:szCs w:val="18"/>
              </w:rPr>
              <w:t xml:space="preserve"> - Warthin  </w:t>
            </w:r>
            <w:r w:rsidRPr="00F12E5B">
              <w:rPr>
                <w:rFonts w:ascii="Times New Roman" w:hAnsi="Times New Roman" w:cs="Times New Roman"/>
                <w:color w:val="FFFFFF"/>
                <w:sz w:val="18"/>
                <w:szCs w:val="18"/>
                <w:lang w:val="en-US"/>
              </w:rPr>
              <w:t>Tu</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 xml:space="preserve"> BA</w:t>
            </w:r>
            <w:r w:rsidRPr="00F12E5B">
              <w:rPr>
                <w:rFonts w:ascii="Times New Roman" w:hAnsi="Times New Roman" w:cs="Times New Roman"/>
                <w:color w:val="FFFFFF"/>
                <w:sz w:val="18"/>
                <w:szCs w:val="18"/>
              </w:rPr>
              <w:t xml:space="preserve"> - Basal cell adenoma; </w:t>
            </w:r>
            <w:r w:rsidRPr="00F12E5B">
              <w:rPr>
                <w:rFonts w:ascii="Times New Roman" w:hAnsi="Times New Roman" w:cs="Times New Roman"/>
                <w:color w:val="FFFFFF"/>
                <w:sz w:val="18"/>
                <w:szCs w:val="18"/>
                <w:lang w:val="en-US"/>
              </w:rPr>
              <w:t>Pa</w:t>
            </w:r>
            <w:r w:rsidRPr="00F12E5B">
              <w:rPr>
                <w:rFonts w:ascii="Times New Roman" w:hAnsi="Times New Roman" w:cs="Times New Roman"/>
                <w:color w:val="FFFFFF"/>
                <w:sz w:val="18"/>
                <w:szCs w:val="18"/>
              </w:rPr>
              <w:t xml:space="preserve"> - Tu mixtus; </w:t>
            </w:r>
            <w:r w:rsidRPr="00F12E5B">
              <w:rPr>
                <w:rFonts w:ascii="Times New Roman" w:hAnsi="Times New Roman" w:cs="Times New Roman"/>
                <w:color w:val="FFFFFF"/>
                <w:sz w:val="18"/>
                <w:szCs w:val="18"/>
                <w:lang w:val="en-US"/>
              </w:rPr>
              <w:t>AC</w:t>
            </w:r>
            <w:r w:rsidRPr="00F12E5B">
              <w:rPr>
                <w:rFonts w:ascii="Times New Roman" w:hAnsi="Times New Roman" w:cs="Times New Roman"/>
                <w:color w:val="FFFFFF"/>
                <w:sz w:val="18"/>
                <w:szCs w:val="18"/>
              </w:rPr>
              <w:t xml:space="preserve"> - Adenocarcinoma gl. parotis; </w:t>
            </w:r>
            <w:r w:rsidRPr="00F12E5B">
              <w:rPr>
                <w:rFonts w:ascii="Times New Roman" w:hAnsi="Times New Roman" w:cs="Times New Roman"/>
                <w:color w:val="FFFFFF"/>
                <w:sz w:val="18"/>
                <w:szCs w:val="18"/>
                <w:lang w:val="en-US"/>
              </w:rPr>
              <w:t xml:space="preserve">PC </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P</w:t>
            </w:r>
            <w:r w:rsidRPr="00F12E5B">
              <w:rPr>
                <w:rFonts w:ascii="Times New Roman" w:hAnsi="Times New Roman" w:cs="Times New Roman"/>
                <w:color w:val="FFFFFF"/>
                <w:sz w:val="18"/>
                <w:szCs w:val="18"/>
              </w:rPr>
              <w:t>lanocellular</w:t>
            </w:r>
            <w:r w:rsidRPr="00F12E5B">
              <w:rPr>
                <w:rFonts w:ascii="Times New Roman" w:hAnsi="Times New Roman" w:cs="Times New Roman"/>
                <w:color w:val="FFFFFF"/>
                <w:sz w:val="18"/>
                <w:szCs w:val="18"/>
                <w:lang w:val="en-US"/>
              </w:rPr>
              <w:t xml:space="preserve"> Ca</w:t>
            </w:r>
            <w:r w:rsidRPr="00F12E5B">
              <w:rPr>
                <w:rFonts w:ascii="Times New Roman" w:hAnsi="Times New Roman" w:cs="Times New Roman"/>
                <w:color w:val="FFFFFF"/>
                <w:sz w:val="18"/>
                <w:szCs w:val="18"/>
              </w:rPr>
              <w:t xml:space="preserve">; </w:t>
            </w:r>
            <w:r w:rsidRPr="00F12E5B">
              <w:rPr>
                <w:rFonts w:ascii="Times New Roman" w:hAnsi="Times New Roman" w:cs="Times New Roman"/>
                <w:color w:val="FFFFFF"/>
                <w:sz w:val="18"/>
                <w:szCs w:val="18"/>
                <w:lang w:val="en-US"/>
              </w:rPr>
              <w:t xml:space="preserve"> </w:t>
            </w:r>
          </w:p>
          <w:p w:rsidR="00C37EBC" w:rsidRPr="00F12E5B" w:rsidRDefault="00C37EBC" w:rsidP="00C37EBC">
            <w:pPr>
              <w:spacing w:line="276" w:lineRule="auto"/>
              <w:jc w:val="center"/>
              <w:rPr>
                <w:rFonts w:ascii="Times New Roman" w:hAnsi="Times New Roman" w:cs="Times New Roman"/>
                <w:color w:val="FFFFFF"/>
                <w:sz w:val="18"/>
                <w:szCs w:val="18"/>
              </w:rPr>
            </w:pPr>
            <w:r w:rsidRPr="00F12E5B">
              <w:rPr>
                <w:rFonts w:ascii="Times New Roman" w:hAnsi="Times New Roman" w:cs="Times New Roman"/>
                <w:color w:val="FFFFFF"/>
                <w:sz w:val="18"/>
                <w:szCs w:val="18"/>
                <w:lang w:val="en-US"/>
              </w:rPr>
              <w:t>MEC</w:t>
            </w:r>
            <w:r w:rsidRPr="00F12E5B">
              <w:rPr>
                <w:rFonts w:ascii="Times New Roman" w:hAnsi="Times New Roman" w:cs="Times New Roman"/>
                <w:color w:val="FFFFFF"/>
                <w:sz w:val="18"/>
                <w:szCs w:val="18"/>
              </w:rPr>
              <w:t xml:space="preserve"> - Mucoepidermoid carcinoma gl. </w:t>
            </w:r>
            <w:r w:rsidRPr="00F12E5B">
              <w:rPr>
                <w:rFonts w:ascii="Times New Roman" w:hAnsi="Times New Roman" w:cs="Times New Roman"/>
                <w:color w:val="FFFFFF"/>
                <w:sz w:val="18"/>
                <w:szCs w:val="18"/>
                <w:lang w:val="en-US"/>
              </w:rPr>
              <w:t>p</w:t>
            </w:r>
            <w:r w:rsidRPr="00F12E5B">
              <w:rPr>
                <w:rFonts w:ascii="Times New Roman" w:hAnsi="Times New Roman" w:cs="Times New Roman"/>
                <w:color w:val="FFFFFF"/>
                <w:sz w:val="18"/>
                <w:szCs w:val="18"/>
              </w:rPr>
              <w:t xml:space="preserve">arotis; </w:t>
            </w:r>
            <w:r w:rsidRPr="00F12E5B">
              <w:rPr>
                <w:rFonts w:ascii="Times New Roman" w:hAnsi="Times New Roman" w:cs="Times New Roman"/>
                <w:color w:val="FFFFFF"/>
                <w:sz w:val="18"/>
                <w:szCs w:val="18"/>
                <w:lang w:val="en-US"/>
              </w:rPr>
              <w:t>CEA</w:t>
            </w:r>
            <w:r w:rsidRPr="00F12E5B">
              <w:rPr>
                <w:rFonts w:ascii="Times New Roman" w:hAnsi="Times New Roman" w:cs="Times New Roman"/>
                <w:color w:val="FFFFFF"/>
                <w:sz w:val="18"/>
                <w:szCs w:val="18"/>
              </w:rPr>
              <w:t xml:space="preserve"> - Carcinoma ex pleomorphic adenoma; </w:t>
            </w:r>
            <w:r w:rsidRPr="00F12E5B">
              <w:rPr>
                <w:rFonts w:ascii="Times New Roman" w:hAnsi="Times New Roman" w:cs="Times New Roman"/>
                <w:color w:val="FFFFFF"/>
                <w:sz w:val="18"/>
                <w:szCs w:val="18"/>
                <w:lang w:val="en-US"/>
              </w:rPr>
              <w:t xml:space="preserve"> </w:t>
            </w:r>
          </w:p>
          <w:p w:rsidR="00C37EBC" w:rsidRPr="00F12E5B" w:rsidRDefault="00C37EBC" w:rsidP="00C37EBC">
            <w:pPr>
              <w:spacing w:line="276" w:lineRule="auto"/>
              <w:jc w:val="center"/>
              <w:rPr>
                <w:rFonts w:ascii="Times New Roman" w:hAnsi="Times New Roman" w:cs="Times New Roman"/>
                <w:color w:val="FFFFFF"/>
                <w:sz w:val="20"/>
                <w:szCs w:val="20"/>
                <w:highlight w:val="yellow"/>
              </w:rPr>
            </w:pPr>
            <w:r w:rsidRPr="00F12E5B">
              <w:rPr>
                <w:rFonts w:ascii="Times New Roman" w:hAnsi="Times New Roman" w:cs="Times New Roman"/>
                <w:color w:val="FFFFFF"/>
                <w:sz w:val="18"/>
                <w:szCs w:val="18"/>
                <w:lang w:val="en-US"/>
              </w:rPr>
              <w:t>Ly</w:t>
            </w:r>
            <w:r w:rsidRPr="00F12E5B">
              <w:rPr>
                <w:rFonts w:ascii="Times New Roman" w:hAnsi="Times New Roman" w:cs="Times New Roman"/>
                <w:color w:val="FFFFFF"/>
                <w:sz w:val="18"/>
                <w:szCs w:val="18"/>
              </w:rPr>
              <w:t xml:space="preserve"> – Lymphoma; </w:t>
            </w:r>
            <w:r w:rsidRPr="00F12E5B">
              <w:rPr>
                <w:rFonts w:ascii="Times New Roman" w:hAnsi="Times New Roman" w:cs="Times New Roman"/>
                <w:color w:val="FFFFFF"/>
                <w:sz w:val="18"/>
                <w:szCs w:val="18"/>
                <w:lang w:val="en-US"/>
              </w:rPr>
              <w:t xml:space="preserve"> ACC</w:t>
            </w:r>
            <w:r w:rsidRPr="00F12E5B">
              <w:rPr>
                <w:rFonts w:ascii="Times New Roman" w:hAnsi="Times New Roman" w:cs="Times New Roman"/>
                <w:color w:val="FFFFFF"/>
                <w:sz w:val="18"/>
                <w:szCs w:val="18"/>
              </w:rPr>
              <w:t xml:space="preserve"> - Acinic cell carcinoma;</w:t>
            </w:r>
          </w:p>
          <w:p w:rsidR="00D21851" w:rsidRPr="00BF5C33" w:rsidRDefault="00B64F98" w:rsidP="00F637C9">
            <w:pPr>
              <w:pStyle w:val="NormalWeb"/>
              <w:spacing w:before="0" w:beforeAutospacing="0" w:after="0" w:afterAutospacing="0"/>
              <w:jc w:val="center"/>
              <w:rPr>
                <w:rFonts w:ascii="Times New Roman" w:hAnsi="Times New Roman" w:cs="Times New Roman"/>
                <w:color w:val="FFFFFF"/>
                <w:sz w:val="18"/>
                <w:szCs w:val="18"/>
                <w:lang w:val="mk-MK"/>
              </w:rPr>
            </w:pPr>
            <w:r w:rsidRPr="00A926CA">
              <w:rPr>
                <w:rFonts w:ascii="Times New Roman" w:hAnsi="Times New Roman" w:cs="Times New Roman"/>
                <w:color w:val="FFFFFF"/>
                <w:sz w:val="18"/>
                <w:szCs w:val="18"/>
                <w:lang w:val="ru-RU"/>
              </w:rPr>
              <w:t xml:space="preserve">† нема </w:t>
            </w:r>
            <w:r>
              <w:rPr>
                <w:rFonts w:ascii="Times New Roman" w:hAnsi="Times New Roman" w:cs="Times New Roman"/>
                <w:color w:val="FFFFFF"/>
                <w:sz w:val="18"/>
                <w:szCs w:val="18"/>
                <w:lang w:val="mk-MK"/>
              </w:rPr>
              <w:t>податок за 1 пациент со AC;</w:t>
            </w:r>
            <w:r w:rsidRPr="00A926CA">
              <w:rPr>
                <w:rFonts w:ascii="Times New Roman" w:hAnsi="Times New Roman" w:cs="Times New Roman"/>
                <w:color w:val="FFFFFF"/>
                <w:sz w:val="18"/>
                <w:szCs w:val="18"/>
                <w:lang w:val="ru-RU"/>
              </w:rPr>
              <w:t xml:space="preserve">             </w:t>
            </w:r>
            <w:r w:rsidR="00D21851" w:rsidRPr="00A926CA">
              <w:rPr>
                <w:rFonts w:ascii="Times New Roman" w:hAnsi="Times New Roman" w:cs="Times New Roman"/>
                <w:color w:val="FFFFFF"/>
                <w:sz w:val="18"/>
                <w:szCs w:val="18"/>
                <w:vertAlign w:val="superscript"/>
                <w:lang w:val="ru-RU"/>
              </w:rPr>
              <w:t>1</w:t>
            </w:r>
            <w:r w:rsidR="00D21851">
              <w:rPr>
                <w:rFonts w:ascii="Times New Roman" w:hAnsi="Times New Roman" w:cs="Times New Roman"/>
                <w:color w:val="FFFFFF"/>
                <w:sz w:val="18"/>
                <w:szCs w:val="18"/>
              </w:rPr>
              <w:t>Difference</w:t>
            </w:r>
            <w:r w:rsidR="00D21851" w:rsidRPr="00A926CA">
              <w:rPr>
                <w:rFonts w:ascii="Times New Roman" w:hAnsi="Times New Roman" w:cs="Times New Roman"/>
                <w:color w:val="FFFFFF"/>
                <w:sz w:val="18"/>
                <w:szCs w:val="18"/>
                <w:lang w:val="ru-RU"/>
              </w:rPr>
              <w:t xml:space="preserve"> </w:t>
            </w:r>
            <w:r w:rsidR="00D21851">
              <w:rPr>
                <w:rFonts w:ascii="Times New Roman" w:hAnsi="Times New Roman" w:cs="Times New Roman"/>
                <w:color w:val="FFFFFF"/>
                <w:sz w:val="18"/>
                <w:szCs w:val="18"/>
              </w:rPr>
              <w:t>test</w:t>
            </w:r>
            <w:r w:rsidR="00D21851" w:rsidRPr="00A926CA">
              <w:rPr>
                <w:rFonts w:ascii="Times New Roman" w:hAnsi="Times New Roman" w:cs="Times New Roman"/>
                <w:color w:val="FFFFFF"/>
                <w:sz w:val="18"/>
                <w:szCs w:val="18"/>
                <w:lang w:val="ru-RU"/>
              </w:rPr>
              <w:t xml:space="preserve">                       *сигнификантно за </w:t>
            </w:r>
            <w:r w:rsidR="00D21851" w:rsidRPr="00437954">
              <w:rPr>
                <w:rFonts w:ascii="Times New Roman" w:hAnsi="Times New Roman" w:cs="Times New Roman"/>
                <w:color w:val="FFFFFF"/>
                <w:sz w:val="18"/>
                <w:szCs w:val="18"/>
                <w:lang w:val="it-IT"/>
              </w:rPr>
              <w:t>p&lt;0,05</w:t>
            </w:r>
          </w:p>
        </w:tc>
      </w:tr>
    </w:tbl>
    <w:p w:rsidR="005C6E10" w:rsidRDefault="005C6E10" w:rsidP="00235656">
      <w:pPr>
        <w:spacing w:after="120" w:line="360" w:lineRule="auto"/>
        <w:ind w:firstLine="720"/>
        <w:jc w:val="both"/>
        <w:rPr>
          <w:rFonts w:ascii="Times New Roman" w:hAnsi="Times New Roman" w:cs="Times New Roman"/>
          <w:color w:val="000000"/>
          <w:sz w:val="24"/>
          <w:szCs w:val="24"/>
        </w:rPr>
      </w:pPr>
    </w:p>
    <w:p w:rsidR="00F61B37" w:rsidRDefault="00235656" w:rsidP="00066A6D">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Анализа на вид на тумор</w:t>
      </w:r>
      <w:r w:rsidR="00AB32C7" w:rsidRPr="00EC28B2">
        <w:rPr>
          <w:rFonts w:ascii="Times New Roman" w:hAnsi="Times New Roman" w:cs="Times New Roman"/>
          <w:b/>
          <w:color w:val="000000"/>
          <w:sz w:val="24"/>
          <w:szCs w:val="24"/>
        </w:rPr>
        <w:t>и</w:t>
      </w:r>
      <w:r w:rsidRPr="00EC28B2">
        <w:rPr>
          <w:rFonts w:ascii="Times New Roman" w:hAnsi="Times New Roman" w:cs="Times New Roman"/>
          <w:b/>
          <w:color w:val="000000"/>
          <w:sz w:val="24"/>
          <w:szCs w:val="24"/>
        </w:rPr>
        <w:t xml:space="preserve"> и локација -</w:t>
      </w:r>
      <w:r>
        <w:rPr>
          <w:rFonts w:ascii="Times New Roman" w:hAnsi="Times New Roman" w:cs="Times New Roman"/>
          <w:color w:val="000000"/>
          <w:sz w:val="24"/>
          <w:szCs w:val="24"/>
        </w:rPr>
        <w:t xml:space="preserve"> </w:t>
      </w:r>
      <w:r w:rsidR="00F61B37" w:rsidRPr="00004C43">
        <w:rPr>
          <w:rFonts w:ascii="Times New Roman" w:hAnsi="Times New Roman" w:cs="Times New Roman"/>
          <w:color w:val="000000"/>
          <w:sz w:val="24"/>
          <w:szCs w:val="24"/>
        </w:rPr>
        <w:t xml:space="preserve">Од </w:t>
      </w:r>
      <w:r w:rsidRPr="00004C43">
        <w:rPr>
          <w:rFonts w:ascii="Times New Roman" w:hAnsi="Times New Roman" w:cs="Times New Roman"/>
          <w:color w:val="000000"/>
          <w:sz w:val="24"/>
          <w:szCs w:val="24"/>
        </w:rPr>
        <w:t>бенигните</w:t>
      </w:r>
      <w:r w:rsidR="00F61B37" w:rsidRPr="00004C43">
        <w:rPr>
          <w:rFonts w:ascii="Times New Roman" w:hAnsi="Times New Roman" w:cs="Times New Roman"/>
          <w:color w:val="000000"/>
          <w:sz w:val="24"/>
          <w:szCs w:val="24"/>
        </w:rPr>
        <w:t xml:space="preserve"> тумори на паротидните жлезди со локација на лева страна беа 27 (55,1%), а на десна страна 22 (44,9%). За p&gt;0,05, немаше сигнификантна разлика во процентуалната застапеност на бенигните тумори на двете локации (p=0,3151). Од </w:t>
      </w:r>
      <w:r w:rsidRPr="00004C43">
        <w:rPr>
          <w:rFonts w:ascii="Times New Roman" w:hAnsi="Times New Roman" w:cs="Times New Roman"/>
          <w:color w:val="000000"/>
          <w:sz w:val="24"/>
          <w:szCs w:val="24"/>
        </w:rPr>
        <w:t xml:space="preserve">малигните </w:t>
      </w:r>
      <w:r w:rsidR="00F61B37" w:rsidRPr="00004C43">
        <w:rPr>
          <w:rFonts w:ascii="Times New Roman" w:hAnsi="Times New Roman" w:cs="Times New Roman"/>
          <w:color w:val="000000"/>
          <w:sz w:val="24"/>
          <w:szCs w:val="24"/>
        </w:rPr>
        <w:t xml:space="preserve">тумори со локација на левата страна беа 8 (66,7%), а на десната страна 4 (33,3%). За p&gt;0,05, немаше сигнификантна разлика во процентуалната застапеност на малигните тумори на лева </w:t>
      </w:r>
      <w:r w:rsidR="00F61B37">
        <w:rPr>
          <w:rFonts w:ascii="Times New Roman" w:hAnsi="Times New Roman" w:cs="Times New Roman"/>
          <w:color w:val="000000"/>
          <w:sz w:val="24"/>
          <w:szCs w:val="24"/>
        </w:rPr>
        <w:t>односно на</w:t>
      </w:r>
      <w:r w:rsidR="00F61B37" w:rsidRPr="00004C43">
        <w:rPr>
          <w:rFonts w:ascii="Times New Roman" w:hAnsi="Times New Roman" w:cs="Times New Roman"/>
          <w:color w:val="000000"/>
          <w:sz w:val="24"/>
          <w:szCs w:val="24"/>
        </w:rPr>
        <w:t xml:space="preserve"> десна </w:t>
      </w:r>
      <w:r w:rsidR="00F61B37">
        <w:rPr>
          <w:rFonts w:ascii="Times New Roman" w:hAnsi="Times New Roman" w:cs="Times New Roman"/>
          <w:color w:val="000000"/>
          <w:sz w:val="24"/>
          <w:szCs w:val="24"/>
        </w:rPr>
        <w:t>страна</w:t>
      </w:r>
      <w:r w:rsidR="00F61B37" w:rsidRPr="00004C43">
        <w:rPr>
          <w:rFonts w:ascii="Times New Roman" w:hAnsi="Times New Roman" w:cs="Times New Roman"/>
          <w:color w:val="000000"/>
          <w:sz w:val="24"/>
          <w:szCs w:val="24"/>
        </w:rPr>
        <w:t xml:space="preserve"> (p=0,1092)</w:t>
      </w:r>
      <w:r w:rsidR="00CF40DE">
        <w:rPr>
          <w:rFonts w:ascii="Times New Roman" w:hAnsi="Times New Roman" w:cs="Times New Roman"/>
          <w:color w:val="000000"/>
          <w:sz w:val="24"/>
          <w:szCs w:val="24"/>
        </w:rPr>
        <w:t xml:space="preserve"> (Табела 7 и График 1</w:t>
      </w:r>
      <w:r w:rsidR="002255DA">
        <w:rPr>
          <w:rFonts w:ascii="Times New Roman" w:hAnsi="Times New Roman" w:cs="Times New Roman"/>
          <w:color w:val="000000"/>
          <w:sz w:val="24"/>
          <w:szCs w:val="24"/>
        </w:rPr>
        <w:t>2</w:t>
      </w:r>
      <w:r w:rsidR="00CF40DE">
        <w:rPr>
          <w:rFonts w:ascii="Times New Roman" w:hAnsi="Times New Roman" w:cs="Times New Roman"/>
          <w:color w:val="000000"/>
          <w:sz w:val="24"/>
          <w:szCs w:val="24"/>
        </w:rPr>
        <w:t>)</w:t>
      </w:r>
      <w:r w:rsidR="00F61B37" w:rsidRPr="00004C43">
        <w:rPr>
          <w:rFonts w:ascii="Times New Roman" w:hAnsi="Times New Roman" w:cs="Times New Roman"/>
          <w:color w:val="000000"/>
          <w:sz w:val="24"/>
          <w:szCs w:val="24"/>
        </w:rPr>
        <w:t xml:space="preserve">. </w:t>
      </w:r>
    </w:p>
    <w:p w:rsidR="00F61B37" w:rsidRPr="00004C43" w:rsidRDefault="00F61B37" w:rsidP="00066A6D">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r w:rsidRPr="00004C43">
        <w:rPr>
          <w:rFonts w:ascii="Times New Roman" w:hAnsi="Times New Roman" w:cs="Times New Roman"/>
          <w:color w:val="000000"/>
          <w:sz w:val="24"/>
          <w:szCs w:val="24"/>
        </w:rPr>
        <w:lastRenderedPageBreak/>
        <w:t xml:space="preserve">Дополнителната анализа, за p&gt;0,05 </w:t>
      </w:r>
      <w:r>
        <w:rPr>
          <w:rFonts w:ascii="Times New Roman" w:hAnsi="Times New Roman" w:cs="Times New Roman"/>
          <w:color w:val="000000"/>
          <w:sz w:val="24"/>
          <w:szCs w:val="24"/>
        </w:rPr>
        <w:t>н</w:t>
      </w:r>
      <w:r w:rsidRPr="00004C43">
        <w:rPr>
          <w:rFonts w:ascii="Times New Roman" w:hAnsi="Times New Roman" w:cs="Times New Roman"/>
          <w:color w:val="000000"/>
          <w:sz w:val="24"/>
          <w:szCs w:val="24"/>
        </w:rPr>
        <w:t xml:space="preserve">е укажа на сигнификантна асоцијација на видот на туморот </w:t>
      </w:r>
      <w:r>
        <w:rPr>
          <w:rFonts w:ascii="Times New Roman" w:hAnsi="Times New Roman" w:cs="Times New Roman"/>
          <w:color w:val="000000"/>
          <w:sz w:val="24"/>
          <w:szCs w:val="24"/>
        </w:rPr>
        <w:t xml:space="preserve">(бениген/малиген) </w:t>
      </w:r>
      <w:r w:rsidRPr="00004C43">
        <w:rPr>
          <w:rFonts w:ascii="Times New Roman" w:hAnsi="Times New Roman" w:cs="Times New Roman"/>
          <w:color w:val="000000"/>
          <w:sz w:val="24"/>
          <w:szCs w:val="24"/>
        </w:rPr>
        <w:t xml:space="preserve">со неговата локација </w:t>
      </w:r>
      <w:r>
        <w:rPr>
          <w:rFonts w:ascii="Times New Roman" w:hAnsi="Times New Roman" w:cs="Times New Roman"/>
          <w:color w:val="000000"/>
          <w:sz w:val="24"/>
          <w:szCs w:val="24"/>
        </w:rPr>
        <w:t xml:space="preserve">(лево/ десно) </w:t>
      </w:r>
      <w:r w:rsidRPr="00004C43">
        <w:rPr>
          <w:rFonts w:ascii="Times New Roman" w:hAnsi="Times New Roman" w:cs="Times New Roman"/>
          <w:color w:val="000000"/>
          <w:sz w:val="24"/>
          <w:szCs w:val="24"/>
        </w:rPr>
        <w:t>за  Fisher exact test: p=0,5316</w:t>
      </w:r>
      <w:r>
        <w:rPr>
          <w:rFonts w:ascii="Times New Roman" w:hAnsi="Times New Roman" w:cs="Times New Roman"/>
          <w:color w:val="000000"/>
          <w:sz w:val="24"/>
          <w:szCs w:val="24"/>
        </w:rPr>
        <w:t xml:space="preserve"> (Табела 7).</w:t>
      </w:r>
    </w:p>
    <w:p w:rsidR="00F61B37" w:rsidRDefault="00F61B37" w:rsidP="00E5190C">
      <w:pPr>
        <w:spacing w:line="360" w:lineRule="auto"/>
        <w:ind w:firstLine="720"/>
        <w:jc w:val="both"/>
        <w:rPr>
          <w:rFonts w:ascii="Times New Roman" w:hAnsi="Times New Roman" w:cs="Times New Roman"/>
          <w:color w:val="000000"/>
          <w:sz w:val="24"/>
          <w:szCs w:val="24"/>
        </w:rPr>
      </w:pPr>
    </w:p>
    <w:p w:rsidR="00CF40DE" w:rsidRDefault="00446A60" w:rsidP="00E5190C">
      <w:pPr>
        <w:spacing w:line="360" w:lineRule="auto"/>
        <w:ind w:firstLine="720"/>
        <w:jc w:val="both"/>
        <w:rPr>
          <w:rFonts w:ascii="Times New Roman" w:hAnsi="Times New Roman" w:cs="Times New Roman"/>
          <w:color w:val="000000"/>
          <w:sz w:val="24"/>
          <w:szCs w:val="24"/>
        </w:rPr>
      </w:pPr>
      <w:r>
        <w:rPr>
          <w:noProof/>
          <w:lang w:val="en-US"/>
        </w:rPr>
        <w:drawing>
          <wp:anchor distT="0" distB="0" distL="114300" distR="114300" simplePos="0" relativeHeight="251656704" behindDoc="1" locked="0" layoutInCell="1" allowOverlap="1">
            <wp:simplePos x="0" y="0"/>
            <wp:positionH relativeFrom="column">
              <wp:posOffset>1101090</wp:posOffset>
            </wp:positionH>
            <wp:positionV relativeFrom="paragraph">
              <wp:posOffset>7620</wp:posOffset>
            </wp:positionV>
            <wp:extent cx="3518535" cy="1941195"/>
            <wp:effectExtent l="19050" t="0" r="5715" b="0"/>
            <wp:wrapTight wrapText="bothSides">
              <wp:wrapPolygon edited="0">
                <wp:start x="-117" y="0"/>
                <wp:lineTo x="-117" y="21197"/>
                <wp:lineTo x="21518" y="21197"/>
                <wp:lineTo x="21635" y="0"/>
                <wp:lineTo x="-117" y="0"/>
              </wp:wrapPolygon>
            </wp:wrapTight>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8"/>
                    <a:srcRect/>
                    <a:stretch>
                      <a:fillRect/>
                    </a:stretch>
                  </pic:blipFill>
                  <pic:spPr bwMode="auto">
                    <a:xfrm>
                      <a:off x="0" y="0"/>
                      <a:ext cx="3518535" cy="1941195"/>
                    </a:xfrm>
                    <a:prstGeom prst="rect">
                      <a:avLst/>
                    </a:prstGeom>
                    <a:noFill/>
                    <a:ln w="9525">
                      <a:noFill/>
                      <a:miter lim="800000"/>
                      <a:headEnd/>
                      <a:tailEnd/>
                    </a:ln>
                  </pic:spPr>
                </pic:pic>
              </a:graphicData>
            </a:graphic>
          </wp:anchor>
        </w:drawing>
      </w:r>
    </w:p>
    <w:p w:rsidR="00CF40DE" w:rsidRDefault="00CF40DE" w:rsidP="00E5190C">
      <w:pPr>
        <w:spacing w:line="360" w:lineRule="auto"/>
        <w:ind w:firstLine="720"/>
        <w:jc w:val="both"/>
        <w:rPr>
          <w:rFonts w:ascii="Times New Roman" w:hAnsi="Times New Roman" w:cs="Times New Roman"/>
          <w:b/>
          <w:color w:val="215868"/>
          <w:sz w:val="24"/>
          <w:szCs w:val="24"/>
        </w:rPr>
      </w:pPr>
    </w:p>
    <w:p w:rsidR="00CF40DE" w:rsidRDefault="00CF40DE" w:rsidP="00E5190C">
      <w:pPr>
        <w:spacing w:line="360" w:lineRule="auto"/>
        <w:ind w:firstLine="720"/>
        <w:jc w:val="both"/>
        <w:rPr>
          <w:rFonts w:ascii="Times New Roman" w:hAnsi="Times New Roman" w:cs="Times New Roman"/>
          <w:b/>
          <w:color w:val="215868"/>
          <w:sz w:val="24"/>
          <w:szCs w:val="24"/>
        </w:rPr>
      </w:pPr>
    </w:p>
    <w:p w:rsidR="00CF40DE" w:rsidRDefault="00CF40DE" w:rsidP="00E5190C">
      <w:pPr>
        <w:spacing w:line="360" w:lineRule="auto"/>
        <w:ind w:firstLine="720"/>
        <w:jc w:val="both"/>
        <w:rPr>
          <w:rFonts w:ascii="Times New Roman" w:hAnsi="Times New Roman" w:cs="Times New Roman"/>
          <w:b/>
          <w:color w:val="215868"/>
          <w:sz w:val="24"/>
          <w:szCs w:val="24"/>
        </w:rPr>
      </w:pPr>
    </w:p>
    <w:p w:rsidR="00CF40DE" w:rsidRDefault="00CF40DE" w:rsidP="00E5190C">
      <w:pPr>
        <w:spacing w:line="360" w:lineRule="auto"/>
        <w:ind w:firstLine="720"/>
        <w:jc w:val="both"/>
        <w:rPr>
          <w:rFonts w:ascii="Times New Roman" w:hAnsi="Times New Roman" w:cs="Times New Roman"/>
          <w:b/>
          <w:color w:val="215868"/>
          <w:sz w:val="24"/>
          <w:szCs w:val="24"/>
        </w:rPr>
      </w:pPr>
    </w:p>
    <w:p w:rsidR="00CF40DE" w:rsidRDefault="00CF40DE" w:rsidP="00E5190C">
      <w:pPr>
        <w:spacing w:line="360" w:lineRule="auto"/>
        <w:ind w:firstLine="720"/>
        <w:jc w:val="both"/>
        <w:rPr>
          <w:rFonts w:ascii="Times New Roman" w:hAnsi="Times New Roman" w:cs="Times New Roman"/>
          <w:b/>
          <w:color w:val="215868"/>
          <w:sz w:val="24"/>
          <w:szCs w:val="24"/>
        </w:rPr>
      </w:pPr>
    </w:p>
    <w:p w:rsidR="00E279C2" w:rsidRDefault="00E279C2" w:rsidP="00E279C2">
      <w:pPr>
        <w:spacing w:line="360" w:lineRule="auto"/>
        <w:rPr>
          <w:rFonts w:ascii="Times New Roman" w:hAnsi="Times New Roman" w:cs="Times New Roman"/>
          <w:b/>
          <w:color w:val="215868"/>
          <w:sz w:val="24"/>
          <w:szCs w:val="24"/>
        </w:rPr>
      </w:pPr>
    </w:p>
    <w:p w:rsidR="00E279C2" w:rsidRDefault="00E279C2" w:rsidP="00E279C2">
      <w:pPr>
        <w:spacing w:line="360" w:lineRule="auto"/>
        <w:rPr>
          <w:rFonts w:ascii="Times New Roman" w:hAnsi="Times New Roman" w:cs="Times New Roman"/>
          <w:b/>
          <w:color w:val="000000"/>
          <w:sz w:val="20"/>
          <w:szCs w:val="20"/>
        </w:rPr>
      </w:pPr>
    </w:p>
    <w:p w:rsidR="00CF40DE" w:rsidRPr="00AC7374" w:rsidRDefault="00CF40DE" w:rsidP="00E279C2">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12</w:t>
      </w:r>
      <w:r w:rsidR="00E279C2">
        <w:rPr>
          <w:rFonts w:ascii="Times New Roman" w:hAnsi="Times New Roman" w:cs="Times New Roman"/>
          <w:b/>
          <w:color w:val="000000"/>
          <w:sz w:val="20"/>
          <w:szCs w:val="20"/>
        </w:rPr>
        <w:t>. В</w:t>
      </w:r>
      <w:r w:rsidRPr="00874946">
        <w:rPr>
          <w:rFonts w:ascii="Times New Roman" w:hAnsi="Times New Roman" w:cs="Times New Roman"/>
          <w:b/>
          <w:color w:val="000000"/>
          <w:sz w:val="20"/>
          <w:szCs w:val="20"/>
        </w:rPr>
        <w:t>ид на тумори на паротидните жлезди според локација</w:t>
      </w:r>
    </w:p>
    <w:p w:rsidR="00CF40DE" w:rsidRDefault="00CF40DE" w:rsidP="00E279C2">
      <w:pPr>
        <w:spacing w:line="360" w:lineRule="auto"/>
        <w:jc w:val="both"/>
        <w:rPr>
          <w:rFonts w:ascii="Times New Roman" w:hAnsi="Times New Roman" w:cs="Times New Roman"/>
          <w:b/>
          <w:color w:val="215868"/>
          <w:sz w:val="24"/>
          <w:szCs w:val="24"/>
        </w:rPr>
      </w:pPr>
    </w:p>
    <w:p w:rsidR="00343520" w:rsidRDefault="00343520" w:rsidP="00E279C2">
      <w:pPr>
        <w:spacing w:line="360" w:lineRule="auto"/>
        <w:jc w:val="both"/>
        <w:rPr>
          <w:rFonts w:ascii="Times New Roman" w:hAnsi="Times New Roman" w:cs="Times New Roman"/>
          <w:b/>
          <w:color w:val="215868"/>
          <w:sz w:val="24"/>
          <w:szCs w:val="24"/>
        </w:rPr>
      </w:pPr>
    </w:p>
    <w:p w:rsidR="00F1266F" w:rsidRDefault="00235656" w:rsidP="00D36D75">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 xml:space="preserve">Анализа на тип на бенигни тумори и локација </w:t>
      </w:r>
      <w:r w:rsidR="00F1266F" w:rsidRPr="00EC28B2">
        <w:rPr>
          <w:rFonts w:ascii="Times New Roman" w:hAnsi="Times New Roman" w:cs="Times New Roman"/>
          <w:b/>
          <w:color w:val="000000"/>
          <w:sz w:val="24"/>
          <w:szCs w:val="24"/>
        </w:rPr>
        <w:t>–</w:t>
      </w:r>
      <w:r w:rsidRPr="00DE46B2">
        <w:rPr>
          <w:rFonts w:ascii="Times New Roman" w:hAnsi="Times New Roman" w:cs="Times New Roman"/>
          <w:b/>
          <w:color w:val="215868"/>
          <w:sz w:val="24"/>
          <w:szCs w:val="24"/>
        </w:rPr>
        <w:t xml:space="preserve"> </w:t>
      </w:r>
      <w:r w:rsidR="00F1266F" w:rsidRPr="00DE46B2">
        <w:rPr>
          <w:rFonts w:ascii="Times New Roman" w:hAnsi="Times New Roman" w:cs="Times New Roman"/>
          <w:color w:val="000000"/>
          <w:sz w:val="24"/>
          <w:szCs w:val="24"/>
        </w:rPr>
        <w:t>во испитуваната група,</w:t>
      </w:r>
      <w:r w:rsidR="00F1266F" w:rsidRPr="00DE46B2">
        <w:rPr>
          <w:rFonts w:ascii="Times New Roman" w:hAnsi="Times New Roman" w:cs="Times New Roman"/>
          <w:b/>
          <w:color w:val="215868"/>
          <w:sz w:val="24"/>
          <w:szCs w:val="24"/>
        </w:rPr>
        <w:t xml:space="preserve"> </w:t>
      </w:r>
      <w:r w:rsidR="00F1266F" w:rsidRPr="00DE46B2">
        <w:rPr>
          <w:rFonts w:ascii="Times New Roman" w:hAnsi="Times New Roman" w:cs="Times New Roman"/>
          <w:color w:val="000000"/>
          <w:sz w:val="24"/>
          <w:szCs w:val="24"/>
        </w:rPr>
        <w:t>направена беше анализа на локацијата на бенигните тумори на паротидните жлезди и беше утврдено за:</w:t>
      </w:r>
    </w:p>
    <w:p w:rsidR="00C3751D" w:rsidRPr="00DE46B2" w:rsidRDefault="00C3751D" w:rsidP="00D36D75">
      <w:pPr>
        <w:ind w:firstLine="720"/>
        <w:jc w:val="both"/>
        <w:rPr>
          <w:rFonts w:ascii="Times New Roman" w:hAnsi="Times New Roman" w:cs="Times New Roman"/>
          <w:color w:val="000000"/>
          <w:sz w:val="24"/>
          <w:szCs w:val="24"/>
        </w:rPr>
      </w:pPr>
    </w:p>
    <w:p w:rsidR="00F1266F" w:rsidRPr="00DE46B2" w:rsidRDefault="00F1266F" w:rsidP="00D36D75">
      <w:pPr>
        <w:numPr>
          <w:ilvl w:val="0"/>
          <w:numId w:val="14"/>
        </w:numPr>
        <w:spacing w:after="200"/>
        <w:ind w:left="425" w:hanging="425"/>
        <w:jc w:val="both"/>
        <w:rPr>
          <w:rFonts w:ascii="Times New Roman" w:hAnsi="Times New Roman" w:cs="Times New Roman"/>
          <w:color w:val="000000"/>
          <w:sz w:val="24"/>
          <w:szCs w:val="24"/>
        </w:rPr>
      </w:pPr>
      <w:r w:rsidRPr="00DE46B2">
        <w:rPr>
          <w:rFonts w:ascii="Times New Roman" w:hAnsi="Times New Roman" w:cs="Times New Roman"/>
          <w:sz w:val="24"/>
          <w:szCs w:val="24"/>
        </w:rPr>
        <w:t>WT</w:t>
      </w:r>
      <w:r w:rsidRPr="00DE46B2">
        <w:rPr>
          <w:rFonts w:ascii="Times New Roman" w:hAnsi="Times New Roman" w:cs="Times New Roman"/>
          <w:color w:val="000000"/>
          <w:sz w:val="24"/>
          <w:szCs w:val="24"/>
        </w:rPr>
        <w:t xml:space="preserve"> – од </w:t>
      </w:r>
      <w:r w:rsidR="00DE46B2" w:rsidRPr="00DE46B2">
        <w:rPr>
          <w:rFonts w:ascii="Times New Roman" w:hAnsi="Times New Roman" w:cs="Times New Roman"/>
          <w:sz w:val="24"/>
          <w:szCs w:val="24"/>
        </w:rPr>
        <w:t>WT</w:t>
      </w:r>
      <w:r w:rsidR="00DE46B2" w:rsidRPr="00DE46B2">
        <w:rPr>
          <w:rFonts w:ascii="Times New Roman" w:hAnsi="Times New Roman" w:cs="Times New Roman"/>
          <w:color w:val="000000"/>
          <w:sz w:val="24"/>
          <w:szCs w:val="24"/>
        </w:rPr>
        <w:t xml:space="preserve"> </w:t>
      </w:r>
      <w:r w:rsidRPr="00DE46B2">
        <w:rPr>
          <w:rFonts w:ascii="Times New Roman" w:hAnsi="Times New Roman" w:cs="Times New Roman"/>
          <w:color w:val="000000"/>
          <w:sz w:val="24"/>
          <w:szCs w:val="24"/>
        </w:rPr>
        <w:t>тумор</w:t>
      </w:r>
      <w:r w:rsidR="00DE46B2" w:rsidRPr="00DE46B2">
        <w:rPr>
          <w:rFonts w:ascii="Times New Roman" w:hAnsi="Times New Roman" w:cs="Times New Roman"/>
          <w:color w:val="000000"/>
          <w:sz w:val="24"/>
          <w:szCs w:val="24"/>
        </w:rPr>
        <w:t>ите</w:t>
      </w:r>
      <w:r w:rsidRPr="00DE46B2">
        <w:rPr>
          <w:rFonts w:ascii="Times New Roman" w:hAnsi="Times New Roman" w:cs="Times New Roman"/>
          <w:color w:val="000000"/>
          <w:sz w:val="24"/>
          <w:szCs w:val="24"/>
        </w:rPr>
        <w:t xml:space="preserve"> со локација </w:t>
      </w:r>
      <w:r w:rsidR="00C3751D">
        <w:rPr>
          <w:rFonts w:ascii="Times New Roman" w:hAnsi="Times New Roman" w:cs="Times New Roman"/>
          <w:color w:val="000000"/>
          <w:sz w:val="24"/>
          <w:szCs w:val="24"/>
        </w:rPr>
        <w:t xml:space="preserve">на </w:t>
      </w:r>
      <w:r w:rsidRPr="00DE46B2">
        <w:rPr>
          <w:rFonts w:ascii="Times New Roman" w:hAnsi="Times New Roman" w:cs="Times New Roman"/>
          <w:color w:val="000000"/>
          <w:sz w:val="24"/>
          <w:szCs w:val="24"/>
        </w:rPr>
        <w:t>лев</w:t>
      </w:r>
      <w:r w:rsidR="00C3751D">
        <w:rPr>
          <w:rFonts w:ascii="Times New Roman" w:hAnsi="Times New Roman" w:cs="Times New Roman"/>
          <w:color w:val="000000"/>
          <w:sz w:val="24"/>
          <w:szCs w:val="24"/>
        </w:rPr>
        <w:t>а страна</w:t>
      </w:r>
      <w:r w:rsidRPr="00DE46B2">
        <w:rPr>
          <w:rFonts w:ascii="Times New Roman" w:hAnsi="Times New Roman" w:cs="Times New Roman"/>
          <w:color w:val="000000"/>
          <w:sz w:val="24"/>
          <w:szCs w:val="24"/>
        </w:rPr>
        <w:t xml:space="preserve"> б</w:t>
      </w:r>
      <w:r w:rsidR="00C3751D">
        <w:rPr>
          <w:rFonts w:ascii="Times New Roman" w:hAnsi="Times New Roman" w:cs="Times New Roman"/>
          <w:color w:val="000000"/>
          <w:sz w:val="24"/>
          <w:szCs w:val="24"/>
        </w:rPr>
        <w:t>еа</w:t>
      </w:r>
      <w:r w:rsidRPr="00DE46B2">
        <w:rPr>
          <w:rFonts w:ascii="Times New Roman" w:hAnsi="Times New Roman" w:cs="Times New Roman"/>
          <w:color w:val="000000"/>
          <w:sz w:val="24"/>
          <w:szCs w:val="24"/>
        </w:rPr>
        <w:t xml:space="preserve"> 12 (44,4%), а </w:t>
      </w:r>
      <w:r w:rsidR="00C3751D">
        <w:rPr>
          <w:rFonts w:ascii="Times New Roman" w:hAnsi="Times New Roman" w:cs="Times New Roman"/>
          <w:color w:val="000000"/>
          <w:sz w:val="24"/>
          <w:szCs w:val="24"/>
        </w:rPr>
        <w:t xml:space="preserve">на </w:t>
      </w:r>
      <w:r w:rsidRPr="00DE46B2">
        <w:rPr>
          <w:rFonts w:ascii="Times New Roman" w:hAnsi="Times New Roman" w:cs="Times New Roman"/>
          <w:color w:val="000000"/>
          <w:sz w:val="24"/>
          <w:szCs w:val="24"/>
        </w:rPr>
        <w:t xml:space="preserve">десна </w:t>
      </w:r>
      <w:r w:rsidR="00C3751D">
        <w:rPr>
          <w:rFonts w:ascii="Times New Roman" w:hAnsi="Times New Roman" w:cs="Times New Roman"/>
          <w:color w:val="000000"/>
          <w:sz w:val="24"/>
          <w:szCs w:val="24"/>
        </w:rPr>
        <w:t>страна беа</w:t>
      </w:r>
      <w:r w:rsidRPr="00DE46B2">
        <w:rPr>
          <w:rFonts w:ascii="Times New Roman" w:hAnsi="Times New Roman" w:cs="Times New Roman"/>
          <w:color w:val="000000"/>
          <w:sz w:val="24"/>
          <w:szCs w:val="24"/>
        </w:rPr>
        <w:t xml:space="preserve"> 15 (55,6%). За p&gt;0,05, </w:t>
      </w:r>
      <w:r w:rsidR="00DE46B2" w:rsidRPr="00DE46B2">
        <w:rPr>
          <w:rFonts w:ascii="Times New Roman" w:hAnsi="Times New Roman" w:cs="Times New Roman"/>
          <w:color w:val="000000"/>
          <w:sz w:val="24"/>
          <w:szCs w:val="24"/>
        </w:rPr>
        <w:t xml:space="preserve">кај </w:t>
      </w:r>
      <w:r w:rsidR="00DE46B2" w:rsidRPr="00DE46B2">
        <w:rPr>
          <w:rFonts w:ascii="Times New Roman" w:hAnsi="Times New Roman" w:cs="Times New Roman"/>
          <w:sz w:val="24"/>
          <w:szCs w:val="24"/>
        </w:rPr>
        <w:t>WT</w:t>
      </w:r>
      <w:r w:rsidR="00DE46B2" w:rsidRPr="00DE46B2">
        <w:rPr>
          <w:rFonts w:ascii="Times New Roman" w:hAnsi="Times New Roman" w:cs="Times New Roman"/>
          <w:color w:val="000000"/>
          <w:sz w:val="24"/>
          <w:szCs w:val="24"/>
        </w:rPr>
        <w:t xml:space="preserve"> туморите </w:t>
      </w:r>
      <w:r w:rsidRPr="00DE46B2">
        <w:rPr>
          <w:rFonts w:ascii="Times New Roman" w:hAnsi="Times New Roman" w:cs="Times New Roman"/>
          <w:color w:val="000000"/>
          <w:sz w:val="24"/>
          <w:szCs w:val="24"/>
        </w:rPr>
        <w:t>нема</w:t>
      </w:r>
      <w:r w:rsidR="00DE46B2" w:rsidRPr="00DE46B2">
        <w:rPr>
          <w:rFonts w:ascii="Times New Roman" w:hAnsi="Times New Roman" w:cs="Times New Roman"/>
          <w:color w:val="000000"/>
          <w:sz w:val="24"/>
          <w:szCs w:val="24"/>
        </w:rPr>
        <w:t>ше</w:t>
      </w:r>
      <w:r w:rsidRPr="00DE46B2">
        <w:rPr>
          <w:rFonts w:ascii="Times New Roman" w:hAnsi="Times New Roman" w:cs="Times New Roman"/>
          <w:color w:val="000000"/>
          <w:sz w:val="24"/>
          <w:szCs w:val="24"/>
        </w:rPr>
        <w:t xml:space="preserve"> сигнификантна процентуална разлика </w:t>
      </w:r>
      <w:r w:rsidR="00DE46B2" w:rsidRPr="00DE46B2">
        <w:rPr>
          <w:rFonts w:ascii="Times New Roman" w:hAnsi="Times New Roman" w:cs="Times New Roman"/>
          <w:color w:val="000000"/>
          <w:sz w:val="24"/>
          <w:szCs w:val="24"/>
        </w:rPr>
        <w:t>во</w:t>
      </w:r>
      <w:r w:rsidRPr="00DE46B2">
        <w:rPr>
          <w:rFonts w:ascii="Times New Roman" w:hAnsi="Times New Roman" w:cs="Times New Roman"/>
          <w:color w:val="000000"/>
          <w:sz w:val="24"/>
          <w:szCs w:val="24"/>
        </w:rPr>
        <w:t xml:space="preserve"> застапеноста на двете локации (лево/д</w:t>
      </w:r>
      <w:r w:rsidR="00DE46B2" w:rsidRPr="00DE46B2">
        <w:rPr>
          <w:rFonts w:ascii="Times New Roman" w:hAnsi="Times New Roman" w:cs="Times New Roman"/>
          <w:color w:val="000000"/>
          <w:sz w:val="24"/>
          <w:szCs w:val="24"/>
        </w:rPr>
        <w:t>е</w:t>
      </w:r>
      <w:r w:rsidRPr="00DE46B2">
        <w:rPr>
          <w:rFonts w:ascii="Times New Roman" w:hAnsi="Times New Roman" w:cs="Times New Roman"/>
          <w:color w:val="000000"/>
          <w:sz w:val="24"/>
          <w:szCs w:val="24"/>
        </w:rPr>
        <w:t>сно) (p=0,</w:t>
      </w:r>
      <w:r w:rsidR="00DE46B2" w:rsidRPr="00DE46B2">
        <w:rPr>
          <w:rFonts w:ascii="Times New Roman" w:hAnsi="Times New Roman" w:cs="Times New Roman"/>
          <w:color w:val="000000"/>
          <w:sz w:val="24"/>
          <w:szCs w:val="24"/>
        </w:rPr>
        <w:t>3151</w:t>
      </w:r>
      <w:r w:rsidRPr="00DE46B2">
        <w:rPr>
          <w:rFonts w:ascii="Times New Roman" w:hAnsi="Times New Roman" w:cs="Times New Roman"/>
          <w:color w:val="000000"/>
          <w:sz w:val="24"/>
          <w:szCs w:val="24"/>
        </w:rPr>
        <w:t xml:space="preserve">); </w:t>
      </w:r>
    </w:p>
    <w:p w:rsidR="00F1266F" w:rsidRPr="00D77458" w:rsidRDefault="00F1266F" w:rsidP="00D36D75">
      <w:pPr>
        <w:numPr>
          <w:ilvl w:val="0"/>
          <w:numId w:val="14"/>
        </w:numPr>
        <w:spacing w:after="200"/>
        <w:ind w:left="425" w:hanging="425"/>
        <w:jc w:val="both"/>
        <w:rPr>
          <w:rFonts w:ascii="Times New Roman" w:hAnsi="Times New Roman" w:cs="Times New Roman"/>
          <w:color w:val="000000"/>
          <w:sz w:val="24"/>
          <w:szCs w:val="24"/>
        </w:rPr>
      </w:pPr>
      <w:r w:rsidRPr="00DE46B2">
        <w:rPr>
          <w:rFonts w:ascii="Times New Roman" w:hAnsi="Times New Roman" w:cs="Times New Roman"/>
          <w:sz w:val="24"/>
          <w:szCs w:val="24"/>
          <w:lang w:val="en-US"/>
        </w:rPr>
        <w:t>BA</w:t>
      </w:r>
      <w:r w:rsidRPr="00DE46B2">
        <w:rPr>
          <w:rFonts w:ascii="Times New Roman" w:hAnsi="Times New Roman" w:cs="Times New Roman"/>
          <w:sz w:val="24"/>
          <w:szCs w:val="24"/>
        </w:rPr>
        <w:t xml:space="preserve"> </w:t>
      </w:r>
      <w:r w:rsidR="00DE46B2" w:rsidRPr="00DE46B2">
        <w:rPr>
          <w:rFonts w:ascii="Times New Roman" w:hAnsi="Times New Roman" w:cs="Times New Roman"/>
          <w:sz w:val="24"/>
          <w:szCs w:val="24"/>
        </w:rPr>
        <w:t>–</w:t>
      </w:r>
      <w:r w:rsidRPr="00DE46B2">
        <w:rPr>
          <w:rFonts w:ascii="Times New Roman" w:hAnsi="Times New Roman" w:cs="Times New Roman"/>
          <w:sz w:val="24"/>
          <w:szCs w:val="24"/>
        </w:rPr>
        <w:t xml:space="preserve"> </w:t>
      </w:r>
      <w:r w:rsidR="00DE46B2" w:rsidRPr="00DE46B2">
        <w:rPr>
          <w:rFonts w:ascii="Times New Roman" w:hAnsi="Times New Roman" w:cs="Times New Roman"/>
          <w:sz w:val="24"/>
          <w:szCs w:val="24"/>
        </w:rPr>
        <w:t xml:space="preserve">локацијата на </w:t>
      </w:r>
      <w:r w:rsidRPr="00DE46B2">
        <w:rPr>
          <w:rFonts w:ascii="Times New Roman" w:hAnsi="Times New Roman" w:cs="Times New Roman"/>
          <w:sz w:val="24"/>
          <w:szCs w:val="24"/>
        </w:rPr>
        <w:t xml:space="preserve"> </w:t>
      </w:r>
      <w:r w:rsidR="00DE46B2" w:rsidRPr="00DE46B2">
        <w:rPr>
          <w:rFonts w:ascii="Times New Roman" w:hAnsi="Times New Roman" w:cs="Times New Roman"/>
          <w:sz w:val="24"/>
          <w:szCs w:val="24"/>
          <w:lang w:val="en-US"/>
        </w:rPr>
        <w:t>BA</w:t>
      </w:r>
      <w:r w:rsidR="00DE46B2" w:rsidRPr="00DE46B2">
        <w:rPr>
          <w:rFonts w:ascii="Times New Roman" w:hAnsi="Times New Roman" w:cs="Times New Roman"/>
          <w:sz w:val="24"/>
          <w:szCs w:val="24"/>
        </w:rPr>
        <w:t xml:space="preserve"> туморите беше подеднаква</w:t>
      </w:r>
      <w:r w:rsidRPr="00DE46B2">
        <w:rPr>
          <w:rFonts w:ascii="Times New Roman" w:hAnsi="Times New Roman" w:cs="Times New Roman"/>
          <w:sz w:val="24"/>
          <w:szCs w:val="24"/>
        </w:rPr>
        <w:t xml:space="preserve"> </w:t>
      </w:r>
      <w:r w:rsidR="00DE46B2" w:rsidRPr="00DE46B2">
        <w:rPr>
          <w:rFonts w:ascii="Times New Roman" w:hAnsi="Times New Roman" w:cs="Times New Roman"/>
          <w:sz w:val="24"/>
          <w:szCs w:val="24"/>
        </w:rPr>
        <w:t xml:space="preserve">односно </w:t>
      </w:r>
      <w:r w:rsidRPr="00DE46B2">
        <w:rPr>
          <w:rFonts w:ascii="Times New Roman" w:hAnsi="Times New Roman" w:cs="Times New Roman"/>
          <w:sz w:val="24"/>
          <w:szCs w:val="24"/>
        </w:rPr>
        <w:t xml:space="preserve">со по 50% </w:t>
      </w:r>
      <w:r w:rsidR="00DE46B2" w:rsidRPr="00DE46B2">
        <w:rPr>
          <w:rFonts w:ascii="Times New Roman" w:hAnsi="Times New Roman" w:cs="Times New Roman"/>
          <w:sz w:val="24"/>
          <w:szCs w:val="24"/>
        </w:rPr>
        <w:t xml:space="preserve">на лева и на </w:t>
      </w:r>
      <w:r w:rsidR="00DE46B2" w:rsidRPr="00D77458">
        <w:rPr>
          <w:rFonts w:ascii="Times New Roman" w:hAnsi="Times New Roman" w:cs="Times New Roman"/>
          <w:sz w:val="24"/>
          <w:szCs w:val="24"/>
        </w:rPr>
        <w:t xml:space="preserve">десна страна </w:t>
      </w:r>
      <w:r w:rsidRPr="00D77458">
        <w:rPr>
          <w:rFonts w:ascii="Times New Roman" w:hAnsi="Times New Roman" w:cs="Times New Roman"/>
          <w:sz w:val="24"/>
          <w:szCs w:val="24"/>
        </w:rPr>
        <w:t>(</w:t>
      </w:r>
      <w:r w:rsidRPr="00D77458">
        <w:rPr>
          <w:rFonts w:ascii="Times New Roman" w:hAnsi="Times New Roman" w:cs="Times New Roman"/>
          <w:color w:val="000000"/>
          <w:sz w:val="24"/>
          <w:szCs w:val="24"/>
        </w:rPr>
        <w:t xml:space="preserve">p=1,0000); </w:t>
      </w:r>
    </w:p>
    <w:p w:rsidR="00F1266F" w:rsidRPr="00D77458" w:rsidRDefault="00F1266F" w:rsidP="00D36D75">
      <w:pPr>
        <w:numPr>
          <w:ilvl w:val="0"/>
          <w:numId w:val="14"/>
        </w:numPr>
        <w:ind w:left="426" w:hanging="426"/>
        <w:jc w:val="both"/>
        <w:rPr>
          <w:rFonts w:ascii="Times New Roman" w:hAnsi="Times New Roman" w:cs="Times New Roman"/>
          <w:color w:val="000000"/>
          <w:sz w:val="24"/>
          <w:szCs w:val="24"/>
        </w:rPr>
      </w:pPr>
      <w:r w:rsidRPr="00D77458">
        <w:rPr>
          <w:rFonts w:ascii="Times New Roman" w:hAnsi="Times New Roman" w:cs="Times New Roman"/>
          <w:color w:val="000000"/>
          <w:sz w:val="24"/>
          <w:szCs w:val="24"/>
          <w:lang w:val="en-US"/>
        </w:rPr>
        <w:t>Pa</w:t>
      </w:r>
      <w:r w:rsidRPr="00D77458">
        <w:rPr>
          <w:rFonts w:ascii="Times New Roman" w:hAnsi="Times New Roman" w:cs="Times New Roman"/>
          <w:color w:val="000000"/>
          <w:sz w:val="24"/>
          <w:szCs w:val="24"/>
        </w:rPr>
        <w:t xml:space="preserve"> - пропоцијата </w:t>
      </w:r>
      <w:r w:rsidR="00D77458" w:rsidRPr="00D77458">
        <w:rPr>
          <w:rFonts w:ascii="Times New Roman" w:hAnsi="Times New Roman" w:cs="Times New Roman"/>
          <w:color w:val="000000"/>
          <w:sz w:val="24"/>
          <w:szCs w:val="24"/>
        </w:rPr>
        <w:t xml:space="preserve">на </w:t>
      </w:r>
      <w:r w:rsidR="00D77458" w:rsidRPr="00D77458">
        <w:rPr>
          <w:rFonts w:ascii="Times New Roman" w:hAnsi="Times New Roman" w:cs="Times New Roman"/>
          <w:color w:val="000000"/>
          <w:sz w:val="24"/>
          <w:szCs w:val="24"/>
          <w:lang w:val="en-US"/>
        </w:rPr>
        <w:t>Pa</w:t>
      </w:r>
      <w:r w:rsidR="00D77458" w:rsidRPr="00D77458">
        <w:rPr>
          <w:rFonts w:ascii="Times New Roman" w:hAnsi="Times New Roman" w:cs="Times New Roman"/>
          <w:color w:val="000000"/>
          <w:sz w:val="24"/>
          <w:szCs w:val="24"/>
        </w:rPr>
        <w:t xml:space="preserve"> тумори со локација на лева страна беше 17 (70%), а на десна страна 6 (30%). </w:t>
      </w:r>
      <w:r w:rsidRPr="00D77458">
        <w:rPr>
          <w:rFonts w:ascii="Times New Roman" w:hAnsi="Times New Roman" w:cs="Times New Roman"/>
          <w:color w:val="000000"/>
          <w:sz w:val="24"/>
          <w:szCs w:val="24"/>
        </w:rPr>
        <w:t xml:space="preserve">За </w:t>
      </w:r>
      <w:r w:rsidRPr="00D77458">
        <w:rPr>
          <w:rFonts w:ascii="Times New Roman" w:hAnsi="Times New Roman" w:cs="Times New Roman"/>
          <w:color w:val="000000"/>
          <w:sz w:val="24"/>
          <w:szCs w:val="24"/>
          <w:lang w:val="en-US"/>
        </w:rPr>
        <w:t>p</w:t>
      </w:r>
      <w:r w:rsidRPr="00A926CA">
        <w:rPr>
          <w:rFonts w:ascii="Times New Roman" w:hAnsi="Times New Roman" w:cs="Times New Roman"/>
          <w:color w:val="000000"/>
          <w:sz w:val="24"/>
          <w:szCs w:val="24"/>
          <w:lang w:val="ru-RU"/>
        </w:rPr>
        <w:t xml:space="preserve">&lt;0,05 </w:t>
      </w:r>
      <w:r w:rsidRPr="00D77458">
        <w:rPr>
          <w:rFonts w:ascii="Times New Roman" w:hAnsi="Times New Roman" w:cs="Times New Roman"/>
          <w:color w:val="000000"/>
          <w:sz w:val="24"/>
          <w:szCs w:val="24"/>
        </w:rPr>
        <w:t xml:space="preserve">имаше сигнификантна разлика во процентуалната застапеност на </w:t>
      </w:r>
      <w:r w:rsidR="00D77458" w:rsidRPr="00D77458">
        <w:rPr>
          <w:rFonts w:ascii="Times New Roman" w:hAnsi="Times New Roman" w:cs="Times New Roman"/>
          <w:color w:val="000000"/>
          <w:sz w:val="24"/>
          <w:szCs w:val="24"/>
        </w:rPr>
        <w:t xml:space="preserve">локациите </w:t>
      </w:r>
      <w:r w:rsidR="00C3751D" w:rsidRPr="00D77458">
        <w:rPr>
          <w:rFonts w:ascii="Times New Roman" w:hAnsi="Times New Roman" w:cs="Times New Roman"/>
          <w:color w:val="000000"/>
          <w:sz w:val="24"/>
          <w:szCs w:val="24"/>
        </w:rPr>
        <w:t>(p=0,0126)</w:t>
      </w:r>
      <w:r w:rsidR="00C3751D">
        <w:rPr>
          <w:rFonts w:ascii="Times New Roman" w:hAnsi="Times New Roman" w:cs="Times New Roman"/>
          <w:color w:val="000000"/>
          <w:sz w:val="24"/>
          <w:szCs w:val="24"/>
        </w:rPr>
        <w:t xml:space="preserve"> - </w:t>
      </w:r>
      <w:r w:rsidRPr="00D77458">
        <w:rPr>
          <w:rFonts w:ascii="Times New Roman" w:hAnsi="Times New Roman" w:cs="Times New Roman"/>
          <w:color w:val="000000"/>
          <w:sz w:val="24"/>
          <w:szCs w:val="24"/>
        </w:rPr>
        <w:t xml:space="preserve">во прилог на сигнификантно поголема застапеност на </w:t>
      </w:r>
      <w:r w:rsidR="00D77458" w:rsidRPr="00D77458">
        <w:rPr>
          <w:rFonts w:ascii="Times New Roman" w:hAnsi="Times New Roman" w:cs="Times New Roman"/>
          <w:color w:val="000000"/>
          <w:sz w:val="24"/>
          <w:szCs w:val="24"/>
        </w:rPr>
        <w:t>локацијата на лева страна</w:t>
      </w:r>
      <w:r w:rsidRPr="00D77458">
        <w:rPr>
          <w:rFonts w:ascii="Times New Roman" w:hAnsi="Times New Roman" w:cs="Times New Roman"/>
          <w:color w:val="000000"/>
          <w:sz w:val="24"/>
          <w:szCs w:val="24"/>
        </w:rPr>
        <w:t>;</w:t>
      </w:r>
    </w:p>
    <w:p w:rsidR="00793E78" w:rsidRDefault="00793E78" w:rsidP="00D36D75">
      <w:pPr>
        <w:ind w:firstLine="720"/>
        <w:jc w:val="both"/>
        <w:rPr>
          <w:rFonts w:ascii="Times New Roman" w:hAnsi="Times New Roman" w:cs="Times New Roman"/>
          <w:color w:val="000000"/>
          <w:sz w:val="24"/>
          <w:szCs w:val="24"/>
        </w:rPr>
      </w:pPr>
    </w:p>
    <w:p w:rsidR="00EE44F9" w:rsidRDefault="00EE44F9" w:rsidP="00D36D75">
      <w:pPr>
        <w:ind w:firstLine="720"/>
        <w:jc w:val="both"/>
        <w:rPr>
          <w:rFonts w:ascii="Times New Roman" w:hAnsi="Times New Roman"/>
          <w:color w:val="000000"/>
          <w:sz w:val="24"/>
          <w:szCs w:val="24"/>
        </w:rPr>
      </w:pPr>
      <w:r w:rsidRPr="00EE44F9">
        <w:rPr>
          <w:rFonts w:ascii="Times New Roman" w:hAnsi="Times New Roman" w:cs="Times New Roman"/>
          <w:color w:val="000000"/>
          <w:sz w:val="24"/>
          <w:szCs w:val="24"/>
        </w:rPr>
        <w:t xml:space="preserve">Дополнително, за p&gt;0,05, </w:t>
      </w:r>
      <w:r>
        <w:rPr>
          <w:rFonts w:ascii="Times New Roman" w:hAnsi="Times New Roman" w:cs="Times New Roman"/>
          <w:color w:val="000000"/>
          <w:sz w:val="24"/>
          <w:szCs w:val="24"/>
        </w:rPr>
        <w:t>немаше</w:t>
      </w:r>
      <w:r w:rsidRPr="00EE44F9">
        <w:rPr>
          <w:rFonts w:ascii="Times New Roman" w:hAnsi="Times New Roman" w:cs="Times New Roman"/>
          <w:color w:val="000000"/>
          <w:sz w:val="24"/>
          <w:szCs w:val="24"/>
        </w:rPr>
        <w:t xml:space="preserve"> сигнификантна асоцијација на типот на бениген тумор </w:t>
      </w:r>
      <w:r w:rsidR="002255DA">
        <w:rPr>
          <w:rFonts w:ascii="Times New Roman" w:hAnsi="Times New Roman" w:cs="Times New Roman"/>
          <w:color w:val="000000"/>
          <w:sz w:val="24"/>
          <w:szCs w:val="24"/>
        </w:rPr>
        <w:t>(</w:t>
      </w:r>
      <w:r w:rsidR="002255DA" w:rsidRPr="00DE46B2">
        <w:rPr>
          <w:rFonts w:ascii="Times New Roman" w:hAnsi="Times New Roman" w:cs="Times New Roman"/>
          <w:sz w:val="24"/>
          <w:szCs w:val="24"/>
        </w:rPr>
        <w:t>WT</w:t>
      </w:r>
      <w:r w:rsidR="002255DA">
        <w:rPr>
          <w:rFonts w:ascii="Times New Roman" w:hAnsi="Times New Roman" w:cs="Times New Roman"/>
          <w:color w:val="000000"/>
          <w:sz w:val="24"/>
          <w:szCs w:val="24"/>
        </w:rPr>
        <w:t xml:space="preserve">/ </w:t>
      </w:r>
      <w:r w:rsidR="002255DA" w:rsidRPr="00A926CA">
        <w:rPr>
          <w:rFonts w:ascii="Times New Roman" w:hAnsi="Times New Roman" w:cs="Times New Roman"/>
          <w:sz w:val="24"/>
          <w:szCs w:val="24"/>
        </w:rPr>
        <w:t>BA</w:t>
      </w:r>
      <w:r w:rsidR="002255DA">
        <w:rPr>
          <w:rFonts w:ascii="Times New Roman" w:hAnsi="Times New Roman" w:cs="Times New Roman"/>
          <w:sz w:val="24"/>
          <w:szCs w:val="24"/>
        </w:rPr>
        <w:t xml:space="preserve">/ </w:t>
      </w:r>
      <w:r w:rsidR="002255DA" w:rsidRPr="00A926CA">
        <w:rPr>
          <w:rFonts w:ascii="Times New Roman" w:hAnsi="Times New Roman" w:cs="Times New Roman"/>
          <w:color w:val="000000"/>
          <w:sz w:val="24"/>
          <w:szCs w:val="24"/>
        </w:rPr>
        <w:t>Pa</w:t>
      </w:r>
      <w:r w:rsidR="002255DA">
        <w:rPr>
          <w:rFonts w:ascii="Times New Roman" w:hAnsi="Times New Roman" w:cs="Times New Roman"/>
          <w:color w:val="000000"/>
          <w:sz w:val="24"/>
          <w:szCs w:val="24"/>
        </w:rPr>
        <w:t xml:space="preserve">) </w:t>
      </w:r>
      <w:r w:rsidRPr="00EE44F9">
        <w:rPr>
          <w:rFonts w:ascii="Times New Roman" w:hAnsi="Times New Roman" w:cs="Times New Roman"/>
          <w:color w:val="000000"/>
          <w:sz w:val="24"/>
          <w:szCs w:val="24"/>
        </w:rPr>
        <w:t xml:space="preserve">и локацијата </w:t>
      </w:r>
      <w:r w:rsidR="002255DA">
        <w:rPr>
          <w:rFonts w:ascii="Times New Roman" w:hAnsi="Times New Roman" w:cs="Times New Roman"/>
          <w:color w:val="000000"/>
          <w:sz w:val="24"/>
          <w:szCs w:val="24"/>
        </w:rPr>
        <w:t xml:space="preserve">(лево/ десно) </w:t>
      </w:r>
      <w:r w:rsidRPr="00EE44F9">
        <w:rPr>
          <w:rFonts w:ascii="Times New Roman" w:hAnsi="Times New Roman" w:cs="Times New Roman"/>
          <w:color w:val="000000"/>
          <w:sz w:val="24"/>
          <w:szCs w:val="24"/>
        </w:rPr>
        <w:t xml:space="preserve">за </w:t>
      </w:r>
      <w:r w:rsidRPr="00EE44F9">
        <w:rPr>
          <w:rFonts w:ascii="Times New Roman" w:hAnsi="Times New Roman"/>
          <w:color w:val="000000"/>
          <w:sz w:val="24"/>
          <w:szCs w:val="24"/>
        </w:rPr>
        <w:t>Fisher Freeman Halton exact test: p=0,2171</w:t>
      </w:r>
      <w:r>
        <w:rPr>
          <w:rFonts w:ascii="Times New Roman" w:hAnsi="Times New Roman"/>
          <w:color w:val="000000"/>
          <w:sz w:val="24"/>
          <w:szCs w:val="24"/>
        </w:rPr>
        <w:t xml:space="preserve"> (Табела 7 и График 13).</w:t>
      </w: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E5190C">
      <w:pPr>
        <w:spacing w:line="360" w:lineRule="auto"/>
        <w:ind w:firstLine="720"/>
        <w:jc w:val="both"/>
        <w:rPr>
          <w:rFonts w:ascii="Times New Roman" w:hAnsi="Times New Roman"/>
          <w:color w:val="000000"/>
          <w:sz w:val="24"/>
          <w:szCs w:val="24"/>
        </w:rPr>
      </w:pPr>
    </w:p>
    <w:p w:rsidR="002255DA" w:rsidRDefault="002255DA" w:rsidP="00964A42">
      <w:pPr>
        <w:spacing w:line="360" w:lineRule="auto"/>
        <w:jc w:val="both"/>
        <w:rPr>
          <w:rFonts w:ascii="Times New Roman" w:hAnsi="Times New Roman"/>
          <w:color w:val="000000"/>
          <w:sz w:val="24"/>
          <w:szCs w:val="24"/>
        </w:rPr>
      </w:pPr>
    </w:p>
    <w:p w:rsidR="002255DA" w:rsidRPr="00AC7374" w:rsidRDefault="002255DA" w:rsidP="002255DA">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График 13. Бенигни </w:t>
      </w:r>
      <w:r w:rsidRPr="00874946">
        <w:rPr>
          <w:rFonts w:ascii="Times New Roman" w:hAnsi="Times New Roman" w:cs="Times New Roman"/>
          <w:b/>
          <w:color w:val="000000"/>
          <w:sz w:val="20"/>
          <w:szCs w:val="20"/>
        </w:rPr>
        <w:t>тумори на паротидните жлезди според локација</w:t>
      </w:r>
    </w:p>
    <w:p w:rsidR="002255DA" w:rsidRDefault="00D36D75" w:rsidP="00E5190C">
      <w:pPr>
        <w:spacing w:line="360" w:lineRule="auto"/>
        <w:ind w:firstLine="720"/>
        <w:jc w:val="both"/>
        <w:rPr>
          <w:rFonts w:ascii="Times New Roman" w:hAnsi="Times New Roman"/>
          <w:color w:val="000000"/>
          <w:sz w:val="24"/>
          <w:szCs w:val="24"/>
        </w:rPr>
      </w:pPr>
      <w:r>
        <w:rPr>
          <w:rFonts w:ascii="Times New Roman" w:hAnsi="Times New Roman"/>
          <w:noProof/>
          <w:color w:val="000000"/>
          <w:sz w:val="24"/>
          <w:szCs w:val="24"/>
          <w:lang w:val="en-US"/>
        </w:rPr>
        <w:drawing>
          <wp:anchor distT="0" distB="0" distL="114300" distR="114300" simplePos="0" relativeHeight="251657728" behindDoc="1" locked="0" layoutInCell="1" allowOverlap="1">
            <wp:simplePos x="0" y="0"/>
            <wp:positionH relativeFrom="column">
              <wp:posOffset>450850</wp:posOffset>
            </wp:positionH>
            <wp:positionV relativeFrom="paragraph">
              <wp:posOffset>153035</wp:posOffset>
            </wp:positionV>
            <wp:extent cx="4572000" cy="1701800"/>
            <wp:effectExtent l="19050" t="0" r="0" b="0"/>
            <wp:wrapTight wrapText="bothSides">
              <wp:wrapPolygon edited="0">
                <wp:start x="-90" y="0"/>
                <wp:lineTo x="-90" y="21278"/>
                <wp:lineTo x="21600" y="21278"/>
                <wp:lineTo x="21600" y="3143"/>
                <wp:lineTo x="15840" y="0"/>
                <wp:lineTo x="-90" y="0"/>
              </wp:wrapPolygon>
            </wp:wrapTight>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9"/>
                    <a:srcRect b="6284"/>
                    <a:stretch>
                      <a:fillRect/>
                    </a:stretch>
                  </pic:blipFill>
                  <pic:spPr bwMode="auto">
                    <a:xfrm>
                      <a:off x="0" y="0"/>
                      <a:ext cx="4572000" cy="1701800"/>
                    </a:xfrm>
                    <a:prstGeom prst="rect">
                      <a:avLst/>
                    </a:prstGeom>
                    <a:noFill/>
                    <a:ln w="9525">
                      <a:noFill/>
                      <a:miter lim="800000"/>
                      <a:headEnd/>
                      <a:tailEnd/>
                    </a:ln>
                  </pic:spPr>
                </pic:pic>
              </a:graphicData>
            </a:graphic>
          </wp:anchor>
        </w:drawing>
      </w:r>
    </w:p>
    <w:p w:rsidR="002255DA" w:rsidRDefault="002255DA" w:rsidP="00E5190C">
      <w:pPr>
        <w:spacing w:line="360" w:lineRule="auto"/>
        <w:ind w:firstLine="720"/>
        <w:jc w:val="both"/>
        <w:rPr>
          <w:rFonts w:ascii="Times New Roman" w:hAnsi="Times New Roman"/>
          <w:color w:val="000000"/>
          <w:sz w:val="24"/>
          <w:szCs w:val="24"/>
        </w:rPr>
      </w:pPr>
    </w:p>
    <w:p w:rsidR="00811956" w:rsidRPr="00811956" w:rsidRDefault="00811956" w:rsidP="00D36D75">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Анализа на тип на малигни тумори и локација –</w:t>
      </w:r>
      <w:r w:rsidRPr="00811956">
        <w:rPr>
          <w:rFonts w:ascii="Times New Roman" w:hAnsi="Times New Roman" w:cs="Times New Roman"/>
          <w:b/>
          <w:color w:val="215868"/>
          <w:sz w:val="24"/>
          <w:szCs w:val="24"/>
        </w:rPr>
        <w:t xml:space="preserve"> </w:t>
      </w:r>
      <w:r w:rsidR="00C5256A" w:rsidRPr="00811956">
        <w:rPr>
          <w:rFonts w:ascii="Times New Roman" w:hAnsi="Times New Roman" w:cs="Times New Roman"/>
          <w:color w:val="000000"/>
          <w:sz w:val="24"/>
          <w:szCs w:val="24"/>
        </w:rPr>
        <w:t xml:space="preserve">Кај пациентите со </w:t>
      </w:r>
      <w:r w:rsidR="00E67E2D" w:rsidRPr="00811956">
        <w:rPr>
          <w:rFonts w:ascii="Times New Roman" w:hAnsi="Times New Roman" w:cs="Times New Roman"/>
          <w:color w:val="000000"/>
          <w:sz w:val="24"/>
          <w:szCs w:val="24"/>
        </w:rPr>
        <w:t xml:space="preserve">малигни тумори </w:t>
      </w:r>
      <w:r w:rsidR="00C5256A" w:rsidRPr="00811956">
        <w:rPr>
          <w:rFonts w:ascii="Times New Roman" w:hAnsi="Times New Roman" w:cs="Times New Roman"/>
          <w:color w:val="000000"/>
          <w:sz w:val="24"/>
          <w:szCs w:val="24"/>
        </w:rPr>
        <w:t>на паротидна жлезда</w:t>
      </w:r>
      <w:r w:rsidRPr="00811956">
        <w:rPr>
          <w:rFonts w:ascii="Times New Roman" w:hAnsi="Times New Roman" w:cs="Times New Roman"/>
          <w:color w:val="000000"/>
          <w:sz w:val="24"/>
          <w:szCs w:val="24"/>
        </w:rPr>
        <w:t>, направена беше анализа според локација (лево/ десно). Од сите типови на малигни тумори</w:t>
      </w:r>
      <w:r>
        <w:rPr>
          <w:rFonts w:ascii="Times New Roman" w:hAnsi="Times New Roman" w:cs="Times New Roman"/>
          <w:color w:val="000000"/>
          <w:sz w:val="24"/>
          <w:szCs w:val="24"/>
        </w:rPr>
        <w:t>,</w:t>
      </w:r>
      <w:r w:rsidRPr="00811956">
        <w:rPr>
          <w:rFonts w:ascii="Times New Roman" w:hAnsi="Times New Roman" w:cs="Times New Roman"/>
          <w:color w:val="000000"/>
          <w:sz w:val="24"/>
          <w:szCs w:val="24"/>
        </w:rPr>
        <w:t xml:space="preserve"> со 100% локација на лева страна беа </w:t>
      </w:r>
      <w:r w:rsidRPr="00811956">
        <w:rPr>
          <w:rFonts w:ascii="Times New Roman" w:hAnsi="Times New Roman" w:cs="Times New Roman"/>
          <w:sz w:val="24"/>
          <w:szCs w:val="24"/>
        </w:rPr>
        <w:t xml:space="preserve">AC – 3 (100%), </w:t>
      </w:r>
      <w:r w:rsidR="00C5256A" w:rsidRPr="00811956">
        <w:rPr>
          <w:rFonts w:ascii="Times New Roman" w:hAnsi="Times New Roman" w:cs="Times New Roman"/>
          <w:color w:val="000000"/>
          <w:sz w:val="24"/>
          <w:szCs w:val="24"/>
        </w:rPr>
        <w:t xml:space="preserve"> </w:t>
      </w:r>
      <w:r w:rsidRPr="00811956">
        <w:rPr>
          <w:rFonts w:ascii="Times New Roman" w:hAnsi="Times New Roman" w:cs="Times New Roman"/>
          <w:sz w:val="24"/>
          <w:szCs w:val="24"/>
        </w:rPr>
        <w:t>CEA</w:t>
      </w:r>
      <w:r w:rsidRPr="00811956">
        <w:rPr>
          <w:rFonts w:ascii="Times New Roman" w:hAnsi="Times New Roman" w:cs="Times New Roman"/>
          <w:color w:val="000000"/>
          <w:sz w:val="24"/>
          <w:szCs w:val="24"/>
        </w:rPr>
        <w:t xml:space="preserve"> – 2 (100%), и </w:t>
      </w:r>
      <w:r w:rsidRPr="00811956">
        <w:rPr>
          <w:rFonts w:ascii="Times New Roman" w:hAnsi="Times New Roman" w:cs="Times New Roman"/>
          <w:sz w:val="24"/>
          <w:szCs w:val="24"/>
        </w:rPr>
        <w:t>Ly</w:t>
      </w:r>
      <w:r w:rsidRPr="00811956">
        <w:rPr>
          <w:rFonts w:ascii="Times New Roman" w:hAnsi="Times New Roman" w:cs="Times New Roman"/>
          <w:color w:val="000000"/>
          <w:sz w:val="24"/>
          <w:szCs w:val="24"/>
        </w:rPr>
        <w:t xml:space="preserve"> – 1 </w:t>
      </w:r>
      <w:r w:rsidR="00C5256A" w:rsidRPr="00811956">
        <w:rPr>
          <w:rFonts w:ascii="Times New Roman" w:hAnsi="Times New Roman" w:cs="Times New Roman"/>
          <w:color w:val="000000"/>
          <w:sz w:val="24"/>
          <w:szCs w:val="24"/>
        </w:rPr>
        <w:t>(</w:t>
      </w:r>
      <w:r w:rsidRPr="00811956">
        <w:rPr>
          <w:rFonts w:ascii="Times New Roman" w:hAnsi="Times New Roman" w:cs="Times New Roman"/>
          <w:color w:val="000000"/>
          <w:sz w:val="24"/>
          <w:szCs w:val="24"/>
        </w:rPr>
        <w:t>100%</w:t>
      </w:r>
      <w:r w:rsidR="00C5256A" w:rsidRPr="00811956">
        <w:rPr>
          <w:rFonts w:ascii="Times New Roman" w:hAnsi="Times New Roman" w:cs="Times New Roman"/>
          <w:color w:val="000000"/>
          <w:sz w:val="24"/>
          <w:szCs w:val="24"/>
        </w:rPr>
        <w:t>)</w:t>
      </w:r>
      <w:r w:rsidRPr="00811956">
        <w:rPr>
          <w:rFonts w:ascii="Times New Roman" w:hAnsi="Times New Roman" w:cs="Times New Roman"/>
          <w:color w:val="000000"/>
          <w:sz w:val="24"/>
          <w:szCs w:val="24"/>
        </w:rPr>
        <w:t xml:space="preserve">, а со 100% локација на </w:t>
      </w:r>
      <w:r w:rsidR="00C5256A" w:rsidRPr="00811956">
        <w:rPr>
          <w:rFonts w:ascii="Times New Roman" w:hAnsi="Times New Roman" w:cs="Times New Roman"/>
          <w:color w:val="000000"/>
          <w:sz w:val="24"/>
          <w:szCs w:val="24"/>
        </w:rPr>
        <w:t xml:space="preserve"> </w:t>
      </w:r>
      <w:r w:rsidRPr="00811956">
        <w:rPr>
          <w:rFonts w:ascii="Times New Roman" w:hAnsi="Times New Roman" w:cs="Times New Roman"/>
          <w:color w:val="000000"/>
          <w:sz w:val="24"/>
          <w:szCs w:val="24"/>
        </w:rPr>
        <w:t xml:space="preserve">десна страна беа </w:t>
      </w:r>
      <w:r w:rsidRPr="00811956">
        <w:rPr>
          <w:rFonts w:ascii="Times New Roman" w:hAnsi="Times New Roman" w:cs="Times New Roman"/>
          <w:sz w:val="24"/>
          <w:szCs w:val="24"/>
          <w:lang w:val="en-US"/>
        </w:rPr>
        <w:t>MEC</w:t>
      </w:r>
      <w:r w:rsidRPr="00811956">
        <w:rPr>
          <w:rFonts w:ascii="Times New Roman" w:hAnsi="Times New Roman" w:cs="Times New Roman"/>
          <w:color w:val="000000"/>
          <w:sz w:val="24"/>
          <w:szCs w:val="24"/>
        </w:rPr>
        <w:t xml:space="preserve"> – 1</w:t>
      </w:r>
      <w:r w:rsidR="00676484">
        <w:rPr>
          <w:rFonts w:ascii="Times New Roman" w:hAnsi="Times New Roman" w:cs="Times New Roman"/>
          <w:color w:val="000000"/>
          <w:sz w:val="24"/>
          <w:szCs w:val="24"/>
        </w:rPr>
        <w:t xml:space="preserve"> </w:t>
      </w:r>
      <w:r w:rsidRPr="00811956">
        <w:rPr>
          <w:rFonts w:ascii="Times New Roman" w:hAnsi="Times New Roman" w:cs="Times New Roman"/>
          <w:color w:val="000000"/>
          <w:sz w:val="24"/>
          <w:szCs w:val="24"/>
        </w:rPr>
        <w:t xml:space="preserve">(100%) и </w:t>
      </w:r>
      <w:r w:rsidRPr="00811956">
        <w:rPr>
          <w:rFonts w:ascii="Times New Roman" w:hAnsi="Times New Roman" w:cs="Times New Roman"/>
          <w:sz w:val="24"/>
          <w:szCs w:val="24"/>
        </w:rPr>
        <w:t>ACC – 1 (100%). Кај PC</w:t>
      </w:r>
      <w:r>
        <w:rPr>
          <w:rFonts w:ascii="Times New Roman" w:hAnsi="Times New Roman" w:cs="Times New Roman"/>
          <w:sz w:val="24"/>
          <w:szCs w:val="24"/>
        </w:rPr>
        <w:t>, локацијат</w:t>
      </w:r>
      <w:r w:rsidRPr="00811956">
        <w:rPr>
          <w:rFonts w:ascii="Times New Roman" w:hAnsi="Times New Roman" w:cs="Times New Roman"/>
          <w:sz w:val="24"/>
          <w:szCs w:val="24"/>
        </w:rPr>
        <w:t>а</w:t>
      </w:r>
      <w:r>
        <w:rPr>
          <w:rFonts w:ascii="Times New Roman" w:hAnsi="Times New Roman" w:cs="Times New Roman"/>
          <w:sz w:val="24"/>
          <w:szCs w:val="24"/>
        </w:rPr>
        <w:t xml:space="preserve"> </w:t>
      </w:r>
      <w:r w:rsidRPr="00811956">
        <w:rPr>
          <w:rFonts w:ascii="Times New Roman" w:hAnsi="Times New Roman" w:cs="Times New Roman"/>
          <w:sz w:val="24"/>
          <w:szCs w:val="24"/>
        </w:rPr>
        <w:t xml:space="preserve">беше </w:t>
      </w:r>
      <w:r>
        <w:rPr>
          <w:rFonts w:ascii="Times New Roman" w:hAnsi="Times New Roman" w:cs="Times New Roman"/>
          <w:sz w:val="24"/>
          <w:szCs w:val="24"/>
        </w:rPr>
        <w:t>под</w:t>
      </w:r>
      <w:r w:rsidRPr="00811956">
        <w:rPr>
          <w:rFonts w:ascii="Times New Roman" w:hAnsi="Times New Roman" w:cs="Times New Roman"/>
          <w:sz w:val="24"/>
          <w:szCs w:val="24"/>
        </w:rPr>
        <w:t xml:space="preserve">еднаква на двете страни </w:t>
      </w:r>
      <w:r>
        <w:rPr>
          <w:rFonts w:ascii="Times New Roman" w:hAnsi="Times New Roman" w:cs="Times New Roman"/>
          <w:sz w:val="24"/>
          <w:szCs w:val="24"/>
        </w:rPr>
        <w:t xml:space="preserve">со </w:t>
      </w:r>
      <w:r w:rsidRPr="00811956">
        <w:rPr>
          <w:rFonts w:ascii="Times New Roman" w:hAnsi="Times New Roman" w:cs="Times New Roman"/>
          <w:sz w:val="24"/>
          <w:szCs w:val="24"/>
        </w:rPr>
        <w:t xml:space="preserve">по 2 (50%) </w:t>
      </w:r>
      <w:r>
        <w:rPr>
          <w:rFonts w:ascii="Times New Roman" w:hAnsi="Times New Roman" w:cs="Times New Roman"/>
          <w:sz w:val="24"/>
          <w:szCs w:val="24"/>
        </w:rPr>
        <w:t>случаи лево односно десно</w:t>
      </w:r>
      <w:r w:rsidR="002255DA">
        <w:rPr>
          <w:rFonts w:ascii="Times New Roman" w:hAnsi="Times New Roman" w:cs="Times New Roman"/>
          <w:sz w:val="24"/>
          <w:szCs w:val="24"/>
        </w:rPr>
        <w:t xml:space="preserve"> </w:t>
      </w:r>
      <w:r w:rsidR="002255DA">
        <w:rPr>
          <w:rFonts w:ascii="Times New Roman" w:hAnsi="Times New Roman"/>
          <w:color w:val="000000"/>
          <w:sz w:val="24"/>
          <w:szCs w:val="24"/>
        </w:rPr>
        <w:t>(Табела 7 и График 14)</w:t>
      </w:r>
      <w:r>
        <w:rPr>
          <w:rFonts w:ascii="Times New Roman" w:hAnsi="Times New Roman" w:cs="Times New Roman"/>
          <w:sz w:val="24"/>
          <w:szCs w:val="24"/>
        </w:rPr>
        <w:t>.</w:t>
      </w:r>
    </w:p>
    <w:p w:rsidR="0083211E" w:rsidRDefault="0083211E"/>
    <w:p w:rsidR="0083211E" w:rsidRDefault="0083211E"/>
    <w:p w:rsidR="0083211E" w:rsidRDefault="00446A60">
      <w:r>
        <w:rPr>
          <w:noProof/>
          <w:lang w:val="en-US"/>
        </w:rPr>
        <w:drawing>
          <wp:inline distT="0" distB="0" distL="0" distR="0">
            <wp:extent cx="5727700" cy="1911350"/>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727700" cy="1911350"/>
                    </a:xfrm>
                    <a:prstGeom prst="rect">
                      <a:avLst/>
                    </a:prstGeom>
                    <a:noFill/>
                    <a:ln w="9525">
                      <a:noFill/>
                      <a:miter lim="800000"/>
                      <a:headEnd/>
                      <a:tailEnd/>
                    </a:ln>
                  </pic:spPr>
                </pic:pic>
              </a:graphicData>
            </a:graphic>
          </wp:inline>
        </w:drawing>
      </w:r>
    </w:p>
    <w:p w:rsidR="00555439" w:rsidRDefault="00555439" w:rsidP="008B71B4">
      <w:pPr>
        <w:rPr>
          <w:rFonts w:ascii="Times New Roman" w:hAnsi="Times New Roman" w:cs="Times New Roman"/>
          <w:sz w:val="24"/>
          <w:szCs w:val="24"/>
        </w:rPr>
      </w:pPr>
    </w:p>
    <w:p w:rsidR="00676484" w:rsidRPr="00AC7374" w:rsidRDefault="00676484" w:rsidP="00676484">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График 14. Малигни </w:t>
      </w:r>
      <w:r w:rsidRPr="00874946">
        <w:rPr>
          <w:rFonts w:ascii="Times New Roman" w:hAnsi="Times New Roman" w:cs="Times New Roman"/>
          <w:b/>
          <w:color w:val="000000"/>
          <w:sz w:val="20"/>
          <w:szCs w:val="20"/>
        </w:rPr>
        <w:t>тумори на паротидните жлезди според локација</w:t>
      </w:r>
    </w:p>
    <w:p w:rsidR="00555439" w:rsidRDefault="00555439" w:rsidP="008B71B4">
      <w:pPr>
        <w:rPr>
          <w:rFonts w:ascii="Times New Roman" w:hAnsi="Times New Roman" w:cs="Times New Roman"/>
          <w:sz w:val="24"/>
          <w:szCs w:val="24"/>
        </w:rPr>
      </w:pPr>
    </w:p>
    <w:p w:rsidR="00555439" w:rsidRDefault="00555439" w:rsidP="008B71B4">
      <w:pPr>
        <w:rPr>
          <w:rFonts w:ascii="Times New Roman" w:hAnsi="Times New Roman" w:cs="Times New Roman"/>
          <w:sz w:val="24"/>
          <w:szCs w:val="24"/>
        </w:rPr>
      </w:pPr>
    </w:p>
    <w:p w:rsidR="00555439" w:rsidRDefault="00555439" w:rsidP="008B71B4">
      <w:pPr>
        <w:rPr>
          <w:rFonts w:ascii="Times New Roman" w:hAnsi="Times New Roman" w:cs="Times New Roman"/>
          <w:sz w:val="24"/>
          <w:szCs w:val="24"/>
        </w:rPr>
      </w:pPr>
    </w:p>
    <w:p w:rsidR="00555439" w:rsidRDefault="00555439"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D36D75" w:rsidRDefault="00D36D75" w:rsidP="006E00F6">
      <w:pPr>
        <w:spacing w:after="360" w:line="360" w:lineRule="auto"/>
        <w:jc w:val="both"/>
        <w:rPr>
          <w:rFonts w:ascii="Times New Roman" w:hAnsi="Times New Roman" w:cs="Times New Roman"/>
          <w:b/>
          <w:color w:val="000000"/>
          <w:sz w:val="24"/>
          <w:szCs w:val="24"/>
        </w:rPr>
      </w:pPr>
    </w:p>
    <w:p w:rsidR="00D36D75" w:rsidRDefault="00D36D75" w:rsidP="006E00F6">
      <w:pPr>
        <w:spacing w:after="360" w:line="360" w:lineRule="auto"/>
        <w:jc w:val="both"/>
        <w:rPr>
          <w:rFonts w:ascii="Times New Roman" w:hAnsi="Times New Roman" w:cs="Times New Roman"/>
          <w:b/>
          <w:color w:val="000000"/>
          <w:sz w:val="24"/>
          <w:szCs w:val="24"/>
        </w:rPr>
      </w:pPr>
    </w:p>
    <w:p w:rsidR="00D36D75" w:rsidRDefault="00D36D75" w:rsidP="006E00F6">
      <w:pPr>
        <w:spacing w:after="360" w:line="360" w:lineRule="auto"/>
        <w:jc w:val="both"/>
        <w:rPr>
          <w:rFonts w:ascii="Times New Roman" w:hAnsi="Times New Roman" w:cs="Times New Roman"/>
          <w:b/>
          <w:color w:val="000000"/>
          <w:sz w:val="24"/>
          <w:szCs w:val="24"/>
        </w:rPr>
      </w:pPr>
    </w:p>
    <w:p w:rsidR="006E00F6" w:rsidRPr="00EC28B2" w:rsidRDefault="0076051F" w:rsidP="00D36D75">
      <w:pPr>
        <w:spacing w:after="360"/>
        <w:jc w:val="both"/>
        <w:rPr>
          <w:rFonts w:ascii="Times New Roman" w:hAnsi="Times New Roman" w:cs="Times New Roman"/>
          <w:b/>
          <w:color w:val="000000"/>
          <w:sz w:val="24"/>
          <w:szCs w:val="24"/>
        </w:rPr>
      </w:pPr>
      <w:r>
        <w:rPr>
          <w:rFonts w:ascii="Times New Roman" w:hAnsi="Times New Roman" w:cs="Times New Roman"/>
          <w:b/>
          <w:color w:val="000000"/>
          <w:sz w:val="24"/>
          <w:szCs w:val="24"/>
        </w:rPr>
        <w:t>6.2</w:t>
      </w:r>
      <w:r w:rsidR="006E00F6" w:rsidRPr="00EC28B2">
        <w:rPr>
          <w:rFonts w:ascii="Times New Roman" w:hAnsi="Times New Roman" w:cs="Times New Roman"/>
          <w:b/>
          <w:color w:val="000000"/>
          <w:sz w:val="24"/>
          <w:szCs w:val="24"/>
        </w:rPr>
        <w:t>.</w:t>
      </w:r>
      <w:r>
        <w:rPr>
          <w:rFonts w:ascii="Times New Roman" w:hAnsi="Times New Roman" w:cs="Times New Roman"/>
          <w:b/>
          <w:color w:val="000000"/>
          <w:sz w:val="24"/>
          <w:szCs w:val="24"/>
        </w:rPr>
        <w:t>4</w:t>
      </w:r>
      <w:r w:rsidR="006E00F6" w:rsidRPr="00EC28B2">
        <w:rPr>
          <w:rFonts w:ascii="Times New Roman" w:hAnsi="Times New Roman" w:cs="Times New Roman"/>
          <w:b/>
          <w:color w:val="000000"/>
          <w:sz w:val="24"/>
          <w:szCs w:val="24"/>
        </w:rPr>
        <w:t xml:space="preserve"> Димензии </w:t>
      </w:r>
      <w:r w:rsidR="006E00F6" w:rsidRPr="00A926CA">
        <w:rPr>
          <w:rFonts w:ascii="Times New Roman" w:hAnsi="Times New Roman" w:cs="Times New Roman"/>
          <w:b/>
          <w:color w:val="000000"/>
          <w:sz w:val="24"/>
          <w:szCs w:val="24"/>
          <w:lang w:val="ru-RU"/>
        </w:rPr>
        <w:t>на тумор</w:t>
      </w:r>
      <w:r w:rsidR="006E00F6" w:rsidRPr="00EC28B2">
        <w:rPr>
          <w:rFonts w:ascii="Times New Roman" w:hAnsi="Times New Roman" w:cs="Times New Roman"/>
          <w:b/>
          <w:color w:val="000000"/>
          <w:sz w:val="24"/>
          <w:szCs w:val="24"/>
        </w:rPr>
        <w:t>и на паротидни жлезди</w:t>
      </w:r>
    </w:p>
    <w:p w:rsidR="006E00F6" w:rsidRPr="00A926CA" w:rsidRDefault="006E00F6" w:rsidP="00D36D75">
      <w:pPr>
        <w:ind w:firstLine="720"/>
        <w:jc w:val="both"/>
        <w:rPr>
          <w:rFonts w:ascii="Times New Roman" w:hAnsi="Times New Roman" w:cs="Times New Roman"/>
          <w:sz w:val="24"/>
          <w:szCs w:val="24"/>
          <w:lang w:val="ru-RU"/>
        </w:rPr>
      </w:pPr>
      <w:r>
        <w:rPr>
          <w:rFonts w:ascii="Times New Roman" w:hAnsi="Times New Roman" w:cs="Times New Roman"/>
          <w:sz w:val="24"/>
          <w:szCs w:val="24"/>
        </w:rPr>
        <w:t>Кај пациентите од испитуваната група</w:t>
      </w:r>
      <w:r w:rsidR="00364632">
        <w:rPr>
          <w:rFonts w:ascii="Times New Roman" w:hAnsi="Times New Roman" w:cs="Times New Roman"/>
          <w:sz w:val="24"/>
          <w:szCs w:val="24"/>
        </w:rPr>
        <w:t xml:space="preserve"> тумори </w:t>
      </w:r>
      <w:r w:rsidR="00364632" w:rsidRPr="00243206">
        <w:rPr>
          <w:rFonts w:ascii="Times New Roman" w:hAnsi="Times New Roman" w:cs="Times New Roman"/>
          <w:sz w:val="24"/>
          <w:szCs w:val="24"/>
        </w:rPr>
        <w:t xml:space="preserve">на паротидните жлезди </w:t>
      </w:r>
      <w:r>
        <w:rPr>
          <w:rFonts w:ascii="Times New Roman" w:hAnsi="Times New Roman" w:cs="Times New Roman"/>
          <w:sz w:val="24"/>
          <w:szCs w:val="24"/>
        </w:rPr>
        <w:t xml:space="preserve">направена беше анализа на </w:t>
      </w:r>
      <w:r w:rsidR="00364632">
        <w:rPr>
          <w:rFonts w:ascii="Times New Roman" w:hAnsi="Times New Roman" w:cs="Times New Roman"/>
          <w:sz w:val="24"/>
          <w:szCs w:val="24"/>
        </w:rPr>
        <w:t>димензиите на туморот</w:t>
      </w:r>
      <w:r>
        <w:rPr>
          <w:rFonts w:ascii="Times New Roman" w:hAnsi="Times New Roman" w:cs="Times New Roman"/>
          <w:sz w:val="24"/>
          <w:szCs w:val="24"/>
        </w:rPr>
        <w:t xml:space="preserve"> (</w:t>
      </w:r>
      <w:r w:rsidR="00364632">
        <w:rPr>
          <w:rFonts w:ascii="Times New Roman" w:hAnsi="Times New Roman" w:cs="Times New Roman"/>
          <w:sz w:val="24"/>
          <w:szCs w:val="24"/>
          <w:lang w:val="en-US"/>
        </w:rPr>
        <w:t>mm</w:t>
      </w:r>
      <w:r>
        <w:rPr>
          <w:rFonts w:ascii="Times New Roman" w:hAnsi="Times New Roman" w:cs="Times New Roman"/>
          <w:sz w:val="24"/>
          <w:szCs w:val="24"/>
        </w:rPr>
        <w:t>).</w:t>
      </w:r>
      <w:r w:rsidR="00364632" w:rsidRPr="00A926CA">
        <w:rPr>
          <w:rFonts w:ascii="Times New Roman" w:hAnsi="Times New Roman" w:cs="Times New Roman"/>
          <w:sz w:val="24"/>
          <w:szCs w:val="24"/>
          <w:lang w:val="ru-RU"/>
        </w:rPr>
        <w:t xml:space="preserve"> </w:t>
      </w:r>
      <w:r w:rsidR="00364632">
        <w:rPr>
          <w:rFonts w:ascii="Times New Roman" w:hAnsi="Times New Roman" w:cs="Times New Roman"/>
          <w:color w:val="000000"/>
          <w:sz w:val="24"/>
          <w:szCs w:val="24"/>
          <w:lang w:val="en-US" w:eastAsia="en-GB"/>
        </w:rPr>
        <w:t>A</w:t>
      </w:r>
      <w:r w:rsidR="00364632" w:rsidRPr="00F0180C">
        <w:rPr>
          <w:rFonts w:ascii="Times New Roman" w:hAnsi="Times New Roman" w:cs="Times New Roman"/>
          <w:color w:val="000000"/>
          <w:sz w:val="24"/>
          <w:szCs w:val="24"/>
          <w:lang w:eastAsia="en-GB"/>
        </w:rPr>
        <w:t xml:space="preserve">нализа </w:t>
      </w:r>
      <w:r w:rsidR="00364632" w:rsidRPr="00F0180C">
        <w:rPr>
          <w:rFonts w:ascii="Times New Roman" w:hAnsi="Times New Roman" w:cs="Times New Roman"/>
          <w:color w:val="000000"/>
          <w:sz w:val="24"/>
          <w:szCs w:val="24"/>
        </w:rPr>
        <w:t xml:space="preserve">на добиените податоци за </w:t>
      </w:r>
      <w:r w:rsidR="00364632">
        <w:rPr>
          <w:rFonts w:ascii="Times New Roman" w:hAnsi="Times New Roman" w:cs="Times New Roman"/>
          <w:color w:val="000000"/>
          <w:sz w:val="24"/>
          <w:szCs w:val="24"/>
          <w:lang w:eastAsia="en-GB"/>
        </w:rPr>
        <w:t>димензиите на туморот</w:t>
      </w:r>
      <w:r w:rsidR="00364632" w:rsidRPr="00F0180C">
        <w:rPr>
          <w:rFonts w:ascii="Times New Roman" w:hAnsi="Times New Roman" w:cs="Times New Roman"/>
          <w:color w:val="000000"/>
          <w:sz w:val="24"/>
          <w:szCs w:val="24"/>
        </w:rPr>
        <w:t xml:space="preserve"> </w:t>
      </w:r>
      <w:r w:rsidR="00364632" w:rsidRPr="00F0180C">
        <w:rPr>
          <w:rFonts w:ascii="Times New Roman" w:hAnsi="Times New Roman" w:cs="Times New Roman"/>
          <w:color w:val="000000"/>
          <w:sz w:val="24"/>
          <w:szCs w:val="24"/>
          <w:lang w:eastAsia="en-GB"/>
        </w:rPr>
        <w:t xml:space="preserve">укажа на неправилна дистрибуција на фреквенциите </w:t>
      </w:r>
      <w:r w:rsidR="00364632">
        <w:rPr>
          <w:rFonts w:ascii="Times New Roman" w:hAnsi="Times New Roman" w:cs="Times New Roman"/>
          <w:color w:val="000000"/>
          <w:sz w:val="24"/>
          <w:szCs w:val="24"/>
          <w:lang w:eastAsia="en-GB"/>
        </w:rPr>
        <w:t xml:space="preserve">и тоа </w:t>
      </w:r>
      <w:r w:rsidR="00364632" w:rsidRPr="00F0180C">
        <w:rPr>
          <w:rFonts w:ascii="Times New Roman" w:hAnsi="Times New Roman" w:cs="Times New Roman"/>
          <w:color w:val="000000"/>
          <w:sz w:val="24"/>
          <w:szCs w:val="24"/>
          <w:lang w:eastAsia="en-GB"/>
        </w:rPr>
        <w:t>за</w:t>
      </w:r>
      <w:r w:rsidR="00364632">
        <w:rPr>
          <w:rFonts w:ascii="Times New Roman" w:hAnsi="Times New Roman" w:cs="Times New Roman"/>
          <w:color w:val="000000"/>
          <w:sz w:val="24"/>
          <w:szCs w:val="24"/>
          <w:lang w:eastAsia="en-GB"/>
        </w:rPr>
        <w:t xml:space="preserve"> </w:t>
      </w:r>
      <w:r w:rsidR="00364632" w:rsidRPr="00F0180C">
        <w:rPr>
          <w:rFonts w:ascii="Times New Roman" w:hAnsi="Times New Roman" w:cs="Times New Roman"/>
          <w:color w:val="000000"/>
          <w:sz w:val="24"/>
          <w:szCs w:val="24"/>
          <w:lang w:eastAsia="en-GB"/>
        </w:rPr>
        <w:t xml:space="preserve"> </w:t>
      </w:r>
      <w:r w:rsidR="00364632" w:rsidRPr="00F0180C">
        <w:rPr>
          <w:rFonts w:ascii="Times New Roman" w:hAnsi="Times New Roman" w:cs="Times New Roman"/>
          <w:color w:val="000000"/>
          <w:kern w:val="1"/>
          <w:sz w:val="24"/>
          <w:szCs w:val="24"/>
          <w:lang w:eastAsia="mk-MK"/>
        </w:rPr>
        <w:t>Shapiro-Wilk: W=0,9</w:t>
      </w:r>
      <w:r w:rsidR="00364632">
        <w:rPr>
          <w:rFonts w:ascii="Times New Roman" w:hAnsi="Times New Roman" w:cs="Times New Roman"/>
          <w:color w:val="000000"/>
          <w:kern w:val="1"/>
          <w:sz w:val="24"/>
          <w:szCs w:val="24"/>
          <w:lang w:eastAsia="mk-MK"/>
        </w:rPr>
        <w:t>669</w:t>
      </w:r>
      <w:r w:rsidR="00364632" w:rsidRPr="00F0180C">
        <w:rPr>
          <w:rFonts w:ascii="Times New Roman" w:hAnsi="Times New Roman" w:cs="Times New Roman"/>
          <w:color w:val="000000"/>
          <w:kern w:val="1"/>
          <w:sz w:val="24"/>
          <w:szCs w:val="24"/>
          <w:lang w:val="ru-RU" w:eastAsia="mk-MK"/>
        </w:rPr>
        <w:t>;</w:t>
      </w:r>
      <w:r w:rsidR="00364632">
        <w:rPr>
          <w:rFonts w:ascii="Times New Roman" w:hAnsi="Times New Roman" w:cs="Times New Roman"/>
          <w:color w:val="000000"/>
          <w:kern w:val="1"/>
          <w:sz w:val="24"/>
          <w:szCs w:val="24"/>
          <w:lang w:eastAsia="mk-MK"/>
        </w:rPr>
        <w:t xml:space="preserve"> p=0,0055 </w:t>
      </w:r>
      <w:r w:rsidR="00364632">
        <w:rPr>
          <w:rFonts w:ascii="Times New Roman" w:hAnsi="Times New Roman" w:cs="Times New Roman"/>
          <w:sz w:val="24"/>
          <w:szCs w:val="24"/>
        </w:rPr>
        <w:t>(</w:t>
      </w:r>
      <w:r w:rsidR="00340FC6">
        <w:rPr>
          <w:rFonts w:ascii="Times New Roman" w:hAnsi="Times New Roman" w:cs="Times New Roman"/>
          <w:sz w:val="24"/>
          <w:szCs w:val="24"/>
        </w:rPr>
        <w:t>График 15</w:t>
      </w:r>
      <w:r w:rsidR="00364632">
        <w:rPr>
          <w:rFonts w:ascii="Times New Roman" w:hAnsi="Times New Roman" w:cs="Times New Roman"/>
          <w:sz w:val="24"/>
          <w:szCs w:val="24"/>
        </w:rPr>
        <w:t>)</w:t>
      </w:r>
      <w:r w:rsidR="00340FC6" w:rsidRPr="00340FC6">
        <w:rPr>
          <w:rFonts w:ascii="Times New Roman" w:hAnsi="Times New Roman" w:cs="Times New Roman"/>
          <w:color w:val="000000"/>
          <w:kern w:val="1"/>
          <w:sz w:val="24"/>
          <w:szCs w:val="24"/>
          <w:lang w:eastAsia="mk-MK"/>
        </w:rPr>
        <w:t xml:space="preserve"> </w:t>
      </w:r>
      <w:r w:rsidR="00340FC6" w:rsidRPr="00431904">
        <w:rPr>
          <w:rFonts w:ascii="Times New Roman" w:hAnsi="Times New Roman" w:cs="Times New Roman"/>
          <w:color w:val="000000"/>
          <w:kern w:val="1"/>
          <w:sz w:val="24"/>
          <w:szCs w:val="24"/>
          <w:lang w:eastAsia="mk-MK"/>
        </w:rPr>
        <w:t>Согласно утврдената дистрибуција за возраста</w:t>
      </w:r>
      <w:r w:rsidR="00340FC6">
        <w:rPr>
          <w:rFonts w:ascii="Times New Roman" w:hAnsi="Times New Roman" w:cs="Times New Roman"/>
          <w:color w:val="000000"/>
          <w:kern w:val="1"/>
          <w:sz w:val="24"/>
          <w:szCs w:val="24"/>
          <w:lang w:eastAsia="mk-MK"/>
        </w:rPr>
        <w:t xml:space="preserve"> (години)</w:t>
      </w:r>
      <w:r w:rsidR="00340FC6" w:rsidRPr="00431904">
        <w:rPr>
          <w:rFonts w:ascii="Times New Roman" w:hAnsi="Times New Roman" w:cs="Times New Roman"/>
          <w:color w:val="000000"/>
          <w:kern w:val="1"/>
          <w:sz w:val="24"/>
          <w:szCs w:val="24"/>
          <w:lang w:eastAsia="mk-MK"/>
        </w:rPr>
        <w:t xml:space="preserve">, во понатамошната анализа беа користени </w:t>
      </w:r>
      <w:r w:rsidR="00340FC6">
        <w:rPr>
          <w:rFonts w:ascii="Times New Roman" w:hAnsi="Times New Roman" w:cs="Times New Roman"/>
          <w:color w:val="000000"/>
          <w:kern w:val="1"/>
          <w:sz w:val="24"/>
          <w:szCs w:val="24"/>
          <w:lang w:eastAsia="mk-MK"/>
        </w:rPr>
        <w:t>соодветни непараметарски тестови.</w:t>
      </w:r>
    </w:p>
    <w:p w:rsidR="00811956" w:rsidRDefault="00811956" w:rsidP="008B71B4">
      <w:pPr>
        <w:rPr>
          <w:rFonts w:ascii="Times New Roman" w:hAnsi="Times New Roman" w:cs="Times New Roman"/>
          <w:sz w:val="24"/>
          <w:szCs w:val="24"/>
        </w:rPr>
      </w:pPr>
    </w:p>
    <w:p w:rsidR="00340FC6" w:rsidRDefault="00D36D75" w:rsidP="008B71B4">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752" behindDoc="1" locked="0" layoutInCell="1" allowOverlap="1">
            <wp:simplePos x="0" y="0"/>
            <wp:positionH relativeFrom="column">
              <wp:posOffset>679450</wp:posOffset>
            </wp:positionH>
            <wp:positionV relativeFrom="paragraph">
              <wp:posOffset>100330</wp:posOffset>
            </wp:positionV>
            <wp:extent cx="3028950" cy="2286000"/>
            <wp:effectExtent l="19050" t="0" r="0" b="0"/>
            <wp:wrapSquare wrapText="bothSides"/>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31"/>
                    <a:srcRect/>
                    <a:stretch>
                      <a:fillRect/>
                    </a:stretch>
                  </pic:blipFill>
                  <pic:spPr bwMode="auto">
                    <a:xfrm>
                      <a:off x="0" y="0"/>
                      <a:ext cx="3028950" cy="2286000"/>
                    </a:xfrm>
                    <a:prstGeom prst="rect">
                      <a:avLst/>
                    </a:prstGeom>
                    <a:noFill/>
                    <a:ln w="9525">
                      <a:noFill/>
                      <a:miter lim="800000"/>
                      <a:headEnd/>
                      <a:tailEnd/>
                    </a:ln>
                  </pic:spPr>
                </pic:pic>
              </a:graphicData>
            </a:graphic>
          </wp:anchor>
        </w:drawing>
      </w: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340FC6" w:rsidRDefault="00340FC6" w:rsidP="006E00F6">
      <w:pPr>
        <w:jc w:val="both"/>
        <w:rPr>
          <w:rFonts w:ascii="Times New Roman" w:hAnsi="Times New Roman" w:cs="Times New Roman"/>
          <w:b/>
          <w:color w:val="000000"/>
          <w:sz w:val="20"/>
          <w:szCs w:val="20"/>
          <w:highlight w:val="yellow"/>
        </w:rPr>
      </w:pPr>
    </w:p>
    <w:p w:rsidR="00340FC6" w:rsidRDefault="00340FC6" w:rsidP="006E00F6">
      <w:pPr>
        <w:jc w:val="both"/>
        <w:rPr>
          <w:rFonts w:ascii="Times New Roman" w:hAnsi="Times New Roman" w:cs="Times New Roman"/>
          <w:b/>
          <w:color w:val="000000"/>
          <w:sz w:val="20"/>
          <w:szCs w:val="20"/>
          <w:highlight w:val="yellow"/>
        </w:rPr>
      </w:pPr>
    </w:p>
    <w:p w:rsidR="00340FC6" w:rsidRDefault="00340FC6" w:rsidP="006E00F6">
      <w:pPr>
        <w:jc w:val="both"/>
        <w:rPr>
          <w:rFonts w:ascii="Times New Roman" w:hAnsi="Times New Roman" w:cs="Times New Roman"/>
          <w:b/>
          <w:color w:val="000000"/>
          <w:sz w:val="20"/>
          <w:szCs w:val="20"/>
          <w:highlight w:val="yellow"/>
        </w:rPr>
      </w:pPr>
    </w:p>
    <w:p w:rsidR="00340FC6" w:rsidRPr="004D2F91" w:rsidRDefault="00340FC6" w:rsidP="00340FC6">
      <w:pPr>
        <w:spacing w:line="36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p>
    <w:p w:rsidR="00340FC6" w:rsidRDefault="00340FC6" w:rsidP="006E00F6">
      <w:pPr>
        <w:jc w:val="both"/>
        <w:rPr>
          <w:rFonts w:ascii="Times New Roman" w:hAnsi="Times New Roman" w:cs="Times New Roman"/>
          <w:b/>
          <w:color w:val="000000"/>
          <w:sz w:val="20"/>
          <w:szCs w:val="20"/>
          <w:highlight w:val="yellow"/>
        </w:rPr>
      </w:pPr>
    </w:p>
    <w:p w:rsidR="00340FC6" w:rsidRDefault="00340FC6" w:rsidP="006E00F6">
      <w:pPr>
        <w:jc w:val="both"/>
        <w:rPr>
          <w:rFonts w:ascii="Times New Roman" w:hAnsi="Times New Roman" w:cs="Times New Roman"/>
          <w:b/>
          <w:color w:val="000000"/>
          <w:sz w:val="20"/>
          <w:szCs w:val="20"/>
          <w:highlight w:val="yellow"/>
        </w:rPr>
      </w:pPr>
    </w:p>
    <w:p w:rsidR="00340FC6" w:rsidRDefault="00340FC6" w:rsidP="006E00F6">
      <w:pPr>
        <w:jc w:val="both"/>
        <w:rPr>
          <w:rFonts w:ascii="Times New Roman" w:hAnsi="Times New Roman" w:cs="Times New Roman"/>
          <w:b/>
          <w:color w:val="000000"/>
          <w:sz w:val="20"/>
          <w:szCs w:val="20"/>
          <w:highlight w:val="yellow"/>
        </w:rPr>
      </w:pPr>
    </w:p>
    <w:p w:rsidR="00CD2044" w:rsidRDefault="00CD2044" w:rsidP="006E00F6">
      <w:pPr>
        <w:jc w:val="both"/>
        <w:rPr>
          <w:rFonts w:ascii="Times New Roman" w:hAnsi="Times New Roman" w:cs="Times New Roman"/>
          <w:b/>
          <w:color w:val="000000"/>
          <w:sz w:val="20"/>
          <w:szCs w:val="20"/>
          <w:highlight w:val="yellow"/>
        </w:rPr>
      </w:pPr>
    </w:p>
    <w:p w:rsidR="00D36D75" w:rsidRDefault="00D36D75" w:rsidP="00832FF5">
      <w:pPr>
        <w:spacing w:after="200" w:line="360" w:lineRule="auto"/>
        <w:ind w:firstLine="720"/>
        <w:jc w:val="both"/>
        <w:rPr>
          <w:rFonts w:ascii="Times New Roman" w:hAnsi="Times New Roman" w:cs="Times New Roman"/>
          <w:b/>
          <w:color w:val="000000"/>
          <w:sz w:val="24"/>
          <w:szCs w:val="24"/>
        </w:rPr>
      </w:pPr>
    </w:p>
    <w:p w:rsidR="00D36D75" w:rsidRDefault="00D36D75" w:rsidP="00832FF5">
      <w:pPr>
        <w:spacing w:after="200" w:line="360" w:lineRule="auto"/>
        <w:ind w:firstLine="720"/>
        <w:jc w:val="both"/>
        <w:rPr>
          <w:rFonts w:ascii="Times New Roman" w:hAnsi="Times New Roman" w:cs="Times New Roman"/>
          <w:b/>
          <w:color w:val="000000"/>
          <w:sz w:val="24"/>
          <w:szCs w:val="24"/>
        </w:rPr>
      </w:pPr>
    </w:p>
    <w:p w:rsidR="00D36D75" w:rsidRDefault="00D36D75" w:rsidP="00832FF5">
      <w:pPr>
        <w:spacing w:after="200" w:line="36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0"/>
          <w:szCs w:val="20"/>
        </w:rPr>
        <w:t>График</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15</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Дистрибуција </w:t>
      </w:r>
      <w:r w:rsidRPr="004D2F91">
        <w:rPr>
          <w:rFonts w:ascii="Times New Roman" w:hAnsi="Times New Roman" w:cs="Times New Roman"/>
          <w:b/>
          <w:color w:val="000000"/>
          <w:sz w:val="20"/>
          <w:szCs w:val="20"/>
        </w:rPr>
        <w:t xml:space="preserve">на </w:t>
      </w:r>
      <w:r>
        <w:rPr>
          <w:rFonts w:ascii="Times New Roman" w:hAnsi="Times New Roman" w:cs="Times New Roman"/>
          <w:b/>
          <w:color w:val="000000"/>
          <w:sz w:val="20"/>
          <w:szCs w:val="20"/>
        </w:rPr>
        <w:t>фреквенции на димензија на тумори</w:t>
      </w:r>
    </w:p>
    <w:p w:rsidR="00D36D75" w:rsidRDefault="00D36D75" w:rsidP="00832FF5">
      <w:pPr>
        <w:spacing w:after="200" w:line="360" w:lineRule="auto"/>
        <w:ind w:firstLine="720"/>
        <w:jc w:val="both"/>
        <w:rPr>
          <w:rFonts w:ascii="Times New Roman" w:hAnsi="Times New Roman" w:cs="Times New Roman"/>
          <w:b/>
          <w:color w:val="000000"/>
          <w:sz w:val="24"/>
          <w:szCs w:val="24"/>
        </w:rPr>
      </w:pPr>
    </w:p>
    <w:p w:rsidR="00832FF5" w:rsidRPr="00832FF5" w:rsidRDefault="001D2D4D" w:rsidP="00D36D75">
      <w:pPr>
        <w:spacing w:after="200"/>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 xml:space="preserve">Анализа на вид на тумори и димензии </w:t>
      </w:r>
      <w:r w:rsidR="00BE4F56" w:rsidRPr="00EC28B2">
        <w:rPr>
          <w:rFonts w:ascii="Times New Roman" w:hAnsi="Times New Roman" w:cs="Times New Roman"/>
          <w:b/>
          <w:color w:val="000000"/>
          <w:sz w:val="24"/>
          <w:szCs w:val="24"/>
        </w:rPr>
        <w:t>–</w:t>
      </w:r>
      <w:r w:rsidRPr="00832FF5">
        <w:rPr>
          <w:rFonts w:ascii="Times New Roman" w:hAnsi="Times New Roman" w:cs="Times New Roman"/>
          <w:b/>
          <w:color w:val="215868"/>
          <w:sz w:val="24"/>
          <w:szCs w:val="24"/>
        </w:rPr>
        <w:t xml:space="preserve"> </w:t>
      </w:r>
      <w:r w:rsidR="00832FF5" w:rsidRPr="00832FF5">
        <w:rPr>
          <w:rFonts w:ascii="Times New Roman" w:hAnsi="Times New Roman" w:cs="Times New Roman"/>
          <w:color w:val="000000"/>
          <w:sz w:val="24"/>
          <w:szCs w:val="24"/>
        </w:rPr>
        <w:t>Во целата испитувана група со</w:t>
      </w:r>
      <w:r w:rsidR="00832FF5" w:rsidRPr="00832FF5">
        <w:rPr>
          <w:rFonts w:ascii="Times New Roman" w:hAnsi="Times New Roman" w:cs="Times New Roman"/>
          <w:b/>
          <w:color w:val="215868"/>
          <w:sz w:val="24"/>
          <w:szCs w:val="24"/>
        </w:rPr>
        <w:t xml:space="preserve"> </w:t>
      </w:r>
      <w:r w:rsidR="00832FF5" w:rsidRPr="00832FF5">
        <w:rPr>
          <w:rFonts w:ascii="Times New Roman" w:hAnsi="Times New Roman" w:cs="Times New Roman"/>
          <w:color w:val="000000"/>
          <w:sz w:val="24"/>
          <w:szCs w:val="24"/>
          <w:lang w:eastAsia="en-GB"/>
        </w:rPr>
        <w:t xml:space="preserve">тумори </w:t>
      </w:r>
      <w:r w:rsidR="00832FF5" w:rsidRPr="00832FF5">
        <w:rPr>
          <w:rFonts w:ascii="Times New Roman" w:hAnsi="Times New Roman" w:cs="Times New Roman"/>
          <w:color w:val="000000"/>
          <w:sz w:val="24"/>
          <w:szCs w:val="24"/>
        </w:rPr>
        <w:t xml:space="preserve">на паротидните жлезди просечната димензија на туморите изнесува 30,52±11,86мм, со минимум/ максимум </w:t>
      </w:r>
      <w:r w:rsidR="00832FF5" w:rsidRPr="00832FF5">
        <w:rPr>
          <w:rFonts w:ascii="Times New Roman" w:hAnsi="Times New Roman" w:cs="Times New Roman"/>
          <w:color w:val="000000"/>
          <w:sz w:val="24"/>
          <w:szCs w:val="24"/>
          <w:lang w:eastAsia="mk-MK"/>
        </w:rPr>
        <w:t xml:space="preserve">12/63мм и 50% на пациенти со димензии на тумотот </w:t>
      </w:r>
      <w:r w:rsidR="00832FF5" w:rsidRPr="00832FF5">
        <w:rPr>
          <w:rFonts w:ascii="Times New Roman" w:hAnsi="Times New Roman" w:cs="Times New Roman"/>
          <w:color w:val="000000"/>
          <w:sz w:val="24"/>
          <w:szCs w:val="24"/>
        </w:rPr>
        <w:t xml:space="preserve">≤29мм за </w:t>
      </w:r>
      <w:r w:rsidR="00832FF5" w:rsidRPr="00832FF5">
        <w:rPr>
          <w:rFonts w:ascii="Times New Roman" w:hAnsi="Times New Roman" w:cs="Times New Roman"/>
          <w:color w:val="000000"/>
          <w:sz w:val="24"/>
          <w:szCs w:val="24"/>
          <w:lang w:val="en-US"/>
        </w:rPr>
        <w:t>Median</w:t>
      </w:r>
      <w:r w:rsidR="00832FF5" w:rsidRPr="00A926CA">
        <w:rPr>
          <w:rFonts w:ascii="Times New Roman" w:hAnsi="Times New Roman" w:cs="Times New Roman"/>
          <w:color w:val="000000"/>
          <w:sz w:val="24"/>
          <w:szCs w:val="24"/>
          <w:lang w:val="ru-RU"/>
        </w:rPr>
        <w:t xml:space="preserve"> </w:t>
      </w:r>
      <w:r w:rsidR="00832FF5" w:rsidRPr="00832FF5">
        <w:rPr>
          <w:rFonts w:ascii="Times New Roman" w:hAnsi="Times New Roman" w:cs="Times New Roman"/>
          <w:color w:val="000000"/>
          <w:sz w:val="24"/>
          <w:szCs w:val="24"/>
          <w:lang w:val="en-US"/>
        </w:rPr>
        <w:t>IQR</w:t>
      </w:r>
      <w:r w:rsidR="00832FF5" w:rsidRPr="00A926CA">
        <w:rPr>
          <w:rFonts w:ascii="Times New Roman" w:hAnsi="Times New Roman" w:cs="Times New Roman"/>
          <w:color w:val="000000"/>
          <w:sz w:val="24"/>
          <w:szCs w:val="24"/>
          <w:lang w:val="ru-RU"/>
        </w:rPr>
        <w:t>=</w:t>
      </w:r>
      <w:r w:rsidR="00832FF5" w:rsidRPr="00832FF5">
        <w:rPr>
          <w:rFonts w:ascii="Times New Roman" w:hAnsi="Times New Roman" w:cs="Times New Roman"/>
          <w:bCs/>
          <w:color w:val="000000"/>
          <w:sz w:val="24"/>
          <w:szCs w:val="24"/>
        </w:rPr>
        <w:t xml:space="preserve">29 (20-40) </w:t>
      </w:r>
      <w:r w:rsidR="00832FF5" w:rsidRPr="00832FF5">
        <w:rPr>
          <w:rFonts w:ascii="Times New Roman" w:hAnsi="Times New Roman" w:cs="Times New Roman"/>
          <w:color w:val="000000"/>
          <w:sz w:val="24"/>
          <w:szCs w:val="24"/>
          <w:lang w:eastAsia="en-GB"/>
        </w:rPr>
        <w:t>(Табела 11 и График 16)</w:t>
      </w:r>
      <w:r w:rsidR="00832FF5" w:rsidRPr="00832FF5">
        <w:rPr>
          <w:rFonts w:ascii="Times New Roman" w:hAnsi="Times New Roman" w:cs="Times New Roman"/>
          <w:bCs/>
          <w:color w:val="000000"/>
          <w:sz w:val="24"/>
          <w:szCs w:val="24"/>
        </w:rPr>
        <w:t>.</w:t>
      </w:r>
    </w:p>
    <w:p w:rsidR="00832FF5" w:rsidRPr="00832FF5" w:rsidRDefault="00832FF5" w:rsidP="00D36D75">
      <w:pPr>
        <w:spacing w:after="200"/>
        <w:ind w:firstLine="720"/>
        <w:jc w:val="both"/>
        <w:rPr>
          <w:rFonts w:ascii="Times New Roman" w:hAnsi="Times New Roman" w:cs="Times New Roman"/>
          <w:color w:val="000000"/>
          <w:sz w:val="24"/>
          <w:szCs w:val="24"/>
          <w:lang w:val="ru-RU" w:eastAsia="en-GB"/>
        </w:rPr>
      </w:pPr>
      <w:r w:rsidRPr="00832FF5">
        <w:rPr>
          <w:rFonts w:ascii="Times New Roman" w:hAnsi="Times New Roman" w:cs="Times New Roman"/>
          <w:color w:val="000000"/>
          <w:sz w:val="24"/>
          <w:szCs w:val="24"/>
          <w:lang w:eastAsia="en-GB"/>
        </w:rPr>
        <w:t xml:space="preserve">Кај </w:t>
      </w:r>
      <w:r w:rsidR="00BE4F56" w:rsidRPr="00832FF5">
        <w:rPr>
          <w:rFonts w:ascii="Times New Roman" w:hAnsi="Times New Roman" w:cs="Times New Roman"/>
          <w:color w:val="000000"/>
          <w:sz w:val="24"/>
          <w:szCs w:val="24"/>
          <w:lang w:eastAsia="en-GB"/>
        </w:rPr>
        <w:t xml:space="preserve">бенигните тумори </w:t>
      </w:r>
      <w:r w:rsidRPr="00832FF5">
        <w:rPr>
          <w:rFonts w:ascii="Times New Roman" w:hAnsi="Times New Roman" w:cs="Times New Roman"/>
          <w:color w:val="000000"/>
          <w:sz w:val="24"/>
          <w:szCs w:val="24"/>
          <w:lang w:eastAsia="en-GB"/>
        </w:rPr>
        <w:t xml:space="preserve">на </w:t>
      </w:r>
      <w:r w:rsidRPr="00832FF5">
        <w:rPr>
          <w:rFonts w:ascii="Times New Roman" w:hAnsi="Times New Roman" w:cs="Times New Roman"/>
          <w:color w:val="000000"/>
          <w:sz w:val="24"/>
          <w:szCs w:val="24"/>
        </w:rPr>
        <w:t>паротидните жлезди</w:t>
      </w:r>
      <w:r w:rsidRPr="00832FF5">
        <w:rPr>
          <w:rFonts w:ascii="Times New Roman" w:hAnsi="Times New Roman" w:cs="Times New Roman"/>
          <w:color w:val="000000"/>
          <w:sz w:val="24"/>
          <w:szCs w:val="24"/>
          <w:lang w:eastAsia="en-GB"/>
        </w:rPr>
        <w:t xml:space="preserve"> од </w:t>
      </w:r>
      <w:r w:rsidRPr="00832FF5">
        <w:rPr>
          <w:rFonts w:ascii="Times New Roman" w:hAnsi="Times New Roman" w:cs="Times New Roman"/>
          <w:color w:val="000000"/>
          <w:sz w:val="24"/>
          <w:szCs w:val="24"/>
        </w:rPr>
        <w:t>испитуваната група, п</w:t>
      </w:r>
      <w:r w:rsidRPr="00832FF5">
        <w:rPr>
          <w:rFonts w:ascii="Times New Roman" w:hAnsi="Times New Roman" w:cs="Times New Roman"/>
          <w:color w:val="000000"/>
          <w:sz w:val="24"/>
          <w:szCs w:val="24"/>
          <w:lang w:eastAsia="en-GB"/>
        </w:rPr>
        <w:t xml:space="preserve">росечната димензија </w:t>
      </w:r>
      <w:r w:rsidR="003B2C60" w:rsidRPr="00832FF5">
        <w:rPr>
          <w:rFonts w:ascii="Times New Roman" w:hAnsi="Times New Roman" w:cs="Times New Roman"/>
          <w:color w:val="000000"/>
          <w:sz w:val="24"/>
          <w:szCs w:val="24"/>
          <w:lang w:eastAsia="en-GB"/>
        </w:rPr>
        <w:t xml:space="preserve">изнесуваше </w:t>
      </w:r>
      <w:r w:rsidR="003B2C60" w:rsidRPr="00832FF5">
        <w:rPr>
          <w:rFonts w:ascii="Times New Roman" w:hAnsi="Times New Roman" w:cs="Times New Roman"/>
          <w:sz w:val="24"/>
          <w:szCs w:val="24"/>
        </w:rPr>
        <w:t>29,37</w:t>
      </w:r>
      <w:r w:rsidR="003B2C60" w:rsidRPr="00832FF5">
        <w:rPr>
          <w:rFonts w:ascii="Times New Roman" w:hAnsi="Times New Roman" w:cs="Times New Roman"/>
          <w:color w:val="000000"/>
          <w:sz w:val="24"/>
          <w:szCs w:val="24"/>
        </w:rPr>
        <w:t xml:space="preserve">±10,64мм </w:t>
      </w:r>
      <w:r w:rsidR="00BE4F56" w:rsidRPr="00832FF5">
        <w:rPr>
          <w:rFonts w:ascii="Times New Roman" w:hAnsi="Times New Roman" w:cs="Times New Roman"/>
          <w:color w:val="000000"/>
          <w:sz w:val="24"/>
          <w:szCs w:val="24"/>
        </w:rPr>
        <w:t xml:space="preserve">со </w:t>
      </w:r>
      <w:r w:rsidR="003B2C60" w:rsidRPr="00832FF5">
        <w:rPr>
          <w:rFonts w:ascii="Times New Roman" w:hAnsi="Times New Roman" w:cs="Times New Roman"/>
          <w:color w:val="000000"/>
          <w:sz w:val="24"/>
          <w:szCs w:val="24"/>
        </w:rPr>
        <w:t>минимум/</w:t>
      </w:r>
      <w:r w:rsidRPr="00832FF5">
        <w:rPr>
          <w:rFonts w:ascii="Times New Roman" w:hAnsi="Times New Roman" w:cs="Times New Roman"/>
          <w:color w:val="000000"/>
          <w:sz w:val="24"/>
          <w:szCs w:val="24"/>
        </w:rPr>
        <w:t xml:space="preserve"> </w:t>
      </w:r>
      <w:r w:rsidR="003B2C60" w:rsidRPr="00832FF5">
        <w:rPr>
          <w:rFonts w:ascii="Times New Roman" w:hAnsi="Times New Roman" w:cs="Times New Roman"/>
          <w:color w:val="000000"/>
          <w:sz w:val="24"/>
          <w:szCs w:val="24"/>
        </w:rPr>
        <w:t xml:space="preserve">максимум вредност  од 12/56мм и </w:t>
      </w:r>
      <w:r w:rsidR="00BE4F56" w:rsidRPr="00832FF5">
        <w:rPr>
          <w:rFonts w:ascii="Times New Roman" w:hAnsi="Times New Roman" w:cs="Times New Roman"/>
          <w:color w:val="000000"/>
          <w:sz w:val="24"/>
          <w:szCs w:val="24"/>
        </w:rPr>
        <w:t xml:space="preserve">50% пациенти </w:t>
      </w:r>
      <w:r w:rsidR="003B2C60" w:rsidRPr="00832FF5">
        <w:rPr>
          <w:rFonts w:ascii="Times New Roman" w:hAnsi="Times New Roman" w:cs="Times New Roman"/>
          <w:color w:val="000000"/>
          <w:sz w:val="24"/>
          <w:szCs w:val="24"/>
        </w:rPr>
        <w:t xml:space="preserve">каде димензиите беа </w:t>
      </w:r>
      <w:r w:rsidRPr="00832FF5">
        <w:rPr>
          <w:rFonts w:ascii="Times New Roman" w:hAnsi="Times New Roman" w:cs="Times New Roman"/>
          <w:color w:val="000000"/>
          <w:sz w:val="24"/>
          <w:szCs w:val="24"/>
        </w:rPr>
        <w:t>≤</w:t>
      </w:r>
      <w:r w:rsidR="003B2C60" w:rsidRPr="00832FF5">
        <w:rPr>
          <w:rFonts w:ascii="Times New Roman" w:hAnsi="Times New Roman" w:cs="Times New Roman"/>
          <w:color w:val="000000"/>
          <w:sz w:val="24"/>
          <w:szCs w:val="24"/>
        </w:rPr>
        <w:t xml:space="preserve">28мм за </w:t>
      </w:r>
      <w:r w:rsidR="003B2C60" w:rsidRPr="00832FF5">
        <w:rPr>
          <w:rFonts w:ascii="Times New Roman" w:hAnsi="Times New Roman" w:cs="Times New Roman"/>
          <w:color w:val="000000"/>
          <w:sz w:val="24"/>
          <w:szCs w:val="24"/>
          <w:lang w:val="en-US"/>
        </w:rPr>
        <w:t>Median</w:t>
      </w:r>
      <w:r w:rsidR="003B2C60" w:rsidRPr="00A926CA">
        <w:rPr>
          <w:rFonts w:ascii="Times New Roman" w:hAnsi="Times New Roman" w:cs="Times New Roman"/>
          <w:color w:val="000000"/>
          <w:sz w:val="24"/>
          <w:szCs w:val="24"/>
          <w:lang w:val="ru-RU"/>
        </w:rPr>
        <w:t xml:space="preserve"> </w:t>
      </w:r>
      <w:r w:rsidR="003B2C60" w:rsidRPr="00832FF5">
        <w:rPr>
          <w:rFonts w:ascii="Times New Roman" w:hAnsi="Times New Roman" w:cs="Times New Roman"/>
          <w:color w:val="000000"/>
          <w:sz w:val="24"/>
          <w:szCs w:val="24"/>
          <w:lang w:val="en-US"/>
        </w:rPr>
        <w:t>IQR</w:t>
      </w:r>
      <w:r w:rsidR="003B2C60" w:rsidRPr="00A926CA">
        <w:rPr>
          <w:rFonts w:ascii="Times New Roman" w:hAnsi="Times New Roman" w:cs="Times New Roman"/>
          <w:color w:val="000000"/>
          <w:sz w:val="24"/>
          <w:szCs w:val="24"/>
          <w:lang w:val="ru-RU"/>
        </w:rPr>
        <w:t>=</w:t>
      </w:r>
      <w:r w:rsidR="003B2C60" w:rsidRPr="00832FF5">
        <w:rPr>
          <w:rFonts w:ascii="Times New Roman" w:hAnsi="Times New Roman" w:cs="Times New Roman"/>
          <w:bCs/>
          <w:color w:val="000000"/>
          <w:sz w:val="24"/>
          <w:szCs w:val="24"/>
        </w:rPr>
        <w:t>28 (20-35)</w:t>
      </w:r>
      <w:r w:rsidR="00551E59" w:rsidRPr="00832FF5">
        <w:rPr>
          <w:rFonts w:ascii="Times New Roman" w:hAnsi="Times New Roman" w:cs="Times New Roman"/>
          <w:color w:val="000000"/>
          <w:sz w:val="24"/>
          <w:szCs w:val="24"/>
          <w:lang w:val="ru-RU" w:eastAsia="en-GB"/>
        </w:rPr>
        <w:t xml:space="preserve">. </w:t>
      </w:r>
    </w:p>
    <w:p w:rsidR="00832FF5" w:rsidRPr="00832FF5" w:rsidRDefault="00551E59" w:rsidP="00D36D75">
      <w:pPr>
        <w:spacing w:after="200"/>
        <w:ind w:firstLine="720"/>
        <w:jc w:val="both"/>
        <w:rPr>
          <w:rFonts w:ascii="Times New Roman" w:hAnsi="Times New Roman" w:cs="Times New Roman"/>
          <w:color w:val="000000"/>
          <w:sz w:val="24"/>
          <w:szCs w:val="24"/>
        </w:rPr>
      </w:pPr>
      <w:r w:rsidRPr="00832FF5">
        <w:rPr>
          <w:rFonts w:ascii="Times New Roman" w:hAnsi="Times New Roman" w:cs="Times New Roman"/>
          <w:color w:val="000000"/>
          <w:sz w:val="24"/>
          <w:szCs w:val="24"/>
          <w:lang w:val="ru-RU" w:eastAsia="en-GB"/>
        </w:rPr>
        <w:t>Кај</w:t>
      </w:r>
      <w:r w:rsidR="00BE4F56" w:rsidRPr="00832FF5">
        <w:rPr>
          <w:rFonts w:ascii="Times New Roman" w:hAnsi="Times New Roman" w:cs="Times New Roman"/>
          <w:color w:val="000000"/>
          <w:sz w:val="24"/>
          <w:szCs w:val="24"/>
          <w:lang w:val="ru-RU" w:eastAsia="en-GB"/>
        </w:rPr>
        <w:t xml:space="preserve"> малиг</w:t>
      </w:r>
      <w:r w:rsidRPr="00832FF5">
        <w:rPr>
          <w:rFonts w:ascii="Times New Roman" w:hAnsi="Times New Roman" w:cs="Times New Roman"/>
          <w:color w:val="000000"/>
          <w:sz w:val="24"/>
          <w:szCs w:val="24"/>
          <w:lang w:val="ru-RU" w:eastAsia="en-GB"/>
        </w:rPr>
        <w:t xml:space="preserve">ните тумори </w:t>
      </w:r>
      <w:r w:rsidR="00832FF5" w:rsidRPr="00832FF5">
        <w:rPr>
          <w:rFonts w:ascii="Times New Roman" w:hAnsi="Times New Roman" w:cs="Times New Roman"/>
          <w:color w:val="000000"/>
          <w:sz w:val="24"/>
          <w:szCs w:val="24"/>
          <w:lang w:eastAsia="en-GB"/>
        </w:rPr>
        <w:t xml:space="preserve">на </w:t>
      </w:r>
      <w:r w:rsidR="00832FF5" w:rsidRPr="00832FF5">
        <w:rPr>
          <w:rFonts w:ascii="Times New Roman" w:hAnsi="Times New Roman" w:cs="Times New Roman"/>
          <w:color w:val="000000"/>
          <w:sz w:val="24"/>
          <w:szCs w:val="24"/>
        </w:rPr>
        <w:t xml:space="preserve">паротидните жлезди </w:t>
      </w:r>
      <w:r w:rsidR="00832FF5" w:rsidRPr="00832FF5">
        <w:rPr>
          <w:rFonts w:ascii="Times New Roman" w:hAnsi="Times New Roman" w:cs="Times New Roman"/>
          <w:color w:val="000000"/>
          <w:sz w:val="24"/>
          <w:szCs w:val="24"/>
          <w:lang w:eastAsia="en-GB"/>
        </w:rPr>
        <w:t xml:space="preserve">од </w:t>
      </w:r>
      <w:r w:rsidR="00832FF5" w:rsidRPr="00832FF5">
        <w:rPr>
          <w:rFonts w:ascii="Times New Roman" w:hAnsi="Times New Roman" w:cs="Times New Roman"/>
          <w:color w:val="000000"/>
          <w:sz w:val="24"/>
          <w:szCs w:val="24"/>
        </w:rPr>
        <w:t>испитуваната група,</w:t>
      </w:r>
      <w:r w:rsidR="00832FF5" w:rsidRPr="00832FF5">
        <w:rPr>
          <w:rFonts w:ascii="Times New Roman" w:hAnsi="Times New Roman" w:cs="Times New Roman"/>
          <w:color w:val="000000"/>
          <w:sz w:val="24"/>
          <w:szCs w:val="24"/>
          <w:lang w:eastAsia="en-GB"/>
        </w:rPr>
        <w:t xml:space="preserve"> </w:t>
      </w:r>
      <w:r w:rsidRPr="00832FF5">
        <w:rPr>
          <w:rFonts w:ascii="Times New Roman" w:hAnsi="Times New Roman" w:cs="Times New Roman"/>
          <w:color w:val="000000"/>
          <w:sz w:val="24"/>
          <w:szCs w:val="24"/>
          <w:lang w:val="ru-RU" w:eastAsia="en-GB"/>
        </w:rPr>
        <w:t xml:space="preserve">просечната димензија изнесуваше </w:t>
      </w:r>
      <w:r w:rsidRPr="00832FF5">
        <w:rPr>
          <w:rFonts w:ascii="Times New Roman" w:hAnsi="Times New Roman" w:cs="Times New Roman"/>
          <w:sz w:val="24"/>
          <w:szCs w:val="24"/>
        </w:rPr>
        <w:t>36,83</w:t>
      </w:r>
      <w:r w:rsidRPr="00832FF5">
        <w:rPr>
          <w:rFonts w:ascii="Times New Roman" w:hAnsi="Times New Roman" w:cs="Times New Roman"/>
          <w:color w:val="000000"/>
          <w:sz w:val="24"/>
          <w:szCs w:val="24"/>
        </w:rPr>
        <w:t>±17,06</w:t>
      </w:r>
      <w:r w:rsidR="00832FF5" w:rsidRPr="00832FF5">
        <w:rPr>
          <w:rFonts w:ascii="Times New Roman" w:hAnsi="Times New Roman" w:cs="Times New Roman"/>
          <w:color w:val="000000"/>
          <w:sz w:val="24"/>
          <w:szCs w:val="24"/>
        </w:rPr>
        <w:t>мм</w:t>
      </w:r>
      <w:r w:rsidRPr="00832FF5">
        <w:rPr>
          <w:rFonts w:ascii="Times New Roman" w:hAnsi="Times New Roman" w:cs="Times New Roman"/>
          <w:color w:val="000000"/>
          <w:sz w:val="24"/>
          <w:szCs w:val="24"/>
        </w:rPr>
        <w:t xml:space="preserve"> </w:t>
      </w:r>
      <w:r w:rsidR="00BE4F56" w:rsidRPr="00832FF5">
        <w:rPr>
          <w:rFonts w:ascii="Times New Roman" w:hAnsi="Times New Roman" w:cs="Times New Roman"/>
          <w:color w:val="000000"/>
          <w:sz w:val="24"/>
          <w:szCs w:val="24"/>
        </w:rPr>
        <w:t xml:space="preserve">со </w:t>
      </w:r>
      <w:r w:rsidRPr="00832FF5">
        <w:rPr>
          <w:rFonts w:ascii="Times New Roman" w:hAnsi="Times New Roman" w:cs="Times New Roman"/>
          <w:color w:val="000000"/>
          <w:sz w:val="24"/>
          <w:szCs w:val="24"/>
        </w:rPr>
        <w:t xml:space="preserve">минимум/максимум вредност од 13,63мм и </w:t>
      </w:r>
      <w:r w:rsidR="00BE4F56" w:rsidRPr="00832FF5">
        <w:rPr>
          <w:rFonts w:ascii="Times New Roman" w:hAnsi="Times New Roman" w:cs="Times New Roman"/>
          <w:color w:val="000000"/>
          <w:sz w:val="24"/>
          <w:szCs w:val="24"/>
        </w:rPr>
        <w:t xml:space="preserve">50% пациенти </w:t>
      </w:r>
      <w:r w:rsidRPr="00832FF5">
        <w:rPr>
          <w:rFonts w:ascii="Times New Roman" w:hAnsi="Times New Roman" w:cs="Times New Roman"/>
          <w:color w:val="000000"/>
          <w:sz w:val="24"/>
          <w:szCs w:val="24"/>
        </w:rPr>
        <w:t xml:space="preserve">каде димензиите беа </w:t>
      </w:r>
      <w:r w:rsidR="00832FF5" w:rsidRPr="00832FF5">
        <w:rPr>
          <w:rFonts w:ascii="Times New Roman" w:hAnsi="Times New Roman" w:cs="Times New Roman"/>
          <w:color w:val="000000"/>
          <w:sz w:val="24"/>
          <w:szCs w:val="24"/>
        </w:rPr>
        <w:t>≤</w:t>
      </w:r>
      <w:r w:rsidRPr="00832FF5">
        <w:rPr>
          <w:rFonts w:ascii="Times New Roman" w:hAnsi="Times New Roman" w:cs="Times New Roman"/>
          <w:color w:val="000000"/>
          <w:sz w:val="24"/>
          <w:szCs w:val="24"/>
        </w:rPr>
        <w:t xml:space="preserve">35мм за </w:t>
      </w:r>
      <w:r w:rsidRPr="00832FF5">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832FF5">
        <w:rPr>
          <w:rFonts w:ascii="Times New Roman" w:hAnsi="Times New Roman" w:cs="Times New Roman"/>
          <w:color w:val="000000"/>
          <w:sz w:val="24"/>
          <w:szCs w:val="24"/>
          <w:lang w:val="en-US"/>
        </w:rPr>
        <w:t>IQR</w:t>
      </w:r>
      <w:r w:rsidRPr="00A926CA">
        <w:rPr>
          <w:rFonts w:ascii="Times New Roman" w:hAnsi="Times New Roman" w:cs="Times New Roman"/>
          <w:color w:val="000000"/>
          <w:sz w:val="24"/>
          <w:szCs w:val="24"/>
          <w:lang w:val="ru-RU"/>
        </w:rPr>
        <w:t>=</w:t>
      </w:r>
      <w:r w:rsidRPr="00832FF5">
        <w:rPr>
          <w:rFonts w:ascii="Times New Roman" w:hAnsi="Times New Roman" w:cs="Times New Roman"/>
          <w:bCs/>
          <w:color w:val="000000"/>
          <w:sz w:val="24"/>
          <w:szCs w:val="24"/>
        </w:rPr>
        <w:t>35 (29-46)</w:t>
      </w:r>
      <w:r w:rsidR="00F10F17">
        <w:rPr>
          <w:rFonts w:ascii="Times New Roman" w:hAnsi="Times New Roman" w:cs="Times New Roman"/>
          <w:bCs/>
          <w:color w:val="000000"/>
          <w:sz w:val="24"/>
          <w:szCs w:val="24"/>
        </w:rPr>
        <w:t xml:space="preserve"> </w:t>
      </w:r>
      <w:r w:rsidR="00F10F17" w:rsidRPr="00832FF5">
        <w:rPr>
          <w:rFonts w:ascii="Times New Roman" w:hAnsi="Times New Roman" w:cs="Times New Roman"/>
          <w:color w:val="000000"/>
          <w:sz w:val="24"/>
          <w:szCs w:val="24"/>
          <w:lang w:eastAsia="en-GB"/>
        </w:rPr>
        <w:t>(Табела 11 и График 16)</w:t>
      </w:r>
      <w:r w:rsidRPr="00832FF5">
        <w:rPr>
          <w:rFonts w:ascii="Times New Roman" w:hAnsi="Times New Roman" w:cs="Times New Roman"/>
          <w:color w:val="000000"/>
          <w:sz w:val="24"/>
          <w:szCs w:val="24"/>
          <w:lang w:val="ru-RU" w:eastAsia="en-GB"/>
        </w:rPr>
        <w:t>.</w:t>
      </w:r>
      <w:r w:rsidR="00BE4F56" w:rsidRPr="00832FF5">
        <w:rPr>
          <w:rFonts w:ascii="Times New Roman" w:hAnsi="Times New Roman" w:cs="Times New Roman"/>
          <w:color w:val="000000"/>
          <w:sz w:val="24"/>
          <w:szCs w:val="24"/>
        </w:rPr>
        <w:t xml:space="preserve"> </w:t>
      </w:r>
    </w:p>
    <w:p w:rsidR="00BE4F56" w:rsidRPr="00551E59" w:rsidRDefault="00BE4F56" w:rsidP="00D36D75">
      <w:pPr>
        <w:ind w:firstLine="720"/>
        <w:jc w:val="both"/>
        <w:rPr>
          <w:rFonts w:ascii="Times New Roman" w:hAnsi="Times New Roman" w:cs="Times New Roman"/>
          <w:color w:val="000000"/>
          <w:sz w:val="24"/>
          <w:szCs w:val="24"/>
        </w:rPr>
      </w:pPr>
      <w:r w:rsidRPr="00832FF5">
        <w:rPr>
          <w:rFonts w:ascii="Times New Roman" w:hAnsi="Times New Roman" w:cs="Times New Roman"/>
          <w:color w:val="000000"/>
          <w:sz w:val="24"/>
          <w:szCs w:val="24"/>
        </w:rPr>
        <w:t>З</w:t>
      </w:r>
      <w:r w:rsidRPr="00832FF5">
        <w:rPr>
          <w:rFonts w:ascii="Times New Roman" w:hAnsi="Times New Roman" w:cs="Times New Roman"/>
          <w:color w:val="000000"/>
          <w:sz w:val="24"/>
          <w:szCs w:val="24"/>
          <w:lang w:eastAsia="en-GB"/>
        </w:rPr>
        <w:t xml:space="preserve">а </w:t>
      </w:r>
      <w:r w:rsidRPr="00832FF5">
        <w:rPr>
          <w:rFonts w:ascii="Times New Roman" w:hAnsi="Times New Roman" w:cs="Times New Roman"/>
          <w:color w:val="000000"/>
          <w:sz w:val="24"/>
          <w:szCs w:val="24"/>
          <w:lang w:val="en-US" w:eastAsia="en-GB"/>
        </w:rPr>
        <w:t>p</w:t>
      </w:r>
      <w:r w:rsidRPr="00A926CA">
        <w:rPr>
          <w:rFonts w:ascii="Times New Roman" w:hAnsi="Times New Roman" w:cs="Times New Roman"/>
          <w:color w:val="000000"/>
          <w:sz w:val="24"/>
          <w:szCs w:val="24"/>
          <w:lang w:val="ru-RU" w:eastAsia="en-GB"/>
        </w:rPr>
        <w:t xml:space="preserve">&gt;0,05, </w:t>
      </w:r>
      <w:r w:rsidRPr="00832FF5">
        <w:rPr>
          <w:rFonts w:ascii="Times New Roman" w:hAnsi="Times New Roman" w:cs="Times New Roman"/>
          <w:color w:val="000000"/>
          <w:sz w:val="24"/>
          <w:szCs w:val="24"/>
          <w:lang w:eastAsia="mk-MK"/>
        </w:rPr>
        <w:t xml:space="preserve">немаше сигнификантна разлика помеѓу </w:t>
      </w:r>
      <w:r w:rsidR="00551E59" w:rsidRPr="00832FF5">
        <w:rPr>
          <w:rFonts w:ascii="Times New Roman" w:hAnsi="Times New Roman" w:cs="Times New Roman"/>
          <w:color w:val="000000"/>
          <w:sz w:val="24"/>
          <w:szCs w:val="24"/>
          <w:lang w:eastAsia="mk-MK"/>
        </w:rPr>
        <w:t xml:space="preserve">димензиите </w:t>
      </w:r>
      <w:r w:rsidR="00832FF5" w:rsidRPr="00832FF5">
        <w:rPr>
          <w:rFonts w:ascii="Times New Roman" w:hAnsi="Times New Roman" w:cs="Times New Roman"/>
          <w:color w:val="000000"/>
          <w:sz w:val="24"/>
          <w:szCs w:val="24"/>
          <w:lang w:eastAsia="mk-MK"/>
        </w:rPr>
        <w:t>туморите на паротидните жлезди вооднос на видот на туморот (</w:t>
      </w:r>
      <w:r w:rsidRPr="00832FF5">
        <w:rPr>
          <w:rFonts w:ascii="Times New Roman" w:hAnsi="Times New Roman" w:cs="Times New Roman"/>
          <w:color w:val="000000"/>
          <w:sz w:val="24"/>
          <w:szCs w:val="24"/>
          <w:lang w:eastAsia="mk-MK"/>
        </w:rPr>
        <w:t>бениген/ малиген</w:t>
      </w:r>
      <w:r w:rsidR="00832FF5" w:rsidRPr="00832FF5">
        <w:rPr>
          <w:rFonts w:ascii="Times New Roman" w:hAnsi="Times New Roman" w:cs="Times New Roman"/>
          <w:color w:val="000000"/>
          <w:sz w:val="24"/>
          <w:szCs w:val="24"/>
          <w:lang w:eastAsia="mk-MK"/>
        </w:rPr>
        <w:t>) за</w:t>
      </w:r>
      <w:r w:rsidRPr="00832FF5">
        <w:rPr>
          <w:rFonts w:ascii="Times New Roman" w:hAnsi="Times New Roman" w:cs="Times New Roman"/>
          <w:color w:val="000000"/>
          <w:sz w:val="24"/>
          <w:szCs w:val="24"/>
          <w:lang w:eastAsia="mk-MK"/>
        </w:rPr>
        <w:t xml:space="preserve"> (</w:t>
      </w:r>
      <w:r w:rsidRPr="00832FF5">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832FF5">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832FF5">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832FF5">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00551E59" w:rsidRPr="00832FF5">
        <w:rPr>
          <w:rFonts w:ascii="Times New Roman" w:hAnsi="Times New Roman" w:cs="Times New Roman"/>
          <w:color w:val="000000"/>
          <w:sz w:val="24"/>
          <w:szCs w:val="24"/>
        </w:rPr>
        <w:t>Z=1,226; p=0,2201</w:t>
      </w:r>
      <w:r w:rsidRPr="00832FF5">
        <w:rPr>
          <w:rFonts w:ascii="Times New Roman" w:hAnsi="Times New Roman" w:cs="Times New Roman"/>
          <w:color w:val="000000"/>
          <w:sz w:val="24"/>
          <w:szCs w:val="24"/>
          <w:lang w:eastAsia="mk-MK"/>
        </w:rPr>
        <w:t>)</w:t>
      </w:r>
      <w:r w:rsidRPr="00832FF5">
        <w:rPr>
          <w:rFonts w:ascii="Times New Roman" w:hAnsi="Times New Roman" w:cs="Times New Roman"/>
          <w:color w:val="000000"/>
          <w:sz w:val="24"/>
          <w:szCs w:val="24"/>
          <w:lang w:eastAsia="en-GB"/>
        </w:rPr>
        <w:t xml:space="preserve"> (Табела </w:t>
      </w:r>
      <w:r w:rsidR="00551E59" w:rsidRPr="00832FF5">
        <w:rPr>
          <w:rFonts w:ascii="Times New Roman" w:hAnsi="Times New Roman" w:cs="Times New Roman"/>
          <w:color w:val="000000"/>
          <w:sz w:val="24"/>
          <w:szCs w:val="24"/>
          <w:lang w:eastAsia="en-GB"/>
        </w:rPr>
        <w:t>11</w:t>
      </w:r>
      <w:r w:rsidRPr="00832FF5">
        <w:rPr>
          <w:rFonts w:ascii="Times New Roman" w:hAnsi="Times New Roman" w:cs="Times New Roman"/>
          <w:color w:val="000000"/>
          <w:sz w:val="24"/>
          <w:szCs w:val="24"/>
          <w:lang w:eastAsia="en-GB"/>
        </w:rPr>
        <w:t>)</w:t>
      </w:r>
      <w:r w:rsidRPr="00832FF5">
        <w:rPr>
          <w:rFonts w:ascii="Times New Roman" w:hAnsi="Times New Roman" w:cs="Times New Roman"/>
          <w:color w:val="000000"/>
          <w:sz w:val="24"/>
          <w:szCs w:val="24"/>
          <w:lang w:eastAsia="mk-MK"/>
        </w:rPr>
        <w:t>.</w:t>
      </w:r>
    </w:p>
    <w:p w:rsidR="00CD2044" w:rsidRDefault="00CD2044" w:rsidP="00BE4F56">
      <w:pPr>
        <w:ind w:firstLine="720"/>
        <w:jc w:val="both"/>
        <w:rPr>
          <w:rFonts w:ascii="Times New Roman" w:hAnsi="Times New Roman" w:cs="Times New Roman"/>
          <w:b/>
          <w:color w:val="000000"/>
          <w:sz w:val="20"/>
          <w:szCs w:val="20"/>
          <w:highlight w:val="yellow"/>
        </w:rPr>
      </w:pPr>
    </w:p>
    <w:p w:rsidR="00D36D75" w:rsidRDefault="00D36D75" w:rsidP="00F10F17">
      <w:pPr>
        <w:spacing w:line="360" w:lineRule="auto"/>
        <w:jc w:val="both"/>
        <w:rPr>
          <w:rFonts w:ascii="Times New Roman" w:hAnsi="Times New Roman" w:cs="Times New Roman"/>
          <w:b/>
          <w:color w:val="000000"/>
          <w:sz w:val="20"/>
          <w:szCs w:val="20"/>
        </w:rPr>
      </w:pPr>
    </w:p>
    <w:p w:rsidR="00D36D75" w:rsidRDefault="00D36D75" w:rsidP="00F10F17">
      <w:pPr>
        <w:spacing w:line="360" w:lineRule="auto"/>
        <w:jc w:val="both"/>
        <w:rPr>
          <w:rFonts w:ascii="Times New Roman" w:hAnsi="Times New Roman" w:cs="Times New Roman"/>
          <w:b/>
          <w:color w:val="000000"/>
          <w:sz w:val="20"/>
          <w:szCs w:val="20"/>
        </w:rPr>
      </w:pPr>
    </w:p>
    <w:p w:rsidR="00D36D75" w:rsidRDefault="00D36D75" w:rsidP="00F10F17">
      <w:pPr>
        <w:spacing w:line="360" w:lineRule="auto"/>
        <w:jc w:val="both"/>
        <w:rPr>
          <w:rFonts w:ascii="Times New Roman" w:hAnsi="Times New Roman" w:cs="Times New Roman"/>
          <w:b/>
          <w:color w:val="000000"/>
          <w:sz w:val="20"/>
          <w:szCs w:val="20"/>
        </w:rPr>
      </w:pPr>
    </w:p>
    <w:p w:rsidR="00D36D75" w:rsidRDefault="00D36D75" w:rsidP="00F10F17">
      <w:pPr>
        <w:spacing w:line="360" w:lineRule="auto"/>
        <w:jc w:val="both"/>
        <w:rPr>
          <w:rFonts w:ascii="Times New Roman" w:hAnsi="Times New Roman" w:cs="Times New Roman"/>
          <w:b/>
          <w:color w:val="000000"/>
          <w:sz w:val="20"/>
          <w:szCs w:val="20"/>
        </w:rPr>
      </w:pPr>
    </w:p>
    <w:p w:rsidR="006E00F6" w:rsidRPr="00F10F17" w:rsidRDefault="006E00F6" w:rsidP="00F10F17">
      <w:pPr>
        <w:spacing w:line="360" w:lineRule="auto"/>
        <w:jc w:val="both"/>
        <w:rPr>
          <w:rFonts w:ascii="Times New Roman" w:hAnsi="Times New Roman" w:cs="Times New Roman"/>
          <w:b/>
          <w:color w:val="000000"/>
          <w:sz w:val="20"/>
          <w:szCs w:val="20"/>
        </w:rPr>
      </w:pPr>
      <w:r w:rsidRPr="00F10F17">
        <w:rPr>
          <w:rFonts w:ascii="Times New Roman" w:hAnsi="Times New Roman" w:cs="Times New Roman"/>
          <w:b/>
          <w:color w:val="000000"/>
          <w:sz w:val="20"/>
          <w:szCs w:val="20"/>
        </w:rPr>
        <w:t xml:space="preserve">Табела 11. Анализа на </w:t>
      </w:r>
      <w:r w:rsidR="00D7466C" w:rsidRPr="00F10F17">
        <w:rPr>
          <w:rFonts w:ascii="Times New Roman" w:hAnsi="Times New Roman" w:cs="Times New Roman"/>
          <w:b/>
          <w:color w:val="000000"/>
          <w:sz w:val="20"/>
          <w:szCs w:val="20"/>
        </w:rPr>
        <w:t xml:space="preserve">димензии на </w:t>
      </w:r>
      <w:r w:rsidRPr="00F10F17">
        <w:rPr>
          <w:rFonts w:ascii="Times New Roman" w:hAnsi="Times New Roman" w:cs="Times New Roman"/>
          <w:b/>
          <w:color w:val="000000"/>
          <w:sz w:val="20"/>
          <w:szCs w:val="20"/>
        </w:rPr>
        <w:t>тумори</w:t>
      </w:r>
      <w:r w:rsidR="00F10F17" w:rsidRPr="00F10F17">
        <w:rPr>
          <w:rFonts w:ascii="Times New Roman" w:hAnsi="Times New Roman" w:cs="Times New Roman"/>
          <w:b/>
          <w:color w:val="000000"/>
          <w:sz w:val="20"/>
          <w:szCs w:val="20"/>
        </w:rPr>
        <w:t xml:space="preserve">те на паротидните жлезди </w:t>
      </w:r>
      <w:r w:rsidRPr="00F10F17">
        <w:rPr>
          <w:rFonts w:ascii="Times New Roman" w:hAnsi="Times New Roman" w:cs="Times New Roman"/>
          <w:b/>
          <w:color w:val="000000"/>
          <w:sz w:val="20"/>
          <w:szCs w:val="20"/>
        </w:rPr>
        <w:t>според</w:t>
      </w:r>
      <w:r w:rsidR="00F10F17" w:rsidRPr="00F10F17">
        <w:rPr>
          <w:rFonts w:ascii="Times New Roman" w:hAnsi="Times New Roman" w:cs="Times New Roman"/>
          <w:b/>
          <w:color w:val="000000"/>
          <w:sz w:val="20"/>
          <w:szCs w:val="20"/>
        </w:rPr>
        <w:t xml:space="preserve"> </w:t>
      </w:r>
      <w:r w:rsidR="00D7466C">
        <w:rPr>
          <w:rFonts w:ascii="Times New Roman" w:hAnsi="Times New Roman" w:cs="Times New Roman"/>
          <w:b/>
          <w:color w:val="000000"/>
          <w:sz w:val="20"/>
          <w:szCs w:val="20"/>
        </w:rPr>
        <w:t>вид и тип</w:t>
      </w:r>
    </w:p>
    <w:tbl>
      <w:tblPr>
        <w:tblpPr w:leftFromText="180" w:rightFromText="180" w:vertAnchor="text" w:horzAnchor="margin" w:tblpX="-67" w:tblpY="51"/>
        <w:tblW w:w="907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281"/>
        <w:gridCol w:w="1134"/>
        <w:gridCol w:w="640"/>
        <w:gridCol w:w="1486"/>
        <w:gridCol w:w="1418"/>
        <w:gridCol w:w="1417"/>
        <w:gridCol w:w="1701"/>
      </w:tblGrid>
      <w:tr w:rsidR="006E00F6" w:rsidRPr="006E00F6" w:rsidTr="00D30B89">
        <w:trPr>
          <w:cantSplit/>
          <w:trHeight w:val="416"/>
        </w:trPr>
        <w:tc>
          <w:tcPr>
            <w:tcW w:w="2415" w:type="dxa"/>
            <w:gridSpan w:val="2"/>
            <w:vMerge w:val="restart"/>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eastAsia="en-GB"/>
              </w:rPr>
            </w:pPr>
            <w:r w:rsidRPr="006E00F6">
              <w:rPr>
                <w:rFonts w:ascii="Times New Roman" w:hAnsi="Times New Roman" w:cs="Times New Roman"/>
                <w:b/>
                <w:color w:val="FFFFFF"/>
                <w:sz w:val="18"/>
                <w:szCs w:val="18"/>
                <w:lang w:eastAsia="mk-MK"/>
              </w:rPr>
              <w:t>Параметри</w:t>
            </w:r>
          </w:p>
        </w:tc>
        <w:tc>
          <w:tcPr>
            <w:tcW w:w="4961" w:type="dxa"/>
            <w:gridSpan w:val="4"/>
            <w:shd w:val="clear" w:color="auto" w:fill="31849B"/>
            <w:vAlign w:val="center"/>
          </w:tcPr>
          <w:p w:rsidR="006E00F6" w:rsidRPr="00A926CA" w:rsidRDefault="006E00F6" w:rsidP="003B2C60">
            <w:pPr>
              <w:autoSpaceDE w:val="0"/>
              <w:autoSpaceDN w:val="0"/>
              <w:adjustRightInd w:val="0"/>
              <w:ind w:left="60" w:right="60"/>
              <w:jc w:val="center"/>
              <w:rPr>
                <w:rFonts w:ascii="Times New Roman" w:hAnsi="Times New Roman" w:cs="Times New Roman"/>
                <w:b/>
                <w:color w:val="FFFFFF"/>
                <w:sz w:val="18"/>
                <w:szCs w:val="18"/>
                <w:lang w:val="ru-RU" w:eastAsia="mk-MK"/>
              </w:rPr>
            </w:pPr>
            <w:r w:rsidRPr="006E00F6">
              <w:rPr>
                <w:rFonts w:ascii="Times New Roman" w:hAnsi="Times New Roman" w:cs="Times New Roman"/>
                <w:b/>
                <w:color w:val="FFFFFF"/>
                <w:sz w:val="18"/>
                <w:szCs w:val="18"/>
                <w:lang w:eastAsia="mk-MK"/>
              </w:rPr>
              <w:t>Димензии на паротидни жлезди</w:t>
            </w:r>
            <w:r w:rsidR="00D30B89">
              <w:rPr>
                <w:rFonts w:ascii="Times New Roman" w:hAnsi="Times New Roman" w:cs="Times New Roman"/>
                <w:b/>
                <w:color w:val="FFFFFF"/>
                <w:sz w:val="18"/>
                <w:szCs w:val="18"/>
                <w:lang w:eastAsia="mk-MK"/>
              </w:rPr>
              <w:t xml:space="preserve"> (</w:t>
            </w:r>
            <w:r w:rsidR="003B2C60">
              <w:rPr>
                <w:rFonts w:ascii="Times New Roman" w:hAnsi="Times New Roman" w:cs="Times New Roman"/>
                <w:b/>
                <w:color w:val="FFFFFF"/>
                <w:sz w:val="18"/>
                <w:szCs w:val="18"/>
                <w:lang w:eastAsia="mk-MK"/>
              </w:rPr>
              <w:t>мм</w:t>
            </w:r>
            <w:r w:rsidR="00D30B89">
              <w:rPr>
                <w:rFonts w:ascii="Times New Roman" w:hAnsi="Times New Roman" w:cs="Times New Roman"/>
                <w:b/>
                <w:color w:val="FFFFFF"/>
                <w:sz w:val="18"/>
                <w:szCs w:val="18"/>
                <w:lang w:eastAsia="mk-MK"/>
              </w:rPr>
              <w:t>)</w:t>
            </w:r>
          </w:p>
        </w:tc>
        <w:tc>
          <w:tcPr>
            <w:tcW w:w="1701" w:type="dxa"/>
            <w:vMerge w:val="restart"/>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val="en-US" w:eastAsia="mk-MK"/>
              </w:rPr>
            </w:pPr>
            <w:r w:rsidRPr="006E00F6">
              <w:rPr>
                <w:rFonts w:ascii="Times New Roman" w:hAnsi="Times New Roman" w:cs="Times New Roman"/>
                <w:b/>
                <w:color w:val="FFFFFF"/>
                <w:sz w:val="18"/>
                <w:szCs w:val="18"/>
                <w:lang w:val="en-US" w:eastAsia="mk-MK"/>
              </w:rPr>
              <w:t>p</w:t>
            </w:r>
          </w:p>
        </w:tc>
      </w:tr>
      <w:tr w:rsidR="006E00F6" w:rsidRPr="006E00F6" w:rsidTr="00D30B89">
        <w:trPr>
          <w:cantSplit/>
          <w:trHeight w:val="415"/>
        </w:trPr>
        <w:tc>
          <w:tcPr>
            <w:tcW w:w="2415" w:type="dxa"/>
            <w:gridSpan w:val="2"/>
            <w:vMerge/>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eastAsia="en-GB"/>
              </w:rPr>
            </w:pPr>
          </w:p>
        </w:tc>
        <w:tc>
          <w:tcPr>
            <w:tcW w:w="640" w:type="dxa"/>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eastAsia="mk-MK"/>
              </w:rPr>
            </w:pPr>
            <w:r w:rsidRPr="006E00F6">
              <w:rPr>
                <w:rFonts w:ascii="Times New Roman" w:hAnsi="Times New Roman" w:cs="Times New Roman"/>
                <w:b/>
                <w:color w:val="FFFFFF"/>
                <w:sz w:val="18"/>
                <w:szCs w:val="18"/>
                <w:lang w:eastAsia="mk-MK"/>
              </w:rPr>
              <w:t xml:space="preserve"> N</w:t>
            </w:r>
          </w:p>
        </w:tc>
        <w:tc>
          <w:tcPr>
            <w:tcW w:w="1486" w:type="dxa"/>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val="en-US" w:eastAsia="mk-MK"/>
              </w:rPr>
            </w:pPr>
            <w:r w:rsidRPr="006E00F6">
              <w:rPr>
                <w:rFonts w:ascii="Times New Roman" w:hAnsi="Times New Roman" w:cs="Times New Roman"/>
                <w:b/>
                <w:bCs/>
                <w:color w:val="FFFFFF"/>
                <w:sz w:val="18"/>
                <w:szCs w:val="18"/>
              </w:rPr>
              <w:t>Mean±</w:t>
            </w:r>
            <w:r w:rsidRPr="006E00F6">
              <w:rPr>
                <w:rFonts w:ascii="Times New Roman" w:hAnsi="Times New Roman" w:cs="Times New Roman"/>
                <w:b/>
                <w:color w:val="FFFFFF"/>
                <w:sz w:val="18"/>
                <w:szCs w:val="18"/>
                <w:lang w:val="en-US" w:eastAsia="mk-MK"/>
              </w:rPr>
              <w:t xml:space="preserve"> SD</w:t>
            </w:r>
          </w:p>
        </w:tc>
        <w:tc>
          <w:tcPr>
            <w:tcW w:w="1418" w:type="dxa"/>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color w:val="FFFFFF"/>
                <w:sz w:val="18"/>
                <w:szCs w:val="18"/>
                <w:lang w:val="en-US" w:eastAsia="mk-MK"/>
              </w:rPr>
            </w:pPr>
            <w:r w:rsidRPr="006E00F6">
              <w:rPr>
                <w:rFonts w:ascii="Times New Roman" w:hAnsi="Times New Roman" w:cs="Times New Roman"/>
                <w:b/>
                <w:color w:val="FFFFFF"/>
                <w:sz w:val="18"/>
                <w:szCs w:val="18"/>
                <w:lang w:val="en-US" w:eastAsia="mk-MK"/>
              </w:rPr>
              <w:t>Min/Max</w:t>
            </w:r>
          </w:p>
        </w:tc>
        <w:tc>
          <w:tcPr>
            <w:tcW w:w="1417" w:type="dxa"/>
            <w:shd w:val="clear" w:color="auto" w:fill="31849B"/>
            <w:vAlign w:val="center"/>
          </w:tcPr>
          <w:p w:rsidR="006E00F6" w:rsidRPr="006E00F6" w:rsidRDefault="006E00F6" w:rsidP="00507DDD">
            <w:pPr>
              <w:autoSpaceDE w:val="0"/>
              <w:autoSpaceDN w:val="0"/>
              <w:adjustRightInd w:val="0"/>
              <w:ind w:left="60" w:right="60"/>
              <w:jc w:val="center"/>
              <w:rPr>
                <w:rFonts w:ascii="Times New Roman" w:hAnsi="Times New Roman" w:cs="Times New Roman"/>
                <w:b/>
                <w:bCs/>
                <w:color w:val="FFFFFF"/>
                <w:sz w:val="18"/>
                <w:szCs w:val="18"/>
                <w:lang w:val="en-US"/>
              </w:rPr>
            </w:pPr>
            <w:r w:rsidRPr="006E00F6">
              <w:rPr>
                <w:rFonts w:ascii="Times New Roman" w:hAnsi="Times New Roman" w:cs="Times New Roman"/>
                <w:b/>
                <w:bCs/>
                <w:color w:val="FFFFFF"/>
                <w:sz w:val="18"/>
                <w:szCs w:val="18"/>
                <w:lang w:val="en-US"/>
              </w:rPr>
              <w:t>Median (IQR)</w:t>
            </w:r>
          </w:p>
        </w:tc>
        <w:tc>
          <w:tcPr>
            <w:tcW w:w="1701" w:type="dxa"/>
            <w:vMerge/>
            <w:shd w:val="clear" w:color="auto" w:fill="D99594"/>
          </w:tcPr>
          <w:p w:rsidR="006E00F6" w:rsidRPr="006E00F6" w:rsidRDefault="006E00F6" w:rsidP="00507DDD">
            <w:pPr>
              <w:autoSpaceDE w:val="0"/>
              <w:autoSpaceDN w:val="0"/>
              <w:adjustRightInd w:val="0"/>
              <w:ind w:left="60" w:right="60"/>
              <w:jc w:val="center"/>
              <w:rPr>
                <w:rFonts w:ascii="Times New Roman" w:hAnsi="Times New Roman" w:cs="Times New Roman"/>
                <w:b/>
                <w:bCs/>
                <w:color w:val="000000"/>
                <w:sz w:val="18"/>
                <w:szCs w:val="18"/>
                <w:lang w:val="en-US"/>
              </w:rPr>
            </w:pPr>
          </w:p>
        </w:tc>
      </w:tr>
      <w:tr w:rsidR="006E00F6" w:rsidRPr="006E00F6" w:rsidTr="00D30B89">
        <w:trPr>
          <w:cantSplit/>
          <w:trHeight w:val="279"/>
        </w:trPr>
        <w:tc>
          <w:tcPr>
            <w:tcW w:w="1281" w:type="dxa"/>
            <w:vMerge w:val="restart"/>
            <w:shd w:val="clear" w:color="auto" w:fill="31849B"/>
            <w:vAlign w:val="center"/>
          </w:tcPr>
          <w:p w:rsidR="00D30B89" w:rsidRDefault="00D30B89" w:rsidP="006E00F6">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 xml:space="preserve">Видови </w:t>
            </w:r>
          </w:p>
          <w:p w:rsidR="006E00F6" w:rsidRPr="006E00F6" w:rsidRDefault="00D30B89" w:rsidP="006E00F6">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тумор</w:t>
            </w:r>
          </w:p>
        </w:tc>
        <w:tc>
          <w:tcPr>
            <w:tcW w:w="1134" w:type="dxa"/>
            <w:shd w:val="clear" w:color="auto" w:fill="31849B"/>
            <w:vAlign w:val="center"/>
          </w:tcPr>
          <w:p w:rsidR="006E00F6" w:rsidRPr="00D30B89" w:rsidRDefault="00D30B89" w:rsidP="00507DDD">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Бенигни</w:t>
            </w:r>
          </w:p>
        </w:tc>
        <w:tc>
          <w:tcPr>
            <w:tcW w:w="640" w:type="dxa"/>
            <w:shd w:val="clear" w:color="auto" w:fill="DAEEF3"/>
            <w:vAlign w:val="center"/>
          </w:tcPr>
          <w:p w:rsidR="006E00F6" w:rsidRPr="006E00F6" w:rsidRDefault="003C000F" w:rsidP="00507DDD">
            <w:pPr>
              <w:jc w:val="center"/>
              <w:rPr>
                <w:rFonts w:ascii="Times New Roman" w:hAnsi="Times New Roman" w:cs="Times New Roman"/>
                <w:sz w:val="18"/>
                <w:szCs w:val="18"/>
              </w:rPr>
            </w:pPr>
            <w:r>
              <w:rPr>
                <w:rFonts w:ascii="Times New Roman" w:hAnsi="Times New Roman" w:cs="Times New Roman"/>
                <w:sz w:val="18"/>
                <w:szCs w:val="18"/>
              </w:rPr>
              <w:t>33</w:t>
            </w:r>
          </w:p>
        </w:tc>
        <w:tc>
          <w:tcPr>
            <w:tcW w:w="1486" w:type="dxa"/>
            <w:shd w:val="clear" w:color="auto" w:fill="DAEEF3"/>
            <w:vAlign w:val="center"/>
          </w:tcPr>
          <w:p w:rsidR="006E00F6" w:rsidRPr="006E00F6" w:rsidRDefault="003C000F" w:rsidP="003C000F">
            <w:pPr>
              <w:jc w:val="center"/>
              <w:rPr>
                <w:rFonts w:ascii="Times New Roman" w:hAnsi="Times New Roman" w:cs="Times New Roman"/>
                <w:sz w:val="18"/>
                <w:szCs w:val="18"/>
              </w:rPr>
            </w:pPr>
            <w:r>
              <w:rPr>
                <w:rFonts w:ascii="Times New Roman" w:hAnsi="Times New Roman" w:cs="Times New Roman"/>
                <w:sz w:val="18"/>
                <w:szCs w:val="18"/>
              </w:rPr>
              <w:t>29,37</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10,64</w:t>
            </w:r>
          </w:p>
        </w:tc>
        <w:tc>
          <w:tcPr>
            <w:tcW w:w="1418" w:type="dxa"/>
            <w:shd w:val="clear" w:color="auto" w:fill="DAEEF3"/>
            <w:vAlign w:val="center"/>
          </w:tcPr>
          <w:p w:rsidR="006E00F6" w:rsidRPr="006E00F6" w:rsidRDefault="003C000F"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12/56</w:t>
            </w:r>
          </w:p>
        </w:tc>
        <w:tc>
          <w:tcPr>
            <w:tcW w:w="1417" w:type="dxa"/>
            <w:shd w:val="clear" w:color="auto" w:fill="DAEEF3"/>
            <w:vAlign w:val="center"/>
          </w:tcPr>
          <w:p w:rsidR="006E00F6" w:rsidRPr="006E00F6" w:rsidRDefault="003C000F"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28 (20-35)</w:t>
            </w:r>
          </w:p>
        </w:tc>
        <w:tc>
          <w:tcPr>
            <w:tcW w:w="1701" w:type="dxa"/>
            <w:vMerge w:val="restart"/>
            <w:shd w:val="clear" w:color="auto" w:fill="DAEEF3"/>
            <w:vAlign w:val="center"/>
          </w:tcPr>
          <w:p w:rsidR="006E00F6" w:rsidRPr="006E00F6" w:rsidRDefault="003C000F" w:rsidP="003C000F">
            <w:pPr>
              <w:autoSpaceDE w:val="0"/>
              <w:autoSpaceDN w:val="0"/>
              <w:adjustRightInd w:val="0"/>
              <w:ind w:left="62" w:right="62"/>
              <w:jc w:val="center"/>
              <w:rPr>
                <w:rFonts w:ascii="Times New Roman" w:hAnsi="Times New Roman" w:cs="Times New Roman"/>
                <w:color w:val="000000"/>
                <w:sz w:val="18"/>
                <w:szCs w:val="18"/>
                <w:lang w:val="en-US"/>
              </w:rPr>
            </w:pPr>
            <w:r w:rsidRPr="00452D42">
              <w:rPr>
                <w:rFonts w:ascii="Times New Roman" w:hAnsi="Times New Roman" w:cs="Times New Roman"/>
                <w:color w:val="000000"/>
                <w:sz w:val="18"/>
                <w:szCs w:val="18"/>
              </w:rPr>
              <w:t>Z=</w:t>
            </w:r>
            <w:r>
              <w:rPr>
                <w:rFonts w:ascii="Times New Roman" w:hAnsi="Times New Roman" w:cs="Times New Roman"/>
                <w:color w:val="000000"/>
                <w:sz w:val="18"/>
                <w:szCs w:val="18"/>
              </w:rPr>
              <w:t>1,226</w:t>
            </w:r>
            <w:r w:rsidRPr="00452D42">
              <w:rPr>
                <w:rFonts w:ascii="Times New Roman" w:hAnsi="Times New Roman" w:cs="Times New Roman"/>
                <w:color w:val="000000"/>
                <w:sz w:val="18"/>
                <w:szCs w:val="18"/>
              </w:rPr>
              <w:t>; p=0,</w:t>
            </w:r>
            <w:r>
              <w:rPr>
                <w:rFonts w:ascii="Times New Roman" w:hAnsi="Times New Roman" w:cs="Times New Roman"/>
                <w:color w:val="000000"/>
                <w:sz w:val="18"/>
                <w:szCs w:val="18"/>
              </w:rPr>
              <w:t>2201</w:t>
            </w:r>
          </w:p>
        </w:tc>
      </w:tr>
      <w:tr w:rsidR="006E00F6" w:rsidRPr="006E00F6" w:rsidTr="00D30B89">
        <w:trPr>
          <w:cantSplit/>
          <w:trHeight w:val="269"/>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D30B89" w:rsidP="00507DDD">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w:t>
            </w:r>
            <w:r>
              <w:rPr>
                <w:rFonts w:ascii="Times New Roman" w:hAnsi="Times New Roman" w:cs="Times New Roman"/>
                <w:b/>
                <w:color w:val="FFFFFF"/>
                <w:sz w:val="18"/>
                <w:szCs w:val="18"/>
                <w:lang w:val="en-US" w:eastAsia="mk-MK"/>
              </w:rPr>
              <w:t xml:space="preserve"> </w:t>
            </w:r>
            <w:r>
              <w:rPr>
                <w:rFonts w:ascii="Times New Roman" w:hAnsi="Times New Roman" w:cs="Times New Roman"/>
                <w:b/>
                <w:color w:val="FFFFFF"/>
                <w:sz w:val="18"/>
                <w:szCs w:val="18"/>
                <w:lang w:eastAsia="mk-MK"/>
              </w:rPr>
              <w:t>Малигни</w:t>
            </w:r>
          </w:p>
        </w:tc>
        <w:tc>
          <w:tcPr>
            <w:tcW w:w="640" w:type="dxa"/>
            <w:shd w:val="clear" w:color="auto" w:fill="DAEEF3"/>
            <w:vAlign w:val="center"/>
          </w:tcPr>
          <w:p w:rsidR="006E00F6" w:rsidRPr="006E00F6" w:rsidRDefault="003C000F" w:rsidP="00507DDD">
            <w:pPr>
              <w:jc w:val="center"/>
              <w:rPr>
                <w:rFonts w:ascii="Times New Roman" w:hAnsi="Times New Roman" w:cs="Times New Roman"/>
                <w:sz w:val="18"/>
                <w:szCs w:val="18"/>
              </w:rPr>
            </w:pPr>
            <w:r>
              <w:rPr>
                <w:rFonts w:ascii="Times New Roman" w:hAnsi="Times New Roman" w:cs="Times New Roman"/>
                <w:sz w:val="18"/>
                <w:szCs w:val="18"/>
              </w:rPr>
              <w:t>6</w:t>
            </w:r>
          </w:p>
        </w:tc>
        <w:tc>
          <w:tcPr>
            <w:tcW w:w="1486" w:type="dxa"/>
            <w:shd w:val="clear" w:color="auto" w:fill="DAEEF3"/>
            <w:vAlign w:val="center"/>
          </w:tcPr>
          <w:p w:rsidR="006E00F6" w:rsidRPr="006E00F6" w:rsidRDefault="003C000F" w:rsidP="00507DDD">
            <w:pPr>
              <w:jc w:val="center"/>
              <w:rPr>
                <w:rFonts w:ascii="Times New Roman" w:hAnsi="Times New Roman" w:cs="Times New Roman"/>
                <w:sz w:val="18"/>
                <w:szCs w:val="18"/>
              </w:rPr>
            </w:pPr>
            <w:r>
              <w:rPr>
                <w:rFonts w:ascii="Times New Roman" w:hAnsi="Times New Roman" w:cs="Times New Roman"/>
                <w:sz w:val="18"/>
                <w:szCs w:val="18"/>
              </w:rPr>
              <w:t>36,83</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17,06</w:t>
            </w:r>
          </w:p>
        </w:tc>
        <w:tc>
          <w:tcPr>
            <w:tcW w:w="1418" w:type="dxa"/>
            <w:shd w:val="clear" w:color="auto" w:fill="DAEEF3"/>
            <w:vAlign w:val="center"/>
          </w:tcPr>
          <w:p w:rsidR="006E00F6" w:rsidRPr="006E00F6" w:rsidRDefault="003C000F"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13/63</w:t>
            </w:r>
          </w:p>
        </w:tc>
        <w:tc>
          <w:tcPr>
            <w:tcW w:w="1417" w:type="dxa"/>
            <w:shd w:val="clear" w:color="auto" w:fill="DAEEF3"/>
            <w:vAlign w:val="center"/>
          </w:tcPr>
          <w:p w:rsidR="006E00F6" w:rsidRPr="006E00F6" w:rsidRDefault="003C000F"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35 (29-46)</w:t>
            </w:r>
          </w:p>
        </w:tc>
        <w:tc>
          <w:tcPr>
            <w:tcW w:w="1701" w:type="dxa"/>
            <w:vMerge/>
            <w:shd w:val="clear" w:color="auto" w:fill="DAEEF3"/>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65"/>
        </w:trPr>
        <w:tc>
          <w:tcPr>
            <w:tcW w:w="2415" w:type="dxa"/>
            <w:gridSpan w:val="2"/>
            <w:shd w:val="clear" w:color="auto" w:fill="B6DDE8"/>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bCs/>
                <w:color w:val="000000"/>
                <w:sz w:val="18"/>
                <w:szCs w:val="18"/>
              </w:rPr>
            </w:pPr>
            <w:r w:rsidRPr="006E00F6">
              <w:rPr>
                <w:rFonts w:ascii="Times New Roman" w:hAnsi="Times New Roman" w:cs="Times New Roman"/>
                <w:b/>
                <w:bCs/>
                <w:color w:val="000000"/>
                <w:sz w:val="18"/>
                <w:szCs w:val="18"/>
              </w:rPr>
              <w:t>Вкупно</w:t>
            </w:r>
          </w:p>
        </w:tc>
        <w:tc>
          <w:tcPr>
            <w:tcW w:w="640" w:type="dxa"/>
            <w:shd w:val="clear" w:color="auto" w:fill="B6DDE8"/>
            <w:vAlign w:val="center"/>
          </w:tcPr>
          <w:p w:rsidR="006E00F6" w:rsidRPr="006E00F6" w:rsidRDefault="003C000F" w:rsidP="00507DDD">
            <w:pPr>
              <w:jc w:val="center"/>
              <w:rPr>
                <w:rFonts w:ascii="Times New Roman" w:hAnsi="Times New Roman" w:cs="Times New Roman"/>
                <w:color w:val="000000"/>
                <w:sz w:val="18"/>
                <w:szCs w:val="18"/>
              </w:rPr>
            </w:pPr>
            <w:r>
              <w:rPr>
                <w:rFonts w:ascii="Times New Roman" w:hAnsi="Times New Roman" w:cs="Times New Roman"/>
                <w:color w:val="000000"/>
                <w:sz w:val="18"/>
                <w:szCs w:val="18"/>
              </w:rPr>
              <w:t>39</w:t>
            </w:r>
          </w:p>
        </w:tc>
        <w:tc>
          <w:tcPr>
            <w:tcW w:w="1486" w:type="dxa"/>
            <w:shd w:val="clear" w:color="auto" w:fill="B6DDE8"/>
            <w:vAlign w:val="center"/>
          </w:tcPr>
          <w:p w:rsidR="006E00F6" w:rsidRPr="006E00F6" w:rsidRDefault="003C000F" w:rsidP="003C000F">
            <w:pPr>
              <w:jc w:val="center"/>
              <w:rPr>
                <w:rFonts w:ascii="Times New Roman" w:hAnsi="Times New Roman" w:cs="Times New Roman"/>
                <w:color w:val="000000"/>
                <w:sz w:val="18"/>
                <w:szCs w:val="18"/>
              </w:rPr>
            </w:pPr>
            <w:r>
              <w:rPr>
                <w:rFonts w:ascii="Times New Roman" w:hAnsi="Times New Roman" w:cs="Times New Roman"/>
                <w:color w:val="000000"/>
                <w:sz w:val="18"/>
                <w:szCs w:val="18"/>
              </w:rPr>
              <w:t>30,52</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11,86</w:t>
            </w:r>
          </w:p>
        </w:tc>
        <w:tc>
          <w:tcPr>
            <w:tcW w:w="1418" w:type="dxa"/>
            <w:shd w:val="clear" w:color="auto" w:fill="B6DDE8"/>
            <w:vAlign w:val="center"/>
          </w:tcPr>
          <w:p w:rsidR="006E00F6" w:rsidRPr="006E00F6" w:rsidRDefault="003C000F"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12/63</w:t>
            </w:r>
          </w:p>
        </w:tc>
        <w:tc>
          <w:tcPr>
            <w:tcW w:w="1417" w:type="dxa"/>
            <w:shd w:val="clear" w:color="auto" w:fill="B6DDE8"/>
            <w:vAlign w:val="center"/>
          </w:tcPr>
          <w:p w:rsidR="006E00F6" w:rsidRPr="006E00F6" w:rsidRDefault="003C000F"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29 (20-40)</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79"/>
        </w:trPr>
        <w:tc>
          <w:tcPr>
            <w:tcW w:w="1281" w:type="dxa"/>
            <w:vMerge w:val="restart"/>
            <w:shd w:val="clear" w:color="auto" w:fill="31849B"/>
            <w:vAlign w:val="center"/>
          </w:tcPr>
          <w:p w:rsidR="00333800" w:rsidRDefault="00333800" w:rsidP="00507DDD">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Бенигни</w:t>
            </w:r>
          </w:p>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r w:rsidRPr="006E00F6">
              <w:rPr>
                <w:rFonts w:ascii="Times New Roman" w:hAnsi="Times New Roman" w:cs="Times New Roman"/>
                <w:b/>
                <w:color w:val="FFFFFF"/>
                <w:sz w:val="18"/>
                <w:szCs w:val="18"/>
                <w:lang w:eastAsia="en-GB"/>
              </w:rPr>
              <w:t>тумори</w:t>
            </w:r>
          </w:p>
        </w:tc>
        <w:tc>
          <w:tcPr>
            <w:tcW w:w="1134" w:type="dxa"/>
            <w:shd w:val="clear" w:color="auto" w:fill="31849B"/>
            <w:vAlign w:val="center"/>
          </w:tcPr>
          <w:p w:rsidR="006E00F6" w:rsidRPr="006E00F6" w:rsidRDefault="00333800" w:rsidP="00F10F17">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rPr>
              <w:t xml:space="preserve">  </w:t>
            </w:r>
            <w:r w:rsidR="00F10F17">
              <w:rPr>
                <w:rFonts w:ascii="Times New Roman" w:hAnsi="Times New Roman" w:cs="Times New Roman"/>
                <w:b/>
                <w:color w:val="FFFFFF"/>
                <w:sz w:val="18"/>
                <w:szCs w:val="18"/>
                <w:lang w:val="en-US"/>
              </w:rPr>
              <w:t>WT</w:t>
            </w:r>
          </w:p>
        </w:tc>
        <w:tc>
          <w:tcPr>
            <w:tcW w:w="640" w:type="dxa"/>
            <w:shd w:val="clear" w:color="auto" w:fill="DAEEF3"/>
            <w:vAlign w:val="center"/>
          </w:tcPr>
          <w:p w:rsidR="006E00F6" w:rsidRPr="006E00F6" w:rsidRDefault="00EC5F76" w:rsidP="00507DDD">
            <w:pPr>
              <w:jc w:val="center"/>
              <w:rPr>
                <w:rFonts w:ascii="Times New Roman" w:hAnsi="Times New Roman" w:cs="Times New Roman"/>
                <w:sz w:val="18"/>
                <w:szCs w:val="18"/>
              </w:rPr>
            </w:pPr>
            <w:r>
              <w:rPr>
                <w:rFonts w:ascii="Times New Roman" w:hAnsi="Times New Roman" w:cs="Times New Roman"/>
                <w:sz w:val="18"/>
                <w:szCs w:val="18"/>
              </w:rPr>
              <w:t>19</w:t>
            </w:r>
          </w:p>
        </w:tc>
        <w:tc>
          <w:tcPr>
            <w:tcW w:w="1486" w:type="dxa"/>
            <w:shd w:val="clear" w:color="auto" w:fill="DAEEF3"/>
            <w:vAlign w:val="center"/>
          </w:tcPr>
          <w:p w:rsidR="006E00F6" w:rsidRPr="006E00F6" w:rsidRDefault="00F10F17" w:rsidP="00507DDD">
            <w:pPr>
              <w:jc w:val="center"/>
              <w:rPr>
                <w:rFonts w:ascii="Times New Roman" w:hAnsi="Times New Roman" w:cs="Times New Roman"/>
                <w:sz w:val="18"/>
                <w:szCs w:val="18"/>
              </w:rPr>
            </w:pPr>
            <w:r>
              <w:rPr>
                <w:rFonts w:ascii="Times New Roman" w:hAnsi="Times New Roman" w:cs="Times New Roman"/>
                <w:sz w:val="18"/>
                <w:szCs w:val="18"/>
              </w:rPr>
              <w:t>32,47</w:t>
            </w:r>
            <w:r w:rsidR="00EC5F76" w:rsidRPr="006E00F6">
              <w:rPr>
                <w:rFonts w:ascii="Times New Roman" w:hAnsi="Times New Roman" w:cs="Times New Roman"/>
                <w:color w:val="000000"/>
                <w:sz w:val="18"/>
                <w:szCs w:val="18"/>
              </w:rPr>
              <w:t>±</w:t>
            </w:r>
            <w:r w:rsidR="00EC5F76">
              <w:rPr>
                <w:rFonts w:ascii="Times New Roman" w:hAnsi="Times New Roman" w:cs="Times New Roman"/>
                <w:color w:val="000000"/>
                <w:sz w:val="18"/>
                <w:szCs w:val="18"/>
              </w:rPr>
              <w:t>11,92</w:t>
            </w:r>
          </w:p>
        </w:tc>
        <w:tc>
          <w:tcPr>
            <w:tcW w:w="1418"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12/56</w:t>
            </w:r>
          </w:p>
        </w:tc>
        <w:tc>
          <w:tcPr>
            <w:tcW w:w="1417"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29 (24-40)</w:t>
            </w:r>
          </w:p>
        </w:tc>
        <w:tc>
          <w:tcPr>
            <w:tcW w:w="1701" w:type="dxa"/>
            <w:vMerge w:val="restart"/>
            <w:shd w:val="clear" w:color="auto" w:fill="DAEEF3"/>
            <w:vAlign w:val="center"/>
          </w:tcPr>
          <w:p w:rsidR="006E00F6" w:rsidRPr="008E23C8" w:rsidRDefault="006E00F6" w:rsidP="008E23C8">
            <w:pPr>
              <w:autoSpaceDE w:val="0"/>
              <w:autoSpaceDN w:val="0"/>
              <w:adjustRightInd w:val="0"/>
              <w:ind w:left="62" w:right="62"/>
              <w:jc w:val="center"/>
              <w:rPr>
                <w:rFonts w:ascii="Times New Roman" w:hAnsi="Times New Roman" w:cs="Times New Roman"/>
                <w:color w:val="000000"/>
                <w:sz w:val="18"/>
                <w:szCs w:val="18"/>
                <w:lang w:val="en-US"/>
              </w:rPr>
            </w:pPr>
            <w:r w:rsidRPr="008E23C8">
              <w:rPr>
                <w:rFonts w:ascii="Times New Roman" w:hAnsi="Times New Roman" w:cs="Times New Roman"/>
                <w:color w:val="000000"/>
                <w:sz w:val="18"/>
                <w:szCs w:val="18"/>
              </w:rPr>
              <w:t>X</w:t>
            </w:r>
            <w:r w:rsidRPr="008E23C8">
              <w:rPr>
                <w:rFonts w:ascii="Times New Roman" w:hAnsi="Times New Roman" w:cs="Times New Roman"/>
                <w:color w:val="000000"/>
                <w:sz w:val="18"/>
                <w:szCs w:val="18"/>
                <w:vertAlign w:val="superscript"/>
              </w:rPr>
              <w:t>2</w:t>
            </w:r>
            <w:r w:rsidRPr="008E23C8">
              <w:rPr>
                <w:rFonts w:ascii="Times New Roman" w:hAnsi="Times New Roman" w:cs="Times New Roman"/>
                <w:color w:val="000000"/>
                <w:sz w:val="18"/>
                <w:szCs w:val="18"/>
                <w:vertAlign w:val="subscript"/>
              </w:rPr>
              <w:t>(</w:t>
            </w:r>
            <w:r w:rsidR="008E23C8" w:rsidRPr="008E23C8">
              <w:rPr>
                <w:rFonts w:ascii="Times New Roman" w:hAnsi="Times New Roman" w:cs="Times New Roman"/>
                <w:color w:val="000000"/>
                <w:sz w:val="18"/>
                <w:szCs w:val="18"/>
                <w:vertAlign w:val="subscript"/>
              </w:rPr>
              <w:t>2</w:t>
            </w:r>
            <w:r w:rsidRPr="008E23C8">
              <w:rPr>
                <w:rFonts w:ascii="Times New Roman" w:hAnsi="Times New Roman" w:cs="Times New Roman"/>
                <w:color w:val="000000"/>
                <w:sz w:val="18"/>
                <w:szCs w:val="18"/>
                <w:vertAlign w:val="subscript"/>
              </w:rPr>
              <w:t>)</w:t>
            </w:r>
            <w:r w:rsidRPr="008E23C8">
              <w:rPr>
                <w:rFonts w:ascii="Times New Roman" w:hAnsi="Times New Roman" w:cs="Times New Roman"/>
                <w:color w:val="000000"/>
                <w:sz w:val="18"/>
                <w:szCs w:val="18"/>
              </w:rPr>
              <w:t>=</w:t>
            </w:r>
            <w:r w:rsidR="008E23C8" w:rsidRPr="008E23C8">
              <w:rPr>
                <w:rFonts w:ascii="Times New Roman" w:hAnsi="Times New Roman" w:cs="Times New Roman"/>
                <w:color w:val="000000"/>
                <w:sz w:val="18"/>
                <w:szCs w:val="18"/>
              </w:rPr>
              <w:t>4,326</w:t>
            </w:r>
            <w:r w:rsidRPr="008E23C8">
              <w:rPr>
                <w:rFonts w:ascii="Times New Roman" w:hAnsi="Times New Roman" w:cs="Times New Roman"/>
                <w:color w:val="000000"/>
                <w:sz w:val="18"/>
                <w:szCs w:val="18"/>
              </w:rPr>
              <w:t>; p=0,</w:t>
            </w:r>
            <w:r w:rsidR="008E23C8" w:rsidRPr="008E23C8">
              <w:rPr>
                <w:rFonts w:ascii="Times New Roman" w:hAnsi="Times New Roman" w:cs="Times New Roman"/>
                <w:color w:val="000000"/>
                <w:sz w:val="18"/>
                <w:szCs w:val="18"/>
              </w:rPr>
              <w:t>1150</w:t>
            </w:r>
          </w:p>
        </w:tc>
      </w:tr>
      <w:tr w:rsidR="006E00F6" w:rsidRPr="006E00F6" w:rsidTr="00D30B89">
        <w:trPr>
          <w:cantSplit/>
          <w:trHeight w:val="269"/>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F10F17">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 xml:space="preserve">  </w:t>
            </w:r>
            <w:r w:rsidR="00F10F17">
              <w:rPr>
                <w:rFonts w:ascii="Times New Roman" w:hAnsi="Times New Roman" w:cs="Times New Roman"/>
                <w:b/>
                <w:color w:val="FFFFFF"/>
                <w:sz w:val="18"/>
                <w:szCs w:val="18"/>
                <w:lang w:val="en-US"/>
              </w:rPr>
              <w:t>BA</w:t>
            </w:r>
          </w:p>
        </w:tc>
        <w:tc>
          <w:tcPr>
            <w:tcW w:w="640" w:type="dxa"/>
            <w:shd w:val="clear" w:color="auto" w:fill="DAEEF3"/>
            <w:vAlign w:val="center"/>
          </w:tcPr>
          <w:p w:rsidR="006E00F6" w:rsidRPr="006E00F6" w:rsidRDefault="00EC5F76" w:rsidP="00507DDD">
            <w:pPr>
              <w:jc w:val="center"/>
              <w:rPr>
                <w:rFonts w:ascii="Times New Roman" w:hAnsi="Times New Roman" w:cs="Times New Roman"/>
                <w:sz w:val="18"/>
                <w:szCs w:val="18"/>
              </w:rPr>
            </w:pPr>
            <w:r>
              <w:rPr>
                <w:rFonts w:ascii="Times New Roman" w:hAnsi="Times New Roman" w:cs="Times New Roman"/>
                <w:sz w:val="18"/>
                <w:szCs w:val="18"/>
              </w:rPr>
              <w:t>1</w:t>
            </w:r>
          </w:p>
        </w:tc>
        <w:tc>
          <w:tcPr>
            <w:tcW w:w="1486" w:type="dxa"/>
            <w:shd w:val="clear" w:color="auto" w:fill="DAEEF3"/>
            <w:vAlign w:val="center"/>
          </w:tcPr>
          <w:p w:rsidR="006E00F6" w:rsidRPr="006E00F6" w:rsidRDefault="00EC5F76" w:rsidP="00507DDD">
            <w:pPr>
              <w:jc w:val="center"/>
              <w:rPr>
                <w:rFonts w:ascii="Times New Roman" w:hAnsi="Times New Roman" w:cs="Times New Roman"/>
                <w:sz w:val="18"/>
                <w:szCs w:val="18"/>
              </w:rPr>
            </w:pPr>
            <w:r>
              <w:rPr>
                <w:rFonts w:ascii="Times New Roman" w:hAnsi="Times New Roman" w:cs="Times New Roman"/>
                <w:sz w:val="18"/>
                <w:szCs w:val="18"/>
              </w:rPr>
              <w:t>20,00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0,00</w:t>
            </w:r>
          </w:p>
        </w:tc>
        <w:tc>
          <w:tcPr>
            <w:tcW w:w="1418"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20/20</w:t>
            </w:r>
          </w:p>
        </w:tc>
        <w:tc>
          <w:tcPr>
            <w:tcW w:w="1417"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20 (20-20)</w:t>
            </w:r>
          </w:p>
        </w:tc>
        <w:tc>
          <w:tcPr>
            <w:tcW w:w="1701" w:type="dxa"/>
            <w:vMerge/>
            <w:shd w:val="clear" w:color="auto" w:fill="DAEEF3"/>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73"/>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F10F17" w:rsidP="00333800">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 xml:space="preserve">  Pa</w:t>
            </w:r>
          </w:p>
        </w:tc>
        <w:tc>
          <w:tcPr>
            <w:tcW w:w="640" w:type="dxa"/>
            <w:shd w:val="clear" w:color="auto" w:fill="DAEEF3"/>
            <w:vAlign w:val="center"/>
          </w:tcPr>
          <w:p w:rsidR="006E00F6" w:rsidRPr="006E00F6" w:rsidRDefault="00EC5F76" w:rsidP="00507DDD">
            <w:pPr>
              <w:jc w:val="center"/>
              <w:rPr>
                <w:rFonts w:ascii="Times New Roman" w:hAnsi="Times New Roman" w:cs="Times New Roman"/>
                <w:sz w:val="18"/>
                <w:szCs w:val="18"/>
              </w:rPr>
            </w:pPr>
            <w:r>
              <w:rPr>
                <w:rFonts w:ascii="Times New Roman" w:hAnsi="Times New Roman" w:cs="Times New Roman"/>
                <w:sz w:val="18"/>
                <w:szCs w:val="18"/>
              </w:rPr>
              <w:t>13</w:t>
            </w:r>
          </w:p>
        </w:tc>
        <w:tc>
          <w:tcPr>
            <w:tcW w:w="1486" w:type="dxa"/>
            <w:shd w:val="clear" w:color="auto" w:fill="DAEEF3"/>
            <w:vAlign w:val="center"/>
          </w:tcPr>
          <w:p w:rsidR="006E00F6" w:rsidRPr="006E00F6" w:rsidRDefault="00183DD7" w:rsidP="00507DDD">
            <w:pPr>
              <w:jc w:val="center"/>
              <w:rPr>
                <w:rFonts w:ascii="Times New Roman" w:hAnsi="Times New Roman" w:cs="Times New Roman"/>
                <w:sz w:val="18"/>
                <w:szCs w:val="18"/>
              </w:rPr>
            </w:pPr>
            <w:r>
              <w:rPr>
                <w:rFonts w:ascii="Times New Roman" w:hAnsi="Times New Roman" w:cs="Times New Roman"/>
                <w:sz w:val="18"/>
                <w:szCs w:val="18"/>
              </w:rPr>
              <w:t>25,57</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7,09</w:t>
            </w:r>
          </w:p>
        </w:tc>
        <w:tc>
          <w:tcPr>
            <w:tcW w:w="1418"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15/49</w:t>
            </w:r>
          </w:p>
        </w:tc>
        <w:tc>
          <w:tcPr>
            <w:tcW w:w="1417" w:type="dxa"/>
            <w:shd w:val="clear" w:color="auto" w:fill="DAEEF3"/>
            <w:vAlign w:val="center"/>
          </w:tcPr>
          <w:p w:rsidR="006E00F6" w:rsidRPr="006E00F6" w:rsidRDefault="00183DD7"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24 (20-30,4)</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65"/>
        </w:trPr>
        <w:tc>
          <w:tcPr>
            <w:tcW w:w="2415" w:type="dxa"/>
            <w:gridSpan w:val="2"/>
            <w:shd w:val="clear" w:color="auto" w:fill="B6DDE8"/>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bCs/>
                <w:color w:val="000000"/>
                <w:sz w:val="18"/>
                <w:szCs w:val="18"/>
              </w:rPr>
            </w:pPr>
            <w:r w:rsidRPr="006E00F6">
              <w:rPr>
                <w:rFonts w:ascii="Times New Roman" w:hAnsi="Times New Roman" w:cs="Times New Roman"/>
                <w:b/>
                <w:bCs/>
                <w:color w:val="000000"/>
                <w:sz w:val="18"/>
                <w:szCs w:val="18"/>
              </w:rPr>
              <w:t>Вкупно</w:t>
            </w:r>
          </w:p>
        </w:tc>
        <w:tc>
          <w:tcPr>
            <w:tcW w:w="640" w:type="dxa"/>
            <w:shd w:val="clear" w:color="auto" w:fill="B6DDE8"/>
            <w:vAlign w:val="center"/>
          </w:tcPr>
          <w:p w:rsidR="006E00F6" w:rsidRPr="006E00F6" w:rsidRDefault="00183DD7" w:rsidP="00507DDD">
            <w:pPr>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1486" w:type="dxa"/>
            <w:shd w:val="clear" w:color="auto" w:fill="B6DDE8"/>
            <w:vAlign w:val="center"/>
          </w:tcPr>
          <w:p w:rsidR="006E00F6" w:rsidRPr="006E00F6" w:rsidRDefault="00183DD7" w:rsidP="00507DDD">
            <w:pPr>
              <w:jc w:val="center"/>
              <w:rPr>
                <w:rFonts w:ascii="Times New Roman" w:hAnsi="Times New Roman" w:cs="Times New Roman"/>
                <w:color w:val="000000"/>
                <w:sz w:val="18"/>
                <w:szCs w:val="18"/>
              </w:rPr>
            </w:pPr>
            <w:r>
              <w:rPr>
                <w:rFonts w:ascii="Times New Roman" w:hAnsi="Times New Roman" w:cs="Times New Roman"/>
                <w:color w:val="000000"/>
                <w:sz w:val="18"/>
                <w:szCs w:val="18"/>
              </w:rPr>
              <w:t>29,37</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10,64</w:t>
            </w:r>
          </w:p>
        </w:tc>
        <w:tc>
          <w:tcPr>
            <w:tcW w:w="1418" w:type="dxa"/>
            <w:shd w:val="clear" w:color="auto" w:fill="B6DDE8"/>
            <w:vAlign w:val="center"/>
          </w:tcPr>
          <w:p w:rsidR="006E00F6" w:rsidRPr="006E00F6" w:rsidRDefault="00183DD7"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12/56</w:t>
            </w:r>
          </w:p>
        </w:tc>
        <w:tc>
          <w:tcPr>
            <w:tcW w:w="1417" w:type="dxa"/>
            <w:shd w:val="clear" w:color="auto" w:fill="B6DDE8"/>
            <w:vAlign w:val="center"/>
          </w:tcPr>
          <w:p w:rsidR="006E00F6" w:rsidRPr="006E00F6" w:rsidRDefault="00183DD7"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28 (20-35)</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79"/>
        </w:trPr>
        <w:tc>
          <w:tcPr>
            <w:tcW w:w="1281" w:type="dxa"/>
            <w:vMerge w:val="restart"/>
            <w:shd w:val="clear" w:color="auto" w:fill="31849B"/>
            <w:vAlign w:val="center"/>
          </w:tcPr>
          <w:p w:rsidR="006E00F6" w:rsidRPr="006E00F6" w:rsidRDefault="00333800" w:rsidP="00507DDD">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Мал</w:t>
            </w:r>
            <w:r w:rsidR="006E00F6" w:rsidRPr="006E00F6">
              <w:rPr>
                <w:rFonts w:ascii="Times New Roman" w:hAnsi="Times New Roman" w:cs="Times New Roman"/>
                <w:b/>
                <w:color w:val="FFFFFF"/>
                <w:sz w:val="18"/>
                <w:szCs w:val="18"/>
                <w:lang w:eastAsia="en-GB"/>
              </w:rPr>
              <w:t>игни тумори</w:t>
            </w: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AC</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1</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40,00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0,00</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40/40</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40 (40-40)</w:t>
            </w:r>
          </w:p>
        </w:tc>
        <w:tc>
          <w:tcPr>
            <w:tcW w:w="1701" w:type="dxa"/>
            <w:vMerge w:val="restart"/>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w:t>
            </w:r>
          </w:p>
        </w:tc>
      </w:tr>
      <w:tr w:rsidR="006E00F6" w:rsidRPr="006E00F6" w:rsidTr="00D30B89">
        <w:trPr>
          <w:cantSplit/>
          <w:trHeight w:val="269"/>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PC</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2</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37,50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12,02</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29/46</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37,5 (29-46</w:t>
            </w:r>
          </w:p>
        </w:tc>
        <w:tc>
          <w:tcPr>
            <w:tcW w:w="1701" w:type="dxa"/>
            <w:vMerge/>
            <w:shd w:val="clear" w:color="auto" w:fill="DAEEF3"/>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73"/>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MEC</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1</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13,00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0,00</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13/13</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13 (13-13)</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77"/>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CEA</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0</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81"/>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Ly</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1</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63,00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0,00</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53/63</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62 (63-63)</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57"/>
        </w:trPr>
        <w:tc>
          <w:tcPr>
            <w:tcW w:w="1281" w:type="dxa"/>
            <w:vMerge/>
            <w:shd w:val="clear" w:color="auto" w:fill="31849B"/>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color w:val="FFFFFF"/>
                <w:sz w:val="18"/>
                <w:szCs w:val="18"/>
                <w:lang w:eastAsia="en-GB"/>
              </w:rPr>
            </w:pPr>
          </w:p>
        </w:tc>
        <w:tc>
          <w:tcPr>
            <w:tcW w:w="1134" w:type="dxa"/>
            <w:shd w:val="clear" w:color="auto" w:fill="31849B"/>
            <w:vAlign w:val="center"/>
          </w:tcPr>
          <w:p w:rsidR="006E00F6" w:rsidRPr="006E00F6" w:rsidRDefault="00333800" w:rsidP="00333800">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006E00F6" w:rsidRPr="006E00F6">
              <w:rPr>
                <w:rFonts w:ascii="Times New Roman" w:hAnsi="Times New Roman" w:cs="Times New Roman"/>
                <w:b/>
                <w:color w:val="FFFFFF"/>
                <w:sz w:val="18"/>
                <w:szCs w:val="18"/>
                <w:lang w:val="en-US"/>
              </w:rPr>
              <w:t>ACC</w:t>
            </w:r>
          </w:p>
        </w:tc>
        <w:tc>
          <w:tcPr>
            <w:tcW w:w="640"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1</w:t>
            </w:r>
          </w:p>
        </w:tc>
        <w:tc>
          <w:tcPr>
            <w:tcW w:w="1486" w:type="dxa"/>
            <w:shd w:val="clear" w:color="auto" w:fill="DAEEF3"/>
            <w:vAlign w:val="center"/>
          </w:tcPr>
          <w:p w:rsidR="006E00F6" w:rsidRPr="006E00F6" w:rsidRDefault="00370401" w:rsidP="00507DDD">
            <w:pPr>
              <w:jc w:val="center"/>
              <w:rPr>
                <w:rFonts w:ascii="Times New Roman" w:hAnsi="Times New Roman" w:cs="Times New Roman"/>
                <w:sz w:val="18"/>
                <w:szCs w:val="18"/>
              </w:rPr>
            </w:pPr>
            <w:r>
              <w:rPr>
                <w:rFonts w:ascii="Times New Roman" w:hAnsi="Times New Roman" w:cs="Times New Roman"/>
                <w:sz w:val="18"/>
                <w:szCs w:val="18"/>
              </w:rPr>
              <w:t>30,00</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0,00</w:t>
            </w:r>
          </w:p>
        </w:tc>
        <w:tc>
          <w:tcPr>
            <w:tcW w:w="1418"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30/30</w:t>
            </w:r>
          </w:p>
        </w:tc>
        <w:tc>
          <w:tcPr>
            <w:tcW w:w="1417" w:type="dxa"/>
            <w:shd w:val="clear" w:color="auto" w:fill="DAEEF3"/>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30 (30-30)</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D30B89">
        <w:trPr>
          <w:cantSplit/>
          <w:trHeight w:val="265"/>
        </w:trPr>
        <w:tc>
          <w:tcPr>
            <w:tcW w:w="2415" w:type="dxa"/>
            <w:gridSpan w:val="2"/>
            <w:shd w:val="clear" w:color="auto" w:fill="B6DDE8"/>
            <w:vAlign w:val="center"/>
          </w:tcPr>
          <w:p w:rsidR="006E00F6" w:rsidRPr="006E00F6" w:rsidRDefault="006E00F6" w:rsidP="00507DDD">
            <w:pPr>
              <w:autoSpaceDE w:val="0"/>
              <w:autoSpaceDN w:val="0"/>
              <w:adjustRightInd w:val="0"/>
              <w:ind w:left="62" w:right="62"/>
              <w:jc w:val="center"/>
              <w:rPr>
                <w:rFonts w:ascii="Times New Roman" w:hAnsi="Times New Roman" w:cs="Times New Roman"/>
                <w:b/>
                <w:bCs/>
                <w:color w:val="000000"/>
                <w:sz w:val="18"/>
                <w:szCs w:val="18"/>
              </w:rPr>
            </w:pPr>
            <w:r w:rsidRPr="006E00F6">
              <w:rPr>
                <w:rFonts w:ascii="Times New Roman" w:hAnsi="Times New Roman" w:cs="Times New Roman"/>
                <w:b/>
                <w:bCs/>
                <w:color w:val="000000"/>
                <w:sz w:val="18"/>
                <w:szCs w:val="18"/>
              </w:rPr>
              <w:t>Вкупно</w:t>
            </w:r>
          </w:p>
        </w:tc>
        <w:tc>
          <w:tcPr>
            <w:tcW w:w="640" w:type="dxa"/>
            <w:shd w:val="clear" w:color="auto" w:fill="B6DDE8"/>
            <w:vAlign w:val="center"/>
          </w:tcPr>
          <w:p w:rsidR="006E00F6" w:rsidRPr="006E00F6" w:rsidRDefault="00370401" w:rsidP="00507DDD">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p>
        </w:tc>
        <w:tc>
          <w:tcPr>
            <w:tcW w:w="1486" w:type="dxa"/>
            <w:shd w:val="clear" w:color="auto" w:fill="B6DDE8"/>
            <w:vAlign w:val="center"/>
          </w:tcPr>
          <w:p w:rsidR="006E00F6" w:rsidRPr="006E00F6" w:rsidRDefault="00370401" w:rsidP="00507DDD">
            <w:pPr>
              <w:jc w:val="center"/>
              <w:rPr>
                <w:rFonts w:ascii="Times New Roman" w:hAnsi="Times New Roman" w:cs="Times New Roman"/>
                <w:color w:val="000000"/>
                <w:sz w:val="18"/>
                <w:szCs w:val="18"/>
              </w:rPr>
            </w:pPr>
            <w:r>
              <w:rPr>
                <w:rFonts w:ascii="Times New Roman" w:hAnsi="Times New Roman" w:cs="Times New Roman"/>
                <w:color w:val="000000"/>
                <w:sz w:val="18"/>
                <w:szCs w:val="18"/>
              </w:rPr>
              <w:t>26,83</w:t>
            </w:r>
            <w:r w:rsidRPr="006E00F6">
              <w:rPr>
                <w:rFonts w:ascii="Times New Roman" w:hAnsi="Times New Roman" w:cs="Times New Roman"/>
                <w:color w:val="000000"/>
                <w:sz w:val="18"/>
                <w:szCs w:val="18"/>
              </w:rPr>
              <w:t>±</w:t>
            </w:r>
            <w:r>
              <w:rPr>
                <w:rFonts w:ascii="Times New Roman" w:hAnsi="Times New Roman" w:cs="Times New Roman"/>
                <w:color w:val="000000"/>
                <w:sz w:val="18"/>
                <w:szCs w:val="18"/>
              </w:rPr>
              <w:t>17,06</w:t>
            </w:r>
          </w:p>
        </w:tc>
        <w:tc>
          <w:tcPr>
            <w:tcW w:w="1418" w:type="dxa"/>
            <w:shd w:val="clear" w:color="auto" w:fill="B6DDE8"/>
            <w:vAlign w:val="center"/>
          </w:tcPr>
          <w:p w:rsidR="006E00F6" w:rsidRPr="006E00F6" w:rsidRDefault="00370401" w:rsidP="00507DDD">
            <w:pPr>
              <w:autoSpaceDE w:val="0"/>
              <w:autoSpaceDN w:val="0"/>
              <w:adjustRightInd w:val="0"/>
              <w:ind w:left="62" w:right="62"/>
              <w:jc w:val="center"/>
              <w:rPr>
                <w:rFonts w:ascii="Times New Roman" w:hAnsi="Times New Roman" w:cs="Times New Roman"/>
                <w:color w:val="000000"/>
                <w:sz w:val="18"/>
                <w:szCs w:val="18"/>
                <w:lang w:eastAsia="mk-MK"/>
              </w:rPr>
            </w:pPr>
            <w:r>
              <w:rPr>
                <w:rFonts w:ascii="Times New Roman" w:hAnsi="Times New Roman" w:cs="Times New Roman"/>
                <w:color w:val="000000"/>
                <w:sz w:val="18"/>
                <w:szCs w:val="18"/>
                <w:lang w:eastAsia="mk-MK"/>
              </w:rPr>
              <w:t>13/63</w:t>
            </w:r>
          </w:p>
        </w:tc>
        <w:tc>
          <w:tcPr>
            <w:tcW w:w="1417" w:type="dxa"/>
            <w:shd w:val="clear" w:color="auto" w:fill="B6DDE8"/>
            <w:vAlign w:val="center"/>
          </w:tcPr>
          <w:p w:rsidR="006E00F6" w:rsidRPr="006E00F6" w:rsidRDefault="00370401" w:rsidP="00507DDD">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35 (29-45)</w:t>
            </w:r>
          </w:p>
        </w:tc>
        <w:tc>
          <w:tcPr>
            <w:tcW w:w="1701" w:type="dxa"/>
            <w:vMerge/>
            <w:shd w:val="clear" w:color="auto" w:fill="F2DBDB"/>
          </w:tcPr>
          <w:p w:rsidR="006E00F6" w:rsidRPr="006E00F6" w:rsidRDefault="006E00F6" w:rsidP="00507DDD">
            <w:pPr>
              <w:autoSpaceDE w:val="0"/>
              <w:autoSpaceDN w:val="0"/>
              <w:adjustRightInd w:val="0"/>
              <w:ind w:left="62" w:right="62"/>
              <w:jc w:val="center"/>
              <w:rPr>
                <w:rFonts w:ascii="Times New Roman" w:hAnsi="Times New Roman" w:cs="Times New Roman"/>
                <w:bCs/>
                <w:color w:val="000000"/>
                <w:sz w:val="18"/>
                <w:szCs w:val="18"/>
              </w:rPr>
            </w:pPr>
          </w:p>
        </w:tc>
      </w:tr>
      <w:tr w:rsidR="006E00F6" w:rsidRPr="006E00F6" w:rsidTr="007421D1">
        <w:trPr>
          <w:cantSplit/>
          <w:trHeight w:val="1131"/>
        </w:trPr>
        <w:tc>
          <w:tcPr>
            <w:tcW w:w="9077" w:type="dxa"/>
            <w:gridSpan w:val="7"/>
            <w:shd w:val="clear" w:color="auto" w:fill="31849B"/>
            <w:vAlign w:val="center"/>
          </w:tcPr>
          <w:p w:rsidR="007421D1" w:rsidRPr="007421D1" w:rsidRDefault="007421D1" w:rsidP="007421D1">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WT</w:t>
            </w:r>
            <w:r w:rsidRPr="007421D1">
              <w:rPr>
                <w:rFonts w:ascii="Times New Roman" w:hAnsi="Times New Roman" w:cs="Times New Roman"/>
                <w:color w:val="FFFFFF"/>
                <w:sz w:val="18"/>
                <w:szCs w:val="18"/>
              </w:rPr>
              <w:t xml:space="preserve"> - Warthin  </w:t>
            </w:r>
            <w:r w:rsidRPr="00A926CA">
              <w:rPr>
                <w:rFonts w:ascii="Times New Roman" w:hAnsi="Times New Roman" w:cs="Times New Roman"/>
                <w:color w:val="FFFFFF"/>
                <w:sz w:val="18"/>
                <w:szCs w:val="18"/>
              </w:rPr>
              <w:t>Tu</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BA</w:t>
            </w:r>
            <w:r w:rsidRPr="007421D1">
              <w:rPr>
                <w:rFonts w:ascii="Times New Roman" w:hAnsi="Times New Roman" w:cs="Times New Roman"/>
                <w:color w:val="FFFFFF"/>
                <w:sz w:val="18"/>
                <w:szCs w:val="18"/>
              </w:rPr>
              <w:t xml:space="preserve"> - Basal cell adenoma; </w:t>
            </w:r>
            <w:r w:rsidRPr="00A926CA">
              <w:rPr>
                <w:rFonts w:ascii="Times New Roman" w:hAnsi="Times New Roman" w:cs="Times New Roman"/>
                <w:color w:val="FFFFFF"/>
                <w:sz w:val="18"/>
                <w:szCs w:val="18"/>
              </w:rPr>
              <w:t>Pa</w:t>
            </w:r>
            <w:r w:rsidRPr="007421D1">
              <w:rPr>
                <w:rFonts w:ascii="Times New Roman" w:hAnsi="Times New Roman" w:cs="Times New Roman"/>
                <w:color w:val="FFFFFF"/>
                <w:sz w:val="18"/>
                <w:szCs w:val="18"/>
              </w:rPr>
              <w:t xml:space="preserve"> - Tu mixtus; </w:t>
            </w:r>
            <w:r w:rsidRPr="00A926CA">
              <w:rPr>
                <w:rFonts w:ascii="Times New Roman" w:hAnsi="Times New Roman" w:cs="Times New Roman"/>
                <w:color w:val="FFFFFF"/>
                <w:sz w:val="18"/>
                <w:szCs w:val="18"/>
              </w:rPr>
              <w:t>AC</w:t>
            </w:r>
            <w:r w:rsidRPr="007421D1">
              <w:rPr>
                <w:rFonts w:ascii="Times New Roman" w:hAnsi="Times New Roman" w:cs="Times New Roman"/>
                <w:color w:val="FFFFFF"/>
                <w:sz w:val="18"/>
                <w:szCs w:val="18"/>
              </w:rPr>
              <w:t xml:space="preserve"> - Adenocarcinoma gl. parotis; </w:t>
            </w:r>
            <w:r w:rsidRPr="00A926CA">
              <w:rPr>
                <w:rFonts w:ascii="Times New Roman" w:hAnsi="Times New Roman" w:cs="Times New Roman"/>
                <w:color w:val="FFFFFF"/>
                <w:sz w:val="18"/>
                <w:szCs w:val="18"/>
              </w:rPr>
              <w:t xml:space="preserve">PC </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P</w:t>
            </w:r>
            <w:r w:rsidRPr="007421D1">
              <w:rPr>
                <w:rFonts w:ascii="Times New Roman" w:hAnsi="Times New Roman" w:cs="Times New Roman"/>
                <w:color w:val="FFFFFF"/>
                <w:sz w:val="18"/>
                <w:szCs w:val="18"/>
              </w:rPr>
              <w:t>lanocellular</w:t>
            </w:r>
            <w:r w:rsidRPr="00A926CA">
              <w:rPr>
                <w:rFonts w:ascii="Times New Roman" w:hAnsi="Times New Roman" w:cs="Times New Roman"/>
                <w:color w:val="FFFFFF"/>
                <w:sz w:val="18"/>
                <w:szCs w:val="18"/>
              </w:rPr>
              <w:t xml:space="preserve"> Ca</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w:t>
            </w:r>
          </w:p>
          <w:p w:rsidR="007421D1" w:rsidRPr="007421D1" w:rsidRDefault="007421D1" w:rsidP="007421D1">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MEC</w:t>
            </w:r>
            <w:r w:rsidRPr="007421D1">
              <w:rPr>
                <w:rFonts w:ascii="Times New Roman" w:hAnsi="Times New Roman" w:cs="Times New Roman"/>
                <w:color w:val="FFFFFF"/>
                <w:sz w:val="18"/>
                <w:szCs w:val="18"/>
              </w:rPr>
              <w:t xml:space="preserve"> - Mucoepidermoid carcinoma gl. </w:t>
            </w:r>
            <w:r w:rsidRPr="00A926CA">
              <w:rPr>
                <w:rFonts w:ascii="Times New Roman" w:hAnsi="Times New Roman" w:cs="Times New Roman"/>
                <w:color w:val="FFFFFF"/>
                <w:sz w:val="18"/>
                <w:szCs w:val="18"/>
              </w:rPr>
              <w:t>p</w:t>
            </w:r>
            <w:r w:rsidRPr="007421D1">
              <w:rPr>
                <w:rFonts w:ascii="Times New Roman" w:hAnsi="Times New Roman" w:cs="Times New Roman"/>
                <w:color w:val="FFFFFF"/>
                <w:sz w:val="18"/>
                <w:szCs w:val="18"/>
              </w:rPr>
              <w:t xml:space="preserve">arotis; </w:t>
            </w:r>
            <w:r w:rsidRPr="00A926CA">
              <w:rPr>
                <w:rFonts w:ascii="Times New Roman" w:hAnsi="Times New Roman" w:cs="Times New Roman"/>
                <w:color w:val="FFFFFF"/>
                <w:sz w:val="18"/>
                <w:szCs w:val="18"/>
              </w:rPr>
              <w:t>CEA</w:t>
            </w:r>
            <w:r w:rsidRPr="007421D1">
              <w:rPr>
                <w:rFonts w:ascii="Times New Roman" w:hAnsi="Times New Roman" w:cs="Times New Roman"/>
                <w:color w:val="FFFFFF"/>
                <w:sz w:val="18"/>
                <w:szCs w:val="18"/>
              </w:rPr>
              <w:t xml:space="preserve"> - Carcinoma ex pleomorphic adenoma; </w:t>
            </w:r>
            <w:r w:rsidRPr="00A926CA">
              <w:rPr>
                <w:rFonts w:ascii="Times New Roman" w:hAnsi="Times New Roman" w:cs="Times New Roman"/>
                <w:color w:val="FFFFFF"/>
                <w:sz w:val="18"/>
                <w:szCs w:val="18"/>
              </w:rPr>
              <w:t xml:space="preserve"> </w:t>
            </w:r>
          </w:p>
          <w:p w:rsidR="007421D1" w:rsidRPr="007421D1" w:rsidRDefault="007421D1" w:rsidP="007421D1">
            <w:pPr>
              <w:spacing w:line="276" w:lineRule="auto"/>
              <w:jc w:val="center"/>
              <w:rPr>
                <w:rFonts w:ascii="Times New Roman" w:hAnsi="Times New Roman" w:cs="Times New Roman"/>
                <w:color w:val="FFFFFF"/>
                <w:sz w:val="18"/>
                <w:szCs w:val="18"/>
                <w:highlight w:val="yellow"/>
              </w:rPr>
            </w:pPr>
            <w:r w:rsidRPr="007421D1">
              <w:rPr>
                <w:rFonts w:ascii="Times New Roman" w:hAnsi="Times New Roman" w:cs="Times New Roman"/>
                <w:color w:val="FFFFFF"/>
                <w:sz w:val="18"/>
                <w:szCs w:val="18"/>
                <w:lang w:val="en-US"/>
              </w:rPr>
              <w:t>Ly</w:t>
            </w:r>
            <w:r w:rsidRPr="007421D1">
              <w:rPr>
                <w:rFonts w:ascii="Times New Roman" w:hAnsi="Times New Roman" w:cs="Times New Roman"/>
                <w:color w:val="FFFFFF"/>
                <w:sz w:val="18"/>
                <w:szCs w:val="18"/>
              </w:rPr>
              <w:t xml:space="preserve"> – Lymphoma; </w:t>
            </w:r>
            <w:r w:rsidRPr="007421D1">
              <w:rPr>
                <w:rFonts w:ascii="Times New Roman" w:hAnsi="Times New Roman" w:cs="Times New Roman"/>
                <w:color w:val="FFFFFF"/>
                <w:sz w:val="18"/>
                <w:szCs w:val="18"/>
                <w:lang w:val="en-US"/>
              </w:rPr>
              <w:t xml:space="preserve"> ACC</w:t>
            </w:r>
            <w:r w:rsidRPr="007421D1">
              <w:rPr>
                <w:rFonts w:ascii="Times New Roman" w:hAnsi="Times New Roman" w:cs="Times New Roman"/>
                <w:color w:val="FFFFFF"/>
                <w:sz w:val="18"/>
                <w:szCs w:val="18"/>
              </w:rPr>
              <w:t xml:space="preserve"> - Acinic cell carcinoma;</w:t>
            </w:r>
          </w:p>
          <w:p w:rsidR="006E00F6" w:rsidRPr="006E00F6" w:rsidRDefault="003C000F" w:rsidP="00507DDD">
            <w:pPr>
              <w:jc w:val="center"/>
              <w:rPr>
                <w:rFonts w:ascii="Times New Roman" w:hAnsi="Times New Roman" w:cs="Times New Roman"/>
                <w:sz w:val="18"/>
                <w:szCs w:val="18"/>
                <w:lang w:val="en-US"/>
              </w:rPr>
            </w:pPr>
            <w:r w:rsidRPr="00437954">
              <w:rPr>
                <w:rFonts w:ascii="Times New Roman" w:hAnsi="Times New Roman" w:cs="Times New Roman"/>
                <w:color w:val="FFFFFF"/>
                <w:sz w:val="18"/>
                <w:szCs w:val="18"/>
              </w:rPr>
              <w:t>Z=Mann-Whitney U Test</w:t>
            </w:r>
            <w:r w:rsidRPr="00437954">
              <w:rPr>
                <w:rFonts w:ascii="Times New Roman" w:hAnsi="Times New Roman" w:cs="Times New Roman"/>
                <w:color w:val="FFFFFF"/>
                <w:sz w:val="18"/>
                <w:szCs w:val="18"/>
                <w:lang w:val="en-US"/>
              </w:rPr>
              <w:t>;</w:t>
            </w:r>
            <w:r w:rsidRPr="00A926CA">
              <w:rPr>
                <w:rFonts w:ascii="Times New Roman" w:hAnsi="Times New Roman" w:cs="Times New Roman"/>
                <w:b/>
                <w:color w:val="FFFFFF"/>
                <w:sz w:val="18"/>
                <w:szCs w:val="18"/>
                <w:lang w:val="en-US" w:eastAsia="mk-MK"/>
              </w:rPr>
              <w:t xml:space="preserve"> </w:t>
            </w:r>
            <w:r w:rsidRPr="00437954">
              <w:rPr>
                <w:rFonts w:ascii="Times New Roman" w:hAnsi="Times New Roman" w:cs="Times New Roman"/>
                <w:b/>
                <w:color w:val="FFFFFF"/>
                <w:sz w:val="18"/>
                <w:szCs w:val="18"/>
                <w:lang w:val="en-US" w:eastAsia="mk-MK"/>
              </w:rPr>
              <w:t xml:space="preserve">          </w:t>
            </w:r>
            <w:r w:rsidR="006E00F6" w:rsidRPr="007421D1">
              <w:rPr>
                <w:rFonts w:ascii="Times New Roman" w:hAnsi="Times New Roman" w:cs="Times New Roman"/>
                <w:color w:val="FFFFFF"/>
                <w:sz w:val="18"/>
                <w:szCs w:val="18"/>
              </w:rPr>
              <w:t>X</w:t>
            </w:r>
            <w:r w:rsidR="006E00F6" w:rsidRPr="007421D1">
              <w:rPr>
                <w:rFonts w:ascii="Times New Roman" w:hAnsi="Times New Roman" w:cs="Times New Roman"/>
                <w:color w:val="FFFFFF"/>
                <w:sz w:val="18"/>
                <w:szCs w:val="18"/>
                <w:vertAlign w:val="superscript"/>
              </w:rPr>
              <w:t>2</w:t>
            </w:r>
            <w:r w:rsidR="006E00F6" w:rsidRPr="007421D1">
              <w:rPr>
                <w:rFonts w:ascii="Times New Roman" w:hAnsi="Times New Roman" w:cs="Times New Roman"/>
                <w:color w:val="FFFFFF"/>
                <w:sz w:val="18"/>
                <w:szCs w:val="18"/>
              </w:rPr>
              <w:t>=</w:t>
            </w:r>
            <w:r w:rsidR="006E00F6" w:rsidRPr="007421D1">
              <w:rPr>
                <w:rFonts w:ascii="Times New Roman" w:hAnsi="Times New Roman"/>
                <w:color w:val="FFFFFF"/>
                <w:sz w:val="18"/>
                <w:szCs w:val="18"/>
              </w:rPr>
              <w:t xml:space="preserve">Kruskal-Wallis </w:t>
            </w:r>
            <w:r w:rsidR="006E00F6" w:rsidRPr="007421D1">
              <w:rPr>
                <w:rFonts w:ascii="Times New Roman" w:hAnsi="Times New Roman"/>
                <w:color w:val="FFFFFF"/>
                <w:sz w:val="18"/>
                <w:szCs w:val="18"/>
                <w:lang w:val="en-US"/>
              </w:rPr>
              <w:t xml:space="preserve">H </w:t>
            </w:r>
            <w:r w:rsidR="006E00F6" w:rsidRPr="007421D1">
              <w:rPr>
                <w:rFonts w:ascii="Times New Roman" w:hAnsi="Times New Roman"/>
                <w:color w:val="FFFFFF"/>
                <w:sz w:val="18"/>
                <w:szCs w:val="18"/>
              </w:rPr>
              <w:t>test</w:t>
            </w:r>
            <w:r w:rsidR="006E00F6" w:rsidRPr="007421D1">
              <w:rPr>
                <w:rFonts w:ascii="Times New Roman" w:hAnsi="Times New Roman"/>
                <w:color w:val="FFFFFF"/>
                <w:sz w:val="18"/>
                <w:szCs w:val="18"/>
                <w:lang w:val="en-US"/>
              </w:rPr>
              <w:t xml:space="preserve">; </w:t>
            </w:r>
            <w:r w:rsidR="006E00F6" w:rsidRPr="007421D1">
              <w:rPr>
                <w:rFonts w:ascii="Times New Roman" w:hAnsi="Times New Roman" w:cs="Times New Roman"/>
                <w:color w:val="FFFFFF"/>
                <w:sz w:val="18"/>
                <w:szCs w:val="18"/>
              </w:rPr>
              <w:t xml:space="preserve"> </w:t>
            </w:r>
            <w:r>
              <w:rPr>
                <w:rFonts w:ascii="Times New Roman" w:hAnsi="Times New Roman" w:cs="Times New Roman"/>
                <w:color w:val="FFFFFF"/>
                <w:sz w:val="18"/>
                <w:szCs w:val="18"/>
              </w:rPr>
              <w:t xml:space="preserve">           </w:t>
            </w:r>
            <w:r w:rsidR="006E00F6" w:rsidRPr="007421D1">
              <w:rPr>
                <w:rFonts w:ascii="Times New Roman" w:hAnsi="Times New Roman" w:cs="Times New Roman"/>
                <w:color w:val="FFFFFF"/>
                <w:sz w:val="18"/>
                <w:szCs w:val="18"/>
              </w:rPr>
              <w:t xml:space="preserve">*сигнификантно за </w:t>
            </w:r>
            <w:r w:rsidR="006E00F6" w:rsidRPr="007421D1">
              <w:rPr>
                <w:rFonts w:ascii="Times New Roman" w:hAnsi="Times New Roman" w:cs="Times New Roman"/>
                <w:color w:val="FFFFFF"/>
                <w:sz w:val="18"/>
                <w:szCs w:val="18"/>
                <w:lang w:val="it-IT"/>
              </w:rPr>
              <w:t>p</w:t>
            </w:r>
            <w:r w:rsidR="006E00F6" w:rsidRPr="00A926CA">
              <w:rPr>
                <w:rFonts w:ascii="Times New Roman" w:hAnsi="Times New Roman" w:cs="Times New Roman"/>
                <w:color w:val="FFFFFF"/>
                <w:sz w:val="18"/>
                <w:szCs w:val="18"/>
                <w:lang w:val="en-US"/>
              </w:rPr>
              <w:t>&lt;0,05</w:t>
            </w:r>
          </w:p>
        </w:tc>
      </w:tr>
    </w:tbl>
    <w:p w:rsidR="006E00F6" w:rsidRDefault="006E00F6" w:rsidP="006E00F6">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811956" w:rsidRDefault="00811956" w:rsidP="008B71B4">
      <w:pPr>
        <w:rPr>
          <w:rFonts w:ascii="Times New Roman" w:hAnsi="Times New Roman" w:cs="Times New Roman"/>
          <w:sz w:val="24"/>
          <w:szCs w:val="24"/>
        </w:rPr>
      </w:pPr>
    </w:p>
    <w:p w:rsidR="00E67E2D" w:rsidRPr="00E67E2D" w:rsidRDefault="00F10F17" w:rsidP="00D36D75">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Анализа на тип на бенигни тумори и димензии –</w:t>
      </w:r>
      <w:r w:rsidRPr="00E67E2D">
        <w:rPr>
          <w:rFonts w:ascii="Times New Roman" w:hAnsi="Times New Roman" w:cs="Times New Roman"/>
          <w:b/>
          <w:color w:val="215868"/>
          <w:sz w:val="24"/>
          <w:szCs w:val="24"/>
        </w:rPr>
        <w:t xml:space="preserve"> </w:t>
      </w:r>
      <w:r w:rsidRPr="00E67E2D">
        <w:rPr>
          <w:rFonts w:ascii="Times New Roman" w:hAnsi="Times New Roman" w:cs="Times New Roman"/>
          <w:color w:val="000000"/>
          <w:sz w:val="24"/>
          <w:szCs w:val="24"/>
        </w:rPr>
        <w:t xml:space="preserve">Од трите анализирани </w:t>
      </w:r>
      <w:r w:rsidRPr="007B30AF">
        <w:rPr>
          <w:rFonts w:ascii="Times New Roman" w:hAnsi="Times New Roman" w:cs="Times New Roman"/>
          <w:color w:val="000000"/>
          <w:sz w:val="24"/>
          <w:szCs w:val="24"/>
        </w:rPr>
        <w:t>типови на бенигни тумори во испитувана група (WT, BA, Pa) најголема просечна димензија беше согледана кај WT</w:t>
      </w:r>
      <w:r w:rsidRPr="00A926CA">
        <w:rPr>
          <w:rFonts w:ascii="Times New Roman" w:hAnsi="Times New Roman" w:cs="Times New Roman"/>
          <w:color w:val="000000"/>
          <w:sz w:val="24"/>
          <w:szCs w:val="24"/>
          <w:lang w:val="ru-RU"/>
        </w:rPr>
        <w:t xml:space="preserve"> </w:t>
      </w:r>
      <w:r w:rsidRPr="007B30AF">
        <w:rPr>
          <w:rFonts w:ascii="Times New Roman" w:hAnsi="Times New Roman" w:cs="Times New Roman"/>
          <w:color w:val="000000"/>
          <w:sz w:val="24"/>
          <w:szCs w:val="24"/>
        </w:rPr>
        <w:t xml:space="preserve">и тоа </w:t>
      </w:r>
      <w:r w:rsidRPr="007B30AF">
        <w:rPr>
          <w:rFonts w:ascii="Times New Roman" w:hAnsi="Times New Roman" w:cs="Times New Roman"/>
          <w:sz w:val="24"/>
          <w:szCs w:val="24"/>
        </w:rPr>
        <w:t>32,47</w:t>
      </w:r>
      <w:r w:rsidRPr="007B30AF">
        <w:rPr>
          <w:rFonts w:ascii="Times New Roman" w:hAnsi="Times New Roman" w:cs="Times New Roman"/>
          <w:color w:val="000000"/>
          <w:sz w:val="24"/>
          <w:szCs w:val="24"/>
        </w:rPr>
        <w:t xml:space="preserve">±11,92мм, со минимум/ максимум </w:t>
      </w:r>
      <w:r w:rsidRPr="007B30AF">
        <w:rPr>
          <w:rFonts w:ascii="Times New Roman" w:hAnsi="Times New Roman" w:cs="Times New Roman"/>
          <w:color w:val="000000"/>
          <w:sz w:val="24"/>
          <w:szCs w:val="24"/>
          <w:lang w:eastAsia="mk-MK"/>
        </w:rPr>
        <w:t xml:space="preserve">12/56мм и 50% на пациенти со димензии на тумотот </w:t>
      </w:r>
      <w:r w:rsidRPr="007B30AF">
        <w:rPr>
          <w:rFonts w:ascii="Times New Roman" w:hAnsi="Times New Roman" w:cs="Times New Roman"/>
          <w:color w:val="000000"/>
          <w:sz w:val="24"/>
          <w:szCs w:val="24"/>
        </w:rPr>
        <w:t xml:space="preserve">≤29мм за </w:t>
      </w:r>
      <w:r w:rsidRPr="007B30AF">
        <w:rPr>
          <w:rFonts w:ascii="Times New Roman" w:hAnsi="Times New Roman" w:cs="Times New Roman"/>
          <w:color w:val="000000"/>
          <w:sz w:val="24"/>
          <w:szCs w:val="24"/>
          <w:lang w:val="en-US"/>
        </w:rPr>
        <w:t>Median</w:t>
      </w:r>
      <w:r w:rsidRPr="00A926CA">
        <w:rPr>
          <w:rFonts w:ascii="Times New Roman" w:hAnsi="Times New Roman" w:cs="Times New Roman"/>
          <w:color w:val="000000"/>
          <w:sz w:val="24"/>
          <w:szCs w:val="24"/>
          <w:lang w:val="ru-RU"/>
        </w:rPr>
        <w:t xml:space="preserve"> </w:t>
      </w:r>
      <w:r w:rsidRPr="007B30AF">
        <w:rPr>
          <w:rFonts w:ascii="Times New Roman" w:hAnsi="Times New Roman" w:cs="Times New Roman"/>
          <w:color w:val="000000"/>
          <w:sz w:val="24"/>
          <w:szCs w:val="24"/>
          <w:lang w:val="en-US"/>
        </w:rPr>
        <w:t>IQR</w:t>
      </w:r>
      <w:r w:rsidRPr="00A926CA">
        <w:rPr>
          <w:rFonts w:ascii="Times New Roman" w:hAnsi="Times New Roman" w:cs="Times New Roman"/>
          <w:color w:val="000000"/>
          <w:sz w:val="24"/>
          <w:szCs w:val="24"/>
          <w:lang w:val="ru-RU"/>
        </w:rPr>
        <w:t>=</w:t>
      </w:r>
      <w:r w:rsidRPr="007B30AF">
        <w:rPr>
          <w:rFonts w:ascii="Times New Roman" w:hAnsi="Times New Roman" w:cs="Times New Roman"/>
          <w:bCs/>
          <w:color w:val="000000"/>
          <w:sz w:val="24"/>
          <w:szCs w:val="24"/>
        </w:rPr>
        <w:t>29 (24-40</w:t>
      </w:r>
      <w:r w:rsidR="00E67E2D" w:rsidRPr="007B30AF">
        <w:rPr>
          <w:rFonts w:ascii="Times New Roman" w:hAnsi="Times New Roman" w:cs="Times New Roman"/>
          <w:bCs/>
          <w:color w:val="000000"/>
          <w:sz w:val="24"/>
          <w:szCs w:val="24"/>
        </w:rPr>
        <w:t>)</w:t>
      </w:r>
      <w:r w:rsidRPr="007B30AF">
        <w:rPr>
          <w:rFonts w:ascii="Times New Roman" w:hAnsi="Times New Roman" w:cs="Times New Roman"/>
          <w:bCs/>
          <w:color w:val="000000"/>
          <w:sz w:val="24"/>
          <w:szCs w:val="24"/>
        </w:rPr>
        <w:t xml:space="preserve">. Со најмала просечна димензија беше </w:t>
      </w:r>
      <w:r w:rsidR="00E67E2D" w:rsidRPr="007B30AF">
        <w:rPr>
          <w:rFonts w:ascii="Times New Roman" w:hAnsi="Times New Roman" w:cs="Times New Roman"/>
          <w:color w:val="000000"/>
          <w:sz w:val="24"/>
          <w:szCs w:val="24"/>
        </w:rPr>
        <w:t>BA</w:t>
      </w:r>
      <w:r w:rsidRPr="007B30AF">
        <w:rPr>
          <w:rFonts w:ascii="Times New Roman" w:hAnsi="Times New Roman" w:cs="Times New Roman"/>
          <w:bCs/>
          <w:color w:val="000000"/>
          <w:sz w:val="24"/>
          <w:szCs w:val="24"/>
        </w:rPr>
        <w:t xml:space="preserve"> </w:t>
      </w:r>
      <w:r w:rsidR="00E67E2D" w:rsidRPr="007B30AF">
        <w:rPr>
          <w:rFonts w:ascii="Times New Roman" w:hAnsi="Times New Roman" w:cs="Times New Roman"/>
          <w:bCs/>
          <w:color w:val="000000"/>
          <w:sz w:val="24"/>
          <w:szCs w:val="24"/>
        </w:rPr>
        <w:t xml:space="preserve">и тоа </w:t>
      </w:r>
      <w:r w:rsidR="00E67E2D" w:rsidRPr="007B30AF">
        <w:rPr>
          <w:rFonts w:ascii="Times New Roman" w:hAnsi="Times New Roman" w:cs="Times New Roman"/>
          <w:sz w:val="24"/>
          <w:szCs w:val="24"/>
        </w:rPr>
        <w:t>20,00</w:t>
      </w:r>
      <w:r w:rsidR="00E67E2D" w:rsidRPr="007B30AF">
        <w:rPr>
          <w:rFonts w:ascii="Times New Roman" w:hAnsi="Times New Roman" w:cs="Times New Roman"/>
          <w:color w:val="000000"/>
          <w:sz w:val="24"/>
          <w:szCs w:val="24"/>
        </w:rPr>
        <w:t xml:space="preserve">±0,00мм, со минимум/ максимум </w:t>
      </w:r>
      <w:r w:rsidR="00E67E2D" w:rsidRPr="007B30AF">
        <w:rPr>
          <w:rFonts w:ascii="Times New Roman" w:hAnsi="Times New Roman" w:cs="Times New Roman"/>
          <w:color w:val="000000"/>
          <w:sz w:val="24"/>
          <w:szCs w:val="24"/>
          <w:lang w:eastAsia="mk-MK"/>
        </w:rPr>
        <w:t xml:space="preserve">20/20мм и 50% на пациенти со димензии на тумотот </w:t>
      </w:r>
      <w:r w:rsidR="00E67E2D" w:rsidRPr="007B30AF">
        <w:rPr>
          <w:rFonts w:ascii="Times New Roman" w:hAnsi="Times New Roman" w:cs="Times New Roman"/>
          <w:color w:val="000000"/>
          <w:sz w:val="24"/>
          <w:szCs w:val="24"/>
        </w:rPr>
        <w:t xml:space="preserve">≤20мм за </w:t>
      </w:r>
      <w:r w:rsidR="00E67E2D" w:rsidRPr="007B30AF">
        <w:rPr>
          <w:rFonts w:ascii="Times New Roman" w:hAnsi="Times New Roman" w:cs="Times New Roman"/>
          <w:color w:val="000000"/>
          <w:sz w:val="24"/>
          <w:szCs w:val="24"/>
          <w:lang w:val="en-US"/>
        </w:rPr>
        <w:t>Median</w:t>
      </w:r>
      <w:r w:rsidR="00E67E2D" w:rsidRPr="00A926CA">
        <w:rPr>
          <w:rFonts w:ascii="Times New Roman" w:hAnsi="Times New Roman" w:cs="Times New Roman"/>
          <w:color w:val="000000"/>
          <w:sz w:val="24"/>
          <w:szCs w:val="24"/>
          <w:lang w:val="ru-RU"/>
        </w:rPr>
        <w:t xml:space="preserve"> </w:t>
      </w:r>
      <w:r w:rsidR="00E67E2D" w:rsidRPr="007B30AF">
        <w:rPr>
          <w:rFonts w:ascii="Times New Roman" w:hAnsi="Times New Roman" w:cs="Times New Roman"/>
          <w:color w:val="000000"/>
          <w:sz w:val="24"/>
          <w:szCs w:val="24"/>
          <w:lang w:val="en-US"/>
        </w:rPr>
        <w:t>IQR</w:t>
      </w:r>
      <w:r w:rsidR="00E67E2D" w:rsidRPr="00A926CA">
        <w:rPr>
          <w:rFonts w:ascii="Times New Roman" w:hAnsi="Times New Roman" w:cs="Times New Roman"/>
          <w:color w:val="000000"/>
          <w:sz w:val="24"/>
          <w:szCs w:val="24"/>
          <w:lang w:val="ru-RU"/>
        </w:rPr>
        <w:t>=</w:t>
      </w:r>
      <w:r w:rsidR="00E67E2D" w:rsidRPr="007B30AF">
        <w:rPr>
          <w:rFonts w:ascii="Times New Roman" w:hAnsi="Times New Roman" w:cs="Times New Roman"/>
          <w:bCs/>
          <w:color w:val="000000"/>
          <w:sz w:val="24"/>
          <w:szCs w:val="24"/>
        </w:rPr>
        <w:t>20 (20-20).</w:t>
      </w:r>
      <w:r w:rsidR="00E67E2D" w:rsidRPr="007B30AF">
        <w:rPr>
          <w:rFonts w:ascii="Times New Roman" w:hAnsi="Times New Roman" w:cs="Times New Roman"/>
          <w:color w:val="000000"/>
          <w:sz w:val="24"/>
          <w:szCs w:val="24"/>
        </w:rPr>
        <w:t xml:space="preserve"> За p</w:t>
      </w:r>
      <w:r w:rsidR="00E67E2D" w:rsidRPr="00A926CA">
        <w:rPr>
          <w:rFonts w:ascii="Times New Roman" w:hAnsi="Times New Roman" w:cs="Times New Roman"/>
          <w:color w:val="000000"/>
          <w:sz w:val="24"/>
          <w:szCs w:val="24"/>
          <w:lang w:val="ru-RU"/>
        </w:rPr>
        <w:t>&gt;</w:t>
      </w:r>
      <w:r w:rsidR="00E67E2D" w:rsidRPr="007B30AF">
        <w:rPr>
          <w:rFonts w:ascii="Times New Roman" w:hAnsi="Times New Roman" w:cs="Times New Roman"/>
          <w:color w:val="000000"/>
          <w:sz w:val="24"/>
          <w:szCs w:val="24"/>
        </w:rPr>
        <w:t xml:space="preserve">0,05, </w:t>
      </w:r>
      <w:r w:rsidR="004319AE" w:rsidRPr="007B30AF">
        <w:rPr>
          <w:rFonts w:ascii="Times New Roman" w:hAnsi="Times New Roman" w:cs="Times New Roman"/>
          <w:color w:val="000000"/>
          <w:sz w:val="24"/>
          <w:szCs w:val="24"/>
        </w:rPr>
        <w:t>анализата не укажа на</w:t>
      </w:r>
      <w:r w:rsidR="00E67E2D" w:rsidRPr="007B30AF">
        <w:rPr>
          <w:rFonts w:ascii="Times New Roman" w:hAnsi="Times New Roman" w:cs="Times New Roman"/>
          <w:color w:val="000000"/>
          <w:sz w:val="24"/>
          <w:szCs w:val="24"/>
        </w:rPr>
        <w:t xml:space="preserve"> сигнификантна разлика помеѓу типовите на бенигни тумори во однос на димензиите за </w:t>
      </w:r>
      <w:r w:rsidR="00E67E2D" w:rsidRPr="007B30AF">
        <w:rPr>
          <w:rFonts w:ascii="Times New Roman" w:hAnsi="Times New Roman"/>
          <w:color w:val="000000"/>
          <w:sz w:val="24"/>
          <w:szCs w:val="24"/>
        </w:rPr>
        <w:t xml:space="preserve">Kruskal-Wallis </w:t>
      </w:r>
      <w:r w:rsidR="00E67E2D" w:rsidRPr="007B30AF">
        <w:rPr>
          <w:rFonts w:ascii="Times New Roman" w:hAnsi="Times New Roman"/>
          <w:color w:val="000000"/>
          <w:sz w:val="24"/>
          <w:szCs w:val="24"/>
          <w:lang w:val="en-US"/>
        </w:rPr>
        <w:t>H</w:t>
      </w:r>
      <w:r w:rsidR="00E67E2D" w:rsidRPr="00A926CA">
        <w:rPr>
          <w:rFonts w:ascii="Times New Roman" w:hAnsi="Times New Roman"/>
          <w:color w:val="000000"/>
          <w:sz w:val="24"/>
          <w:szCs w:val="24"/>
          <w:lang w:val="ru-RU"/>
        </w:rPr>
        <w:t xml:space="preserve"> </w:t>
      </w:r>
      <w:r w:rsidR="00E67E2D" w:rsidRPr="007B30AF">
        <w:rPr>
          <w:rFonts w:ascii="Times New Roman" w:hAnsi="Times New Roman"/>
          <w:color w:val="000000"/>
          <w:sz w:val="24"/>
          <w:szCs w:val="24"/>
        </w:rPr>
        <w:t>test=</w:t>
      </w:r>
      <w:r w:rsidR="00E67E2D" w:rsidRPr="007B30AF">
        <w:rPr>
          <w:rFonts w:ascii="Times New Roman" w:hAnsi="Times New Roman" w:cs="Times New Roman"/>
          <w:color w:val="000000"/>
          <w:sz w:val="24"/>
          <w:szCs w:val="24"/>
        </w:rPr>
        <w:t>X</w:t>
      </w:r>
      <w:r w:rsidR="00E67E2D" w:rsidRPr="007B30AF">
        <w:rPr>
          <w:rFonts w:ascii="Times New Roman" w:hAnsi="Times New Roman" w:cs="Times New Roman"/>
          <w:color w:val="000000"/>
          <w:sz w:val="24"/>
          <w:szCs w:val="24"/>
          <w:vertAlign w:val="superscript"/>
        </w:rPr>
        <w:t>2</w:t>
      </w:r>
      <w:r w:rsidR="00E67E2D" w:rsidRPr="007B30AF">
        <w:rPr>
          <w:rFonts w:ascii="Times New Roman" w:hAnsi="Times New Roman" w:cs="Times New Roman"/>
          <w:color w:val="000000"/>
          <w:sz w:val="24"/>
          <w:szCs w:val="24"/>
          <w:vertAlign w:val="subscript"/>
        </w:rPr>
        <w:t>(2)</w:t>
      </w:r>
      <w:r w:rsidR="00E67E2D" w:rsidRPr="007B30AF">
        <w:rPr>
          <w:rFonts w:ascii="Times New Roman" w:hAnsi="Times New Roman" w:cs="Times New Roman"/>
          <w:color w:val="000000"/>
          <w:sz w:val="24"/>
          <w:szCs w:val="24"/>
        </w:rPr>
        <w:t>=4,326; p=0,1150</w:t>
      </w:r>
      <w:r w:rsidR="00E67E2D" w:rsidRPr="007B30AF">
        <w:rPr>
          <w:rFonts w:ascii="Times New Roman" w:hAnsi="Times New Roman" w:cs="Times New Roman"/>
          <w:color w:val="000000"/>
          <w:sz w:val="24"/>
          <w:szCs w:val="24"/>
          <w:lang w:eastAsia="en-GB"/>
        </w:rPr>
        <w:t xml:space="preserve"> (Табела 11 и График 1</w:t>
      </w:r>
      <w:r w:rsidR="00D7466C" w:rsidRPr="007B30AF">
        <w:rPr>
          <w:rFonts w:ascii="Times New Roman" w:hAnsi="Times New Roman" w:cs="Times New Roman"/>
          <w:color w:val="000000"/>
          <w:sz w:val="24"/>
          <w:szCs w:val="24"/>
          <w:lang w:eastAsia="en-GB"/>
        </w:rPr>
        <w:t>7</w:t>
      </w:r>
      <w:r w:rsidR="00E67E2D" w:rsidRPr="007B30AF">
        <w:rPr>
          <w:rFonts w:ascii="Times New Roman" w:hAnsi="Times New Roman" w:cs="Times New Roman"/>
          <w:color w:val="000000"/>
          <w:sz w:val="24"/>
          <w:szCs w:val="24"/>
          <w:lang w:eastAsia="en-GB"/>
        </w:rPr>
        <w:t>)</w:t>
      </w:r>
      <w:r w:rsidR="00E67E2D" w:rsidRPr="007B30AF">
        <w:rPr>
          <w:rFonts w:ascii="Times New Roman" w:hAnsi="Times New Roman" w:cs="Times New Roman"/>
          <w:color w:val="000000"/>
          <w:sz w:val="24"/>
          <w:szCs w:val="24"/>
        </w:rPr>
        <w:t>.</w:t>
      </w:r>
      <w:r w:rsidR="00E67E2D" w:rsidRPr="00E67E2D">
        <w:rPr>
          <w:rFonts w:ascii="Times New Roman" w:hAnsi="Times New Roman" w:cs="Times New Roman"/>
          <w:color w:val="000000"/>
          <w:sz w:val="24"/>
          <w:szCs w:val="24"/>
        </w:rPr>
        <w:t xml:space="preserve"> </w:t>
      </w:r>
    </w:p>
    <w:p w:rsidR="00E67E2D" w:rsidRDefault="00E67E2D" w:rsidP="00D36D75">
      <w:pPr>
        <w:ind w:firstLine="720"/>
        <w:jc w:val="both"/>
        <w:rPr>
          <w:rFonts w:ascii="Times New Roman" w:hAnsi="Times New Roman" w:cs="Times New Roman"/>
          <w:b/>
          <w:color w:val="215868"/>
          <w:sz w:val="24"/>
          <w:szCs w:val="24"/>
        </w:rPr>
      </w:pPr>
    </w:p>
    <w:p w:rsidR="00E67E2D" w:rsidRPr="003F2163" w:rsidRDefault="00E67E2D" w:rsidP="00D36D75">
      <w:pPr>
        <w:ind w:firstLine="720"/>
        <w:jc w:val="both"/>
        <w:rPr>
          <w:rFonts w:ascii="Times New Roman" w:hAnsi="Times New Roman" w:cs="Times New Roman"/>
          <w:color w:val="000000"/>
          <w:sz w:val="24"/>
          <w:szCs w:val="24"/>
        </w:rPr>
      </w:pPr>
      <w:r w:rsidRPr="00EC28B2">
        <w:rPr>
          <w:rFonts w:ascii="Times New Roman" w:hAnsi="Times New Roman" w:cs="Times New Roman"/>
          <w:b/>
          <w:color w:val="000000"/>
          <w:sz w:val="24"/>
          <w:szCs w:val="24"/>
        </w:rPr>
        <w:t>Анализа на тип на малигни тумори и димензии –</w:t>
      </w:r>
      <w:r w:rsidRPr="003F2163">
        <w:rPr>
          <w:rFonts w:ascii="Times New Roman" w:hAnsi="Times New Roman" w:cs="Times New Roman"/>
          <w:b/>
          <w:color w:val="215868"/>
          <w:sz w:val="24"/>
          <w:szCs w:val="24"/>
        </w:rPr>
        <w:t xml:space="preserve"> </w:t>
      </w:r>
      <w:r w:rsidRPr="003F2163">
        <w:rPr>
          <w:rFonts w:ascii="Times New Roman" w:hAnsi="Times New Roman" w:cs="Times New Roman"/>
          <w:color w:val="000000"/>
          <w:sz w:val="24"/>
          <w:szCs w:val="24"/>
        </w:rPr>
        <w:t xml:space="preserve">Кај пациентите со малигни тумори на паротидна жлезда, направена беше анализа на димензиите на </w:t>
      </w:r>
      <w:r w:rsidR="004319AE" w:rsidRPr="003F2163">
        <w:rPr>
          <w:rFonts w:ascii="Times New Roman" w:hAnsi="Times New Roman" w:cs="Times New Roman"/>
          <w:color w:val="000000"/>
          <w:sz w:val="24"/>
          <w:szCs w:val="24"/>
        </w:rPr>
        <w:t>шестте</w:t>
      </w:r>
      <w:r w:rsidRPr="003F2163">
        <w:rPr>
          <w:rFonts w:ascii="Times New Roman" w:hAnsi="Times New Roman" w:cs="Times New Roman"/>
          <w:color w:val="000000"/>
          <w:sz w:val="24"/>
          <w:szCs w:val="24"/>
        </w:rPr>
        <w:t xml:space="preserve"> типови на тумори (</w:t>
      </w:r>
      <w:r w:rsidR="004319AE" w:rsidRPr="003F2163">
        <w:rPr>
          <w:rFonts w:ascii="Times New Roman" w:hAnsi="Times New Roman" w:cs="Times New Roman"/>
          <w:sz w:val="24"/>
          <w:szCs w:val="24"/>
        </w:rPr>
        <w:t>AC,</w:t>
      </w:r>
      <w:r w:rsidRPr="003F2163">
        <w:rPr>
          <w:rFonts w:ascii="Times New Roman" w:hAnsi="Times New Roman" w:cs="Times New Roman"/>
          <w:sz w:val="24"/>
          <w:szCs w:val="24"/>
        </w:rPr>
        <w:t xml:space="preserve"> PC, MEC</w:t>
      </w:r>
      <w:r w:rsidRPr="00A926CA">
        <w:rPr>
          <w:rFonts w:ascii="Times New Roman" w:hAnsi="Times New Roman" w:cs="Times New Roman"/>
          <w:sz w:val="24"/>
          <w:szCs w:val="24"/>
          <w:lang w:val="ru-RU"/>
        </w:rPr>
        <w:t xml:space="preserve">, </w:t>
      </w:r>
      <w:r w:rsidRPr="003F2163">
        <w:rPr>
          <w:rFonts w:ascii="Times New Roman" w:hAnsi="Times New Roman" w:cs="Times New Roman"/>
          <w:sz w:val="24"/>
          <w:szCs w:val="24"/>
        </w:rPr>
        <w:t>CEA, Ly, ACC</w:t>
      </w:r>
      <w:r w:rsidRPr="003F2163">
        <w:rPr>
          <w:rFonts w:ascii="Times New Roman" w:hAnsi="Times New Roman" w:cs="Times New Roman"/>
          <w:color w:val="000000"/>
          <w:sz w:val="24"/>
          <w:szCs w:val="24"/>
        </w:rPr>
        <w:t xml:space="preserve">). </w:t>
      </w:r>
      <w:r w:rsidR="004319AE" w:rsidRPr="003F2163">
        <w:rPr>
          <w:rFonts w:ascii="Times New Roman" w:hAnsi="Times New Roman" w:cs="Times New Roman"/>
          <w:color w:val="000000"/>
          <w:sz w:val="24"/>
          <w:szCs w:val="24"/>
        </w:rPr>
        <w:t>Најголем</w:t>
      </w:r>
      <w:r w:rsidR="003F2163" w:rsidRPr="003F2163">
        <w:rPr>
          <w:rFonts w:ascii="Times New Roman" w:hAnsi="Times New Roman" w:cs="Times New Roman"/>
          <w:color w:val="000000"/>
          <w:sz w:val="24"/>
          <w:szCs w:val="24"/>
        </w:rPr>
        <w:t>и</w:t>
      </w:r>
      <w:r w:rsidR="004319AE" w:rsidRPr="003F2163">
        <w:rPr>
          <w:rFonts w:ascii="Times New Roman" w:hAnsi="Times New Roman" w:cs="Times New Roman"/>
          <w:color w:val="000000"/>
          <w:sz w:val="24"/>
          <w:szCs w:val="24"/>
        </w:rPr>
        <w:t xml:space="preserve"> просечни димензии беа утврдени кај </w:t>
      </w:r>
      <w:r w:rsidR="003F2163" w:rsidRPr="003F2163">
        <w:rPr>
          <w:rFonts w:ascii="Times New Roman" w:hAnsi="Times New Roman" w:cs="Times New Roman"/>
          <w:sz w:val="24"/>
          <w:szCs w:val="24"/>
        </w:rPr>
        <w:t>Ly</w:t>
      </w:r>
      <w:r w:rsidR="003F2163" w:rsidRPr="003F2163">
        <w:rPr>
          <w:rFonts w:ascii="Times New Roman" w:hAnsi="Times New Roman"/>
          <w:color w:val="000000"/>
          <w:sz w:val="24"/>
          <w:szCs w:val="24"/>
        </w:rPr>
        <w:t xml:space="preserve"> - </w:t>
      </w:r>
      <w:r w:rsidR="003F2163" w:rsidRPr="003F2163">
        <w:rPr>
          <w:rFonts w:ascii="Times New Roman" w:hAnsi="Times New Roman" w:cs="Times New Roman"/>
          <w:sz w:val="24"/>
          <w:szCs w:val="24"/>
        </w:rPr>
        <w:t>63,00</w:t>
      </w:r>
      <w:r w:rsidR="003F2163" w:rsidRPr="003F2163">
        <w:rPr>
          <w:rFonts w:ascii="Times New Roman" w:hAnsi="Times New Roman" w:cs="Times New Roman"/>
          <w:color w:val="000000"/>
          <w:sz w:val="24"/>
          <w:szCs w:val="24"/>
        </w:rPr>
        <w:t>±0,00</w:t>
      </w:r>
      <w:r w:rsidR="003F2163" w:rsidRPr="003F2163">
        <w:rPr>
          <w:rFonts w:ascii="Times New Roman" w:hAnsi="Times New Roman"/>
          <w:color w:val="000000"/>
          <w:sz w:val="24"/>
          <w:szCs w:val="24"/>
        </w:rPr>
        <w:t xml:space="preserve">мм, </w:t>
      </w:r>
      <w:r w:rsidR="003F2163" w:rsidRPr="003F2163">
        <w:rPr>
          <w:rFonts w:ascii="Times New Roman" w:hAnsi="Times New Roman" w:cs="Times New Roman"/>
          <w:sz w:val="24"/>
          <w:szCs w:val="24"/>
        </w:rPr>
        <w:t>AC</w:t>
      </w:r>
      <w:r w:rsidR="003F2163" w:rsidRPr="003F2163">
        <w:rPr>
          <w:rFonts w:ascii="Times New Roman" w:hAnsi="Times New Roman"/>
          <w:color w:val="000000"/>
          <w:sz w:val="24"/>
          <w:szCs w:val="24"/>
        </w:rPr>
        <w:t xml:space="preserve"> - </w:t>
      </w:r>
      <w:r w:rsidR="003F2163" w:rsidRPr="003F2163">
        <w:rPr>
          <w:rFonts w:ascii="Times New Roman" w:hAnsi="Times New Roman" w:cs="Times New Roman"/>
          <w:sz w:val="24"/>
          <w:szCs w:val="24"/>
        </w:rPr>
        <w:t>40,00</w:t>
      </w:r>
      <w:r w:rsidR="003F2163" w:rsidRPr="003F2163">
        <w:rPr>
          <w:rFonts w:ascii="Times New Roman" w:hAnsi="Times New Roman" w:cs="Times New Roman"/>
          <w:color w:val="000000"/>
          <w:sz w:val="24"/>
          <w:szCs w:val="24"/>
        </w:rPr>
        <w:t>±0,00</w:t>
      </w:r>
      <w:r w:rsidR="003F2163" w:rsidRPr="003F2163">
        <w:rPr>
          <w:rFonts w:ascii="Times New Roman" w:hAnsi="Times New Roman"/>
          <w:color w:val="000000"/>
          <w:sz w:val="24"/>
          <w:szCs w:val="24"/>
        </w:rPr>
        <w:t xml:space="preserve"> и </w:t>
      </w:r>
      <w:r w:rsidR="003F2163" w:rsidRPr="003F2163">
        <w:rPr>
          <w:rFonts w:ascii="Times New Roman" w:hAnsi="Times New Roman" w:cs="Times New Roman"/>
          <w:sz w:val="24"/>
          <w:szCs w:val="24"/>
        </w:rPr>
        <w:t>PC</w:t>
      </w:r>
      <w:r w:rsidR="003F2163" w:rsidRPr="003F2163">
        <w:rPr>
          <w:rFonts w:ascii="Times New Roman" w:hAnsi="Times New Roman"/>
          <w:color w:val="000000"/>
          <w:sz w:val="24"/>
          <w:szCs w:val="24"/>
        </w:rPr>
        <w:t xml:space="preserve"> - </w:t>
      </w:r>
      <w:r w:rsidR="003F2163" w:rsidRPr="003F2163">
        <w:rPr>
          <w:rFonts w:ascii="Times New Roman" w:hAnsi="Times New Roman" w:cs="Times New Roman"/>
          <w:sz w:val="24"/>
          <w:szCs w:val="24"/>
        </w:rPr>
        <w:t>37,50</w:t>
      </w:r>
      <w:r w:rsidR="003F2163" w:rsidRPr="003F2163">
        <w:rPr>
          <w:rFonts w:ascii="Times New Roman" w:hAnsi="Times New Roman" w:cs="Times New Roman"/>
          <w:color w:val="000000"/>
          <w:sz w:val="24"/>
          <w:szCs w:val="24"/>
        </w:rPr>
        <w:t>±12,02</w:t>
      </w:r>
      <w:r w:rsidR="003F2163" w:rsidRPr="003F2163">
        <w:rPr>
          <w:rFonts w:ascii="Times New Roman" w:hAnsi="Times New Roman"/>
          <w:color w:val="000000"/>
          <w:sz w:val="24"/>
          <w:szCs w:val="24"/>
        </w:rPr>
        <w:t xml:space="preserve">, а најмали кај </w:t>
      </w:r>
      <w:r w:rsidR="003F2163" w:rsidRPr="003F2163">
        <w:rPr>
          <w:rFonts w:ascii="Times New Roman" w:hAnsi="Times New Roman" w:cs="Times New Roman"/>
          <w:sz w:val="24"/>
          <w:szCs w:val="24"/>
        </w:rPr>
        <w:t>MEC</w:t>
      </w:r>
      <w:r w:rsidR="003F2163" w:rsidRPr="003F2163">
        <w:rPr>
          <w:rFonts w:ascii="Times New Roman" w:hAnsi="Times New Roman"/>
          <w:color w:val="000000"/>
          <w:sz w:val="24"/>
          <w:szCs w:val="24"/>
        </w:rPr>
        <w:t xml:space="preserve"> - </w:t>
      </w:r>
      <w:r w:rsidR="003F2163" w:rsidRPr="003F2163">
        <w:rPr>
          <w:rFonts w:ascii="Times New Roman" w:hAnsi="Times New Roman" w:cs="Times New Roman"/>
          <w:sz w:val="24"/>
          <w:szCs w:val="24"/>
        </w:rPr>
        <w:t>13,00</w:t>
      </w:r>
      <w:r w:rsidR="003F2163" w:rsidRPr="003F2163">
        <w:rPr>
          <w:rFonts w:ascii="Times New Roman" w:hAnsi="Times New Roman" w:cs="Times New Roman"/>
          <w:color w:val="000000"/>
          <w:sz w:val="24"/>
          <w:szCs w:val="24"/>
        </w:rPr>
        <w:t>±0,00</w:t>
      </w:r>
      <w:r w:rsidR="003F2163" w:rsidRPr="003F2163">
        <w:rPr>
          <w:rFonts w:ascii="Times New Roman" w:hAnsi="Times New Roman"/>
          <w:color w:val="000000"/>
          <w:sz w:val="24"/>
          <w:szCs w:val="24"/>
        </w:rPr>
        <w:t xml:space="preserve"> </w:t>
      </w:r>
      <w:r w:rsidRPr="003F2163">
        <w:rPr>
          <w:rFonts w:ascii="Times New Roman" w:hAnsi="Times New Roman"/>
          <w:color w:val="000000"/>
          <w:sz w:val="24"/>
          <w:szCs w:val="24"/>
        </w:rPr>
        <w:t xml:space="preserve">(Табела </w:t>
      </w:r>
      <w:r w:rsidR="003F2163">
        <w:rPr>
          <w:rFonts w:ascii="Times New Roman" w:hAnsi="Times New Roman"/>
          <w:color w:val="000000"/>
          <w:sz w:val="24"/>
          <w:szCs w:val="24"/>
        </w:rPr>
        <w:t>11</w:t>
      </w:r>
      <w:r w:rsidRPr="003F2163">
        <w:rPr>
          <w:rFonts w:ascii="Times New Roman" w:hAnsi="Times New Roman"/>
          <w:color w:val="000000"/>
          <w:sz w:val="24"/>
          <w:szCs w:val="24"/>
        </w:rPr>
        <w:t xml:space="preserve"> и График 1</w:t>
      </w:r>
      <w:r w:rsidR="00D7466C">
        <w:rPr>
          <w:rFonts w:ascii="Times New Roman" w:hAnsi="Times New Roman"/>
          <w:color w:val="000000"/>
          <w:sz w:val="24"/>
          <w:szCs w:val="24"/>
        </w:rPr>
        <w:t>7</w:t>
      </w:r>
      <w:r w:rsidRPr="003F2163">
        <w:rPr>
          <w:rFonts w:ascii="Times New Roman" w:hAnsi="Times New Roman"/>
          <w:color w:val="000000"/>
          <w:sz w:val="24"/>
          <w:szCs w:val="24"/>
        </w:rPr>
        <w:t>)</w:t>
      </w:r>
      <w:r w:rsidRPr="003F2163">
        <w:rPr>
          <w:rFonts w:ascii="Times New Roman" w:hAnsi="Times New Roman" w:cs="Times New Roman"/>
          <w:sz w:val="24"/>
          <w:szCs w:val="24"/>
        </w:rPr>
        <w:t>.</w:t>
      </w:r>
    </w:p>
    <w:p w:rsidR="00F10F17" w:rsidRPr="00E67E2D" w:rsidRDefault="00F10F17" w:rsidP="00F10F17">
      <w:pPr>
        <w:spacing w:after="200" w:line="360" w:lineRule="auto"/>
        <w:ind w:firstLine="720"/>
        <w:jc w:val="both"/>
        <w:rPr>
          <w:rFonts w:ascii="Times New Roman" w:hAnsi="Times New Roman" w:cs="Times New Roman"/>
          <w:color w:val="000000"/>
          <w:sz w:val="24"/>
          <w:szCs w:val="24"/>
        </w:rPr>
      </w:pPr>
    </w:p>
    <w:p w:rsidR="00811956" w:rsidRPr="007421D1" w:rsidRDefault="00446A60" w:rsidP="008B71B4">
      <w:pPr>
        <w:rPr>
          <w:rFonts w:ascii="Times New Roman" w:hAnsi="Times New Roman" w:cs="Times New Roman"/>
          <w:sz w:val="18"/>
          <w:szCs w:val="18"/>
        </w:rPr>
      </w:pPr>
      <w:r>
        <w:rPr>
          <w:noProof/>
          <w:lang w:val="en-US"/>
        </w:rPr>
        <w:lastRenderedPageBreak/>
        <w:drawing>
          <wp:anchor distT="0" distB="0" distL="114300" distR="114300" simplePos="0" relativeHeight="251660800" behindDoc="1" locked="0" layoutInCell="1" allowOverlap="1">
            <wp:simplePos x="0" y="0"/>
            <wp:positionH relativeFrom="column">
              <wp:posOffset>857250</wp:posOffset>
            </wp:positionH>
            <wp:positionV relativeFrom="paragraph">
              <wp:posOffset>0</wp:posOffset>
            </wp:positionV>
            <wp:extent cx="3876040" cy="2914650"/>
            <wp:effectExtent l="19050" t="0" r="0" b="0"/>
            <wp:wrapTight wrapText="bothSides">
              <wp:wrapPolygon edited="0">
                <wp:start x="-106" y="0"/>
                <wp:lineTo x="-106" y="21318"/>
                <wp:lineTo x="21550" y="21318"/>
                <wp:lineTo x="21550" y="0"/>
                <wp:lineTo x="-106" y="0"/>
              </wp:wrapPolygon>
            </wp:wrapTight>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32"/>
                    <a:srcRect/>
                    <a:stretch>
                      <a:fillRect/>
                    </a:stretch>
                  </pic:blipFill>
                  <pic:spPr bwMode="auto">
                    <a:xfrm>
                      <a:off x="0" y="0"/>
                      <a:ext cx="3876040" cy="2914650"/>
                    </a:xfrm>
                    <a:prstGeom prst="rect">
                      <a:avLst/>
                    </a:prstGeom>
                    <a:noFill/>
                    <a:ln w="9525">
                      <a:noFill/>
                      <a:miter lim="800000"/>
                      <a:headEnd/>
                      <a:tailEnd/>
                    </a:ln>
                  </pic:spPr>
                </pic:pic>
              </a:graphicData>
            </a:graphic>
          </wp:anchor>
        </w:drawing>
      </w:r>
    </w:p>
    <w:p w:rsidR="00811956" w:rsidRDefault="00811956"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D36D75" w:rsidRDefault="00D36D75" w:rsidP="008B71B4">
      <w:pPr>
        <w:rPr>
          <w:rFonts w:ascii="Times New Roman" w:hAnsi="Times New Roman" w:cs="Times New Roman"/>
          <w:sz w:val="24"/>
          <w:szCs w:val="24"/>
        </w:rPr>
      </w:pPr>
    </w:p>
    <w:p w:rsidR="00555439" w:rsidRDefault="00555439" w:rsidP="008B71B4">
      <w:pPr>
        <w:rPr>
          <w:rFonts w:ascii="Times New Roman" w:hAnsi="Times New Roman" w:cs="Times New Roman"/>
          <w:sz w:val="24"/>
          <w:szCs w:val="24"/>
        </w:rPr>
      </w:pPr>
    </w:p>
    <w:p w:rsidR="006A3333" w:rsidRDefault="006A3333" w:rsidP="008B71B4">
      <w:pPr>
        <w:rPr>
          <w:rFonts w:ascii="Times New Roman" w:hAnsi="Times New Roman" w:cs="Times New Roman"/>
          <w:sz w:val="24"/>
          <w:szCs w:val="24"/>
        </w:rPr>
      </w:pPr>
    </w:p>
    <w:p w:rsidR="006A3333" w:rsidRDefault="006A3333" w:rsidP="008B71B4">
      <w:pPr>
        <w:rPr>
          <w:rFonts w:ascii="Times New Roman" w:hAnsi="Times New Roman" w:cs="Times New Roman"/>
          <w:sz w:val="24"/>
          <w:szCs w:val="24"/>
        </w:rPr>
      </w:pPr>
    </w:p>
    <w:p w:rsidR="006A3333" w:rsidRDefault="006A3333" w:rsidP="008B71B4">
      <w:pPr>
        <w:rPr>
          <w:rFonts w:ascii="Times New Roman" w:hAnsi="Times New Roman" w:cs="Times New Roman"/>
          <w:sz w:val="24"/>
          <w:szCs w:val="24"/>
        </w:rPr>
      </w:pPr>
    </w:p>
    <w:p w:rsidR="006A3333" w:rsidRDefault="006A3333"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D7466C" w:rsidRDefault="00D7466C" w:rsidP="00D7466C">
      <w:pPr>
        <w:spacing w:line="360" w:lineRule="auto"/>
        <w:jc w:val="both"/>
        <w:rPr>
          <w:rFonts w:ascii="Times New Roman" w:hAnsi="Times New Roman" w:cs="Times New Roman"/>
          <w:b/>
          <w:color w:val="000000"/>
          <w:sz w:val="20"/>
          <w:szCs w:val="20"/>
        </w:rPr>
      </w:pPr>
    </w:p>
    <w:p w:rsidR="00D7466C" w:rsidRPr="00F10F17" w:rsidRDefault="00D36D75" w:rsidP="00D36D75">
      <w:pPr>
        <w:spacing w:line="36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D7466C">
        <w:rPr>
          <w:rFonts w:ascii="Times New Roman" w:hAnsi="Times New Roman" w:cs="Times New Roman"/>
          <w:b/>
          <w:color w:val="000000"/>
          <w:sz w:val="20"/>
          <w:szCs w:val="20"/>
        </w:rPr>
        <w:t>График 16</w:t>
      </w:r>
      <w:r w:rsidR="00D7466C" w:rsidRPr="00F10F17">
        <w:rPr>
          <w:rFonts w:ascii="Times New Roman" w:hAnsi="Times New Roman" w:cs="Times New Roman"/>
          <w:b/>
          <w:color w:val="000000"/>
          <w:sz w:val="20"/>
          <w:szCs w:val="20"/>
        </w:rPr>
        <w:t xml:space="preserve">. Анализа на димензии на туморите на паротидните жлезди според </w:t>
      </w:r>
      <w:r w:rsidR="00D7466C">
        <w:rPr>
          <w:rFonts w:ascii="Times New Roman" w:hAnsi="Times New Roman" w:cs="Times New Roman"/>
          <w:b/>
          <w:color w:val="000000"/>
          <w:sz w:val="20"/>
          <w:szCs w:val="20"/>
        </w:rPr>
        <w:t>вид</w:t>
      </w:r>
    </w:p>
    <w:p w:rsidR="00D7466C" w:rsidRDefault="00D7466C" w:rsidP="00D7466C">
      <w:pPr>
        <w:spacing w:line="360" w:lineRule="auto"/>
        <w:jc w:val="both"/>
        <w:rPr>
          <w:rFonts w:ascii="Times New Roman" w:hAnsi="Times New Roman" w:cs="Times New Roman"/>
          <w:b/>
          <w:color w:val="000000"/>
          <w:sz w:val="20"/>
          <w:szCs w:val="20"/>
        </w:rPr>
      </w:pPr>
    </w:p>
    <w:p w:rsidR="00D7466C" w:rsidRDefault="00D7466C" w:rsidP="00D7466C">
      <w:pPr>
        <w:spacing w:line="360" w:lineRule="auto"/>
        <w:jc w:val="both"/>
        <w:rPr>
          <w:rFonts w:ascii="Times New Roman" w:hAnsi="Times New Roman" w:cs="Times New Roman"/>
          <w:b/>
          <w:color w:val="000000"/>
          <w:sz w:val="20"/>
          <w:szCs w:val="20"/>
        </w:rPr>
      </w:pPr>
    </w:p>
    <w:p w:rsidR="00D7466C" w:rsidRPr="00D7466C" w:rsidRDefault="00507DDD" w:rsidP="00D36D75">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Приказот на</w:t>
      </w:r>
      <w:r w:rsidR="00D7466C" w:rsidRPr="00D7466C">
        <w:rPr>
          <w:rFonts w:ascii="Times New Roman" w:hAnsi="Times New Roman" w:cs="Times New Roman"/>
          <w:color w:val="000000"/>
          <w:sz w:val="24"/>
          <w:szCs w:val="24"/>
        </w:rPr>
        <w:t xml:space="preserve"> просечната вредност и стандардната девијавија на </w:t>
      </w:r>
      <w:r w:rsidR="00D7466C">
        <w:rPr>
          <w:rFonts w:ascii="Times New Roman" w:hAnsi="Times New Roman" w:cs="Times New Roman"/>
          <w:color w:val="000000"/>
          <w:sz w:val="24"/>
          <w:szCs w:val="24"/>
        </w:rPr>
        <w:t xml:space="preserve">димензиите на туморите од испитуваната група според вид </w:t>
      </w:r>
      <w:r>
        <w:rPr>
          <w:rFonts w:ascii="Times New Roman" w:hAnsi="Times New Roman" w:cs="Times New Roman"/>
          <w:color w:val="000000"/>
          <w:sz w:val="24"/>
          <w:szCs w:val="24"/>
        </w:rPr>
        <w:t xml:space="preserve">(бенигни/ малигни) </w:t>
      </w:r>
      <w:r w:rsidR="00D7466C">
        <w:rPr>
          <w:rFonts w:ascii="Times New Roman" w:hAnsi="Times New Roman" w:cs="Times New Roman"/>
          <w:color w:val="000000"/>
          <w:sz w:val="24"/>
          <w:szCs w:val="24"/>
        </w:rPr>
        <w:t xml:space="preserve">и </w:t>
      </w:r>
      <w:r>
        <w:rPr>
          <w:rFonts w:ascii="Times New Roman" w:hAnsi="Times New Roman" w:cs="Times New Roman"/>
          <w:color w:val="000000"/>
          <w:sz w:val="24"/>
          <w:szCs w:val="24"/>
        </w:rPr>
        <w:t xml:space="preserve">според тип </w:t>
      </w:r>
      <w:r w:rsidR="007B30AF">
        <w:rPr>
          <w:rFonts w:ascii="Times New Roman" w:hAnsi="Times New Roman" w:cs="Times New Roman"/>
          <w:color w:val="000000"/>
          <w:sz w:val="24"/>
          <w:szCs w:val="24"/>
        </w:rPr>
        <w:t xml:space="preserve">каде бенигни типови се </w:t>
      </w:r>
      <w:r w:rsidR="007B30AF" w:rsidRPr="00E67E2D">
        <w:rPr>
          <w:rFonts w:ascii="Times New Roman" w:hAnsi="Times New Roman" w:cs="Times New Roman"/>
          <w:color w:val="000000"/>
          <w:sz w:val="24"/>
          <w:szCs w:val="24"/>
        </w:rPr>
        <w:t xml:space="preserve">WT, BA, </w:t>
      </w:r>
      <w:r w:rsidR="007B30AF">
        <w:rPr>
          <w:rFonts w:ascii="Times New Roman" w:hAnsi="Times New Roman" w:cs="Times New Roman"/>
          <w:color w:val="000000"/>
          <w:sz w:val="24"/>
          <w:szCs w:val="24"/>
        </w:rPr>
        <w:t xml:space="preserve">и </w:t>
      </w:r>
      <w:r w:rsidR="007B30AF" w:rsidRPr="00E67E2D">
        <w:rPr>
          <w:rFonts w:ascii="Times New Roman" w:hAnsi="Times New Roman" w:cs="Times New Roman"/>
          <w:color w:val="000000"/>
          <w:sz w:val="24"/>
          <w:szCs w:val="24"/>
        </w:rPr>
        <w:t>Pa</w:t>
      </w:r>
      <w:r w:rsidR="007B30AF">
        <w:rPr>
          <w:rFonts w:ascii="Times New Roman" w:hAnsi="Times New Roman" w:cs="Times New Roman"/>
          <w:color w:val="000000"/>
          <w:sz w:val="24"/>
          <w:szCs w:val="24"/>
        </w:rPr>
        <w:t xml:space="preserve">, а малигни типови се  </w:t>
      </w:r>
      <w:r w:rsidR="007B30AF" w:rsidRPr="003F2163">
        <w:rPr>
          <w:rFonts w:ascii="Times New Roman" w:hAnsi="Times New Roman" w:cs="Times New Roman"/>
          <w:sz w:val="24"/>
          <w:szCs w:val="24"/>
        </w:rPr>
        <w:t>AC, PC, MEC</w:t>
      </w:r>
      <w:r w:rsidR="007B30AF" w:rsidRPr="00A926CA">
        <w:rPr>
          <w:rFonts w:ascii="Times New Roman" w:hAnsi="Times New Roman" w:cs="Times New Roman"/>
          <w:sz w:val="24"/>
          <w:szCs w:val="24"/>
          <w:lang w:val="ru-RU"/>
        </w:rPr>
        <w:t xml:space="preserve">, </w:t>
      </w:r>
      <w:r w:rsidR="007B30AF" w:rsidRPr="003F2163">
        <w:rPr>
          <w:rFonts w:ascii="Times New Roman" w:hAnsi="Times New Roman" w:cs="Times New Roman"/>
          <w:sz w:val="24"/>
          <w:szCs w:val="24"/>
        </w:rPr>
        <w:t xml:space="preserve">CEA, Ly, </w:t>
      </w:r>
      <w:r w:rsidR="007B30AF">
        <w:rPr>
          <w:rFonts w:ascii="Times New Roman" w:hAnsi="Times New Roman" w:cs="Times New Roman"/>
          <w:sz w:val="24"/>
          <w:szCs w:val="24"/>
        </w:rPr>
        <w:t xml:space="preserve">и </w:t>
      </w:r>
      <w:r w:rsidR="007B30AF" w:rsidRPr="003F2163">
        <w:rPr>
          <w:rFonts w:ascii="Times New Roman" w:hAnsi="Times New Roman" w:cs="Times New Roman"/>
          <w:sz w:val="24"/>
          <w:szCs w:val="24"/>
        </w:rPr>
        <w:t>ACC</w:t>
      </w:r>
      <w:r w:rsidR="007B30AF">
        <w:rPr>
          <w:rFonts w:ascii="Times New Roman" w:hAnsi="Times New Roman" w:cs="Times New Roman"/>
          <w:color w:val="000000"/>
          <w:sz w:val="24"/>
          <w:szCs w:val="24"/>
        </w:rPr>
        <w:t xml:space="preserve">, е  даден на </w:t>
      </w:r>
      <w:r w:rsidRPr="00D7466C">
        <w:rPr>
          <w:rFonts w:ascii="Times New Roman" w:hAnsi="Times New Roman" w:cs="Times New Roman"/>
          <w:color w:val="000000"/>
          <w:sz w:val="24"/>
          <w:szCs w:val="24"/>
        </w:rPr>
        <w:t xml:space="preserve">График 16 </w:t>
      </w:r>
      <w:r>
        <w:rPr>
          <w:rFonts w:ascii="Times New Roman" w:hAnsi="Times New Roman" w:cs="Times New Roman"/>
          <w:color w:val="000000"/>
          <w:sz w:val="24"/>
          <w:szCs w:val="24"/>
        </w:rPr>
        <w:t>и 17</w:t>
      </w:r>
      <w:r w:rsidR="00D7466C">
        <w:rPr>
          <w:rFonts w:ascii="Times New Roman" w:hAnsi="Times New Roman" w:cs="Times New Roman"/>
          <w:color w:val="000000"/>
          <w:sz w:val="24"/>
          <w:szCs w:val="24"/>
        </w:rPr>
        <w:t>.</w:t>
      </w:r>
    </w:p>
    <w:p w:rsidR="00333800" w:rsidRDefault="00333800" w:rsidP="008B71B4">
      <w:pPr>
        <w:rPr>
          <w:rFonts w:ascii="Times New Roman" w:hAnsi="Times New Roman" w:cs="Times New Roman"/>
          <w:sz w:val="24"/>
          <w:szCs w:val="24"/>
        </w:rPr>
      </w:pPr>
    </w:p>
    <w:p w:rsidR="00333800" w:rsidRDefault="00446A60" w:rsidP="008B71B4">
      <w:pPr>
        <w:rPr>
          <w:rFonts w:ascii="Times New Roman" w:hAnsi="Times New Roman" w:cs="Times New Roman"/>
          <w:sz w:val="24"/>
          <w:szCs w:val="24"/>
        </w:rPr>
      </w:pPr>
      <w:r>
        <w:rPr>
          <w:noProof/>
          <w:lang w:val="en-US"/>
        </w:rPr>
        <w:drawing>
          <wp:anchor distT="0" distB="0" distL="114300" distR="114300" simplePos="0" relativeHeight="251659776" behindDoc="1" locked="0" layoutInCell="1" allowOverlap="1">
            <wp:simplePos x="0" y="0"/>
            <wp:positionH relativeFrom="column">
              <wp:posOffset>857250</wp:posOffset>
            </wp:positionH>
            <wp:positionV relativeFrom="paragraph">
              <wp:posOffset>56515</wp:posOffset>
            </wp:positionV>
            <wp:extent cx="3876040" cy="2912110"/>
            <wp:effectExtent l="19050" t="0" r="0" b="0"/>
            <wp:wrapTight wrapText="bothSides">
              <wp:wrapPolygon edited="0">
                <wp:start x="-106" y="0"/>
                <wp:lineTo x="-106" y="21336"/>
                <wp:lineTo x="21550" y="21336"/>
                <wp:lineTo x="21550" y="0"/>
                <wp:lineTo x="-106" y="0"/>
              </wp:wrapPolygon>
            </wp:wrapTight>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33"/>
                    <a:srcRect/>
                    <a:stretch>
                      <a:fillRect/>
                    </a:stretch>
                  </pic:blipFill>
                  <pic:spPr bwMode="auto">
                    <a:xfrm>
                      <a:off x="0" y="0"/>
                      <a:ext cx="3876040" cy="2912110"/>
                    </a:xfrm>
                    <a:prstGeom prst="rect">
                      <a:avLst/>
                    </a:prstGeom>
                    <a:noFill/>
                    <a:ln w="9525">
                      <a:noFill/>
                      <a:miter lim="800000"/>
                      <a:headEnd/>
                      <a:tailEnd/>
                    </a:ln>
                  </pic:spPr>
                </pic:pic>
              </a:graphicData>
            </a:graphic>
          </wp:anchor>
        </w:drawing>
      </w: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33800" w:rsidRDefault="00333800" w:rsidP="008B71B4">
      <w:pPr>
        <w:rPr>
          <w:rFonts w:ascii="Times New Roman" w:hAnsi="Times New Roman" w:cs="Times New Roman"/>
          <w:sz w:val="24"/>
          <w:szCs w:val="24"/>
        </w:rPr>
      </w:pPr>
    </w:p>
    <w:p w:rsidR="003C000F" w:rsidRDefault="003C000F" w:rsidP="003C000F"/>
    <w:p w:rsidR="003C000F" w:rsidRDefault="003C000F" w:rsidP="003C000F">
      <w:pPr>
        <w:spacing w:line="360" w:lineRule="auto"/>
        <w:jc w:val="both"/>
        <w:rPr>
          <w:rFonts w:ascii="Times New Roman" w:hAnsi="Times New Roman" w:cs="Times New Roman"/>
          <w:b/>
          <w:color w:val="000000"/>
          <w:sz w:val="20"/>
          <w:szCs w:val="20"/>
          <w:highlight w:val="yellow"/>
        </w:rPr>
      </w:pPr>
    </w:p>
    <w:p w:rsidR="003C000F" w:rsidRDefault="003C000F" w:rsidP="003C000F">
      <w:pPr>
        <w:spacing w:line="360" w:lineRule="auto"/>
        <w:jc w:val="both"/>
        <w:rPr>
          <w:rFonts w:ascii="Times New Roman" w:hAnsi="Times New Roman" w:cs="Times New Roman"/>
          <w:b/>
          <w:color w:val="000000"/>
          <w:sz w:val="20"/>
          <w:szCs w:val="20"/>
          <w:highlight w:val="yellow"/>
        </w:rPr>
      </w:pPr>
    </w:p>
    <w:p w:rsidR="00333800" w:rsidRDefault="00333800" w:rsidP="008B71B4">
      <w:pPr>
        <w:rPr>
          <w:rFonts w:ascii="Times New Roman" w:hAnsi="Times New Roman" w:cs="Times New Roman"/>
          <w:sz w:val="24"/>
          <w:szCs w:val="24"/>
        </w:rPr>
      </w:pPr>
    </w:p>
    <w:p w:rsidR="003C000F" w:rsidRDefault="003C000F" w:rsidP="008B71B4">
      <w:pPr>
        <w:rPr>
          <w:rFonts w:ascii="Times New Roman" w:hAnsi="Times New Roman" w:cs="Times New Roman"/>
          <w:sz w:val="24"/>
          <w:szCs w:val="24"/>
        </w:rPr>
      </w:pPr>
    </w:p>
    <w:p w:rsidR="003C000F" w:rsidRDefault="003C000F" w:rsidP="008B71B4">
      <w:pPr>
        <w:rPr>
          <w:rFonts w:ascii="Times New Roman" w:hAnsi="Times New Roman" w:cs="Times New Roman"/>
          <w:sz w:val="24"/>
          <w:szCs w:val="24"/>
        </w:rPr>
      </w:pPr>
    </w:p>
    <w:p w:rsidR="003C000F" w:rsidRDefault="003C000F" w:rsidP="008B71B4">
      <w:pPr>
        <w:rPr>
          <w:rFonts w:ascii="Times New Roman" w:hAnsi="Times New Roman" w:cs="Times New Roman"/>
          <w:sz w:val="24"/>
          <w:szCs w:val="24"/>
        </w:rPr>
      </w:pPr>
    </w:p>
    <w:p w:rsidR="007B30AF" w:rsidRPr="00F10F17" w:rsidRDefault="007B30AF" w:rsidP="007B30AF">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 17</w:t>
      </w:r>
      <w:r w:rsidRPr="00F10F17">
        <w:rPr>
          <w:rFonts w:ascii="Times New Roman" w:hAnsi="Times New Roman" w:cs="Times New Roman"/>
          <w:b/>
          <w:color w:val="000000"/>
          <w:sz w:val="20"/>
          <w:szCs w:val="20"/>
        </w:rPr>
        <w:t xml:space="preserve">. Анализа на димензии на туморите на паротидните жлезди според </w:t>
      </w:r>
      <w:r>
        <w:rPr>
          <w:rFonts w:ascii="Times New Roman" w:hAnsi="Times New Roman" w:cs="Times New Roman"/>
          <w:b/>
          <w:color w:val="000000"/>
          <w:sz w:val="20"/>
          <w:szCs w:val="20"/>
        </w:rPr>
        <w:t>тип</w:t>
      </w:r>
    </w:p>
    <w:p w:rsidR="003C000F" w:rsidRDefault="003C000F" w:rsidP="008B71B4">
      <w:pPr>
        <w:rPr>
          <w:rFonts w:ascii="Times New Roman" w:hAnsi="Times New Roman" w:cs="Times New Roman"/>
          <w:sz w:val="24"/>
          <w:szCs w:val="24"/>
        </w:rPr>
      </w:pPr>
    </w:p>
    <w:p w:rsidR="00823B44" w:rsidRDefault="00823B44" w:rsidP="00444E6F">
      <w:pPr>
        <w:spacing w:after="200" w:line="360" w:lineRule="auto"/>
        <w:ind w:firstLine="720"/>
        <w:jc w:val="both"/>
        <w:rPr>
          <w:rFonts w:ascii="Times New Roman" w:hAnsi="Times New Roman" w:cs="Times New Roman"/>
          <w:sz w:val="24"/>
          <w:szCs w:val="24"/>
        </w:rPr>
      </w:pPr>
    </w:p>
    <w:p w:rsidR="00D36D75" w:rsidRDefault="00D36D75" w:rsidP="00823B44">
      <w:pPr>
        <w:spacing w:after="200" w:line="360" w:lineRule="auto"/>
        <w:ind w:firstLine="720"/>
        <w:jc w:val="both"/>
        <w:rPr>
          <w:rFonts w:ascii="Times New Roman" w:hAnsi="Times New Roman" w:cs="Times New Roman"/>
          <w:b/>
          <w:color w:val="000000"/>
          <w:sz w:val="24"/>
          <w:szCs w:val="24"/>
        </w:rPr>
      </w:pPr>
    </w:p>
    <w:p w:rsidR="00D36D75" w:rsidRDefault="00D36D75" w:rsidP="00823B44">
      <w:pPr>
        <w:spacing w:after="200" w:line="360" w:lineRule="auto"/>
        <w:ind w:firstLine="720"/>
        <w:jc w:val="both"/>
        <w:rPr>
          <w:rFonts w:ascii="Times New Roman" w:hAnsi="Times New Roman" w:cs="Times New Roman"/>
          <w:b/>
          <w:color w:val="000000"/>
          <w:sz w:val="24"/>
          <w:szCs w:val="24"/>
        </w:rPr>
      </w:pPr>
    </w:p>
    <w:p w:rsidR="00823B44" w:rsidRPr="00823B44" w:rsidRDefault="00823B44" w:rsidP="00823B44">
      <w:pPr>
        <w:spacing w:after="200" w:line="360" w:lineRule="auto"/>
        <w:ind w:firstLine="720"/>
        <w:jc w:val="both"/>
        <w:rPr>
          <w:rFonts w:ascii="Times New Roman" w:hAnsi="Times New Roman" w:cs="Times New Roman"/>
          <w:b/>
          <w:color w:val="000000"/>
          <w:sz w:val="24"/>
          <w:szCs w:val="24"/>
        </w:rPr>
      </w:pPr>
      <w:r w:rsidRPr="00823B44">
        <w:rPr>
          <w:rFonts w:ascii="Times New Roman" w:hAnsi="Times New Roman" w:cs="Times New Roman"/>
          <w:b/>
          <w:color w:val="000000"/>
          <w:sz w:val="24"/>
          <w:szCs w:val="24"/>
        </w:rPr>
        <w:t>7.</w:t>
      </w:r>
      <w:r>
        <w:rPr>
          <w:rFonts w:ascii="Times New Roman" w:hAnsi="Times New Roman" w:cs="Times New Roman"/>
          <w:b/>
          <w:color w:val="000000"/>
          <w:sz w:val="24"/>
          <w:szCs w:val="24"/>
        </w:rPr>
        <w:t xml:space="preserve"> </w:t>
      </w:r>
      <w:r w:rsidRPr="00823B44">
        <w:rPr>
          <w:rFonts w:ascii="Times New Roman" w:hAnsi="Times New Roman" w:cs="Times New Roman"/>
          <w:b/>
          <w:color w:val="000000"/>
          <w:sz w:val="24"/>
          <w:szCs w:val="24"/>
        </w:rPr>
        <w:t>РЕЗУЛТАТИ</w:t>
      </w:r>
    </w:p>
    <w:p w:rsidR="0012693B" w:rsidRDefault="0012693B" w:rsidP="00D36D75">
      <w:pPr>
        <w:spacing w:after="200"/>
        <w:ind w:firstLine="720"/>
        <w:jc w:val="both"/>
        <w:rPr>
          <w:rFonts w:ascii="Times New Roman" w:hAnsi="Times New Roman" w:cs="Times New Roman"/>
          <w:color w:val="000000"/>
          <w:sz w:val="24"/>
          <w:szCs w:val="24"/>
        </w:rPr>
      </w:pPr>
    </w:p>
    <w:p w:rsidR="00444E6F" w:rsidRDefault="006B7714" w:rsidP="00D36D75">
      <w:pPr>
        <w:spacing w:after="200"/>
        <w:ind w:firstLine="720"/>
        <w:jc w:val="both"/>
        <w:rPr>
          <w:rFonts w:ascii="Times New Roman" w:hAnsi="Times New Roman" w:cs="Times New Roman"/>
          <w:color w:val="000000"/>
          <w:sz w:val="24"/>
          <w:szCs w:val="24"/>
        </w:rPr>
      </w:pPr>
      <w:r w:rsidRPr="006B7714">
        <w:rPr>
          <w:rFonts w:ascii="Times New Roman" w:hAnsi="Times New Roman" w:cs="Times New Roman"/>
          <w:color w:val="000000"/>
          <w:sz w:val="24"/>
          <w:szCs w:val="24"/>
        </w:rPr>
        <w:t xml:space="preserve">Кај пациентите од испитуваната </w:t>
      </w:r>
      <w:r>
        <w:rPr>
          <w:rFonts w:ascii="Times New Roman" w:hAnsi="Times New Roman" w:cs="Times New Roman"/>
          <w:color w:val="000000"/>
          <w:sz w:val="24"/>
          <w:szCs w:val="24"/>
        </w:rPr>
        <w:t xml:space="preserve">група </w:t>
      </w:r>
      <w:r w:rsidRPr="006B7714">
        <w:rPr>
          <w:rFonts w:ascii="Times New Roman" w:hAnsi="Times New Roman" w:cs="Times New Roman"/>
          <w:color w:val="000000"/>
          <w:sz w:val="24"/>
          <w:szCs w:val="24"/>
        </w:rPr>
        <w:t xml:space="preserve">со тумори на паротидните жлезди и контролната група на здрави </w:t>
      </w:r>
      <w:r>
        <w:rPr>
          <w:rFonts w:ascii="Times New Roman" w:hAnsi="Times New Roman" w:cs="Times New Roman"/>
          <w:color w:val="000000"/>
          <w:sz w:val="24"/>
          <w:szCs w:val="24"/>
        </w:rPr>
        <w:t>лица</w:t>
      </w:r>
      <w:r w:rsidRPr="006B7714">
        <w:rPr>
          <w:rFonts w:ascii="Times New Roman" w:hAnsi="Times New Roman" w:cs="Times New Roman"/>
          <w:color w:val="000000"/>
          <w:sz w:val="24"/>
          <w:szCs w:val="24"/>
        </w:rPr>
        <w:t xml:space="preserve"> земени беа</w:t>
      </w:r>
      <w:r w:rsidRPr="006B7714">
        <w:rPr>
          <w:rFonts w:ascii="Times New Roman" w:hAnsi="Times New Roman" w:cs="Times New Roman"/>
          <w:sz w:val="24"/>
          <w:szCs w:val="24"/>
          <w:lang w:val="ru-RU"/>
        </w:rPr>
        <w:t xml:space="preserve"> примероци од венска крв (2ml) и салива</w:t>
      </w:r>
      <w:r w:rsidRPr="006B7714">
        <w:rPr>
          <w:rFonts w:ascii="Times New Roman" w:hAnsi="Times New Roman" w:cs="Times New Roman"/>
          <w:color w:val="000000"/>
          <w:sz w:val="24"/>
          <w:szCs w:val="24"/>
        </w:rPr>
        <w:t xml:space="preserve"> за утврдување на евентуалните разлики во серумските и саливарните вредности на IL-33</w:t>
      </w:r>
      <w:r w:rsidR="00FD1D61">
        <w:rPr>
          <w:rFonts w:ascii="Times New Roman" w:hAnsi="Times New Roman" w:cs="Times New Roman"/>
          <w:color w:val="000000"/>
          <w:sz w:val="24"/>
          <w:szCs w:val="24"/>
          <w:lang w:val="ru-RU"/>
        </w:rPr>
        <w:t xml:space="preserve"> </w:t>
      </w:r>
      <w:r w:rsidR="00F52962" w:rsidRPr="006B7714">
        <w:rPr>
          <w:rFonts w:ascii="Times New Roman" w:hAnsi="Times New Roman" w:cs="Times New Roman"/>
          <w:color w:val="000000"/>
          <w:sz w:val="24"/>
          <w:szCs w:val="24"/>
        </w:rPr>
        <w:t xml:space="preserve">(Табела </w:t>
      </w:r>
      <w:r>
        <w:rPr>
          <w:rFonts w:ascii="Times New Roman" w:hAnsi="Times New Roman" w:cs="Times New Roman"/>
          <w:color w:val="000000"/>
          <w:sz w:val="24"/>
          <w:szCs w:val="24"/>
        </w:rPr>
        <w:t>12</w:t>
      </w:r>
      <w:r w:rsidR="00F52962" w:rsidRPr="006B7714">
        <w:rPr>
          <w:rFonts w:ascii="Times New Roman" w:hAnsi="Times New Roman" w:cs="Times New Roman"/>
          <w:color w:val="000000"/>
          <w:sz w:val="24"/>
          <w:szCs w:val="24"/>
        </w:rPr>
        <w:t xml:space="preserve">). </w:t>
      </w:r>
    </w:p>
    <w:p w:rsidR="0012693B" w:rsidRDefault="0012693B" w:rsidP="000C2C16">
      <w:pPr>
        <w:jc w:val="center"/>
        <w:rPr>
          <w:rFonts w:ascii="Times New Roman" w:hAnsi="Times New Roman" w:cs="Times New Roman"/>
          <w:b/>
          <w:color w:val="000000"/>
          <w:sz w:val="20"/>
          <w:szCs w:val="20"/>
        </w:rPr>
      </w:pPr>
      <w:r>
        <w:rPr>
          <w:rFonts w:ascii="Times New Roman" w:hAnsi="Times New Roman" w:cs="Times New Roman"/>
          <w:b/>
          <w:noProof/>
          <w:color w:val="000000"/>
          <w:sz w:val="20"/>
          <w:szCs w:val="20"/>
          <w:lang w:val="en-US"/>
        </w:rPr>
        <w:drawing>
          <wp:anchor distT="0" distB="0" distL="114300" distR="114300" simplePos="0" relativeHeight="251661824" behindDoc="1" locked="0" layoutInCell="1" allowOverlap="1">
            <wp:simplePos x="0" y="0"/>
            <wp:positionH relativeFrom="column">
              <wp:posOffset>38100</wp:posOffset>
            </wp:positionH>
            <wp:positionV relativeFrom="paragraph">
              <wp:posOffset>703580</wp:posOffset>
            </wp:positionV>
            <wp:extent cx="5935980" cy="1098550"/>
            <wp:effectExtent l="19050" t="0" r="7620" b="0"/>
            <wp:wrapTight wrapText="bothSides">
              <wp:wrapPolygon edited="0">
                <wp:start x="-69" y="0"/>
                <wp:lineTo x="-69" y="20976"/>
                <wp:lineTo x="21628" y="20976"/>
                <wp:lineTo x="21628" y="0"/>
                <wp:lineTo x="-69" y="0"/>
              </wp:wrapPolygon>
            </wp:wrapTight>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34"/>
                    <a:srcRect/>
                    <a:stretch>
                      <a:fillRect/>
                    </a:stretch>
                  </pic:blipFill>
                  <pic:spPr bwMode="auto">
                    <a:xfrm>
                      <a:off x="0" y="0"/>
                      <a:ext cx="5935980" cy="1098550"/>
                    </a:xfrm>
                    <a:prstGeom prst="rect">
                      <a:avLst/>
                    </a:prstGeom>
                    <a:noFill/>
                    <a:ln w="9525">
                      <a:noFill/>
                      <a:miter lim="800000"/>
                      <a:headEnd/>
                      <a:tailEnd/>
                    </a:ln>
                  </pic:spPr>
                </pic:pic>
              </a:graphicData>
            </a:graphic>
          </wp:anchor>
        </w:drawing>
      </w:r>
    </w:p>
    <w:p w:rsidR="0012693B" w:rsidRDefault="0012693B" w:rsidP="000C2C16">
      <w:pPr>
        <w:jc w:val="center"/>
        <w:rPr>
          <w:rFonts w:ascii="Times New Roman" w:hAnsi="Times New Roman" w:cs="Times New Roman"/>
          <w:b/>
          <w:color w:val="000000"/>
          <w:sz w:val="20"/>
          <w:szCs w:val="20"/>
        </w:rPr>
      </w:pPr>
    </w:p>
    <w:p w:rsidR="0012693B" w:rsidRDefault="0012693B" w:rsidP="000C2C16">
      <w:pPr>
        <w:jc w:val="center"/>
        <w:rPr>
          <w:rFonts w:ascii="Times New Roman" w:hAnsi="Times New Roman" w:cs="Times New Roman"/>
          <w:b/>
          <w:color w:val="000000"/>
          <w:sz w:val="20"/>
          <w:szCs w:val="20"/>
        </w:rPr>
      </w:pPr>
    </w:p>
    <w:p w:rsidR="0012693B" w:rsidRDefault="0012693B" w:rsidP="000C2C16">
      <w:pPr>
        <w:jc w:val="center"/>
        <w:rPr>
          <w:rFonts w:ascii="Times New Roman" w:hAnsi="Times New Roman" w:cs="Times New Roman"/>
          <w:b/>
          <w:color w:val="000000"/>
          <w:sz w:val="20"/>
          <w:szCs w:val="20"/>
        </w:rPr>
      </w:pPr>
    </w:p>
    <w:p w:rsidR="0012693B" w:rsidRDefault="0012693B" w:rsidP="000C2C16">
      <w:pPr>
        <w:jc w:val="center"/>
        <w:rPr>
          <w:rFonts w:ascii="Times New Roman" w:hAnsi="Times New Roman" w:cs="Times New Roman"/>
          <w:b/>
          <w:color w:val="000000"/>
          <w:sz w:val="20"/>
          <w:szCs w:val="20"/>
        </w:rPr>
      </w:pPr>
    </w:p>
    <w:p w:rsidR="0012693B" w:rsidRDefault="0012693B" w:rsidP="000C2C16">
      <w:pPr>
        <w:jc w:val="center"/>
        <w:rPr>
          <w:rFonts w:ascii="Times New Roman" w:hAnsi="Times New Roman" w:cs="Times New Roman"/>
          <w:b/>
          <w:color w:val="000000"/>
          <w:sz w:val="20"/>
          <w:szCs w:val="20"/>
        </w:rPr>
      </w:pPr>
    </w:p>
    <w:p w:rsidR="000C2C16" w:rsidRDefault="000C2C16" w:rsidP="000C2C16">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18</w:t>
      </w:r>
      <w:r w:rsidRPr="004D2F91">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Дистрибуција </w:t>
      </w:r>
      <w:r w:rsidRPr="004D2F91">
        <w:rPr>
          <w:rFonts w:ascii="Times New Roman" w:hAnsi="Times New Roman" w:cs="Times New Roman"/>
          <w:b/>
          <w:color w:val="000000"/>
          <w:sz w:val="20"/>
          <w:szCs w:val="20"/>
        </w:rPr>
        <w:t xml:space="preserve">на </w:t>
      </w:r>
      <w:r>
        <w:rPr>
          <w:rFonts w:ascii="Times New Roman" w:hAnsi="Times New Roman" w:cs="Times New Roman"/>
          <w:b/>
          <w:color w:val="000000"/>
          <w:sz w:val="20"/>
          <w:szCs w:val="20"/>
        </w:rPr>
        <w:t xml:space="preserve">фреквенции на </w:t>
      </w:r>
      <w:r>
        <w:rPr>
          <w:rFonts w:ascii="Times New Roman" w:hAnsi="Times New Roman" w:cs="Times New Roman"/>
          <w:b/>
          <w:color w:val="000000"/>
          <w:sz w:val="20"/>
          <w:szCs w:val="20"/>
          <w:lang w:val="en-US"/>
        </w:rPr>
        <w:t>IL</w:t>
      </w:r>
      <w:r w:rsidRPr="00A926CA">
        <w:rPr>
          <w:rFonts w:ascii="Times New Roman" w:hAnsi="Times New Roman" w:cs="Times New Roman"/>
          <w:b/>
          <w:color w:val="000000"/>
          <w:sz w:val="20"/>
          <w:szCs w:val="20"/>
          <w:lang w:val="ru-RU"/>
        </w:rPr>
        <w:t xml:space="preserve">-33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Pr="00A926CA">
        <w:rPr>
          <w:rFonts w:ascii="Times New Roman" w:hAnsi="Times New Roman" w:cs="Times New Roman"/>
          <w:b/>
          <w:color w:val="000000"/>
          <w:sz w:val="20"/>
          <w:szCs w:val="20"/>
          <w:lang w:val="ru-RU"/>
        </w:rPr>
        <w:t>во серум и салива во</w:t>
      </w:r>
    </w:p>
    <w:p w:rsidR="000C2C16" w:rsidRPr="000C2C16" w:rsidRDefault="000C2C16" w:rsidP="000C2C16">
      <w:pPr>
        <w:jc w:val="center"/>
        <w:rPr>
          <w:rFonts w:ascii="Times New Roman" w:hAnsi="Times New Roman" w:cs="Times New Roman"/>
          <w:b/>
          <w:color w:val="000000"/>
          <w:sz w:val="20"/>
          <w:szCs w:val="20"/>
        </w:rPr>
      </w:pPr>
      <w:r w:rsidRPr="00A926CA">
        <w:rPr>
          <w:rFonts w:ascii="Times New Roman" w:hAnsi="Times New Roman" w:cs="Times New Roman"/>
          <w:b/>
          <w:color w:val="000000"/>
          <w:sz w:val="20"/>
          <w:szCs w:val="20"/>
          <w:lang w:val="ru-RU"/>
        </w:rPr>
        <w:t xml:space="preserve"> испитувана и контролна група</w:t>
      </w:r>
    </w:p>
    <w:p w:rsidR="00F52962" w:rsidRDefault="00F52962" w:rsidP="000C2C16">
      <w:pPr>
        <w:spacing w:after="200" w:line="360" w:lineRule="auto"/>
        <w:jc w:val="both"/>
        <w:rPr>
          <w:rFonts w:ascii="Times New Roman" w:hAnsi="Times New Roman" w:cs="Times New Roman"/>
          <w:color w:val="000000"/>
          <w:sz w:val="24"/>
          <w:szCs w:val="24"/>
        </w:rPr>
      </w:pPr>
    </w:p>
    <w:p w:rsidR="00660C85" w:rsidRDefault="000C2C16" w:rsidP="00D36D75">
      <w:pPr>
        <w:spacing w:after="200"/>
        <w:ind w:firstLine="720"/>
        <w:jc w:val="both"/>
        <w:rPr>
          <w:rFonts w:ascii="Times New Roman" w:hAnsi="Times New Roman" w:cs="Times New Roman"/>
          <w:color w:val="000000"/>
          <w:sz w:val="24"/>
          <w:szCs w:val="24"/>
          <w:lang w:eastAsia="en-GB"/>
        </w:rPr>
      </w:pPr>
      <w:r w:rsidRPr="00BF2ACE">
        <w:rPr>
          <w:rFonts w:ascii="Times New Roman" w:hAnsi="Times New Roman" w:cs="Times New Roman"/>
          <w:color w:val="000000"/>
          <w:sz w:val="24"/>
          <w:szCs w:val="24"/>
          <w:lang w:val="en-US" w:eastAsia="en-GB"/>
        </w:rPr>
        <w:t>A</w:t>
      </w:r>
      <w:r w:rsidRPr="00BF2ACE">
        <w:rPr>
          <w:rFonts w:ascii="Times New Roman" w:hAnsi="Times New Roman" w:cs="Times New Roman"/>
          <w:color w:val="000000"/>
          <w:sz w:val="24"/>
          <w:szCs w:val="24"/>
          <w:lang w:eastAsia="en-GB"/>
        </w:rPr>
        <w:t xml:space="preserve">нализа </w:t>
      </w:r>
      <w:r w:rsidR="0022737D">
        <w:rPr>
          <w:rFonts w:ascii="Times New Roman" w:hAnsi="Times New Roman" w:cs="Times New Roman"/>
          <w:color w:val="000000"/>
          <w:sz w:val="24"/>
          <w:szCs w:val="24"/>
        </w:rPr>
        <w:t>на добиените податоци за IL-33</w:t>
      </w:r>
      <w:r w:rsidR="0022737D" w:rsidRPr="00A926CA">
        <w:rPr>
          <w:rFonts w:ascii="Times New Roman" w:hAnsi="Times New Roman" w:cs="Times New Roman"/>
          <w:color w:val="000000"/>
          <w:sz w:val="24"/>
          <w:szCs w:val="24"/>
          <w:lang w:val="ru-RU"/>
        </w:rPr>
        <w:t xml:space="preserve"> </w:t>
      </w:r>
      <w:r w:rsidRPr="00BF2ACE">
        <w:rPr>
          <w:rFonts w:ascii="Times New Roman" w:hAnsi="Times New Roman" w:cs="Times New Roman"/>
          <w:color w:val="000000"/>
          <w:sz w:val="24"/>
          <w:szCs w:val="24"/>
        </w:rPr>
        <w:t xml:space="preserve">во серум и салива во испитуваната група </w:t>
      </w:r>
      <w:r>
        <w:rPr>
          <w:rFonts w:ascii="Times New Roman" w:hAnsi="Times New Roman" w:cs="Times New Roman"/>
          <w:color w:val="000000"/>
          <w:sz w:val="24"/>
          <w:szCs w:val="24"/>
        </w:rPr>
        <w:t xml:space="preserve">на лица со </w:t>
      </w:r>
      <w:r w:rsidRPr="006B7714">
        <w:rPr>
          <w:rFonts w:ascii="Times New Roman" w:hAnsi="Times New Roman" w:cs="Times New Roman"/>
          <w:color w:val="000000"/>
          <w:sz w:val="24"/>
          <w:szCs w:val="24"/>
        </w:rPr>
        <w:t xml:space="preserve">тумори на паротидните жлезди </w:t>
      </w:r>
      <w:r w:rsidRPr="00BF2ACE">
        <w:rPr>
          <w:rFonts w:ascii="Times New Roman" w:hAnsi="Times New Roman" w:cs="Times New Roman"/>
          <w:color w:val="000000"/>
          <w:sz w:val="24"/>
          <w:szCs w:val="24"/>
          <w:lang w:eastAsia="en-GB"/>
        </w:rPr>
        <w:t>укажа на неправилна дистрибуција на фреквенциите за</w:t>
      </w:r>
      <w:r w:rsidR="00660C85">
        <w:rPr>
          <w:rFonts w:ascii="Times New Roman" w:hAnsi="Times New Roman" w:cs="Times New Roman"/>
          <w:color w:val="000000"/>
          <w:sz w:val="24"/>
          <w:szCs w:val="24"/>
          <w:lang w:eastAsia="en-GB"/>
        </w:rPr>
        <w:t xml:space="preserve"> </w:t>
      </w:r>
      <w:r w:rsidR="00660C85" w:rsidRPr="00BF2ACE">
        <w:rPr>
          <w:rFonts w:ascii="Times New Roman" w:hAnsi="Times New Roman" w:cs="Times New Roman"/>
          <w:sz w:val="24"/>
          <w:szCs w:val="24"/>
        </w:rPr>
        <w:t>(График 1</w:t>
      </w:r>
      <w:r w:rsidR="00660C85" w:rsidRPr="00A926CA">
        <w:rPr>
          <w:rFonts w:ascii="Times New Roman" w:hAnsi="Times New Roman" w:cs="Times New Roman"/>
          <w:sz w:val="24"/>
          <w:szCs w:val="24"/>
          <w:lang w:val="ru-RU"/>
        </w:rPr>
        <w:t>8</w:t>
      </w:r>
      <w:r w:rsidR="00660C85" w:rsidRPr="00BF2ACE">
        <w:rPr>
          <w:rFonts w:ascii="Times New Roman" w:hAnsi="Times New Roman" w:cs="Times New Roman"/>
          <w:sz w:val="24"/>
          <w:szCs w:val="24"/>
        </w:rPr>
        <w:t>)</w:t>
      </w:r>
      <w:r w:rsidR="00660C85">
        <w:rPr>
          <w:rFonts w:ascii="Times New Roman" w:hAnsi="Times New Roman" w:cs="Times New Roman"/>
          <w:color w:val="000000"/>
          <w:sz w:val="24"/>
          <w:szCs w:val="24"/>
          <w:lang w:eastAsia="en-GB"/>
        </w:rPr>
        <w:t xml:space="preserve">: </w:t>
      </w:r>
      <w:r w:rsidRPr="00BF2ACE">
        <w:rPr>
          <w:rFonts w:ascii="Times New Roman" w:hAnsi="Times New Roman" w:cs="Times New Roman"/>
          <w:color w:val="000000"/>
          <w:sz w:val="24"/>
          <w:szCs w:val="24"/>
          <w:lang w:eastAsia="en-GB"/>
        </w:rPr>
        <w:t xml:space="preserve"> </w:t>
      </w:r>
    </w:p>
    <w:p w:rsidR="00660C85" w:rsidRDefault="00660C85" w:rsidP="00D36D75">
      <w:pPr>
        <w:numPr>
          <w:ilvl w:val="0"/>
          <w:numId w:val="15"/>
        </w:numPr>
        <w:spacing w:after="200"/>
        <w:ind w:left="284" w:hanging="284"/>
        <w:jc w:val="both"/>
        <w:rPr>
          <w:rFonts w:ascii="Times New Roman" w:hAnsi="Times New Roman" w:cs="Times New Roman"/>
          <w:color w:val="000000"/>
          <w:kern w:val="1"/>
          <w:sz w:val="24"/>
          <w:szCs w:val="24"/>
          <w:lang w:eastAsia="mk-MK"/>
        </w:rPr>
      </w:pPr>
      <w:r>
        <w:rPr>
          <w:rFonts w:ascii="Times New Roman" w:hAnsi="Times New Roman" w:cs="Times New Roman"/>
          <w:color w:val="000000"/>
          <w:kern w:val="1"/>
          <w:sz w:val="24"/>
          <w:szCs w:val="24"/>
          <w:lang w:eastAsia="mk-MK"/>
        </w:rPr>
        <w:t xml:space="preserve">серум - </w:t>
      </w:r>
      <w:r w:rsidR="000C2C16" w:rsidRPr="00BF2ACE">
        <w:rPr>
          <w:rFonts w:ascii="Times New Roman" w:hAnsi="Times New Roman" w:cs="Times New Roman"/>
          <w:color w:val="000000"/>
          <w:kern w:val="1"/>
          <w:sz w:val="24"/>
          <w:szCs w:val="24"/>
          <w:lang w:eastAsia="mk-MK"/>
        </w:rPr>
        <w:t>Shapiro-Wilk: W=0,8435</w:t>
      </w:r>
      <w:r w:rsidR="000C2C16" w:rsidRPr="00A926CA">
        <w:rPr>
          <w:rFonts w:ascii="Times New Roman" w:hAnsi="Times New Roman" w:cs="Times New Roman"/>
          <w:color w:val="000000"/>
          <w:kern w:val="1"/>
          <w:sz w:val="24"/>
          <w:szCs w:val="24"/>
          <w:lang w:val="en-US" w:eastAsia="mk-MK"/>
        </w:rPr>
        <w:t>;</w:t>
      </w:r>
      <w:r w:rsidR="000C2C16" w:rsidRPr="00BF2ACE">
        <w:rPr>
          <w:rFonts w:ascii="Times New Roman" w:hAnsi="Times New Roman" w:cs="Times New Roman"/>
          <w:color w:val="000000"/>
          <w:kern w:val="1"/>
          <w:sz w:val="24"/>
          <w:szCs w:val="24"/>
          <w:lang w:eastAsia="mk-MK"/>
        </w:rPr>
        <w:t xml:space="preserve"> p=0,00001</w:t>
      </w:r>
      <w:r>
        <w:rPr>
          <w:rFonts w:ascii="Times New Roman" w:hAnsi="Times New Roman" w:cs="Times New Roman"/>
          <w:color w:val="000000"/>
          <w:kern w:val="1"/>
          <w:sz w:val="24"/>
          <w:szCs w:val="24"/>
          <w:lang w:eastAsia="mk-MK"/>
        </w:rPr>
        <w:t>;</w:t>
      </w:r>
    </w:p>
    <w:p w:rsidR="00660C85" w:rsidRDefault="00660C85" w:rsidP="00D36D75">
      <w:pPr>
        <w:numPr>
          <w:ilvl w:val="0"/>
          <w:numId w:val="15"/>
        </w:numPr>
        <w:spacing w:after="200"/>
        <w:ind w:left="284" w:hanging="284"/>
        <w:jc w:val="both"/>
        <w:rPr>
          <w:rFonts w:ascii="Times New Roman" w:hAnsi="Times New Roman" w:cs="Times New Roman"/>
          <w:color w:val="000000"/>
          <w:kern w:val="1"/>
          <w:sz w:val="24"/>
          <w:szCs w:val="24"/>
          <w:lang w:eastAsia="mk-MK"/>
        </w:rPr>
      </w:pPr>
      <w:r>
        <w:rPr>
          <w:rFonts w:ascii="Times New Roman" w:hAnsi="Times New Roman" w:cs="Times New Roman"/>
          <w:color w:val="000000"/>
          <w:kern w:val="1"/>
          <w:sz w:val="24"/>
          <w:szCs w:val="24"/>
          <w:lang w:eastAsia="mk-MK"/>
        </w:rPr>
        <w:t xml:space="preserve">салива - </w:t>
      </w:r>
      <w:r w:rsidRPr="00BF2ACE">
        <w:rPr>
          <w:rFonts w:ascii="Times New Roman" w:hAnsi="Times New Roman" w:cs="Times New Roman"/>
          <w:color w:val="000000"/>
          <w:kern w:val="1"/>
          <w:sz w:val="24"/>
          <w:szCs w:val="24"/>
          <w:lang w:eastAsia="mk-MK"/>
        </w:rPr>
        <w:t xml:space="preserve">Shapiro-Wilk: </w:t>
      </w:r>
      <w:r w:rsidR="000C2C16" w:rsidRPr="00BF2ACE">
        <w:rPr>
          <w:rFonts w:ascii="Times New Roman" w:hAnsi="Times New Roman" w:cs="Times New Roman"/>
          <w:color w:val="000000"/>
          <w:kern w:val="1"/>
          <w:sz w:val="24"/>
          <w:szCs w:val="24"/>
          <w:lang w:eastAsia="mk-MK"/>
        </w:rPr>
        <w:t>W=0,8162</w:t>
      </w:r>
      <w:r w:rsidR="000C2C16" w:rsidRPr="00A926CA">
        <w:rPr>
          <w:rFonts w:ascii="Times New Roman" w:hAnsi="Times New Roman" w:cs="Times New Roman"/>
          <w:color w:val="000000"/>
          <w:kern w:val="1"/>
          <w:sz w:val="24"/>
          <w:szCs w:val="24"/>
          <w:lang w:val="en-US" w:eastAsia="mk-MK"/>
        </w:rPr>
        <w:t>;</w:t>
      </w:r>
      <w:r w:rsidR="000C2C16" w:rsidRPr="00BF2ACE">
        <w:rPr>
          <w:rFonts w:ascii="Times New Roman" w:hAnsi="Times New Roman" w:cs="Times New Roman"/>
          <w:color w:val="000000"/>
          <w:kern w:val="1"/>
          <w:sz w:val="24"/>
          <w:szCs w:val="24"/>
          <w:lang w:eastAsia="mk-MK"/>
        </w:rPr>
        <w:t xml:space="preserve"> p=0,00001</w:t>
      </w:r>
      <w:r>
        <w:rPr>
          <w:rFonts w:ascii="Times New Roman" w:hAnsi="Times New Roman" w:cs="Times New Roman"/>
          <w:color w:val="000000"/>
          <w:kern w:val="1"/>
          <w:sz w:val="24"/>
          <w:szCs w:val="24"/>
          <w:lang w:eastAsia="mk-MK"/>
        </w:rPr>
        <w:t>;</w:t>
      </w:r>
      <w:r w:rsidR="000C2C16" w:rsidRPr="00BF2ACE">
        <w:rPr>
          <w:rFonts w:ascii="Times New Roman" w:hAnsi="Times New Roman" w:cs="Times New Roman"/>
          <w:color w:val="000000"/>
          <w:kern w:val="1"/>
          <w:sz w:val="24"/>
          <w:szCs w:val="24"/>
          <w:lang w:val="en-US" w:eastAsia="mk-MK"/>
        </w:rPr>
        <w:t xml:space="preserve"> </w:t>
      </w:r>
    </w:p>
    <w:p w:rsidR="00660C85" w:rsidRDefault="000C2C16" w:rsidP="00D36D75">
      <w:pPr>
        <w:spacing w:after="200"/>
        <w:ind w:firstLine="720"/>
        <w:jc w:val="both"/>
        <w:rPr>
          <w:rFonts w:ascii="Times New Roman" w:hAnsi="Times New Roman" w:cs="Times New Roman"/>
          <w:color w:val="000000"/>
          <w:sz w:val="24"/>
          <w:szCs w:val="24"/>
        </w:rPr>
      </w:pPr>
      <w:r w:rsidRPr="00BF2ACE">
        <w:rPr>
          <w:rFonts w:ascii="Times New Roman" w:hAnsi="Times New Roman" w:cs="Times New Roman"/>
          <w:color w:val="000000"/>
          <w:kern w:val="1"/>
          <w:sz w:val="24"/>
          <w:szCs w:val="24"/>
          <w:lang w:eastAsia="mk-MK"/>
        </w:rPr>
        <w:t xml:space="preserve">Во контролната група на здрави испитаници, добиените вредности за </w:t>
      </w:r>
      <w:r w:rsidRPr="00BF2ACE">
        <w:rPr>
          <w:rFonts w:ascii="Times New Roman" w:hAnsi="Times New Roman" w:cs="Times New Roman"/>
          <w:color w:val="000000"/>
          <w:sz w:val="24"/>
          <w:szCs w:val="24"/>
        </w:rPr>
        <w:t xml:space="preserve">IL-33 во серум и салива </w:t>
      </w:r>
      <w:r w:rsidR="00660C85">
        <w:rPr>
          <w:rFonts w:ascii="Times New Roman" w:hAnsi="Times New Roman" w:cs="Times New Roman"/>
          <w:color w:val="000000"/>
          <w:sz w:val="24"/>
          <w:szCs w:val="24"/>
        </w:rPr>
        <w:t xml:space="preserve">имаше </w:t>
      </w:r>
      <w:r w:rsidR="00660C85" w:rsidRPr="00BF2ACE">
        <w:rPr>
          <w:rFonts w:ascii="Times New Roman" w:hAnsi="Times New Roman" w:cs="Times New Roman"/>
          <w:color w:val="000000"/>
          <w:sz w:val="24"/>
          <w:szCs w:val="24"/>
          <w:lang w:eastAsia="en-GB"/>
        </w:rPr>
        <w:t>неправилна дистрибуција на фреквенциите за</w:t>
      </w:r>
      <w:r w:rsidR="00660C85">
        <w:rPr>
          <w:rFonts w:ascii="Times New Roman" w:hAnsi="Times New Roman" w:cs="Times New Roman"/>
          <w:color w:val="000000"/>
          <w:sz w:val="24"/>
          <w:szCs w:val="24"/>
        </w:rPr>
        <w:t xml:space="preserve"> </w:t>
      </w:r>
      <w:r w:rsidR="00660C85" w:rsidRPr="00BF2ACE">
        <w:rPr>
          <w:rFonts w:ascii="Times New Roman" w:hAnsi="Times New Roman" w:cs="Times New Roman"/>
          <w:sz w:val="24"/>
          <w:szCs w:val="24"/>
        </w:rPr>
        <w:t>(График 1</w:t>
      </w:r>
      <w:r w:rsidR="00660C85" w:rsidRPr="00A926CA">
        <w:rPr>
          <w:rFonts w:ascii="Times New Roman" w:hAnsi="Times New Roman" w:cs="Times New Roman"/>
          <w:sz w:val="24"/>
          <w:szCs w:val="24"/>
          <w:lang w:val="ru-RU"/>
        </w:rPr>
        <w:t>8</w:t>
      </w:r>
      <w:r w:rsidR="00660C85" w:rsidRPr="00BF2ACE">
        <w:rPr>
          <w:rFonts w:ascii="Times New Roman" w:hAnsi="Times New Roman" w:cs="Times New Roman"/>
          <w:sz w:val="24"/>
          <w:szCs w:val="24"/>
        </w:rPr>
        <w:t>)</w:t>
      </w:r>
      <w:r w:rsidR="00660C85">
        <w:rPr>
          <w:rFonts w:ascii="Times New Roman" w:hAnsi="Times New Roman" w:cs="Times New Roman"/>
          <w:color w:val="000000"/>
          <w:sz w:val="24"/>
          <w:szCs w:val="24"/>
        </w:rPr>
        <w:t xml:space="preserve">: </w:t>
      </w:r>
    </w:p>
    <w:p w:rsidR="00660C85" w:rsidRPr="00660C85" w:rsidRDefault="00660C85" w:rsidP="00D36D75">
      <w:pPr>
        <w:numPr>
          <w:ilvl w:val="0"/>
          <w:numId w:val="16"/>
        </w:numPr>
        <w:ind w:left="426" w:hanging="426"/>
        <w:jc w:val="both"/>
        <w:rPr>
          <w:rFonts w:ascii="Times New Roman" w:hAnsi="Times New Roman" w:cs="Times New Roman"/>
          <w:sz w:val="24"/>
          <w:szCs w:val="24"/>
          <w:lang w:val="en-US"/>
        </w:rPr>
      </w:pPr>
      <w:r>
        <w:rPr>
          <w:rFonts w:ascii="Times New Roman" w:hAnsi="Times New Roman" w:cs="Times New Roman"/>
          <w:color w:val="000000"/>
          <w:kern w:val="1"/>
          <w:sz w:val="24"/>
          <w:szCs w:val="24"/>
          <w:lang w:eastAsia="mk-MK"/>
        </w:rPr>
        <w:t xml:space="preserve">серум - </w:t>
      </w:r>
      <w:r w:rsidR="000C2C16" w:rsidRPr="00BF2ACE">
        <w:rPr>
          <w:rFonts w:ascii="Times New Roman" w:hAnsi="Times New Roman" w:cs="Times New Roman"/>
          <w:color w:val="000000"/>
          <w:kern w:val="1"/>
          <w:sz w:val="24"/>
          <w:szCs w:val="24"/>
          <w:lang w:eastAsia="mk-MK"/>
        </w:rPr>
        <w:t>Shapiro-Wilk: W=0,4298</w:t>
      </w:r>
      <w:r w:rsidR="000C2C16" w:rsidRPr="00A926CA">
        <w:rPr>
          <w:rFonts w:ascii="Times New Roman" w:hAnsi="Times New Roman" w:cs="Times New Roman"/>
          <w:color w:val="000000"/>
          <w:kern w:val="1"/>
          <w:sz w:val="24"/>
          <w:szCs w:val="24"/>
          <w:lang w:val="en-US" w:eastAsia="mk-MK"/>
        </w:rPr>
        <w:t>;</w:t>
      </w:r>
      <w:r w:rsidR="000C2C16" w:rsidRPr="00BF2ACE">
        <w:rPr>
          <w:rFonts w:ascii="Times New Roman" w:hAnsi="Times New Roman" w:cs="Times New Roman"/>
          <w:color w:val="000000"/>
          <w:kern w:val="1"/>
          <w:sz w:val="24"/>
          <w:szCs w:val="24"/>
          <w:lang w:eastAsia="mk-MK"/>
        </w:rPr>
        <w:t xml:space="preserve"> p=0,00001</w:t>
      </w:r>
      <w:r>
        <w:rPr>
          <w:rFonts w:ascii="Times New Roman" w:hAnsi="Times New Roman" w:cs="Times New Roman"/>
          <w:color w:val="000000"/>
          <w:kern w:val="1"/>
          <w:sz w:val="24"/>
          <w:szCs w:val="24"/>
          <w:lang w:eastAsia="mk-MK"/>
        </w:rPr>
        <w:t>;</w:t>
      </w:r>
      <w:r w:rsidR="000C2C16" w:rsidRPr="00BF2ACE">
        <w:rPr>
          <w:rFonts w:ascii="Times New Roman" w:hAnsi="Times New Roman" w:cs="Times New Roman"/>
          <w:color w:val="000000"/>
          <w:kern w:val="1"/>
          <w:sz w:val="24"/>
          <w:szCs w:val="24"/>
          <w:lang w:eastAsia="mk-MK"/>
        </w:rPr>
        <w:t xml:space="preserve"> </w:t>
      </w:r>
    </w:p>
    <w:p w:rsidR="00660C85" w:rsidRPr="00660C85" w:rsidRDefault="00660C85" w:rsidP="00D36D75">
      <w:pPr>
        <w:numPr>
          <w:ilvl w:val="0"/>
          <w:numId w:val="16"/>
        </w:numPr>
        <w:ind w:left="426" w:hanging="426"/>
        <w:jc w:val="both"/>
        <w:rPr>
          <w:rFonts w:ascii="Times New Roman" w:hAnsi="Times New Roman" w:cs="Times New Roman"/>
          <w:sz w:val="24"/>
          <w:szCs w:val="24"/>
          <w:lang w:val="en-US"/>
        </w:rPr>
      </w:pPr>
      <w:r>
        <w:rPr>
          <w:rFonts w:ascii="Times New Roman" w:hAnsi="Times New Roman" w:cs="Times New Roman"/>
          <w:color w:val="000000"/>
          <w:kern w:val="1"/>
          <w:sz w:val="24"/>
          <w:szCs w:val="24"/>
          <w:lang w:eastAsia="mk-MK"/>
        </w:rPr>
        <w:t xml:space="preserve">салива - </w:t>
      </w:r>
      <w:r w:rsidRPr="00BF2ACE">
        <w:rPr>
          <w:rFonts w:ascii="Times New Roman" w:hAnsi="Times New Roman" w:cs="Times New Roman"/>
          <w:color w:val="000000"/>
          <w:kern w:val="1"/>
          <w:sz w:val="24"/>
          <w:szCs w:val="24"/>
          <w:lang w:eastAsia="mk-MK"/>
        </w:rPr>
        <w:t xml:space="preserve">Shapiro-Wilk: </w:t>
      </w:r>
      <w:r w:rsidR="000C2C16" w:rsidRPr="00BF2ACE">
        <w:rPr>
          <w:rFonts w:ascii="Times New Roman" w:hAnsi="Times New Roman" w:cs="Times New Roman"/>
          <w:color w:val="000000"/>
          <w:kern w:val="1"/>
          <w:sz w:val="24"/>
          <w:szCs w:val="24"/>
          <w:lang w:eastAsia="mk-MK"/>
        </w:rPr>
        <w:t>W=0,3649</w:t>
      </w:r>
      <w:r w:rsidR="000C2C16" w:rsidRPr="00A926CA">
        <w:rPr>
          <w:rFonts w:ascii="Times New Roman" w:hAnsi="Times New Roman" w:cs="Times New Roman"/>
          <w:color w:val="000000"/>
          <w:kern w:val="1"/>
          <w:sz w:val="24"/>
          <w:szCs w:val="24"/>
          <w:lang w:val="en-US" w:eastAsia="mk-MK"/>
        </w:rPr>
        <w:t>;</w:t>
      </w:r>
      <w:r w:rsidR="000C2C16" w:rsidRPr="00BF2ACE">
        <w:rPr>
          <w:rFonts w:ascii="Times New Roman" w:hAnsi="Times New Roman" w:cs="Times New Roman"/>
          <w:color w:val="000000"/>
          <w:kern w:val="1"/>
          <w:sz w:val="24"/>
          <w:szCs w:val="24"/>
          <w:lang w:eastAsia="mk-MK"/>
        </w:rPr>
        <w:t xml:space="preserve"> p=0,00001</w:t>
      </w:r>
      <w:r>
        <w:rPr>
          <w:rFonts w:ascii="Times New Roman" w:hAnsi="Times New Roman" w:cs="Times New Roman"/>
          <w:color w:val="000000"/>
          <w:kern w:val="1"/>
          <w:sz w:val="24"/>
          <w:szCs w:val="24"/>
          <w:lang w:eastAsia="mk-MK"/>
        </w:rPr>
        <w:t>;</w:t>
      </w:r>
      <w:r w:rsidR="000C2C16" w:rsidRPr="00BF2ACE">
        <w:rPr>
          <w:rFonts w:ascii="Times New Roman" w:hAnsi="Times New Roman" w:cs="Times New Roman"/>
          <w:color w:val="000000"/>
          <w:kern w:val="1"/>
          <w:sz w:val="24"/>
          <w:szCs w:val="24"/>
          <w:lang w:val="en-US" w:eastAsia="mk-MK"/>
        </w:rPr>
        <w:t xml:space="preserve"> </w:t>
      </w:r>
    </w:p>
    <w:p w:rsidR="00660C85" w:rsidRDefault="00660C85" w:rsidP="00D36D75">
      <w:pPr>
        <w:jc w:val="both"/>
        <w:rPr>
          <w:rFonts w:ascii="Times New Roman" w:hAnsi="Times New Roman" w:cs="Times New Roman"/>
          <w:sz w:val="24"/>
          <w:szCs w:val="24"/>
        </w:rPr>
      </w:pPr>
    </w:p>
    <w:p w:rsidR="000C2C16" w:rsidRPr="00A926CA" w:rsidRDefault="000C2C16" w:rsidP="00D36D75">
      <w:pPr>
        <w:ind w:firstLine="720"/>
        <w:jc w:val="both"/>
        <w:rPr>
          <w:rFonts w:ascii="Times New Roman" w:hAnsi="Times New Roman" w:cs="Times New Roman"/>
          <w:sz w:val="24"/>
          <w:szCs w:val="24"/>
          <w:lang w:val="ru-RU"/>
        </w:rPr>
      </w:pPr>
      <w:r w:rsidRPr="00660C85">
        <w:rPr>
          <w:rFonts w:ascii="Times New Roman" w:hAnsi="Times New Roman" w:cs="Times New Roman"/>
          <w:color w:val="000000"/>
          <w:kern w:val="1"/>
          <w:sz w:val="24"/>
          <w:szCs w:val="24"/>
          <w:lang w:eastAsia="mk-MK"/>
        </w:rPr>
        <w:t xml:space="preserve">Согласно утврдената дистрибуција на </w:t>
      </w:r>
      <w:r w:rsidRPr="00660C85">
        <w:rPr>
          <w:rFonts w:ascii="Times New Roman" w:hAnsi="Times New Roman" w:cs="Times New Roman"/>
          <w:color w:val="000000"/>
          <w:sz w:val="24"/>
          <w:szCs w:val="24"/>
        </w:rPr>
        <w:t>IL-33 во серум и салива во двете групи</w:t>
      </w:r>
      <w:r w:rsidRPr="00660C85">
        <w:rPr>
          <w:rFonts w:ascii="Times New Roman" w:hAnsi="Times New Roman" w:cs="Times New Roman"/>
          <w:color w:val="000000"/>
          <w:kern w:val="1"/>
          <w:sz w:val="24"/>
          <w:szCs w:val="24"/>
          <w:lang w:eastAsia="mk-MK"/>
        </w:rPr>
        <w:t>, во понатамошната анализа беа користени соодветни непараметарски тестов</w:t>
      </w:r>
      <w:r w:rsidR="00660C85">
        <w:rPr>
          <w:rFonts w:ascii="Times New Roman" w:hAnsi="Times New Roman" w:cs="Times New Roman"/>
          <w:color w:val="000000"/>
          <w:kern w:val="1"/>
          <w:sz w:val="24"/>
          <w:szCs w:val="24"/>
          <w:lang w:eastAsia="mk-MK"/>
        </w:rPr>
        <w:t>и</w:t>
      </w:r>
      <w:r w:rsidRPr="00660C85">
        <w:rPr>
          <w:rFonts w:ascii="Times New Roman" w:hAnsi="Times New Roman" w:cs="Times New Roman"/>
          <w:color w:val="000000"/>
          <w:kern w:val="1"/>
          <w:sz w:val="24"/>
          <w:szCs w:val="24"/>
          <w:lang w:eastAsia="mk-MK"/>
        </w:rPr>
        <w:t>.</w:t>
      </w:r>
    </w:p>
    <w:p w:rsidR="00D36D75" w:rsidRDefault="00D36D75" w:rsidP="00412761">
      <w:pPr>
        <w:spacing w:after="360" w:line="360" w:lineRule="auto"/>
        <w:jc w:val="both"/>
        <w:rPr>
          <w:rFonts w:ascii="Times New Roman" w:hAnsi="Times New Roman" w:cs="Times New Roman"/>
          <w:color w:val="000000"/>
          <w:sz w:val="24"/>
          <w:szCs w:val="24"/>
        </w:rPr>
      </w:pPr>
    </w:p>
    <w:p w:rsidR="00D36D75" w:rsidRDefault="00D36D75" w:rsidP="00412761">
      <w:pPr>
        <w:spacing w:after="360" w:line="360" w:lineRule="auto"/>
        <w:jc w:val="both"/>
        <w:rPr>
          <w:rFonts w:ascii="Times New Roman" w:hAnsi="Times New Roman" w:cs="Times New Roman"/>
          <w:color w:val="000000"/>
          <w:sz w:val="24"/>
          <w:szCs w:val="24"/>
        </w:rPr>
      </w:pPr>
    </w:p>
    <w:p w:rsidR="00D36D75" w:rsidRDefault="00D36D75" w:rsidP="00412761">
      <w:pPr>
        <w:spacing w:after="360" w:line="360" w:lineRule="auto"/>
        <w:jc w:val="both"/>
        <w:rPr>
          <w:rFonts w:ascii="Times New Roman" w:hAnsi="Times New Roman" w:cs="Times New Roman"/>
          <w:color w:val="000000"/>
          <w:sz w:val="24"/>
          <w:szCs w:val="24"/>
        </w:rPr>
      </w:pPr>
    </w:p>
    <w:p w:rsidR="00D36D75" w:rsidRDefault="00D36D75" w:rsidP="00412761">
      <w:pPr>
        <w:spacing w:after="360" w:line="360" w:lineRule="auto"/>
        <w:jc w:val="both"/>
        <w:rPr>
          <w:rFonts w:ascii="Times New Roman" w:hAnsi="Times New Roman" w:cs="Times New Roman"/>
          <w:color w:val="000000"/>
          <w:sz w:val="24"/>
          <w:szCs w:val="24"/>
        </w:rPr>
      </w:pPr>
    </w:p>
    <w:p w:rsidR="00412761" w:rsidRPr="00EC28B2" w:rsidRDefault="00823B44" w:rsidP="00D36D75">
      <w:pPr>
        <w:spacing w:after="360"/>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521B40">
        <w:rPr>
          <w:rFonts w:ascii="Times New Roman" w:hAnsi="Times New Roman" w:cs="Times New Roman"/>
          <w:b/>
          <w:color w:val="000000"/>
          <w:sz w:val="24"/>
          <w:szCs w:val="24"/>
        </w:rPr>
        <w:t>.</w:t>
      </w:r>
      <w:r w:rsidR="00FD1D61">
        <w:rPr>
          <w:rFonts w:ascii="Times New Roman" w:hAnsi="Times New Roman" w:cs="Times New Roman"/>
          <w:b/>
          <w:color w:val="000000"/>
          <w:sz w:val="24"/>
          <w:szCs w:val="24"/>
        </w:rPr>
        <w:t xml:space="preserve">1 </w:t>
      </w:r>
      <w:r w:rsidR="00BC0126" w:rsidRPr="0076051F">
        <w:rPr>
          <w:rFonts w:ascii="Times New Roman" w:hAnsi="Times New Roman" w:cs="Times New Roman"/>
          <w:b/>
          <w:color w:val="000000" w:themeColor="text1"/>
          <w:sz w:val="24"/>
          <w:szCs w:val="24"/>
        </w:rPr>
        <w:t>Анализа на</w:t>
      </w:r>
      <w:r w:rsidR="00BC0126">
        <w:rPr>
          <w:rFonts w:ascii="Times New Roman" w:hAnsi="Times New Roman" w:cs="Times New Roman"/>
          <w:b/>
          <w:color w:val="000000"/>
          <w:sz w:val="24"/>
          <w:szCs w:val="24"/>
        </w:rPr>
        <w:t xml:space="preserve"> </w:t>
      </w:r>
      <w:r w:rsidR="004058D7" w:rsidRPr="00EC28B2">
        <w:rPr>
          <w:rFonts w:ascii="Times New Roman" w:hAnsi="Times New Roman" w:cs="Times New Roman"/>
          <w:b/>
          <w:color w:val="000000"/>
          <w:sz w:val="24"/>
          <w:szCs w:val="24"/>
          <w:lang w:val="en-US"/>
        </w:rPr>
        <w:t>IL</w:t>
      </w:r>
      <w:r w:rsidR="004058D7" w:rsidRPr="00A926CA">
        <w:rPr>
          <w:rFonts w:ascii="Times New Roman" w:hAnsi="Times New Roman" w:cs="Times New Roman"/>
          <w:b/>
          <w:color w:val="000000"/>
          <w:sz w:val="24"/>
          <w:szCs w:val="24"/>
          <w:lang w:val="ru-RU"/>
        </w:rPr>
        <w:t>-33 во серу</w:t>
      </w:r>
      <w:r w:rsidR="004058D7" w:rsidRPr="00EC28B2">
        <w:rPr>
          <w:rFonts w:ascii="Times New Roman" w:hAnsi="Times New Roman" w:cs="Times New Roman"/>
          <w:b/>
          <w:color w:val="000000"/>
          <w:sz w:val="24"/>
          <w:szCs w:val="24"/>
        </w:rPr>
        <w:t>м</w:t>
      </w:r>
      <w:r w:rsidR="004058D7" w:rsidRPr="00A926CA">
        <w:rPr>
          <w:rFonts w:ascii="Times New Roman" w:hAnsi="Times New Roman" w:cs="Times New Roman"/>
          <w:b/>
          <w:color w:val="000000"/>
          <w:sz w:val="24"/>
          <w:szCs w:val="24"/>
          <w:lang w:val="ru-RU"/>
        </w:rPr>
        <w:t xml:space="preserve"> </w:t>
      </w:r>
    </w:p>
    <w:p w:rsidR="00002BD5" w:rsidRDefault="00412761" w:rsidP="00D36D75">
      <w:pPr>
        <w:ind w:firstLine="720"/>
        <w:jc w:val="both"/>
        <w:rPr>
          <w:rFonts w:ascii="Times New Roman" w:hAnsi="Times New Roman" w:cs="Times New Roman"/>
          <w:color w:val="000000"/>
          <w:sz w:val="24"/>
          <w:szCs w:val="24"/>
        </w:rPr>
      </w:pPr>
      <w:r>
        <w:rPr>
          <w:rFonts w:ascii="Times New Roman" w:hAnsi="Times New Roman" w:cs="Times New Roman"/>
          <w:sz w:val="24"/>
          <w:szCs w:val="24"/>
        </w:rPr>
        <w:t>Кај пациентите од испитуваната</w:t>
      </w:r>
      <w:r w:rsidR="00A0006E">
        <w:rPr>
          <w:rFonts w:ascii="Times New Roman" w:hAnsi="Times New Roman" w:cs="Times New Roman"/>
          <w:sz w:val="24"/>
          <w:szCs w:val="24"/>
        </w:rPr>
        <w:t xml:space="preserve"> и контролната група направена беше </w:t>
      </w:r>
      <w:r w:rsidR="00184EF6">
        <w:rPr>
          <w:rFonts w:ascii="Times New Roman" w:hAnsi="Times New Roman" w:cs="Times New Roman"/>
          <w:sz w:val="24"/>
          <w:szCs w:val="24"/>
        </w:rPr>
        <w:t xml:space="preserve">меѓугрупна </w:t>
      </w:r>
      <w:r w:rsidR="0030404E">
        <w:rPr>
          <w:rFonts w:ascii="Times New Roman" w:hAnsi="Times New Roman" w:cs="Times New Roman"/>
          <w:sz w:val="24"/>
          <w:szCs w:val="24"/>
        </w:rPr>
        <w:t xml:space="preserve">и интрагрупна </w:t>
      </w:r>
      <w:r w:rsidR="00A0006E">
        <w:rPr>
          <w:rFonts w:ascii="Times New Roman" w:hAnsi="Times New Roman" w:cs="Times New Roman"/>
          <w:sz w:val="24"/>
          <w:szCs w:val="24"/>
        </w:rPr>
        <w:t>според</w:t>
      </w:r>
      <w:r w:rsidR="00F74128">
        <w:rPr>
          <w:rFonts w:ascii="Times New Roman" w:hAnsi="Times New Roman" w:cs="Times New Roman"/>
          <w:sz w:val="24"/>
          <w:szCs w:val="24"/>
        </w:rPr>
        <w:t>б</w:t>
      </w:r>
      <w:r w:rsidR="00A0006E">
        <w:rPr>
          <w:rFonts w:ascii="Times New Roman" w:hAnsi="Times New Roman" w:cs="Times New Roman"/>
          <w:sz w:val="24"/>
          <w:szCs w:val="24"/>
        </w:rPr>
        <w:t xml:space="preserve">а на нивото на </w:t>
      </w:r>
      <w:r>
        <w:rPr>
          <w:rFonts w:ascii="Times New Roman" w:hAnsi="Times New Roman" w:cs="Times New Roman"/>
          <w:sz w:val="24"/>
          <w:szCs w:val="24"/>
        </w:rPr>
        <w:t xml:space="preserve"> </w:t>
      </w:r>
      <w:r w:rsidR="00A0006E" w:rsidRPr="00BF2ACE">
        <w:rPr>
          <w:rFonts w:ascii="Times New Roman" w:hAnsi="Times New Roman" w:cs="Times New Roman"/>
          <w:color w:val="000000"/>
          <w:sz w:val="24"/>
          <w:szCs w:val="24"/>
        </w:rPr>
        <w:t xml:space="preserve">IL-33 во серум </w:t>
      </w:r>
      <w:r w:rsidR="00184EF6">
        <w:rPr>
          <w:rFonts w:ascii="Times New Roman" w:hAnsi="Times New Roman" w:cs="Times New Roman"/>
          <w:color w:val="000000"/>
          <w:sz w:val="24"/>
          <w:szCs w:val="24"/>
        </w:rPr>
        <w:t>(Табела 12)</w:t>
      </w:r>
      <w:r w:rsidR="00A0006E">
        <w:rPr>
          <w:rFonts w:ascii="Times New Roman" w:hAnsi="Times New Roman" w:cs="Times New Roman"/>
          <w:color w:val="000000"/>
          <w:sz w:val="24"/>
          <w:szCs w:val="24"/>
        </w:rPr>
        <w:t>.</w:t>
      </w:r>
    </w:p>
    <w:p w:rsidR="000303EB" w:rsidRDefault="000303EB" w:rsidP="000303EB">
      <w:pPr>
        <w:spacing w:line="360" w:lineRule="auto"/>
        <w:ind w:firstLine="720"/>
        <w:jc w:val="both"/>
        <w:rPr>
          <w:rFonts w:ascii="Times New Roman" w:hAnsi="Times New Roman" w:cs="Times New Roman"/>
          <w:color w:val="000000"/>
          <w:sz w:val="24"/>
          <w:szCs w:val="24"/>
        </w:rPr>
      </w:pPr>
    </w:p>
    <w:p w:rsidR="003C06CF" w:rsidRPr="00393EB8" w:rsidRDefault="003C06CF" w:rsidP="003C06CF">
      <w:pPr>
        <w:spacing w:line="360" w:lineRule="auto"/>
        <w:jc w:val="both"/>
        <w:rPr>
          <w:rFonts w:ascii="Times New Roman" w:hAnsi="Times New Roman" w:cs="Times New Roman"/>
          <w:b/>
          <w:color w:val="000000"/>
          <w:sz w:val="20"/>
          <w:szCs w:val="20"/>
        </w:rPr>
      </w:pPr>
      <w:r w:rsidRPr="00393EB8">
        <w:rPr>
          <w:rFonts w:ascii="Times New Roman" w:hAnsi="Times New Roman" w:cs="Times New Roman"/>
          <w:b/>
          <w:color w:val="000000"/>
          <w:sz w:val="20"/>
          <w:szCs w:val="20"/>
        </w:rPr>
        <w:t>Табела 1</w:t>
      </w:r>
      <w:r w:rsidR="00393EB8" w:rsidRPr="00393EB8">
        <w:rPr>
          <w:rFonts w:ascii="Times New Roman" w:hAnsi="Times New Roman" w:cs="Times New Roman"/>
          <w:b/>
          <w:color w:val="000000"/>
          <w:sz w:val="20"/>
          <w:szCs w:val="20"/>
        </w:rPr>
        <w:t>2</w:t>
      </w:r>
      <w:r w:rsidRPr="00393EB8">
        <w:rPr>
          <w:rFonts w:ascii="Times New Roman" w:hAnsi="Times New Roman" w:cs="Times New Roman"/>
          <w:b/>
          <w:color w:val="000000"/>
          <w:sz w:val="20"/>
          <w:szCs w:val="20"/>
        </w:rPr>
        <w:t xml:space="preserve">. Анализа </w:t>
      </w:r>
      <w:r w:rsidR="000A1D74">
        <w:rPr>
          <w:rFonts w:ascii="Times New Roman" w:hAnsi="Times New Roman" w:cs="Times New Roman"/>
          <w:b/>
          <w:color w:val="000000"/>
          <w:sz w:val="20"/>
          <w:szCs w:val="20"/>
        </w:rPr>
        <w:t xml:space="preserve">на </w:t>
      </w:r>
      <w:r w:rsidR="00393EB8" w:rsidRPr="00393EB8">
        <w:rPr>
          <w:rFonts w:ascii="Times New Roman" w:hAnsi="Times New Roman" w:cs="Times New Roman"/>
          <w:b/>
          <w:color w:val="000000"/>
          <w:sz w:val="20"/>
          <w:szCs w:val="20"/>
        </w:rPr>
        <w:t xml:space="preserve">IL-33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00393EB8" w:rsidRPr="00393EB8">
        <w:rPr>
          <w:rFonts w:ascii="Times New Roman" w:hAnsi="Times New Roman" w:cs="Times New Roman"/>
          <w:b/>
          <w:color w:val="000000"/>
          <w:sz w:val="20"/>
          <w:szCs w:val="20"/>
        </w:rPr>
        <w:t xml:space="preserve">во серум </w:t>
      </w:r>
      <w:r w:rsidR="000A1D74">
        <w:rPr>
          <w:rFonts w:ascii="Times New Roman" w:hAnsi="Times New Roman" w:cs="Times New Roman"/>
          <w:b/>
          <w:color w:val="000000"/>
          <w:sz w:val="20"/>
          <w:szCs w:val="20"/>
        </w:rPr>
        <w:t>според</w:t>
      </w:r>
      <w:r w:rsidR="00393EB8" w:rsidRPr="00393EB8">
        <w:rPr>
          <w:rFonts w:ascii="Times New Roman" w:hAnsi="Times New Roman" w:cs="Times New Roman"/>
          <w:b/>
          <w:color w:val="000000"/>
          <w:sz w:val="20"/>
          <w:szCs w:val="20"/>
        </w:rPr>
        <w:t xml:space="preserve"> испитувана и контролна група</w:t>
      </w:r>
    </w:p>
    <w:tbl>
      <w:tblPr>
        <w:tblpPr w:leftFromText="180" w:rightFromText="180" w:vertAnchor="text" w:horzAnchor="margin" w:tblpX="-67" w:tblpY="51"/>
        <w:tblW w:w="89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139"/>
        <w:gridCol w:w="1276"/>
        <w:gridCol w:w="640"/>
        <w:gridCol w:w="1912"/>
        <w:gridCol w:w="1559"/>
        <w:gridCol w:w="2410"/>
      </w:tblGrid>
      <w:tr w:rsidR="009B319F" w:rsidRPr="006E00F6" w:rsidTr="009B319F">
        <w:trPr>
          <w:cantSplit/>
          <w:trHeight w:val="415"/>
        </w:trPr>
        <w:tc>
          <w:tcPr>
            <w:tcW w:w="2415" w:type="dxa"/>
            <w:gridSpan w:val="2"/>
            <w:vMerge w:val="restart"/>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color w:val="FFFFFF"/>
                <w:sz w:val="18"/>
                <w:szCs w:val="18"/>
                <w:lang w:eastAsia="mk-MK"/>
              </w:rPr>
            </w:pPr>
            <w:r w:rsidRPr="006E00F6">
              <w:rPr>
                <w:rFonts w:ascii="Times New Roman" w:hAnsi="Times New Roman" w:cs="Times New Roman"/>
                <w:b/>
                <w:color w:val="FFFFFF"/>
                <w:sz w:val="18"/>
                <w:szCs w:val="18"/>
                <w:lang w:eastAsia="mk-MK"/>
              </w:rPr>
              <w:t>Параметри</w:t>
            </w:r>
          </w:p>
        </w:tc>
        <w:tc>
          <w:tcPr>
            <w:tcW w:w="640" w:type="dxa"/>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color w:val="FFFFFF"/>
                <w:sz w:val="18"/>
                <w:szCs w:val="18"/>
                <w:lang w:eastAsia="mk-MK"/>
              </w:rPr>
            </w:pPr>
          </w:p>
        </w:tc>
        <w:tc>
          <w:tcPr>
            <w:tcW w:w="3471" w:type="dxa"/>
            <w:gridSpan w:val="2"/>
            <w:shd w:val="clear" w:color="auto" w:fill="31849B"/>
            <w:vAlign w:val="center"/>
          </w:tcPr>
          <w:p w:rsidR="009B319F" w:rsidRPr="006B08E6" w:rsidRDefault="009B319F" w:rsidP="008A37C4">
            <w:pPr>
              <w:autoSpaceDE w:val="0"/>
              <w:autoSpaceDN w:val="0"/>
              <w:adjustRightInd w:val="0"/>
              <w:ind w:left="60" w:right="60"/>
              <w:jc w:val="center"/>
              <w:rPr>
                <w:rFonts w:ascii="Times New Roman" w:hAnsi="Times New Roman" w:cs="Times New Roman"/>
                <w:b/>
                <w:bCs/>
                <w:color w:val="FFFFFF"/>
                <w:sz w:val="18"/>
                <w:szCs w:val="18"/>
              </w:rPr>
            </w:pPr>
            <w:r>
              <w:rPr>
                <w:rFonts w:ascii="Times New Roman" w:hAnsi="Times New Roman" w:cs="Times New Roman"/>
                <w:b/>
                <w:bCs/>
                <w:color w:val="FFFFFF"/>
                <w:sz w:val="18"/>
                <w:szCs w:val="18"/>
                <w:lang w:val="en-US"/>
              </w:rPr>
              <w:t>IL – 33</w:t>
            </w:r>
            <w:r>
              <w:rPr>
                <w:rFonts w:ascii="Times New Roman" w:hAnsi="Times New Roman" w:cs="Times New Roman"/>
                <w:b/>
                <w:bCs/>
                <w:color w:val="FFFFFF"/>
                <w:sz w:val="18"/>
                <w:szCs w:val="18"/>
              </w:rPr>
              <w:t xml:space="preserve"> </w:t>
            </w:r>
            <w:r w:rsidR="0022737D">
              <w:rPr>
                <w:rFonts w:ascii="Times New Roman" w:hAnsi="Times New Roman" w:cs="Times New Roman"/>
                <w:b/>
                <w:bCs/>
                <w:color w:val="FFFFFF"/>
                <w:sz w:val="18"/>
                <w:szCs w:val="18"/>
                <w:lang w:val="en-US"/>
              </w:rPr>
              <w:t xml:space="preserve"> pg/mL </w:t>
            </w:r>
            <w:r>
              <w:rPr>
                <w:rFonts w:ascii="Times New Roman" w:hAnsi="Times New Roman" w:cs="Times New Roman"/>
                <w:b/>
                <w:bCs/>
                <w:color w:val="FFFFFF"/>
                <w:sz w:val="18"/>
                <w:szCs w:val="18"/>
              </w:rPr>
              <w:t>(серум)</w:t>
            </w:r>
          </w:p>
        </w:tc>
        <w:tc>
          <w:tcPr>
            <w:tcW w:w="2410" w:type="dxa"/>
            <w:vMerge w:val="restart"/>
            <w:shd w:val="clear" w:color="auto" w:fill="31849B"/>
            <w:vAlign w:val="center"/>
          </w:tcPr>
          <w:p w:rsidR="009B319F" w:rsidRPr="009B319F" w:rsidRDefault="009B319F" w:rsidP="009B319F">
            <w:pPr>
              <w:autoSpaceDE w:val="0"/>
              <w:autoSpaceDN w:val="0"/>
              <w:adjustRightInd w:val="0"/>
              <w:ind w:left="60" w:right="60"/>
              <w:jc w:val="center"/>
              <w:rPr>
                <w:rFonts w:ascii="Times New Roman" w:hAnsi="Times New Roman" w:cs="Times New Roman"/>
                <w:b/>
                <w:bCs/>
                <w:color w:val="FFFFFF"/>
                <w:sz w:val="18"/>
                <w:szCs w:val="18"/>
                <w:lang w:val="en-US"/>
              </w:rPr>
            </w:pPr>
            <w:r w:rsidRPr="009B319F">
              <w:rPr>
                <w:rFonts w:ascii="Times New Roman" w:hAnsi="Times New Roman" w:cs="Times New Roman"/>
                <w:b/>
                <w:bCs/>
                <w:color w:val="FFFFFF"/>
                <w:sz w:val="18"/>
                <w:szCs w:val="18"/>
                <w:lang w:val="en-US"/>
              </w:rPr>
              <w:t>p</w:t>
            </w:r>
          </w:p>
        </w:tc>
      </w:tr>
      <w:tr w:rsidR="009B319F" w:rsidRPr="006E00F6" w:rsidTr="007D4007">
        <w:trPr>
          <w:cantSplit/>
          <w:trHeight w:val="415"/>
        </w:trPr>
        <w:tc>
          <w:tcPr>
            <w:tcW w:w="2415" w:type="dxa"/>
            <w:gridSpan w:val="2"/>
            <w:vMerge/>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color w:val="FFFFFF"/>
                <w:sz w:val="18"/>
                <w:szCs w:val="18"/>
                <w:lang w:eastAsia="en-GB"/>
              </w:rPr>
            </w:pPr>
          </w:p>
        </w:tc>
        <w:tc>
          <w:tcPr>
            <w:tcW w:w="640" w:type="dxa"/>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color w:val="FFFFFF"/>
                <w:sz w:val="18"/>
                <w:szCs w:val="18"/>
                <w:lang w:eastAsia="mk-MK"/>
              </w:rPr>
            </w:pPr>
            <w:r w:rsidRPr="006E00F6">
              <w:rPr>
                <w:rFonts w:ascii="Times New Roman" w:hAnsi="Times New Roman" w:cs="Times New Roman"/>
                <w:b/>
                <w:color w:val="FFFFFF"/>
                <w:sz w:val="18"/>
                <w:szCs w:val="18"/>
                <w:lang w:eastAsia="mk-MK"/>
              </w:rPr>
              <w:t xml:space="preserve"> N</w:t>
            </w:r>
          </w:p>
        </w:tc>
        <w:tc>
          <w:tcPr>
            <w:tcW w:w="1912" w:type="dxa"/>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color w:val="FFFFFF"/>
                <w:sz w:val="18"/>
                <w:szCs w:val="18"/>
                <w:lang w:val="en-US" w:eastAsia="mk-MK"/>
              </w:rPr>
            </w:pPr>
            <w:r w:rsidRPr="006E00F6">
              <w:rPr>
                <w:rFonts w:ascii="Times New Roman" w:hAnsi="Times New Roman" w:cs="Times New Roman"/>
                <w:b/>
                <w:bCs/>
                <w:color w:val="FFFFFF"/>
                <w:sz w:val="18"/>
                <w:szCs w:val="18"/>
              </w:rPr>
              <w:t>Mean±</w:t>
            </w:r>
            <w:r w:rsidRPr="006E00F6">
              <w:rPr>
                <w:rFonts w:ascii="Times New Roman" w:hAnsi="Times New Roman" w:cs="Times New Roman"/>
                <w:b/>
                <w:color w:val="FFFFFF"/>
                <w:sz w:val="18"/>
                <w:szCs w:val="18"/>
                <w:lang w:val="en-US" w:eastAsia="mk-MK"/>
              </w:rPr>
              <w:t xml:space="preserve"> SD</w:t>
            </w:r>
          </w:p>
        </w:tc>
        <w:tc>
          <w:tcPr>
            <w:tcW w:w="1559" w:type="dxa"/>
            <w:shd w:val="clear" w:color="auto" w:fill="31849B"/>
            <w:vAlign w:val="center"/>
          </w:tcPr>
          <w:p w:rsidR="009B319F" w:rsidRPr="006E00F6" w:rsidRDefault="009B319F" w:rsidP="008A37C4">
            <w:pPr>
              <w:autoSpaceDE w:val="0"/>
              <w:autoSpaceDN w:val="0"/>
              <w:adjustRightInd w:val="0"/>
              <w:ind w:left="60" w:right="60"/>
              <w:jc w:val="center"/>
              <w:rPr>
                <w:rFonts w:ascii="Times New Roman" w:hAnsi="Times New Roman" w:cs="Times New Roman"/>
                <w:b/>
                <w:bCs/>
                <w:color w:val="FFFFFF"/>
                <w:sz w:val="18"/>
                <w:szCs w:val="18"/>
                <w:lang w:val="en-US"/>
              </w:rPr>
            </w:pPr>
            <w:r w:rsidRPr="006E00F6">
              <w:rPr>
                <w:rFonts w:ascii="Times New Roman" w:hAnsi="Times New Roman" w:cs="Times New Roman"/>
                <w:b/>
                <w:bCs/>
                <w:color w:val="FFFFFF"/>
                <w:sz w:val="18"/>
                <w:szCs w:val="18"/>
                <w:lang w:val="en-US"/>
              </w:rPr>
              <w:t>Median (IQR)</w:t>
            </w:r>
          </w:p>
        </w:tc>
        <w:tc>
          <w:tcPr>
            <w:tcW w:w="2410" w:type="dxa"/>
            <w:vMerge/>
            <w:shd w:val="clear" w:color="auto" w:fill="31849B"/>
          </w:tcPr>
          <w:p w:rsidR="009B319F" w:rsidRPr="006E00F6" w:rsidRDefault="009B319F" w:rsidP="008A37C4">
            <w:pPr>
              <w:autoSpaceDE w:val="0"/>
              <w:autoSpaceDN w:val="0"/>
              <w:adjustRightInd w:val="0"/>
              <w:ind w:left="60" w:right="60"/>
              <w:jc w:val="center"/>
              <w:rPr>
                <w:rFonts w:ascii="Times New Roman" w:hAnsi="Times New Roman" w:cs="Times New Roman"/>
                <w:b/>
                <w:bCs/>
                <w:color w:val="000000"/>
                <w:sz w:val="18"/>
                <w:szCs w:val="18"/>
                <w:lang w:val="en-US"/>
              </w:rPr>
            </w:pPr>
          </w:p>
        </w:tc>
      </w:tr>
      <w:tr w:rsidR="0064461C" w:rsidRPr="006E00F6" w:rsidTr="0064461C">
        <w:trPr>
          <w:cantSplit/>
          <w:trHeight w:val="279"/>
        </w:trPr>
        <w:tc>
          <w:tcPr>
            <w:tcW w:w="1139" w:type="dxa"/>
            <w:vMerge w:val="restart"/>
            <w:shd w:val="clear" w:color="auto" w:fill="31849B"/>
            <w:vAlign w:val="center"/>
          </w:tcPr>
          <w:p w:rsidR="0064461C" w:rsidRPr="006E00F6" w:rsidRDefault="0064461C" w:rsidP="0064461C">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Групи</w:t>
            </w:r>
          </w:p>
        </w:tc>
        <w:tc>
          <w:tcPr>
            <w:tcW w:w="1276" w:type="dxa"/>
            <w:shd w:val="clear" w:color="auto" w:fill="31849B"/>
            <w:vAlign w:val="center"/>
          </w:tcPr>
          <w:p w:rsidR="0064461C" w:rsidRPr="00D30B89" w:rsidRDefault="0064461C" w:rsidP="00E26716">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Испитувана</w:t>
            </w:r>
          </w:p>
        </w:tc>
        <w:tc>
          <w:tcPr>
            <w:tcW w:w="640" w:type="dxa"/>
            <w:shd w:val="clear" w:color="auto" w:fill="DAEEF3"/>
            <w:vAlign w:val="center"/>
          </w:tcPr>
          <w:p w:rsidR="0064461C" w:rsidRPr="006E00F6" w:rsidRDefault="0064461C" w:rsidP="0064461C">
            <w:pPr>
              <w:jc w:val="center"/>
              <w:rPr>
                <w:rFonts w:ascii="Times New Roman" w:hAnsi="Times New Roman" w:cs="Times New Roman"/>
                <w:sz w:val="18"/>
                <w:szCs w:val="18"/>
              </w:rPr>
            </w:pPr>
            <w:r>
              <w:rPr>
                <w:rFonts w:ascii="Times New Roman" w:hAnsi="Times New Roman" w:cs="Times New Roman"/>
                <w:sz w:val="18"/>
                <w:szCs w:val="18"/>
              </w:rPr>
              <w:t>62</w:t>
            </w:r>
          </w:p>
        </w:tc>
        <w:tc>
          <w:tcPr>
            <w:tcW w:w="1912" w:type="dxa"/>
            <w:shd w:val="clear" w:color="auto" w:fill="DAEEF3"/>
            <w:vAlign w:val="center"/>
          </w:tcPr>
          <w:p w:rsidR="0064461C" w:rsidRPr="006E00F6" w:rsidRDefault="0064461C" w:rsidP="0064461C">
            <w:pPr>
              <w:jc w:val="center"/>
              <w:rPr>
                <w:rFonts w:ascii="Times New Roman" w:hAnsi="Times New Roman" w:cs="Times New Roman"/>
                <w:sz w:val="18"/>
                <w:szCs w:val="18"/>
              </w:rPr>
            </w:pPr>
            <w:r>
              <w:rPr>
                <w:rFonts w:ascii="Times New Roman" w:hAnsi="Times New Roman" w:cs="Times New Roman"/>
                <w:sz w:val="18"/>
                <w:szCs w:val="18"/>
              </w:rPr>
              <w:t>4,85±0,16</w:t>
            </w:r>
          </w:p>
        </w:tc>
        <w:tc>
          <w:tcPr>
            <w:tcW w:w="1559" w:type="dxa"/>
            <w:shd w:val="clear" w:color="auto" w:fill="DAEEF3"/>
            <w:vAlign w:val="center"/>
          </w:tcPr>
          <w:p w:rsidR="0064461C" w:rsidRPr="006E00F6" w:rsidRDefault="0064461C" w:rsidP="0064461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(4,85-4,93)</w:t>
            </w:r>
          </w:p>
        </w:tc>
        <w:tc>
          <w:tcPr>
            <w:tcW w:w="2410" w:type="dxa"/>
            <w:vMerge w:val="restart"/>
            <w:shd w:val="clear" w:color="auto" w:fill="DAEEF3"/>
            <w:vAlign w:val="center"/>
          </w:tcPr>
          <w:p w:rsidR="0064461C" w:rsidRPr="006E00F6" w:rsidRDefault="0064461C" w:rsidP="00E84CE6">
            <w:pPr>
              <w:autoSpaceDE w:val="0"/>
              <w:autoSpaceDN w:val="0"/>
              <w:adjustRightInd w:val="0"/>
              <w:ind w:left="62" w:right="62"/>
              <w:jc w:val="center"/>
              <w:rPr>
                <w:rFonts w:ascii="Times New Roman" w:hAnsi="Times New Roman" w:cs="Times New Roman"/>
                <w:color w:val="000000"/>
                <w:sz w:val="18"/>
                <w:szCs w:val="18"/>
                <w:lang w:val="en-US"/>
              </w:rPr>
            </w:pPr>
            <w:r w:rsidRPr="00E84CE6">
              <w:rPr>
                <w:rFonts w:ascii="Times New Roman" w:hAnsi="Times New Roman" w:cs="Times New Roman"/>
                <w:color w:val="000000"/>
                <w:sz w:val="18"/>
                <w:szCs w:val="18"/>
              </w:rPr>
              <w:t>Z=-0,276; p=0,7828</w:t>
            </w:r>
          </w:p>
        </w:tc>
      </w:tr>
      <w:tr w:rsidR="0064461C" w:rsidRPr="006E00F6" w:rsidTr="007D4007">
        <w:trPr>
          <w:cantSplit/>
          <w:trHeight w:val="269"/>
        </w:trPr>
        <w:tc>
          <w:tcPr>
            <w:tcW w:w="1139" w:type="dxa"/>
            <w:vMerge/>
            <w:shd w:val="clear" w:color="auto" w:fill="31849B"/>
            <w:vAlign w:val="center"/>
          </w:tcPr>
          <w:p w:rsidR="0064461C" w:rsidRPr="006E00F6" w:rsidRDefault="0064461C" w:rsidP="0064461C">
            <w:pPr>
              <w:autoSpaceDE w:val="0"/>
              <w:autoSpaceDN w:val="0"/>
              <w:adjustRightInd w:val="0"/>
              <w:ind w:left="62" w:right="62"/>
              <w:rPr>
                <w:rFonts w:ascii="Times New Roman" w:hAnsi="Times New Roman" w:cs="Times New Roman"/>
                <w:b/>
                <w:color w:val="FFFFFF"/>
                <w:sz w:val="18"/>
                <w:szCs w:val="18"/>
                <w:lang w:eastAsia="en-GB"/>
              </w:rPr>
            </w:pPr>
          </w:p>
        </w:tc>
        <w:tc>
          <w:tcPr>
            <w:tcW w:w="1276" w:type="dxa"/>
            <w:shd w:val="clear" w:color="auto" w:fill="31849B"/>
            <w:vAlign w:val="center"/>
          </w:tcPr>
          <w:p w:rsidR="0064461C" w:rsidRPr="006E00F6" w:rsidRDefault="0064461C" w:rsidP="00E26716">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w:t>
            </w:r>
            <w:r>
              <w:rPr>
                <w:rFonts w:ascii="Times New Roman" w:hAnsi="Times New Roman" w:cs="Times New Roman"/>
                <w:b/>
                <w:color w:val="FFFFFF"/>
                <w:sz w:val="18"/>
                <w:szCs w:val="18"/>
                <w:lang w:val="en-US" w:eastAsia="mk-MK"/>
              </w:rPr>
              <w:t xml:space="preserve"> </w:t>
            </w:r>
            <w:r>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64461C" w:rsidRPr="006E00F6" w:rsidRDefault="0064461C" w:rsidP="0064461C">
            <w:pPr>
              <w:jc w:val="center"/>
              <w:rPr>
                <w:rFonts w:ascii="Times New Roman" w:hAnsi="Times New Roman" w:cs="Times New Roman"/>
                <w:sz w:val="18"/>
                <w:szCs w:val="18"/>
              </w:rPr>
            </w:pPr>
            <w:r>
              <w:rPr>
                <w:rFonts w:ascii="Times New Roman" w:hAnsi="Times New Roman" w:cs="Times New Roman"/>
                <w:sz w:val="18"/>
                <w:szCs w:val="18"/>
              </w:rPr>
              <w:t>58</w:t>
            </w:r>
          </w:p>
        </w:tc>
        <w:tc>
          <w:tcPr>
            <w:tcW w:w="1912" w:type="dxa"/>
            <w:shd w:val="clear" w:color="auto" w:fill="DAEEF3"/>
            <w:vAlign w:val="center"/>
          </w:tcPr>
          <w:p w:rsidR="0064461C" w:rsidRPr="006E00F6" w:rsidRDefault="0064461C" w:rsidP="0064461C">
            <w:pPr>
              <w:jc w:val="center"/>
              <w:rPr>
                <w:rFonts w:ascii="Times New Roman" w:hAnsi="Times New Roman" w:cs="Times New Roman"/>
                <w:sz w:val="18"/>
                <w:szCs w:val="18"/>
              </w:rPr>
            </w:pPr>
            <w:r>
              <w:rPr>
                <w:rFonts w:ascii="Times New Roman" w:hAnsi="Times New Roman" w:cs="Times New Roman"/>
                <w:sz w:val="18"/>
                <w:szCs w:val="18"/>
              </w:rPr>
              <w:t>4,80±0,55</w:t>
            </w:r>
          </w:p>
        </w:tc>
        <w:tc>
          <w:tcPr>
            <w:tcW w:w="1559" w:type="dxa"/>
            <w:shd w:val="clear" w:color="auto" w:fill="DAEEF3"/>
            <w:vAlign w:val="center"/>
          </w:tcPr>
          <w:p w:rsidR="0064461C" w:rsidRPr="006E00F6" w:rsidRDefault="0064461C" w:rsidP="0064461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(4,76-5,01)</w:t>
            </w:r>
          </w:p>
        </w:tc>
        <w:tc>
          <w:tcPr>
            <w:tcW w:w="2410" w:type="dxa"/>
            <w:vMerge/>
            <w:shd w:val="clear" w:color="auto" w:fill="DAEEF3"/>
          </w:tcPr>
          <w:p w:rsidR="0064461C" w:rsidRPr="006E00F6" w:rsidRDefault="0064461C" w:rsidP="0064461C">
            <w:pPr>
              <w:autoSpaceDE w:val="0"/>
              <w:autoSpaceDN w:val="0"/>
              <w:adjustRightInd w:val="0"/>
              <w:ind w:left="62" w:right="62"/>
              <w:jc w:val="center"/>
              <w:rPr>
                <w:rFonts w:ascii="Times New Roman" w:hAnsi="Times New Roman" w:cs="Times New Roman"/>
                <w:bCs/>
                <w:color w:val="000000"/>
                <w:sz w:val="18"/>
                <w:szCs w:val="18"/>
              </w:rPr>
            </w:pPr>
          </w:p>
        </w:tc>
      </w:tr>
      <w:tr w:rsidR="0064461C" w:rsidRPr="006E00F6" w:rsidTr="0064461C">
        <w:trPr>
          <w:cantSplit/>
          <w:trHeight w:val="265"/>
        </w:trPr>
        <w:tc>
          <w:tcPr>
            <w:tcW w:w="1139" w:type="dxa"/>
            <w:vMerge/>
            <w:shd w:val="clear" w:color="auto" w:fill="31849B"/>
            <w:vAlign w:val="center"/>
          </w:tcPr>
          <w:p w:rsidR="0064461C" w:rsidRPr="00A34120" w:rsidRDefault="0064461C" w:rsidP="0064461C">
            <w:pPr>
              <w:autoSpaceDE w:val="0"/>
              <w:autoSpaceDN w:val="0"/>
              <w:adjustRightInd w:val="0"/>
              <w:ind w:left="62" w:right="62"/>
              <w:rPr>
                <w:rFonts w:ascii="Times New Roman" w:hAnsi="Times New Roman" w:cs="Times New Roman"/>
                <w:b/>
                <w:bCs/>
                <w:color w:val="FFFFFF"/>
                <w:sz w:val="18"/>
                <w:szCs w:val="18"/>
              </w:rPr>
            </w:pPr>
          </w:p>
        </w:tc>
        <w:tc>
          <w:tcPr>
            <w:tcW w:w="1276" w:type="dxa"/>
            <w:shd w:val="clear" w:color="auto" w:fill="31849B"/>
            <w:vAlign w:val="center"/>
          </w:tcPr>
          <w:p w:rsidR="0064461C" w:rsidRPr="00A34120" w:rsidRDefault="0064461C" w:rsidP="0064461C">
            <w:pPr>
              <w:autoSpaceDE w:val="0"/>
              <w:autoSpaceDN w:val="0"/>
              <w:adjustRightInd w:val="0"/>
              <w:ind w:left="62" w:right="62"/>
              <w:rPr>
                <w:rFonts w:ascii="Times New Roman" w:hAnsi="Times New Roman" w:cs="Times New Roman"/>
                <w:b/>
                <w:bCs/>
                <w:color w:val="FFFFFF"/>
                <w:sz w:val="18"/>
                <w:szCs w:val="18"/>
              </w:rPr>
            </w:pP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64461C" w:rsidRPr="00A34120" w:rsidRDefault="0064461C" w:rsidP="0064461C">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120</w:t>
            </w:r>
          </w:p>
        </w:tc>
        <w:tc>
          <w:tcPr>
            <w:tcW w:w="1912" w:type="dxa"/>
            <w:shd w:val="clear" w:color="auto" w:fill="31849B"/>
            <w:vAlign w:val="center"/>
          </w:tcPr>
          <w:p w:rsidR="0064461C" w:rsidRPr="00A34120" w:rsidRDefault="0064461C" w:rsidP="0064461C">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4,83±0,40</w:t>
            </w:r>
          </w:p>
        </w:tc>
        <w:tc>
          <w:tcPr>
            <w:tcW w:w="1559" w:type="dxa"/>
            <w:shd w:val="clear" w:color="auto" w:fill="31849B"/>
            <w:vAlign w:val="center"/>
          </w:tcPr>
          <w:p w:rsidR="0064461C" w:rsidRPr="00A34120" w:rsidRDefault="0064461C" w:rsidP="0064461C">
            <w:pPr>
              <w:autoSpaceDE w:val="0"/>
              <w:autoSpaceDN w:val="0"/>
              <w:adjustRightInd w:val="0"/>
              <w:ind w:left="62" w:right="62"/>
              <w:jc w:val="center"/>
              <w:rPr>
                <w:rFonts w:ascii="Times New Roman" w:hAnsi="Times New Roman" w:cs="Times New Roman"/>
                <w:bCs/>
                <w:color w:val="FFFFFF"/>
                <w:sz w:val="18"/>
                <w:szCs w:val="18"/>
              </w:rPr>
            </w:pPr>
            <w:r w:rsidRPr="00A34120">
              <w:rPr>
                <w:rFonts w:ascii="Times New Roman" w:hAnsi="Times New Roman" w:cs="Times New Roman"/>
                <w:bCs/>
                <w:color w:val="FFFFFF"/>
                <w:sz w:val="18"/>
                <w:szCs w:val="18"/>
              </w:rPr>
              <w:t>4,85 (4,76-5,01)</w:t>
            </w:r>
          </w:p>
        </w:tc>
        <w:tc>
          <w:tcPr>
            <w:tcW w:w="2410" w:type="dxa"/>
            <w:vMerge/>
            <w:shd w:val="clear" w:color="auto" w:fill="F2DBDB"/>
          </w:tcPr>
          <w:p w:rsidR="0064461C" w:rsidRPr="006E00F6" w:rsidRDefault="0064461C" w:rsidP="0064461C">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9"/>
        </w:trPr>
        <w:tc>
          <w:tcPr>
            <w:tcW w:w="1139" w:type="dxa"/>
            <w:vMerge w:val="restart"/>
            <w:shd w:val="clear" w:color="auto" w:fill="31849B"/>
            <w:vAlign w:val="center"/>
          </w:tcPr>
          <w:p w:rsidR="00393EB8" w:rsidRDefault="00393EB8" w:rsidP="008A37C4">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 xml:space="preserve">Видови </w:t>
            </w:r>
          </w:p>
          <w:p w:rsidR="00393EB8" w:rsidRPr="006E00F6" w:rsidRDefault="00393EB8" w:rsidP="008A37C4">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тумор</w:t>
            </w:r>
          </w:p>
        </w:tc>
        <w:tc>
          <w:tcPr>
            <w:tcW w:w="1276" w:type="dxa"/>
            <w:shd w:val="clear" w:color="auto" w:fill="31849B"/>
            <w:vAlign w:val="center"/>
          </w:tcPr>
          <w:p w:rsidR="00393EB8" w:rsidRPr="00D30B89" w:rsidRDefault="00393EB8" w:rsidP="008A37C4">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Бенигни</w:t>
            </w:r>
          </w:p>
        </w:tc>
        <w:tc>
          <w:tcPr>
            <w:tcW w:w="640" w:type="dxa"/>
            <w:shd w:val="clear" w:color="auto" w:fill="DAEEF3"/>
            <w:vAlign w:val="center"/>
          </w:tcPr>
          <w:p w:rsidR="00393EB8" w:rsidRPr="006E00F6" w:rsidRDefault="00393EB8" w:rsidP="008A37C4">
            <w:pPr>
              <w:jc w:val="center"/>
              <w:rPr>
                <w:rFonts w:ascii="Times New Roman" w:hAnsi="Times New Roman" w:cs="Times New Roman"/>
                <w:sz w:val="18"/>
                <w:szCs w:val="18"/>
              </w:rPr>
            </w:pPr>
            <w:r>
              <w:rPr>
                <w:rFonts w:ascii="Times New Roman" w:hAnsi="Times New Roman" w:cs="Times New Roman"/>
                <w:sz w:val="18"/>
                <w:szCs w:val="18"/>
              </w:rPr>
              <w:t>49</w:t>
            </w:r>
          </w:p>
        </w:tc>
        <w:tc>
          <w:tcPr>
            <w:tcW w:w="1912" w:type="dxa"/>
            <w:shd w:val="clear" w:color="auto" w:fill="DAEEF3"/>
            <w:vAlign w:val="center"/>
          </w:tcPr>
          <w:p w:rsidR="00393EB8" w:rsidRPr="006E00F6" w:rsidRDefault="00393EB8" w:rsidP="008A37C4">
            <w:pPr>
              <w:jc w:val="center"/>
              <w:rPr>
                <w:rFonts w:ascii="Times New Roman" w:hAnsi="Times New Roman" w:cs="Times New Roman"/>
                <w:sz w:val="18"/>
                <w:szCs w:val="18"/>
              </w:rPr>
            </w:pPr>
            <w:r>
              <w:rPr>
                <w:rFonts w:ascii="Times New Roman" w:hAnsi="Times New Roman" w:cs="Times New Roman"/>
                <w:sz w:val="18"/>
                <w:szCs w:val="18"/>
              </w:rPr>
              <w:t>4,85±0,16</w:t>
            </w:r>
          </w:p>
        </w:tc>
        <w:tc>
          <w:tcPr>
            <w:tcW w:w="1559" w:type="dxa"/>
            <w:shd w:val="clear" w:color="auto" w:fill="DAEEF3"/>
            <w:vAlign w:val="center"/>
          </w:tcPr>
          <w:p w:rsidR="00393EB8" w:rsidRPr="006E00F6" w:rsidRDefault="00393EB8" w:rsidP="008A37C4">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(4,85-4,93)</w:t>
            </w:r>
          </w:p>
        </w:tc>
        <w:tc>
          <w:tcPr>
            <w:tcW w:w="2410" w:type="dxa"/>
            <w:vMerge w:val="restart"/>
            <w:shd w:val="clear" w:color="auto" w:fill="DAEEF3"/>
            <w:vAlign w:val="center"/>
          </w:tcPr>
          <w:p w:rsidR="00393EB8" w:rsidRPr="006E00F6" w:rsidRDefault="00393EB8" w:rsidP="00E84CE6">
            <w:pPr>
              <w:autoSpaceDE w:val="0"/>
              <w:autoSpaceDN w:val="0"/>
              <w:adjustRightInd w:val="0"/>
              <w:ind w:left="62" w:right="62"/>
              <w:jc w:val="center"/>
              <w:rPr>
                <w:rFonts w:ascii="Times New Roman" w:hAnsi="Times New Roman" w:cs="Times New Roman"/>
                <w:color w:val="000000"/>
                <w:sz w:val="18"/>
                <w:szCs w:val="18"/>
                <w:lang w:val="en-US"/>
              </w:rPr>
            </w:pPr>
            <w:r w:rsidRPr="00452D42">
              <w:rPr>
                <w:rFonts w:ascii="Times New Roman" w:hAnsi="Times New Roman" w:cs="Times New Roman"/>
                <w:color w:val="000000"/>
                <w:sz w:val="18"/>
                <w:szCs w:val="18"/>
              </w:rPr>
              <w:t>Z=</w:t>
            </w:r>
            <w:r>
              <w:rPr>
                <w:rFonts w:ascii="Times New Roman" w:hAnsi="Times New Roman" w:cs="Times New Roman"/>
                <w:color w:val="000000"/>
                <w:sz w:val="18"/>
                <w:szCs w:val="18"/>
              </w:rPr>
              <w:t>0,129</w:t>
            </w:r>
            <w:r w:rsidRPr="00452D42">
              <w:rPr>
                <w:rFonts w:ascii="Times New Roman" w:hAnsi="Times New Roman" w:cs="Times New Roman"/>
                <w:color w:val="000000"/>
                <w:sz w:val="18"/>
                <w:szCs w:val="18"/>
              </w:rPr>
              <w:t>; p=0,</w:t>
            </w:r>
            <w:r>
              <w:rPr>
                <w:rFonts w:ascii="Times New Roman" w:hAnsi="Times New Roman" w:cs="Times New Roman"/>
                <w:color w:val="000000"/>
                <w:sz w:val="18"/>
                <w:szCs w:val="18"/>
              </w:rPr>
              <w:t>8968</w:t>
            </w:r>
          </w:p>
        </w:tc>
      </w:tr>
      <w:tr w:rsidR="00393EB8" w:rsidRPr="006E00F6" w:rsidTr="007D4007">
        <w:trPr>
          <w:cantSplit/>
          <w:trHeight w:val="269"/>
        </w:trPr>
        <w:tc>
          <w:tcPr>
            <w:tcW w:w="1139" w:type="dxa"/>
            <w:vMerge/>
            <w:shd w:val="clear" w:color="auto" w:fill="31849B"/>
            <w:vAlign w:val="center"/>
          </w:tcPr>
          <w:p w:rsidR="00393EB8" w:rsidRPr="006E00F6" w:rsidRDefault="00393EB8" w:rsidP="008A37C4">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8A37C4">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w:t>
            </w:r>
            <w:r>
              <w:rPr>
                <w:rFonts w:ascii="Times New Roman" w:hAnsi="Times New Roman" w:cs="Times New Roman"/>
                <w:b/>
                <w:color w:val="FFFFFF"/>
                <w:sz w:val="18"/>
                <w:szCs w:val="18"/>
                <w:lang w:val="en-US" w:eastAsia="mk-MK"/>
              </w:rPr>
              <w:t xml:space="preserve"> </w:t>
            </w:r>
            <w:r>
              <w:rPr>
                <w:rFonts w:ascii="Times New Roman" w:hAnsi="Times New Roman" w:cs="Times New Roman"/>
                <w:b/>
                <w:color w:val="FFFFFF"/>
                <w:sz w:val="18"/>
                <w:szCs w:val="18"/>
                <w:lang w:eastAsia="mk-MK"/>
              </w:rPr>
              <w:t>Малигни</w:t>
            </w:r>
          </w:p>
        </w:tc>
        <w:tc>
          <w:tcPr>
            <w:tcW w:w="640" w:type="dxa"/>
            <w:shd w:val="clear" w:color="auto" w:fill="DAEEF3"/>
            <w:vAlign w:val="center"/>
          </w:tcPr>
          <w:p w:rsidR="00393EB8" w:rsidRPr="006E00F6" w:rsidRDefault="00393EB8" w:rsidP="008A37C4">
            <w:pPr>
              <w:jc w:val="center"/>
              <w:rPr>
                <w:rFonts w:ascii="Times New Roman" w:hAnsi="Times New Roman" w:cs="Times New Roman"/>
                <w:sz w:val="18"/>
                <w:szCs w:val="18"/>
              </w:rPr>
            </w:pPr>
            <w:r>
              <w:rPr>
                <w:rFonts w:ascii="Times New Roman" w:hAnsi="Times New Roman" w:cs="Times New Roman"/>
                <w:sz w:val="18"/>
                <w:szCs w:val="18"/>
              </w:rPr>
              <w:t>13</w:t>
            </w:r>
          </w:p>
        </w:tc>
        <w:tc>
          <w:tcPr>
            <w:tcW w:w="1912" w:type="dxa"/>
            <w:shd w:val="clear" w:color="auto" w:fill="DAEEF3"/>
            <w:vAlign w:val="center"/>
          </w:tcPr>
          <w:p w:rsidR="00393EB8" w:rsidRPr="006E00F6" w:rsidRDefault="00393EB8" w:rsidP="008A37C4">
            <w:pPr>
              <w:jc w:val="center"/>
              <w:rPr>
                <w:rFonts w:ascii="Times New Roman" w:hAnsi="Times New Roman" w:cs="Times New Roman"/>
                <w:sz w:val="18"/>
                <w:szCs w:val="18"/>
              </w:rPr>
            </w:pPr>
            <w:r>
              <w:rPr>
                <w:rFonts w:ascii="Times New Roman" w:hAnsi="Times New Roman" w:cs="Times New Roman"/>
                <w:sz w:val="18"/>
                <w:szCs w:val="18"/>
              </w:rPr>
              <w:t>4,86±0,17</w:t>
            </w:r>
          </w:p>
        </w:tc>
        <w:tc>
          <w:tcPr>
            <w:tcW w:w="1559" w:type="dxa"/>
            <w:shd w:val="clear" w:color="auto" w:fill="DAEEF3"/>
            <w:vAlign w:val="center"/>
          </w:tcPr>
          <w:p w:rsidR="00393EB8" w:rsidRPr="006E00F6" w:rsidRDefault="00393EB8" w:rsidP="008A37C4">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(4,76-5,01)</w:t>
            </w:r>
          </w:p>
        </w:tc>
        <w:tc>
          <w:tcPr>
            <w:tcW w:w="2410" w:type="dxa"/>
            <w:vMerge/>
            <w:shd w:val="clear" w:color="auto" w:fill="DAEEF3"/>
          </w:tcPr>
          <w:p w:rsidR="00393EB8" w:rsidRPr="006E00F6" w:rsidRDefault="00393EB8" w:rsidP="008A37C4">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93EB8">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Default="00393EB8" w:rsidP="00393EB8">
            <w:pPr>
              <w:rPr>
                <w:rFonts w:ascii="Times New Roman" w:hAnsi="Times New Roman" w:cs="Times New Roman"/>
                <w:b/>
                <w:color w:val="FFFFFF"/>
                <w:sz w:val="18"/>
                <w:szCs w:val="18"/>
                <w:lang w:eastAsia="mk-MK"/>
              </w:rPr>
            </w:pPr>
            <w:r>
              <w:rPr>
                <w:rFonts w:ascii="Times New Roman" w:hAnsi="Times New Roman" w:cs="Times New Roman"/>
                <w:b/>
                <w:bCs/>
                <w:color w:val="FFFFFF"/>
                <w:sz w:val="18"/>
                <w:szCs w:val="18"/>
              </w:rPr>
              <w:t xml:space="preserve">  </w:t>
            </w: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393EB8" w:rsidRPr="00393EB8" w:rsidRDefault="00393EB8" w:rsidP="00393EB8">
            <w:pPr>
              <w:jc w:val="center"/>
              <w:rPr>
                <w:rFonts w:ascii="Times New Roman" w:hAnsi="Times New Roman" w:cs="Times New Roman"/>
                <w:color w:val="FFFFFF"/>
                <w:sz w:val="18"/>
                <w:szCs w:val="18"/>
              </w:rPr>
            </w:pPr>
            <w:r w:rsidRPr="00393EB8">
              <w:rPr>
                <w:rFonts w:ascii="Times New Roman" w:hAnsi="Times New Roman" w:cs="Times New Roman"/>
                <w:color w:val="FFFFFF"/>
                <w:sz w:val="18"/>
                <w:szCs w:val="18"/>
              </w:rPr>
              <w:t>62</w:t>
            </w:r>
          </w:p>
        </w:tc>
        <w:tc>
          <w:tcPr>
            <w:tcW w:w="1912" w:type="dxa"/>
            <w:shd w:val="clear" w:color="auto" w:fill="31849B"/>
            <w:vAlign w:val="center"/>
          </w:tcPr>
          <w:p w:rsidR="00393EB8" w:rsidRPr="00393EB8" w:rsidRDefault="00393EB8" w:rsidP="00393EB8">
            <w:pPr>
              <w:jc w:val="center"/>
              <w:rPr>
                <w:rFonts w:ascii="Times New Roman" w:hAnsi="Times New Roman" w:cs="Times New Roman"/>
                <w:color w:val="FFFFFF"/>
                <w:sz w:val="18"/>
                <w:szCs w:val="18"/>
              </w:rPr>
            </w:pPr>
            <w:r w:rsidRPr="00393EB8">
              <w:rPr>
                <w:rFonts w:ascii="Times New Roman" w:hAnsi="Times New Roman" w:cs="Times New Roman"/>
                <w:color w:val="FFFFFF"/>
                <w:sz w:val="18"/>
                <w:szCs w:val="18"/>
              </w:rPr>
              <w:t>4,85±0,16</w:t>
            </w:r>
          </w:p>
        </w:tc>
        <w:tc>
          <w:tcPr>
            <w:tcW w:w="1559" w:type="dxa"/>
            <w:shd w:val="clear" w:color="auto" w:fill="31849B"/>
            <w:vAlign w:val="center"/>
          </w:tcPr>
          <w:p w:rsidR="00393EB8" w:rsidRPr="00393EB8" w:rsidRDefault="00393EB8" w:rsidP="00393EB8">
            <w:pPr>
              <w:autoSpaceDE w:val="0"/>
              <w:autoSpaceDN w:val="0"/>
              <w:adjustRightInd w:val="0"/>
              <w:ind w:left="62" w:right="62"/>
              <w:jc w:val="center"/>
              <w:rPr>
                <w:rFonts w:ascii="Times New Roman" w:hAnsi="Times New Roman" w:cs="Times New Roman"/>
                <w:bCs/>
                <w:color w:val="FFFFFF"/>
                <w:sz w:val="18"/>
                <w:szCs w:val="18"/>
              </w:rPr>
            </w:pPr>
            <w:r w:rsidRPr="00393EB8">
              <w:rPr>
                <w:rFonts w:ascii="Times New Roman" w:hAnsi="Times New Roman" w:cs="Times New Roman"/>
                <w:bCs/>
                <w:color w:val="FFFFFF"/>
                <w:sz w:val="18"/>
                <w:szCs w:val="18"/>
              </w:rPr>
              <w:t>4,85 (4,85-4,93)</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9"/>
        </w:trPr>
        <w:tc>
          <w:tcPr>
            <w:tcW w:w="1139" w:type="dxa"/>
            <w:vMerge w:val="restart"/>
            <w:shd w:val="clear" w:color="auto" w:fill="31849B"/>
            <w:vAlign w:val="center"/>
          </w:tcPr>
          <w:p w:rsidR="00393EB8"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Бенигни</w:t>
            </w:r>
          </w:p>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sidRPr="006E00F6">
              <w:rPr>
                <w:rFonts w:ascii="Times New Roman" w:hAnsi="Times New Roman" w:cs="Times New Roman"/>
                <w:b/>
                <w:color w:val="FFFFFF"/>
                <w:sz w:val="18"/>
                <w:szCs w:val="18"/>
                <w:lang w:eastAsia="en-GB"/>
              </w:rPr>
              <w:t>тумори</w:t>
            </w: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rPr>
              <w:t xml:space="preserve">  </w:t>
            </w:r>
            <w:r>
              <w:rPr>
                <w:rFonts w:ascii="Times New Roman" w:hAnsi="Times New Roman" w:cs="Times New Roman"/>
                <w:b/>
                <w:color w:val="FFFFFF"/>
                <w:sz w:val="18"/>
                <w:szCs w:val="18"/>
                <w:lang w:val="en-US"/>
              </w:rPr>
              <w:t>WT</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27</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4,82±0,19</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(4,76-4,93)</w:t>
            </w:r>
          </w:p>
        </w:tc>
        <w:tc>
          <w:tcPr>
            <w:tcW w:w="2410" w:type="dxa"/>
            <w:vMerge w:val="restart"/>
            <w:shd w:val="clear" w:color="auto" w:fill="DAEEF3"/>
            <w:vAlign w:val="center"/>
          </w:tcPr>
          <w:p w:rsidR="00393EB8" w:rsidRPr="008E23C8" w:rsidRDefault="00393EB8" w:rsidP="00393EB8">
            <w:pPr>
              <w:autoSpaceDE w:val="0"/>
              <w:autoSpaceDN w:val="0"/>
              <w:adjustRightInd w:val="0"/>
              <w:ind w:left="62" w:right="62"/>
              <w:jc w:val="center"/>
              <w:rPr>
                <w:rFonts w:ascii="Times New Roman" w:hAnsi="Times New Roman" w:cs="Times New Roman"/>
                <w:color w:val="000000"/>
                <w:sz w:val="18"/>
                <w:szCs w:val="18"/>
                <w:lang w:val="en-US"/>
              </w:rPr>
            </w:pPr>
            <w:r w:rsidRPr="008E23C8">
              <w:rPr>
                <w:rFonts w:ascii="Times New Roman" w:hAnsi="Times New Roman" w:cs="Times New Roman"/>
                <w:color w:val="000000"/>
                <w:sz w:val="18"/>
                <w:szCs w:val="18"/>
              </w:rPr>
              <w:t>X</w:t>
            </w:r>
            <w:r w:rsidRPr="008E23C8">
              <w:rPr>
                <w:rFonts w:ascii="Times New Roman" w:hAnsi="Times New Roman" w:cs="Times New Roman"/>
                <w:color w:val="000000"/>
                <w:sz w:val="18"/>
                <w:szCs w:val="18"/>
                <w:vertAlign w:val="superscript"/>
              </w:rPr>
              <w:t>2</w:t>
            </w:r>
            <w:r w:rsidRPr="008E23C8">
              <w:rPr>
                <w:rFonts w:ascii="Times New Roman" w:hAnsi="Times New Roman" w:cs="Times New Roman"/>
                <w:color w:val="000000"/>
                <w:sz w:val="18"/>
                <w:szCs w:val="18"/>
                <w:vertAlign w:val="subscript"/>
              </w:rPr>
              <w:t>(2)</w:t>
            </w:r>
            <w:r w:rsidRPr="008E23C8">
              <w:rPr>
                <w:rFonts w:ascii="Times New Roman" w:hAnsi="Times New Roman" w:cs="Times New Roman"/>
                <w:color w:val="000000"/>
                <w:sz w:val="18"/>
                <w:szCs w:val="18"/>
              </w:rPr>
              <w:t>=</w:t>
            </w:r>
            <w:r>
              <w:rPr>
                <w:rFonts w:ascii="Times New Roman" w:hAnsi="Times New Roman" w:cs="Times New Roman"/>
                <w:color w:val="000000"/>
                <w:sz w:val="18"/>
                <w:szCs w:val="18"/>
              </w:rPr>
              <w:t>1,287</w:t>
            </w:r>
            <w:r w:rsidRPr="008E23C8">
              <w:rPr>
                <w:rFonts w:ascii="Times New Roman" w:hAnsi="Times New Roman" w:cs="Times New Roman"/>
                <w:color w:val="000000"/>
                <w:sz w:val="18"/>
                <w:szCs w:val="18"/>
              </w:rPr>
              <w:t>; p=0,</w:t>
            </w:r>
            <w:r>
              <w:rPr>
                <w:rFonts w:ascii="Times New Roman" w:hAnsi="Times New Roman" w:cs="Times New Roman"/>
                <w:color w:val="000000"/>
                <w:sz w:val="18"/>
                <w:szCs w:val="18"/>
              </w:rPr>
              <w:t>5260</w:t>
            </w:r>
          </w:p>
        </w:tc>
      </w:tr>
      <w:tr w:rsidR="00393EB8" w:rsidRPr="006E00F6" w:rsidTr="007D4007">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 xml:space="preserve">  </w:t>
            </w:r>
            <w:r>
              <w:rPr>
                <w:rFonts w:ascii="Times New Roman" w:hAnsi="Times New Roman" w:cs="Times New Roman"/>
                <w:b/>
                <w:color w:val="FFFFFF"/>
                <w:sz w:val="18"/>
                <w:szCs w:val="18"/>
                <w:lang w:val="en-US"/>
              </w:rPr>
              <w:t>BA</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2</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4,93±0,12</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4,93 (4,85-5,01)</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3"/>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rPr>
            </w:pPr>
            <w:r>
              <w:rPr>
                <w:rFonts w:ascii="Times New Roman" w:hAnsi="Times New Roman" w:cs="Times New Roman"/>
                <w:b/>
                <w:color w:val="FFFFFF"/>
                <w:sz w:val="18"/>
                <w:szCs w:val="18"/>
                <w:lang w:val="en-US"/>
              </w:rPr>
              <w:t xml:space="preserve">  Pa</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20</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4,88±0,11</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(4,85-4,89)</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93EB8">
        <w:trPr>
          <w:cantSplit/>
          <w:trHeight w:val="273"/>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Default="00393EB8" w:rsidP="00393EB8">
            <w:pPr>
              <w:rPr>
                <w:rFonts w:ascii="Times New Roman" w:hAnsi="Times New Roman" w:cs="Times New Roman"/>
                <w:b/>
                <w:color w:val="FFFFFF"/>
                <w:sz w:val="18"/>
                <w:szCs w:val="18"/>
                <w:lang w:val="en-US"/>
              </w:rPr>
            </w:pPr>
            <w:r>
              <w:rPr>
                <w:rFonts w:ascii="Times New Roman" w:hAnsi="Times New Roman" w:cs="Times New Roman"/>
                <w:b/>
                <w:bCs/>
                <w:color w:val="FFFFFF"/>
                <w:sz w:val="18"/>
                <w:szCs w:val="18"/>
              </w:rPr>
              <w:t xml:space="preserve">  </w:t>
            </w: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393EB8" w:rsidRPr="00A34120" w:rsidRDefault="00393EB8" w:rsidP="00393EB8">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49</w:t>
            </w:r>
          </w:p>
        </w:tc>
        <w:tc>
          <w:tcPr>
            <w:tcW w:w="1912" w:type="dxa"/>
            <w:shd w:val="clear" w:color="auto" w:fill="31849B"/>
            <w:vAlign w:val="center"/>
          </w:tcPr>
          <w:p w:rsidR="00393EB8" w:rsidRPr="00A34120" w:rsidRDefault="00393EB8" w:rsidP="00393EB8">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4,85±0,16</w:t>
            </w:r>
          </w:p>
        </w:tc>
        <w:tc>
          <w:tcPr>
            <w:tcW w:w="1559" w:type="dxa"/>
            <w:shd w:val="clear" w:color="auto" w:fill="31849B"/>
            <w:vAlign w:val="center"/>
          </w:tcPr>
          <w:p w:rsidR="00393EB8" w:rsidRPr="00A34120" w:rsidRDefault="00393EB8" w:rsidP="00393EB8">
            <w:pPr>
              <w:autoSpaceDE w:val="0"/>
              <w:autoSpaceDN w:val="0"/>
              <w:adjustRightInd w:val="0"/>
              <w:ind w:left="62" w:right="62"/>
              <w:jc w:val="center"/>
              <w:rPr>
                <w:rFonts w:ascii="Times New Roman" w:hAnsi="Times New Roman" w:cs="Times New Roman"/>
                <w:bCs/>
                <w:color w:val="FFFFFF"/>
                <w:sz w:val="18"/>
                <w:szCs w:val="18"/>
              </w:rPr>
            </w:pPr>
            <w:r w:rsidRPr="00A34120">
              <w:rPr>
                <w:rFonts w:ascii="Times New Roman" w:hAnsi="Times New Roman" w:cs="Times New Roman"/>
                <w:bCs/>
                <w:color w:val="FFFFFF"/>
                <w:sz w:val="18"/>
                <w:szCs w:val="18"/>
              </w:rPr>
              <w:t>4,85 (4,85-4,93)</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9"/>
        </w:trPr>
        <w:tc>
          <w:tcPr>
            <w:tcW w:w="1139" w:type="dxa"/>
            <w:vMerge w:val="restart"/>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Мал</w:t>
            </w:r>
            <w:r w:rsidRPr="006E00F6">
              <w:rPr>
                <w:rFonts w:ascii="Times New Roman" w:hAnsi="Times New Roman" w:cs="Times New Roman"/>
                <w:b/>
                <w:color w:val="FFFFFF"/>
                <w:sz w:val="18"/>
                <w:szCs w:val="18"/>
                <w:lang w:eastAsia="en-GB"/>
              </w:rPr>
              <w:t>игни тумори</w:t>
            </w: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eastAsia="mk-MK"/>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AC</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color w:val="000000"/>
                <w:sz w:val="18"/>
                <w:szCs w:val="18"/>
              </w:rPr>
              <w:t>4,80</w:t>
            </w:r>
            <w:r>
              <w:rPr>
                <w:rFonts w:ascii="Times New Roman" w:hAnsi="Times New Roman" w:cs="Times New Roman"/>
                <w:sz w:val="18"/>
                <w:szCs w:val="18"/>
              </w:rPr>
              <w:t>±0,18</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4,80 (4,68-4,93)</w:t>
            </w:r>
          </w:p>
        </w:tc>
        <w:tc>
          <w:tcPr>
            <w:tcW w:w="2410" w:type="dxa"/>
            <w:vMerge w:val="restart"/>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color w:val="000000"/>
                <w:sz w:val="18"/>
                <w:szCs w:val="18"/>
                <w:lang w:val="en-US"/>
              </w:rPr>
            </w:pPr>
            <w:r w:rsidRPr="008E23C8">
              <w:rPr>
                <w:rFonts w:ascii="Times New Roman" w:hAnsi="Times New Roman" w:cs="Times New Roman"/>
                <w:color w:val="000000"/>
                <w:sz w:val="18"/>
                <w:szCs w:val="18"/>
              </w:rPr>
              <w:t>X</w:t>
            </w:r>
            <w:r w:rsidRPr="008E23C8">
              <w:rPr>
                <w:rFonts w:ascii="Times New Roman" w:hAnsi="Times New Roman" w:cs="Times New Roman"/>
                <w:color w:val="000000"/>
                <w:sz w:val="18"/>
                <w:szCs w:val="18"/>
                <w:vertAlign w:val="superscript"/>
              </w:rPr>
              <w:t>2</w:t>
            </w:r>
            <w:r w:rsidRPr="008E23C8">
              <w:rPr>
                <w:rFonts w:ascii="Times New Roman" w:hAnsi="Times New Roman" w:cs="Times New Roman"/>
                <w:color w:val="000000"/>
                <w:sz w:val="18"/>
                <w:szCs w:val="18"/>
                <w:vertAlign w:val="subscript"/>
              </w:rPr>
              <w:t>(</w:t>
            </w:r>
            <w:r>
              <w:rPr>
                <w:rFonts w:ascii="Times New Roman" w:hAnsi="Times New Roman" w:cs="Times New Roman"/>
                <w:color w:val="000000"/>
                <w:sz w:val="18"/>
                <w:szCs w:val="18"/>
                <w:vertAlign w:val="subscript"/>
              </w:rPr>
              <w:t>5</w:t>
            </w:r>
            <w:r w:rsidRPr="008E23C8">
              <w:rPr>
                <w:rFonts w:ascii="Times New Roman" w:hAnsi="Times New Roman" w:cs="Times New Roman"/>
                <w:color w:val="000000"/>
                <w:sz w:val="18"/>
                <w:szCs w:val="18"/>
                <w:vertAlign w:val="subscript"/>
              </w:rPr>
              <w:t>)</w:t>
            </w:r>
            <w:r w:rsidRPr="008E23C8">
              <w:rPr>
                <w:rFonts w:ascii="Times New Roman" w:hAnsi="Times New Roman" w:cs="Times New Roman"/>
                <w:color w:val="000000"/>
                <w:sz w:val="18"/>
                <w:szCs w:val="18"/>
              </w:rPr>
              <w:t>=</w:t>
            </w:r>
            <w:r>
              <w:rPr>
                <w:rFonts w:ascii="Times New Roman" w:hAnsi="Times New Roman" w:cs="Times New Roman"/>
                <w:color w:val="000000"/>
                <w:sz w:val="18"/>
                <w:szCs w:val="18"/>
              </w:rPr>
              <w:t>2,093</w:t>
            </w:r>
            <w:r w:rsidRPr="008E23C8">
              <w:rPr>
                <w:rFonts w:ascii="Times New Roman" w:hAnsi="Times New Roman" w:cs="Times New Roman"/>
                <w:color w:val="000000"/>
                <w:sz w:val="18"/>
                <w:szCs w:val="18"/>
              </w:rPr>
              <w:t>; p=0,</w:t>
            </w:r>
            <w:r>
              <w:rPr>
                <w:rFonts w:ascii="Times New Roman" w:hAnsi="Times New Roman" w:cs="Times New Roman"/>
                <w:color w:val="000000"/>
                <w:sz w:val="18"/>
                <w:szCs w:val="18"/>
              </w:rPr>
              <w:t>8361</w:t>
            </w:r>
          </w:p>
        </w:tc>
      </w:tr>
      <w:tr w:rsidR="00393EB8" w:rsidRPr="006E00F6" w:rsidTr="007D4007">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PC</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4,87±0,24</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4,80 (4,68-5,06)</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3"/>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MEC</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1</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5,01±0,00</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5,01 (5,01-5,01)</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77"/>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CEA</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2</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4,93±0,12</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4,93 (4,85-5,01)</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81"/>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Ly</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1</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4,85±0,00</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(4,85-4,85)</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7D4007">
        <w:trPr>
          <w:cantSplit/>
          <w:trHeight w:val="257"/>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val="en-US"/>
              </w:rPr>
            </w:pPr>
            <w:r>
              <w:rPr>
                <w:rFonts w:ascii="Times New Roman" w:hAnsi="Times New Roman" w:cs="Times New Roman"/>
                <w:b/>
                <w:color w:val="FFFFFF"/>
                <w:sz w:val="18"/>
                <w:szCs w:val="18"/>
              </w:rPr>
              <w:t xml:space="preserve">  </w:t>
            </w:r>
            <w:r w:rsidRPr="006E00F6">
              <w:rPr>
                <w:rFonts w:ascii="Times New Roman" w:hAnsi="Times New Roman" w:cs="Times New Roman"/>
                <w:b/>
                <w:color w:val="FFFFFF"/>
                <w:sz w:val="18"/>
                <w:szCs w:val="18"/>
                <w:lang w:val="en-US"/>
              </w:rPr>
              <w:t>ACC</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1</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4,85±0,00</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(4,85-4,85)</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93EB8">
        <w:trPr>
          <w:cantSplit/>
          <w:trHeight w:val="257"/>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Default="00393EB8" w:rsidP="00393EB8">
            <w:pPr>
              <w:rPr>
                <w:rFonts w:ascii="Times New Roman" w:hAnsi="Times New Roman" w:cs="Times New Roman"/>
                <w:b/>
                <w:color w:val="FFFFFF"/>
                <w:sz w:val="18"/>
                <w:szCs w:val="18"/>
              </w:rPr>
            </w:pPr>
            <w:r>
              <w:rPr>
                <w:rFonts w:ascii="Times New Roman" w:hAnsi="Times New Roman" w:cs="Times New Roman"/>
                <w:b/>
                <w:bCs/>
                <w:color w:val="FFFFFF"/>
                <w:sz w:val="18"/>
                <w:szCs w:val="18"/>
              </w:rPr>
              <w:t xml:space="preserve">  </w:t>
            </w: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393EB8" w:rsidRPr="00A34120" w:rsidRDefault="00393EB8" w:rsidP="00393EB8">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13</w:t>
            </w:r>
          </w:p>
        </w:tc>
        <w:tc>
          <w:tcPr>
            <w:tcW w:w="1912" w:type="dxa"/>
            <w:shd w:val="clear" w:color="auto" w:fill="31849B"/>
            <w:vAlign w:val="center"/>
          </w:tcPr>
          <w:p w:rsidR="00393EB8" w:rsidRPr="00A34120" w:rsidRDefault="00393EB8" w:rsidP="00393EB8">
            <w:pPr>
              <w:jc w:val="center"/>
              <w:rPr>
                <w:rFonts w:ascii="Times New Roman" w:hAnsi="Times New Roman" w:cs="Times New Roman"/>
                <w:color w:val="FFFFFF"/>
                <w:sz w:val="18"/>
                <w:szCs w:val="18"/>
              </w:rPr>
            </w:pPr>
            <w:r w:rsidRPr="00A34120">
              <w:rPr>
                <w:rFonts w:ascii="Times New Roman" w:hAnsi="Times New Roman" w:cs="Times New Roman"/>
                <w:color w:val="FFFFFF"/>
                <w:sz w:val="18"/>
                <w:szCs w:val="18"/>
              </w:rPr>
              <w:t>4,86±0,17</w:t>
            </w:r>
          </w:p>
        </w:tc>
        <w:tc>
          <w:tcPr>
            <w:tcW w:w="1559" w:type="dxa"/>
            <w:shd w:val="clear" w:color="auto" w:fill="31849B"/>
            <w:vAlign w:val="center"/>
          </w:tcPr>
          <w:p w:rsidR="00393EB8" w:rsidRPr="00A34120" w:rsidRDefault="00393EB8" w:rsidP="00393EB8">
            <w:pPr>
              <w:autoSpaceDE w:val="0"/>
              <w:autoSpaceDN w:val="0"/>
              <w:adjustRightInd w:val="0"/>
              <w:ind w:left="62" w:right="62"/>
              <w:jc w:val="center"/>
              <w:rPr>
                <w:rFonts w:ascii="Times New Roman" w:hAnsi="Times New Roman" w:cs="Times New Roman"/>
                <w:bCs/>
                <w:color w:val="FFFFFF"/>
                <w:sz w:val="18"/>
                <w:szCs w:val="18"/>
              </w:rPr>
            </w:pPr>
            <w:r w:rsidRPr="00A34120">
              <w:rPr>
                <w:rFonts w:ascii="Times New Roman" w:hAnsi="Times New Roman" w:cs="Times New Roman"/>
                <w:bCs/>
                <w:color w:val="FFFFFF"/>
                <w:sz w:val="18"/>
                <w:szCs w:val="18"/>
              </w:rPr>
              <w:t>4,85 (4,76-5,01)</w:t>
            </w:r>
          </w:p>
        </w:tc>
        <w:tc>
          <w:tcPr>
            <w:tcW w:w="2410" w:type="dxa"/>
            <w:vMerge/>
            <w:shd w:val="clear" w:color="auto" w:fill="F2DBDB"/>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64461C">
        <w:trPr>
          <w:cantSplit/>
          <w:trHeight w:val="279"/>
        </w:trPr>
        <w:tc>
          <w:tcPr>
            <w:tcW w:w="1139" w:type="dxa"/>
            <w:vMerge w:val="restart"/>
            <w:shd w:val="clear" w:color="auto" w:fill="31849B"/>
            <w:vAlign w:val="center"/>
          </w:tcPr>
          <w:p w:rsidR="00393EB8"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Група/</w:t>
            </w:r>
          </w:p>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подгрупа</w:t>
            </w: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w:t>
            </w:r>
            <w:r>
              <w:rPr>
                <w:rFonts w:ascii="Times New Roman" w:hAnsi="Times New Roman" w:cs="Times New Roman"/>
                <w:b/>
                <w:color w:val="FFFFFF"/>
                <w:sz w:val="18"/>
                <w:szCs w:val="18"/>
                <w:lang w:val="en-US" w:eastAsia="mk-MK"/>
              </w:rPr>
              <w:t xml:space="preserve"> </w:t>
            </w:r>
            <w:r>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58</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4,80±0,55</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(4,76-5,01)</w:t>
            </w:r>
          </w:p>
        </w:tc>
        <w:tc>
          <w:tcPr>
            <w:tcW w:w="2410" w:type="dxa"/>
            <w:vMerge w:val="restart"/>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color w:val="000000"/>
                <w:sz w:val="18"/>
                <w:szCs w:val="18"/>
                <w:lang w:val="en-US"/>
              </w:rPr>
            </w:pPr>
            <w:r w:rsidRPr="006F4122">
              <w:rPr>
                <w:rFonts w:ascii="Times New Roman" w:hAnsi="Times New Roman" w:cs="Times New Roman"/>
                <w:color w:val="000000"/>
                <w:sz w:val="18"/>
                <w:szCs w:val="18"/>
              </w:rPr>
              <w:t>Z=0,275; p=0,7873</w:t>
            </w:r>
          </w:p>
        </w:tc>
      </w:tr>
      <w:tr w:rsidR="00393EB8" w:rsidRPr="006E00F6" w:rsidTr="0064461C">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Бенигни</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49</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4,85±0,16</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(4,85-4,93)</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93EB8">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Default="00393EB8" w:rsidP="00393EB8">
            <w:pPr>
              <w:rPr>
                <w:rFonts w:ascii="Times New Roman" w:hAnsi="Times New Roman" w:cs="Times New Roman"/>
                <w:b/>
                <w:color w:val="FFFFFF"/>
                <w:sz w:val="18"/>
                <w:szCs w:val="18"/>
                <w:lang w:eastAsia="mk-MK"/>
              </w:rPr>
            </w:pPr>
            <w:r>
              <w:rPr>
                <w:rFonts w:ascii="Times New Roman" w:hAnsi="Times New Roman" w:cs="Times New Roman"/>
                <w:b/>
                <w:bCs/>
                <w:color w:val="FFFFFF"/>
                <w:sz w:val="18"/>
                <w:szCs w:val="18"/>
              </w:rPr>
              <w:t xml:space="preserve">  </w:t>
            </w: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393EB8" w:rsidRPr="00BD7C4D" w:rsidRDefault="00393EB8" w:rsidP="00393EB8">
            <w:pPr>
              <w:jc w:val="center"/>
              <w:rPr>
                <w:rFonts w:ascii="Times New Roman" w:hAnsi="Times New Roman" w:cs="Times New Roman"/>
                <w:color w:val="FFFFFF"/>
                <w:sz w:val="18"/>
                <w:szCs w:val="18"/>
              </w:rPr>
            </w:pPr>
            <w:r w:rsidRPr="00BD7C4D">
              <w:rPr>
                <w:rFonts w:ascii="Times New Roman" w:hAnsi="Times New Roman" w:cs="Times New Roman"/>
                <w:color w:val="FFFFFF"/>
                <w:sz w:val="18"/>
                <w:szCs w:val="18"/>
              </w:rPr>
              <w:t>107</w:t>
            </w:r>
          </w:p>
        </w:tc>
        <w:tc>
          <w:tcPr>
            <w:tcW w:w="1912" w:type="dxa"/>
            <w:shd w:val="clear" w:color="auto" w:fill="31849B"/>
            <w:vAlign w:val="center"/>
          </w:tcPr>
          <w:p w:rsidR="00393EB8" w:rsidRPr="00BD7C4D" w:rsidRDefault="00393EB8" w:rsidP="00393EB8">
            <w:pPr>
              <w:jc w:val="center"/>
              <w:rPr>
                <w:rFonts w:ascii="Times New Roman" w:hAnsi="Times New Roman" w:cs="Times New Roman"/>
                <w:color w:val="FFFFFF"/>
                <w:sz w:val="18"/>
                <w:szCs w:val="18"/>
              </w:rPr>
            </w:pPr>
            <w:r w:rsidRPr="00BD7C4D">
              <w:rPr>
                <w:rFonts w:ascii="Times New Roman" w:hAnsi="Times New Roman" w:cs="Times New Roman"/>
                <w:color w:val="FFFFFF"/>
                <w:sz w:val="18"/>
                <w:szCs w:val="18"/>
              </w:rPr>
              <w:t>-</w:t>
            </w:r>
          </w:p>
        </w:tc>
        <w:tc>
          <w:tcPr>
            <w:tcW w:w="1559" w:type="dxa"/>
            <w:shd w:val="clear" w:color="auto" w:fill="31849B"/>
            <w:vAlign w:val="center"/>
          </w:tcPr>
          <w:p w:rsidR="00393EB8" w:rsidRPr="00BD7C4D" w:rsidRDefault="00393EB8" w:rsidP="00393EB8">
            <w:pPr>
              <w:autoSpaceDE w:val="0"/>
              <w:autoSpaceDN w:val="0"/>
              <w:adjustRightInd w:val="0"/>
              <w:ind w:left="62" w:right="62"/>
              <w:jc w:val="center"/>
              <w:rPr>
                <w:rFonts w:ascii="Times New Roman" w:hAnsi="Times New Roman" w:cs="Times New Roman"/>
                <w:bCs/>
                <w:color w:val="FFFFFF"/>
                <w:sz w:val="18"/>
                <w:szCs w:val="18"/>
              </w:rPr>
            </w:pPr>
            <w:r w:rsidRPr="00BD7C4D">
              <w:rPr>
                <w:rFonts w:ascii="Times New Roman" w:hAnsi="Times New Roman" w:cs="Times New Roman"/>
                <w:bCs/>
                <w:color w:val="FFFFFF"/>
                <w:sz w:val="18"/>
                <w:szCs w:val="18"/>
              </w:rPr>
              <w:t>-</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64461C">
        <w:trPr>
          <w:cantSplit/>
          <w:trHeight w:val="279"/>
        </w:trPr>
        <w:tc>
          <w:tcPr>
            <w:tcW w:w="1139" w:type="dxa"/>
            <w:vMerge w:val="restart"/>
            <w:shd w:val="clear" w:color="auto" w:fill="31849B"/>
            <w:vAlign w:val="center"/>
          </w:tcPr>
          <w:p w:rsidR="00393EB8"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Група/</w:t>
            </w:r>
          </w:p>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r>
              <w:rPr>
                <w:rFonts w:ascii="Times New Roman" w:hAnsi="Times New Roman" w:cs="Times New Roman"/>
                <w:b/>
                <w:color w:val="FFFFFF"/>
                <w:sz w:val="18"/>
                <w:szCs w:val="18"/>
                <w:lang w:eastAsia="en-GB"/>
              </w:rPr>
              <w:t>подгрупа</w:t>
            </w: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w:t>
            </w:r>
            <w:r>
              <w:rPr>
                <w:rFonts w:ascii="Times New Roman" w:hAnsi="Times New Roman" w:cs="Times New Roman"/>
                <w:b/>
                <w:color w:val="FFFFFF"/>
                <w:sz w:val="18"/>
                <w:szCs w:val="18"/>
                <w:lang w:val="en-US" w:eastAsia="mk-MK"/>
              </w:rPr>
              <w:t xml:space="preserve"> </w:t>
            </w:r>
            <w:r>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58</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4,80±0,55</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(4,76-5,01)</w:t>
            </w:r>
          </w:p>
        </w:tc>
        <w:tc>
          <w:tcPr>
            <w:tcW w:w="2410" w:type="dxa"/>
            <w:vMerge w:val="restart"/>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color w:val="000000"/>
                <w:sz w:val="18"/>
                <w:szCs w:val="18"/>
                <w:lang w:val="en-US"/>
              </w:rPr>
            </w:pPr>
            <w:r w:rsidRPr="006F4122">
              <w:rPr>
                <w:rFonts w:ascii="Times New Roman" w:hAnsi="Times New Roman" w:cs="Times New Roman"/>
                <w:color w:val="000000"/>
                <w:sz w:val="18"/>
                <w:szCs w:val="18"/>
              </w:rPr>
              <w:t>Z=0,</w:t>
            </w:r>
            <w:r>
              <w:rPr>
                <w:rFonts w:ascii="Times New Roman" w:hAnsi="Times New Roman" w:cs="Times New Roman"/>
                <w:color w:val="000000"/>
                <w:sz w:val="18"/>
                <w:szCs w:val="18"/>
              </w:rPr>
              <w:t>126</w:t>
            </w:r>
            <w:r w:rsidRPr="006F4122">
              <w:rPr>
                <w:rFonts w:ascii="Times New Roman" w:hAnsi="Times New Roman" w:cs="Times New Roman"/>
                <w:color w:val="000000"/>
                <w:sz w:val="18"/>
                <w:szCs w:val="18"/>
              </w:rPr>
              <w:t>; p=0,</w:t>
            </w:r>
            <w:r>
              <w:rPr>
                <w:rFonts w:ascii="Times New Roman" w:hAnsi="Times New Roman" w:cs="Times New Roman"/>
                <w:color w:val="000000"/>
                <w:sz w:val="18"/>
                <w:szCs w:val="18"/>
              </w:rPr>
              <w:t>8994</w:t>
            </w:r>
          </w:p>
        </w:tc>
      </w:tr>
      <w:tr w:rsidR="00393EB8" w:rsidRPr="006E00F6" w:rsidTr="0064461C">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Pr="006E00F6" w:rsidRDefault="00393EB8" w:rsidP="00393EB8">
            <w:pPr>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 xml:space="preserve">  Малигни</w:t>
            </w:r>
          </w:p>
        </w:tc>
        <w:tc>
          <w:tcPr>
            <w:tcW w:w="640"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13</w:t>
            </w:r>
          </w:p>
        </w:tc>
        <w:tc>
          <w:tcPr>
            <w:tcW w:w="1912" w:type="dxa"/>
            <w:shd w:val="clear" w:color="auto" w:fill="DAEEF3"/>
            <w:vAlign w:val="center"/>
          </w:tcPr>
          <w:p w:rsidR="00393EB8" w:rsidRPr="006E00F6" w:rsidRDefault="00393EB8" w:rsidP="00393EB8">
            <w:pPr>
              <w:jc w:val="center"/>
              <w:rPr>
                <w:rFonts w:ascii="Times New Roman" w:hAnsi="Times New Roman" w:cs="Times New Roman"/>
                <w:sz w:val="18"/>
                <w:szCs w:val="18"/>
              </w:rPr>
            </w:pPr>
            <w:r>
              <w:rPr>
                <w:rFonts w:ascii="Times New Roman" w:hAnsi="Times New Roman" w:cs="Times New Roman"/>
                <w:sz w:val="18"/>
                <w:szCs w:val="18"/>
              </w:rPr>
              <w:t>4,86±0,17</w:t>
            </w:r>
          </w:p>
        </w:tc>
        <w:tc>
          <w:tcPr>
            <w:tcW w:w="1559" w:type="dxa"/>
            <w:shd w:val="clear" w:color="auto" w:fill="DAEEF3"/>
            <w:vAlign w:val="center"/>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(4,76-5,01)</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93EB8">
        <w:trPr>
          <w:cantSplit/>
          <w:trHeight w:val="269"/>
        </w:trPr>
        <w:tc>
          <w:tcPr>
            <w:tcW w:w="1139" w:type="dxa"/>
            <w:vMerge/>
            <w:shd w:val="clear" w:color="auto" w:fill="31849B"/>
            <w:vAlign w:val="center"/>
          </w:tcPr>
          <w:p w:rsidR="00393EB8" w:rsidRPr="006E00F6" w:rsidRDefault="00393EB8" w:rsidP="00393EB8">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93EB8" w:rsidRDefault="00393EB8" w:rsidP="00393EB8">
            <w:pPr>
              <w:rPr>
                <w:rFonts w:ascii="Times New Roman" w:hAnsi="Times New Roman" w:cs="Times New Roman"/>
                <w:b/>
                <w:color w:val="FFFFFF"/>
                <w:sz w:val="18"/>
                <w:szCs w:val="18"/>
                <w:lang w:eastAsia="mk-MK"/>
              </w:rPr>
            </w:pPr>
            <w:r>
              <w:rPr>
                <w:rFonts w:ascii="Times New Roman" w:hAnsi="Times New Roman" w:cs="Times New Roman"/>
                <w:b/>
                <w:bCs/>
                <w:color w:val="FFFFFF"/>
                <w:sz w:val="18"/>
                <w:szCs w:val="18"/>
              </w:rPr>
              <w:t xml:space="preserve">  </w:t>
            </w:r>
            <w:r w:rsidRPr="00A34120">
              <w:rPr>
                <w:rFonts w:ascii="Times New Roman" w:hAnsi="Times New Roman" w:cs="Times New Roman"/>
                <w:b/>
                <w:bCs/>
                <w:color w:val="FFFFFF"/>
                <w:sz w:val="18"/>
                <w:szCs w:val="18"/>
              </w:rPr>
              <w:t>Вкупно</w:t>
            </w:r>
          </w:p>
        </w:tc>
        <w:tc>
          <w:tcPr>
            <w:tcW w:w="640" w:type="dxa"/>
            <w:shd w:val="clear" w:color="auto" w:fill="31849B"/>
            <w:vAlign w:val="center"/>
          </w:tcPr>
          <w:p w:rsidR="00393EB8" w:rsidRPr="00BD7C4D" w:rsidRDefault="00393EB8" w:rsidP="00393EB8">
            <w:pPr>
              <w:jc w:val="center"/>
              <w:rPr>
                <w:rFonts w:ascii="Times New Roman" w:hAnsi="Times New Roman" w:cs="Times New Roman"/>
                <w:color w:val="FFFFFF"/>
                <w:sz w:val="18"/>
                <w:szCs w:val="18"/>
              </w:rPr>
            </w:pPr>
            <w:r>
              <w:rPr>
                <w:rFonts w:ascii="Times New Roman" w:hAnsi="Times New Roman" w:cs="Times New Roman"/>
                <w:color w:val="FFFFFF"/>
                <w:sz w:val="18"/>
                <w:szCs w:val="18"/>
              </w:rPr>
              <w:t>71</w:t>
            </w:r>
          </w:p>
        </w:tc>
        <w:tc>
          <w:tcPr>
            <w:tcW w:w="1912" w:type="dxa"/>
            <w:shd w:val="clear" w:color="auto" w:fill="31849B"/>
            <w:vAlign w:val="center"/>
          </w:tcPr>
          <w:p w:rsidR="00393EB8" w:rsidRPr="00BD7C4D" w:rsidRDefault="00393EB8" w:rsidP="00393EB8">
            <w:pPr>
              <w:jc w:val="center"/>
              <w:rPr>
                <w:rFonts w:ascii="Times New Roman" w:hAnsi="Times New Roman" w:cs="Times New Roman"/>
                <w:color w:val="FFFFFF"/>
                <w:sz w:val="18"/>
                <w:szCs w:val="18"/>
              </w:rPr>
            </w:pPr>
            <w:r w:rsidRPr="00BD7C4D">
              <w:rPr>
                <w:rFonts w:ascii="Times New Roman" w:hAnsi="Times New Roman" w:cs="Times New Roman"/>
                <w:color w:val="FFFFFF"/>
                <w:sz w:val="18"/>
                <w:szCs w:val="18"/>
              </w:rPr>
              <w:t>-</w:t>
            </w:r>
          </w:p>
        </w:tc>
        <w:tc>
          <w:tcPr>
            <w:tcW w:w="1559" w:type="dxa"/>
            <w:shd w:val="clear" w:color="auto" w:fill="31849B"/>
            <w:vAlign w:val="center"/>
          </w:tcPr>
          <w:p w:rsidR="00393EB8" w:rsidRPr="00BD7C4D" w:rsidRDefault="00393EB8" w:rsidP="00393EB8">
            <w:pPr>
              <w:autoSpaceDE w:val="0"/>
              <w:autoSpaceDN w:val="0"/>
              <w:adjustRightInd w:val="0"/>
              <w:ind w:left="62" w:right="62"/>
              <w:jc w:val="center"/>
              <w:rPr>
                <w:rFonts w:ascii="Times New Roman" w:hAnsi="Times New Roman" w:cs="Times New Roman"/>
                <w:bCs/>
                <w:color w:val="FFFFFF"/>
                <w:sz w:val="18"/>
                <w:szCs w:val="18"/>
              </w:rPr>
            </w:pPr>
            <w:r w:rsidRPr="00BD7C4D">
              <w:rPr>
                <w:rFonts w:ascii="Times New Roman" w:hAnsi="Times New Roman" w:cs="Times New Roman"/>
                <w:bCs/>
                <w:color w:val="FFFFFF"/>
                <w:sz w:val="18"/>
                <w:szCs w:val="18"/>
              </w:rPr>
              <w:t>-</w:t>
            </w:r>
          </w:p>
        </w:tc>
        <w:tc>
          <w:tcPr>
            <w:tcW w:w="2410" w:type="dxa"/>
            <w:vMerge/>
            <w:shd w:val="clear" w:color="auto" w:fill="DAEEF3"/>
          </w:tcPr>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p>
        </w:tc>
      </w:tr>
      <w:tr w:rsidR="00393EB8" w:rsidRPr="006E00F6" w:rsidTr="003C06CF">
        <w:trPr>
          <w:cantSplit/>
          <w:trHeight w:val="1146"/>
        </w:trPr>
        <w:tc>
          <w:tcPr>
            <w:tcW w:w="8936" w:type="dxa"/>
            <w:gridSpan w:val="6"/>
            <w:shd w:val="clear" w:color="auto" w:fill="31849B"/>
            <w:vAlign w:val="center"/>
          </w:tcPr>
          <w:p w:rsidR="00393EB8" w:rsidRPr="007421D1" w:rsidRDefault="00393EB8" w:rsidP="00393EB8">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WT</w:t>
            </w:r>
            <w:r w:rsidRPr="007421D1">
              <w:rPr>
                <w:rFonts w:ascii="Times New Roman" w:hAnsi="Times New Roman" w:cs="Times New Roman"/>
                <w:color w:val="FFFFFF"/>
                <w:sz w:val="18"/>
                <w:szCs w:val="18"/>
              </w:rPr>
              <w:t xml:space="preserve"> - Warthin  </w:t>
            </w:r>
            <w:r w:rsidRPr="00A926CA">
              <w:rPr>
                <w:rFonts w:ascii="Times New Roman" w:hAnsi="Times New Roman" w:cs="Times New Roman"/>
                <w:color w:val="FFFFFF"/>
                <w:sz w:val="18"/>
                <w:szCs w:val="18"/>
              </w:rPr>
              <w:t>Tu</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BA</w:t>
            </w:r>
            <w:r w:rsidRPr="007421D1">
              <w:rPr>
                <w:rFonts w:ascii="Times New Roman" w:hAnsi="Times New Roman" w:cs="Times New Roman"/>
                <w:color w:val="FFFFFF"/>
                <w:sz w:val="18"/>
                <w:szCs w:val="18"/>
              </w:rPr>
              <w:t xml:space="preserve"> - Basal cell adenoma; </w:t>
            </w:r>
            <w:r w:rsidRPr="00A926CA">
              <w:rPr>
                <w:rFonts w:ascii="Times New Roman" w:hAnsi="Times New Roman" w:cs="Times New Roman"/>
                <w:color w:val="FFFFFF"/>
                <w:sz w:val="18"/>
                <w:szCs w:val="18"/>
              </w:rPr>
              <w:t>Pa</w:t>
            </w:r>
            <w:r w:rsidRPr="007421D1">
              <w:rPr>
                <w:rFonts w:ascii="Times New Roman" w:hAnsi="Times New Roman" w:cs="Times New Roman"/>
                <w:color w:val="FFFFFF"/>
                <w:sz w:val="18"/>
                <w:szCs w:val="18"/>
              </w:rPr>
              <w:t xml:space="preserve"> - Tu mixtus; </w:t>
            </w:r>
            <w:r w:rsidRPr="00A926CA">
              <w:rPr>
                <w:rFonts w:ascii="Times New Roman" w:hAnsi="Times New Roman" w:cs="Times New Roman"/>
                <w:color w:val="FFFFFF"/>
                <w:sz w:val="18"/>
                <w:szCs w:val="18"/>
              </w:rPr>
              <w:t>AC</w:t>
            </w:r>
            <w:r w:rsidRPr="007421D1">
              <w:rPr>
                <w:rFonts w:ascii="Times New Roman" w:hAnsi="Times New Roman" w:cs="Times New Roman"/>
                <w:color w:val="FFFFFF"/>
                <w:sz w:val="18"/>
                <w:szCs w:val="18"/>
              </w:rPr>
              <w:t xml:space="preserve"> - Adenocarcinoma gl. parotis; </w:t>
            </w:r>
            <w:r w:rsidRPr="00A926CA">
              <w:rPr>
                <w:rFonts w:ascii="Times New Roman" w:hAnsi="Times New Roman" w:cs="Times New Roman"/>
                <w:color w:val="FFFFFF"/>
                <w:sz w:val="18"/>
                <w:szCs w:val="18"/>
              </w:rPr>
              <w:t xml:space="preserve">PC </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P</w:t>
            </w:r>
            <w:r w:rsidRPr="007421D1">
              <w:rPr>
                <w:rFonts w:ascii="Times New Roman" w:hAnsi="Times New Roman" w:cs="Times New Roman"/>
                <w:color w:val="FFFFFF"/>
                <w:sz w:val="18"/>
                <w:szCs w:val="18"/>
              </w:rPr>
              <w:t>lanocellular</w:t>
            </w:r>
            <w:r w:rsidRPr="00A926CA">
              <w:rPr>
                <w:rFonts w:ascii="Times New Roman" w:hAnsi="Times New Roman" w:cs="Times New Roman"/>
                <w:color w:val="FFFFFF"/>
                <w:sz w:val="18"/>
                <w:szCs w:val="18"/>
              </w:rPr>
              <w:t xml:space="preserve"> Ca</w:t>
            </w:r>
            <w:r w:rsidRPr="007421D1">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w:t>
            </w:r>
          </w:p>
          <w:p w:rsidR="00393EB8" w:rsidRPr="007421D1" w:rsidRDefault="00393EB8" w:rsidP="00393EB8">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MEC</w:t>
            </w:r>
            <w:r w:rsidRPr="007421D1">
              <w:rPr>
                <w:rFonts w:ascii="Times New Roman" w:hAnsi="Times New Roman" w:cs="Times New Roman"/>
                <w:color w:val="FFFFFF"/>
                <w:sz w:val="18"/>
                <w:szCs w:val="18"/>
              </w:rPr>
              <w:t xml:space="preserve"> - Mucoepidermoid carcinoma gl. </w:t>
            </w:r>
            <w:r w:rsidRPr="00A926CA">
              <w:rPr>
                <w:rFonts w:ascii="Times New Roman" w:hAnsi="Times New Roman" w:cs="Times New Roman"/>
                <w:color w:val="FFFFFF"/>
                <w:sz w:val="18"/>
                <w:szCs w:val="18"/>
              </w:rPr>
              <w:t>p</w:t>
            </w:r>
            <w:r w:rsidRPr="007421D1">
              <w:rPr>
                <w:rFonts w:ascii="Times New Roman" w:hAnsi="Times New Roman" w:cs="Times New Roman"/>
                <w:color w:val="FFFFFF"/>
                <w:sz w:val="18"/>
                <w:szCs w:val="18"/>
              </w:rPr>
              <w:t xml:space="preserve">arotis; </w:t>
            </w:r>
            <w:r w:rsidRPr="00A926CA">
              <w:rPr>
                <w:rFonts w:ascii="Times New Roman" w:hAnsi="Times New Roman" w:cs="Times New Roman"/>
                <w:color w:val="FFFFFF"/>
                <w:sz w:val="18"/>
                <w:szCs w:val="18"/>
              </w:rPr>
              <w:t>CEA</w:t>
            </w:r>
            <w:r w:rsidRPr="007421D1">
              <w:rPr>
                <w:rFonts w:ascii="Times New Roman" w:hAnsi="Times New Roman" w:cs="Times New Roman"/>
                <w:color w:val="FFFFFF"/>
                <w:sz w:val="18"/>
                <w:szCs w:val="18"/>
              </w:rPr>
              <w:t xml:space="preserve"> - Carcinoma ex pleomorphic adenoma; </w:t>
            </w:r>
            <w:r w:rsidRPr="00A926CA">
              <w:rPr>
                <w:rFonts w:ascii="Times New Roman" w:hAnsi="Times New Roman" w:cs="Times New Roman"/>
                <w:color w:val="FFFFFF"/>
                <w:sz w:val="18"/>
                <w:szCs w:val="18"/>
              </w:rPr>
              <w:t xml:space="preserve"> </w:t>
            </w:r>
          </w:p>
          <w:p w:rsidR="00393EB8" w:rsidRPr="007421D1" w:rsidRDefault="00393EB8" w:rsidP="00393EB8">
            <w:pPr>
              <w:spacing w:line="276" w:lineRule="auto"/>
              <w:jc w:val="center"/>
              <w:rPr>
                <w:rFonts w:ascii="Times New Roman" w:hAnsi="Times New Roman" w:cs="Times New Roman"/>
                <w:color w:val="FFFFFF"/>
                <w:sz w:val="18"/>
                <w:szCs w:val="18"/>
                <w:highlight w:val="yellow"/>
              </w:rPr>
            </w:pPr>
            <w:r w:rsidRPr="007421D1">
              <w:rPr>
                <w:rFonts w:ascii="Times New Roman" w:hAnsi="Times New Roman" w:cs="Times New Roman"/>
                <w:color w:val="FFFFFF"/>
                <w:sz w:val="18"/>
                <w:szCs w:val="18"/>
                <w:lang w:val="en-US"/>
              </w:rPr>
              <w:t>Ly</w:t>
            </w:r>
            <w:r w:rsidRPr="007421D1">
              <w:rPr>
                <w:rFonts w:ascii="Times New Roman" w:hAnsi="Times New Roman" w:cs="Times New Roman"/>
                <w:color w:val="FFFFFF"/>
                <w:sz w:val="18"/>
                <w:szCs w:val="18"/>
              </w:rPr>
              <w:t xml:space="preserve"> – Lymphoma; </w:t>
            </w:r>
            <w:r w:rsidRPr="007421D1">
              <w:rPr>
                <w:rFonts w:ascii="Times New Roman" w:hAnsi="Times New Roman" w:cs="Times New Roman"/>
                <w:color w:val="FFFFFF"/>
                <w:sz w:val="18"/>
                <w:szCs w:val="18"/>
                <w:lang w:val="en-US"/>
              </w:rPr>
              <w:t xml:space="preserve"> ACC</w:t>
            </w:r>
            <w:r w:rsidRPr="007421D1">
              <w:rPr>
                <w:rFonts w:ascii="Times New Roman" w:hAnsi="Times New Roman" w:cs="Times New Roman"/>
                <w:color w:val="FFFFFF"/>
                <w:sz w:val="18"/>
                <w:szCs w:val="18"/>
              </w:rPr>
              <w:t xml:space="preserve"> - Acinic cell carcinoma;</w:t>
            </w:r>
          </w:p>
          <w:p w:rsidR="00393EB8" w:rsidRPr="006E00F6" w:rsidRDefault="00393EB8" w:rsidP="00393EB8">
            <w:pPr>
              <w:autoSpaceDE w:val="0"/>
              <w:autoSpaceDN w:val="0"/>
              <w:adjustRightInd w:val="0"/>
              <w:ind w:left="62" w:right="62"/>
              <w:jc w:val="center"/>
              <w:rPr>
                <w:rFonts w:ascii="Times New Roman" w:hAnsi="Times New Roman" w:cs="Times New Roman"/>
                <w:bCs/>
                <w:color w:val="000000"/>
                <w:sz w:val="18"/>
                <w:szCs w:val="18"/>
              </w:rPr>
            </w:pPr>
            <w:r w:rsidRPr="00437954">
              <w:rPr>
                <w:rFonts w:ascii="Times New Roman" w:hAnsi="Times New Roman" w:cs="Times New Roman"/>
                <w:color w:val="FFFFFF"/>
                <w:sz w:val="18"/>
                <w:szCs w:val="18"/>
              </w:rPr>
              <w:t>Z=Mann-Whitney U Test</w:t>
            </w:r>
            <w:r w:rsidRPr="00437954">
              <w:rPr>
                <w:rFonts w:ascii="Times New Roman" w:hAnsi="Times New Roman" w:cs="Times New Roman"/>
                <w:color w:val="FFFFFF"/>
                <w:sz w:val="18"/>
                <w:szCs w:val="18"/>
                <w:lang w:val="en-US"/>
              </w:rPr>
              <w:t>;</w:t>
            </w:r>
            <w:r w:rsidRPr="00A926CA">
              <w:rPr>
                <w:rFonts w:ascii="Times New Roman" w:hAnsi="Times New Roman" w:cs="Times New Roman"/>
                <w:b/>
                <w:color w:val="FFFFFF"/>
                <w:sz w:val="18"/>
                <w:szCs w:val="18"/>
                <w:lang w:val="en-US" w:eastAsia="mk-MK"/>
              </w:rPr>
              <w:t xml:space="preserve"> </w:t>
            </w:r>
            <w:r w:rsidRPr="00437954">
              <w:rPr>
                <w:rFonts w:ascii="Times New Roman" w:hAnsi="Times New Roman" w:cs="Times New Roman"/>
                <w:b/>
                <w:color w:val="FFFFFF"/>
                <w:sz w:val="18"/>
                <w:szCs w:val="18"/>
                <w:lang w:val="en-US" w:eastAsia="mk-MK"/>
              </w:rPr>
              <w:t xml:space="preserve">          </w:t>
            </w:r>
            <w:r w:rsidRPr="007421D1">
              <w:rPr>
                <w:rFonts w:ascii="Times New Roman" w:hAnsi="Times New Roman" w:cs="Times New Roman"/>
                <w:color w:val="FFFFFF"/>
                <w:sz w:val="18"/>
                <w:szCs w:val="18"/>
              </w:rPr>
              <w:t>X</w:t>
            </w:r>
            <w:r w:rsidRPr="007421D1">
              <w:rPr>
                <w:rFonts w:ascii="Times New Roman" w:hAnsi="Times New Roman" w:cs="Times New Roman"/>
                <w:color w:val="FFFFFF"/>
                <w:sz w:val="18"/>
                <w:szCs w:val="18"/>
                <w:vertAlign w:val="superscript"/>
              </w:rPr>
              <w:t>2</w:t>
            </w:r>
            <w:r w:rsidRPr="007421D1">
              <w:rPr>
                <w:rFonts w:ascii="Times New Roman" w:hAnsi="Times New Roman" w:cs="Times New Roman"/>
                <w:color w:val="FFFFFF"/>
                <w:sz w:val="18"/>
                <w:szCs w:val="18"/>
              </w:rPr>
              <w:t>=</w:t>
            </w:r>
            <w:r w:rsidRPr="007421D1">
              <w:rPr>
                <w:rFonts w:ascii="Times New Roman" w:hAnsi="Times New Roman"/>
                <w:color w:val="FFFFFF"/>
                <w:sz w:val="18"/>
                <w:szCs w:val="18"/>
              </w:rPr>
              <w:t xml:space="preserve">Kruskal-Wallis </w:t>
            </w:r>
            <w:r w:rsidRPr="007421D1">
              <w:rPr>
                <w:rFonts w:ascii="Times New Roman" w:hAnsi="Times New Roman"/>
                <w:color w:val="FFFFFF"/>
                <w:sz w:val="18"/>
                <w:szCs w:val="18"/>
                <w:lang w:val="en-US"/>
              </w:rPr>
              <w:t xml:space="preserve">H </w:t>
            </w:r>
            <w:r w:rsidRPr="007421D1">
              <w:rPr>
                <w:rFonts w:ascii="Times New Roman" w:hAnsi="Times New Roman"/>
                <w:color w:val="FFFFFF"/>
                <w:sz w:val="18"/>
                <w:szCs w:val="18"/>
              </w:rPr>
              <w:t>test</w:t>
            </w:r>
            <w:r w:rsidRPr="007421D1">
              <w:rPr>
                <w:rFonts w:ascii="Times New Roman" w:hAnsi="Times New Roman"/>
                <w:color w:val="FFFFFF"/>
                <w:sz w:val="18"/>
                <w:szCs w:val="18"/>
                <w:lang w:val="en-US"/>
              </w:rPr>
              <w:t xml:space="preserve">; </w:t>
            </w:r>
            <w:r w:rsidRPr="007421D1">
              <w:rPr>
                <w:rFonts w:ascii="Times New Roman" w:hAnsi="Times New Roman" w:cs="Times New Roman"/>
                <w:color w:val="FFFFFF"/>
                <w:sz w:val="18"/>
                <w:szCs w:val="18"/>
              </w:rPr>
              <w:t xml:space="preserve"> </w:t>
            </w:r>
            <w:r>
              <w:rPr>
                <w:rFonts w:ascii="Times New Roman" w:hAnsi="Times New Roman" w:cs="Times New Roman"/>
                <w:color w:val="FFFFFF"/>
                <w:sz w:val="18"/>
                <w:szCs w:val="18"/>
              </w:rPr>
              <w:t xml:space="preserve">           </w:t>
            </w:r>
            <w:r w:rsidRPr="007421D1">
              <w:rPr>
                <w:rFonts w:ascii="Times New Roman" w:hAnsi="Times New Roman" w:cs="Times New Roman"/>
                <w:color w:val="FFFFFF"/>
                <w:sz w:val="18"/>
                <w:szCs w:val="18"/>
              </w:rPr>
              <w:t xml:space="preserve">*сигнификантно за </w:t>
            </w:r>
            <w:r w:rsidRPr="007421D1">
              <w:rPr>
                <w:rFonts w:ascii="Times New Roman" w:hAnsi="Times New Roman" w:cs="Times New Roman"/>
                <w:color w:val="FFFFFF"/>
                <w:sz w:val="18"/>
                <w:szCs w:val="18"/>
                <w:lang w:val="it-IT"/>
              </w:rPr>
              <w:t>p</w:t>
            </w:r>
            <w:r w:rsidRPr="00A926CA">
              <w:rPr>
                <w:rFonts w:ascii="Times New Roman" w:hAnsi="Times New Roman" w:cs="Times New Roman"/>
                <w:color w:val="FFFFFF"/>
                <w:sz w:val="18"/>
                <w:szCs w:val="18"/>
                <w:lang w:val="en-US"/>
              </w:rPr>
              <w:t>&lt;0,05</w:t>
            </w:r>
          </w:p>
        </w:tc>
      </w:tr>
    </w:tbl>
    <w:p w:rsidR="003C06CF" w:rsidRDefault="003C06CF" w:rsidP="0030404E">
      <w:pPr>
        <w:spacing w:line="360" w:lineRule="auto"/>
        <w:rPr>
          <w:rFonts w:ascii="Times New Roman" w:hAnsi="Times New Roman" w:cs="Times New Roman"/>
          <w:sz w:val="24"/>
          <w:szCs w:val="24"/>
        </w:rPr>
      </w:pPr>
    </w:p>
    <w:p w:rsidR="007515AA" w:rsidRDefault="0030404E" w:rsidP="00D36D75">
      <w:pPr>
        <w:jc w:val="both"/>
        <w:rPr>
          <w:rFonts w:ascii="Times New Roman" w:hAnsi="Times New Roman" w:cs="Times New Roman"/>
          <w:sz w:val="24"/>
          <w:szCs w:val="24"/>
        </w:rPr>
      </w:pPr>
      <w:r>
        <w:rPr>
          <w:rFonts w:ascii="Times New Roman" w:hAnsi="Times New Roman" w:cs="Times New Roman"/>
          <w:sz w:val="24"/>
          <w:szCs w:val="24"/>
        </w:rPr>
        <w:tab/>
      </w: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7515AA" w:rsidRDefault="007515AA" w:rsidP="00D36D75">
      <w:pPr>
        <w:jc w:val="both"/>
        <w:rPr>
          <w:rFonts w:ascii="Times New Roman" w:hAnsi="Times New Roman" w:cs="Times New Roman"/>
          <w:sz w:val="24"/>
          <w:szCs w:val="24"/>
        </w:rPr>
      </w:pPr>
    </w:p>
    <w:p w:rsidR="00D7466C" w:rsidRPr="00F70103" w:rsidRDefault="00D06C15" w:rsidP="00D36D75">
      <w:pPr>
        <w:jc w:val="both"/>
        <w:rPr>
          <w:rFonts w:ascii="Times New Roman" w:hAnsi="Times New Roman" w:cs="Times New Roman"/>
          <w:sz w:val="24"/>
          <w:szCs w:val="24"/>
        </w:rPr>
      </w:pPr>
      <w:r w:rsidRPr="00F70103">
        <w:rPr>
          <w:rFonts w:ascii="Times New Roman" w:hAnsi="Times New Roman" w:cs="Times New Roman"/>
          <w:sz w:val="24"/>
          <w:szCs w:val="24"/>
        </w:rPr>
        <w:t>В</w:t>
      </w:r>
      <w:r w:rsidR="00C2176F" w:rsidRPr="00F70103">
        <w:rPr>
          <w:rFonts w:ascii="Times New Roman" w:hAnsi="Times New Roman" w:cs="Times New Roman"/>
          <w:sz w:val="24"/>
          <w:szCs w:val="24"/>
        </w:rPr>
        <w:t>редност</w:t>
      </w:r>
      <w:r w:rsidR="00F70103">
        <w:rPr>
          <w:rFonts w:ascii="Times New Roman" w:hAnsi="Times New Roman" w:cs="Times New Roman"/>
          <w:sz w:val="24"/>
          <w:szCs w:val="24"/>
        </w:rPr>
        <w:t>а</w:t>
      </w:r>
      <w:r w:rsidR="00C2176F" w:rsidRPr="00F70103">
        <w:rPr>
          <w:rFonts w:ascii="Times New Roman" w:hAnsi="Times New Roman" w:cs="Times New Roman"/>
          <w:sz w:val="24"/>
          <w:szCs w:val="24"/>
        </w:rPr>
        <w:t xml:space="preserve"> на</w:t>
      </w:r>
      <w:r w:rsidR="0030404E" w:rsidRPr="00F70103">
        <w:rPr>
          <w:rFonts w:ascii="Times New Roman" w:hAnsi="Times New Roman" w:cs="Times New Roman"/>
          <w:sz w:val="24"/>
          <w:szCs w:val="24"/>
        </w:rPr>
        <w:t xml:space="preserve"> </w:t>
      </w:r>
      <w:r w:rsidR="0030404E" w:rsidRPr="00F70103">
        <w:rPr>
          <w:rFonts w:ascii="Times New Roman" w:hAnsi="Times New Roman" w:cs="Times New Roman"/>
          <w:color w:val="000000"/>
          <w:sz w:val="24"/>
          <w:szCs w:val="24"/>
        </w:rPr>
        <w:t xml:space="preserve">IL-33 во серум, за p&gt;0,05, </w:t>
      </w:r>
      <w:r w:rsidR="00C2176F" w:rsidRPr="00F70103">
        <w:rPr>
          <w:rFonts w:ascii="Times New Roman" w:hAnsi="Times New Roman" w:cs="Times New Roman"/>
          <w:color w:val="000000"/>
          <w:sz w:val="24"/>
          <w:szCs w:val="24"/>
        </w:rPr>
        <w:t>беше</w:t>
      </w:r>
      <w:r w:rsidR="0030404E" w:rsidRPr="00F70103">
        <w:rPr>
          <w:rFonts w:ascii="Times New Roman" w:hAnsi="Times New Roman" w:cs="Times New Roman"/>
          <w:color w:val="000000"/>
          <w:sz w:val="24"/>
          <w:szCs w:val="24"/>
        </w:rPr>
        <w:t xml:space="preserve"> несигнификантно </w:t>
      </w:r>
      <w:r w:rsidR="00C2176F" w:rsidRPr="00F70103">
        <w:rPr>
          <w:rFonts w:ascii="Times New Roman" w:hAnsi="Times New Roman" w:cs="Times New Roman"/>
          <w:color w:val="000000"/>
          <w:sz w:val="24"/>
          <w:szCs w:val="24"/>
        </w:rPr>
        <w:t>повисока</w:t>
      </w:r>
      <w:r w:rsidR="0030404E" w:rsidRPr="00F70103">
        <w:rPr>
          <w:rFonts w:ascii="Times New Roman" w:hAnsi="Times New Roman" w:cs="Times New Roman"/>
          <w:color w:val="000000"/>
          <w:sz w:val="24"/>
          <w:szCs w:val="24"/>
        </w:rPr>
        <w:t xml:space="preserve"> кај пациентите од испитуваната група со тумори на паротидните жлезди </w:t>
      </w:r>
      <w:r w:rsidRPr="00F70103">
        <w:rPr>
          <w:rFonts w:ascii="Times New Roman" w:hAnsi="Times New Roman" w:cs="Times New Roman"/>
          <w:color w:val="000000"/>
          <w:sz w:val="24"/>
          <w:szCs w:val="24"/>
        </w:rPr>
        <w:t>–</w:t>
      </w:r>
      <w:r w:rsidR="0030404E" w:rsidRPr="00F70103">
        <w:rPr>
          <w:rFonts w:ascii="Times New Roman" w:hAnsi="Times New Roman" w:cs="Times New Roman"/>
          <w:color w:val="000000"/>
          <w:sz w:val="24"/>
          <w:szCs w:val="24"/>
        </w:rPr>
        <w:t xml:space="preserve"> </w:t>
      </w:r>
      <w:r w:rsidR="00F70103" w:rsidRPr="00A926CA">
        <w:rPr>
          <w:rFonts w:ascii="Times New Roman" w:hAnsi="Times New Roman" w:cs="Times New Roman"/>
          <w:color w:val="000000"/>
          <w:sz w:val="24"/>
          <w:szCs w:val="24"/>
        </w:rPr>
        <w:t>Mean</w:t>
      </w:r>
      <w:r w:rsidRPr="00A926CA">
        <w:rPr>
          <w:rFonts w:ascii="Times New Roman" w:hAnsi="Times New Roman" w:cs="Times New Roman"/>
          <w:color w:val="000000"/>
          <w:sz w:val="24"/>
          <w:szCs w:val="24"/>
        </w:rPr>
        <w:t>=</w:t>
      </w:r>
      <w:r w:rsidR="0030404E" w:rsidRPr="00F70103">
        <w:rPr>
          <w:rFonts w:ascii="Times New Roman" w:hAnsi="Times New Roman" w:cs="Times New Roman"/>
          <w:sz w:val="24"/>
          <w:szCs w:val="24"/>
        </w:rPr>
        <w:t>4,85±0,16</w:t>
      </w:r>
      <w:r w:rsidR="00F70103" w:rsidRPr="00F70103">
        <w:rPr>
          <w:rFonts w:ascii="Times New Roman" w:hAnsi="Times New Roman" w:cs="Times New Roman"/>
          <w:sz w:val="24"/>
          <w:szCs w:val="24"/>
        </w:rPr>
        <w:t xml:space="preserve"> и </w:t>
      </w:r>
      <w:r w:rsidR="00F70103" w:rsidRPr="00A926CA">
        <w:rPr>
          <w:rFonts w:ascii="Times New Roman" w:hAnsi="Times New Roman" w:cs="Times New Roman"/>
          <w:sz w:val="24"/>
          <w:szCs w:val="24"/>
        </w:rPr>
        <w:t>Median IQR=</w:t>
      </w:r>
      <w:r w:rsidR="00F70103" w:rsidRPr="00F70103">
        <w:rPr>
          <w:rFonts w:ascii="Times New Roman" w:hAnsi="Times New Roman" w:cs="Times New Roman"/>
          <w:bCs/>
          <w:color w:val="000000"/>
          <w:sz w:val="24"/>
          <w:szCs w:val="24"/>
        </w:rPr>
        <w:t>4,85 (4,85-4,93)</w:t>
      </w:r>
      <w:r w:rsidR="0030404E" w:rsidRPr="00F70103">
        <w:rPr>
          <w:rFonts w:ascii="Times New Roman" w:hAnsi="Times New Roman" w:cs="Times New Roman"/>
          <w:color w:val="000000"/>
          <w:sz w:val="24"/>
          <w:szCs w:val="24"/>
        </w:rPr>
        <w:t xml:space="preserve">, споредено со </w:t>
      </w:r>
      <w:r w:rsidRPr="00F70103">
        <w:rPr>
          <w:rFonts w:ascii="Times New Roman" w:hAnsi="Times New Roman" w:cs="Times New Roman"/>
          <w:color w:val="000000"/>
          <w:sz w:val="24"/>
          <w:szCs w:val="24"/>
        </w:rPr>
        <w:t xml:space="preserve">IL-33 во серум </w:t>
      </w:r>
      <w:r w:rsidR="00F70103">
        <w:rPr>
          <w:rFonts w:ascii="Times New Roman" w:hAnsi="Times New Roman" w:cs="Times New Roman"/>
          <w:color w:val="000000"/>
          <w:sz w:val="24"/>
          <w:szCs w:val="24"/>
        </w:rPr>
        <w:t xml:space="preserve">кај </w:t>
      </w:r>
      <w:r w:rsidR="00F70103" w:rsidRPr="00F70103">
        <w:rPr>
          <w:rFonts w:ascii="Times New Roman" w:hAnsi="Times New Roman" w:cs="Times New Roman"/>
          <w:color w:val="000000"/>
          <w:sz w:val="24"/>
          <w:szCs w:val="24"/>
        </w:rPr>
        <w:t xml:space="preserve">здрави лица </w:t>
      </w:r>
      <w:r w:rsidRPr="00A926CA">
        <w:rPr>
          <w:rFonts w:ascii="Times New Roman" w:hAnsi="Times New Roman" w:cs="Times New Roman"/>
          <w:color w:val="000000"/>
          <w:sz w:val="24"/>
          <w:szCs w:val="24"/>
        </w:rPr>
        <w:t xml:space="preserve">во </w:t>
      </w:r>
      <w:r w:rsidR="0030404E" w:rsidRPr="00F70103">
        <w:rPr>
          <w:rFonts w:ascii="Times New Roman" w:hAnsi="Times New Roman" w:cs="Times New Roman"/>
          <w:color w:val="000000"/>
          <w:sz w:val="24"/>
          <w:szCs w:val="24"/>
        </w:rPr>
        <w:t>контролната група</w:t>
      </w:r>
      <w:r w:rsidR="00F70103">
        <w:rPr>
          <w:rFonts w:ascii="Times New Roman" w:hAnsi="Times New Roman" w:cs="Times New Roman"/>
          <w:color w:val="000000"/>
          <w:sz w:val="24"/>
          <w:szCs w:val="24"/>
        </w:rPr>
        <w:t xml:space="preserve"> </w:t>
      </w:r>
      <w:r w:rsidRPr="00F70103">
        <w:rPr>
          <w:rFonts w:ascii="Times New Roman" w:hAnsi="Times New Roman" w:cs="Times New Roman"/>
          <w:color w:val="000000"/>
          <w:sz w:val="24"/>
          <w:szCs w:val="24"/>
        </w:rPr>
        <w:t>–</w:t>
      </w:r>
      <w:r w:rsidR="0030404E" w:rsidRPr="00F70103">
        <w:rPr>
          <w:rFonts w:ascii="Times New Roman" w:hAnsi="Times New Roman" w:cs="Times New Roman"/>
          <w:color w:val="000000"/>
          <w:sz w:val="24"/>
          <w:szCs w:val="24"/>
        </w:rPr>
        <w:t xml:space="preserve"> </w:t>
      </w:r>
      <w:r w:rsidRPr="00A926CA">
        <w:rPr>
          <w:rFonts w:ascii="Times New Roman" w:hAnsi="Times New Roman" w:cs="Times New Roman"/>
          <w:color w:val="000000"/>
          <w:sz w:val="24"/>
          <w:szCs w:val="24"/>
        </w:rPr>
        <w:t>Mean=</w:t>
      </w:r>
      <w:r w:rsidR="0030404E" w:rsidRPr="00F70103">
        <w:rPr>
          <w:rFonts w:ascii="Times New Roman" w:hAnsi="Times New Roman" w:cs="Times New Roman"/>
          <w:sz w:val="24"/>
          <w:szCs w:val="24"/>
        </w:rPr>
        <w:t xml:space="preserve">4,80±0,55 </w:t>
      </w:r>
      <w:r w:rsidR="00F70103" w:rsidRPr="00F70103">
        <w:rPr>
          <w:rFonts w:ascii="Times New Roman" w:hAnsi="Times New Roman" w:cs="Times New Roman"/>
          <w:sz w:val="24"/>
          <w:szCs w:val="24"/>
        </w:rPr>
        <w:t xml:space="preserve">и </w:t>
      </w:r>
      <w:r w:rsidR="00F70103" w:rsidRPr="00A926CA">
        <w:rPr>
          <w:rFonts w:ascii="Times New Roman" w:hAnsi="Times New Roman" w:cs="Times New Roman"/>
          <w:sz w:val="24"/>
          <w:szCs w:val="24"/>
        </w:rPr>
        <w:t>Median IQR=</w:t>
      </w:r>
      <w:r w:rsidR="00F70103" w:rsidRPr="00F70103">
        <w:rPr>
          <w:rFonts w:ascii="Times New Roman" w:hAnsi="Times New Roman" w:cs="Times New Roman"/>
          <w:bCs/>
          <w:color w:val="000000"/>
          <w:sz w:val="24"/>
          <w:szCs w:val="24"/>
        </w:rPr>
        <w:t>4,85 (4,76-5,01)</w:t>
      </w:r>
      <w:r w:rsidR="00F70103" w:rsidRPr="00A926CA">
        <w:rPr>
          <w:rFonts w:ascii="Times New Roman" w:hAnsi="Times New Roman" w:cs="Times New Roman"/>
          <w:bCs/>
          <w:color w:val="000000"/>
          <w:sz w:val="24"/>
          <w:szCs w:val="24"/>
        </w:rPr>
        <w:t xml:space="preserve"> </w:t>
      </w:r>
      <w:r w:rsidR="0030404E" w:rsidRPr="00F70103">
        <w:rPr>
          <w:rFonts w:ascii="Times New Roman" w:hAnsi="Times New Roman" w:cs="Times New Roman"/>
          <w:sz w:val="24"/>
          <w:szCs w:val="24"/>
        </w:rPr>
        <w:t xml:space="preserve">за </w:t>
      </w:r>
      <w:r w:rsidR="0030404E" w:rsidRPr="00A926CA">
        <w:rPr>
          <w:rFonts w:ascii="Times New Roman" w:hAnsi="Times New Roman" w:cs="Times New Roman"/>
          <w:color w:val="000000"/>
          <w:sz w:val="24"/>
          <w:szCs w:val="24"/>
          <w:lang w:eastAsia="mk-MK"/>
        </w:rPr>
        <w:t xml:space="preserve">Mann Whitney U test: </w:t>
      </w:r>
      <w:r w:rsidR="0030404E" w:rsidRPr="00F70103">
        <w:rPr>
          <w:rFonts w:ascii="Times New Roman" w:hAnsi="Times New Roman" w:cs="Times New Roman"/>
          <w:color w:val="000000"/>
          <w:sz w:val="24"/>
          <w:szCs w:val="24"/>
        </w:rPr>
        <w:t>Z=-0,276; p=0,7828</w:t>
      </w:r>
      <w:r w:rsidR="0030404E" w:rsidRPr="00F70103">
        <w:rPr>
          <w:rFonts w:ascii="Times New Roman" w:hAnsi="Times New Roman" w:cs="Times New Roman"/>
          <w:color w:val="000000"/>
          <w:sz w:val="24"/>
          <w:szCs w:val="24"/>
          <w:lang w:eastAsia="en-GB"/>
        </w:rPr>
        <w:t xml:space="preserve"> (Табела 12</w:t>
      </w:r>
      <w:r w:rsidR="00337626">
        <w:rPr>
          <w:rFonts w:ascii="Times New Roman" w:hAnsi="Times New Roman" w:cs="Times New Roman"/>
          <w:color w:val="000000"/>
          <w:sz w:val="24"/>
          <w:szCs w:val="24"/>
          <w:lang w:eastAsia="en-GB"/>
        </w:rPr>
        <w:t xml:space="preserve"> и График 19</w:t>
      </w:r>
      <w:r w:rsidR="0030404E" w:rsidRPr="00F70103">
        <w:rPr>
          <w:rFonts w:ascii="Times New Roman" w:hAnsi="Times New Roman" w:cs="Times New Roman"/>
          <w:color w:val="000000"/>
          <w:sz w:val="24"/>
          <w:szCs w:val="24"/>
          <w:lang w:eastAsia="en-GB"/>
        </w:rPr>
        <w:t>)</w:t>
      </w:r>
    </w:p>
    <w:p w:rsidR="00D7466C" w:rsidRPr="00A926CA" w:rsidRDefault="00D7466C" w:rsidP="008B71B4">
      <w:pPr>
        <w:rPr>
          <w:rFonts w:ascii="Times New Roman" w:hAnsi="Times New Roman" w:cs="Times New Roman"/>
          <w:sz w:val="24"/>
          <w:szCs w:val="24"/>
        </w:rPr>
      </w:pPr>
    </w:p>
    <w:p w:rsidR="00445C45" w:rsidRPr="00C45CC4" w:rsidRDefault="00446A60" w:rsidP="00D36D75">
      <w:pPr>
        <w:spacing w:after="200"/>
        <w:jc w:val="both"/>
        <w:rPr>
          <w:rFonts w:ascii="Times New Roman" w:hAnsi="Times New Roman" w:cs="Times New Roman"/>
          <w:sz w:val="24"/>
          <w:szCs w:val="24"/>
        </w:rPr>
      </w:pPr>
      <w:r>
        <w:rPr>
          <w:noProof/>
          <w:lang w:val="en-US"/>
        </w:rPr>
        <w:drawing>
          <wp:anchor distT="0" distB="0" distL="114300" distR="114300" simplePos="0" relativeHeight="251662848" behindDoc="1" locked="0" layoutInCell="1" allowOverlap="1">
            <wp:simplePos x="0" y="0"/>
            <wp:positionH relativeFrom="column">
              <wp:posOffset>1087120</wp:posOffset>
            </wp:positionH>
            <wp:positionV relativeFrom="paragraph">
              <wp:posOffset>1441450</wp:posOffset>
            </wp:positionV>
            <wp:extent cx="3640455" cy="2732405"/>
            <wp:effectExtent l="19050" t="0" r="0" b="0"/>
            <wp:wrapTight wrapText="bothSides">
              <wp:wrapPolygon edited="0">
                <wp:start x="-113" y="0"/>
                <wp:lineTo x="-113" y="21234"/>
                <wp:lineTo x="21589" y="21234"/>
                <wp:lineTo x="21589" y="0"/>
                <wp:lineTo x="-113" y="0"/>
              </wp:wrapPolygon>
            </wp:wrapTight>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35"/>
                    <a:srcRect/>
                    <a:stretch>
                      <a:fillRect/>
                    </a:stretch>
                  </pic:blipFill>
                  <pic:spPr bwMode="auto">
                    <a:xfrm>
                      <a:off x="0" y="0"/>
                      <a:ext cx="3640455" cy="2732405"/>
                    </a:xfrm>
                    <a:prstGeom prst="rect">
                      <a:avLst/>
                    </a:prstGeom>
                    <a:noFill/>
                    <a:ln w="9525">
                      <a:noFill/>
                      <a:miter lim="800000"/>
                      <a:headEnd/>
                      <a:tailEnd/>
                    </a:ln>
                  </pic:spPr>
                </pic:pic>
              </a:graphicData>
            </a:graphic>
          </wp:anchor>
        </w:drawing>
      </w:r>
      <w:r w:rsidR="0030404E">
        <w:rPr>
          <w:rFonts w:ascii="Times New Roman" w:hAnsi="Times New Roman" w:cs="Times New Roman"/>
          <w:sz w:val="24"/>
          <w:szCs w:val="24"/>
        </w:rPr>
        <w:tab/>
      </w:r>
      <w:r w:rsidR="00445C45" w:rsidRPr="00C45CC4">
        <w:rPr>
          <w:rFonts w:ascii="Times New Roman" w:hAnsi="Times New Roman" w:cs="Times New Roman"/>
          <w:sz w:val="24"/>
          <w:szCs w:val="24"/>
        </w:rPr>
        <w:t xml:space="preserve">Во испитуваната група, </w:t>
      </w:r>
      <w:r w:rsidR="00C2176F" w:rsidRPr="00C45CC4">
        <w:rPr>
          <w:rFonts w:ascii="Times New Roman" w:hAnsi="Times New Roman" w:cs="Times New Roman"/>
          <w:sz w:val="24"/>
          <w:szCs w:val="24"/>
        </w:rPr>
        <w:t>вредност</w:t>
      </w:r>
      <w:r w:rsidR="00D06C15" w:rsidRPr="00C45CC4">
        <w:rPr>
          <w:rFonts w:ascii="Times New Roman" w:hAnsi="Times New Roman" w:cs="Times New Roman"/>
          <w:sz w:val="24"/>
          <w:szCs w:val="24"/>
        </w:rPr>
        <w:t>а</w:t>
      </w:r>
      <w:r w:rsidR="00C2176F" w:rsidRPr="00C45CC4">
        <w:rPr>
          <w:rFonts w:ascii="Times New Roman" w:hAnsi="Times New Roman" w:cs="Times New Roman"/>
          <w:sz w:val="24"/>
          <w:szCs w:val="24"/>
        </w:rPr>
        <w:t xml:space="preserve"> на</w:t>
      </w:r>
      <w:r w:rsidR="00445C45" w:rsidRPr="00C45CC4">
        <w:rPr>
          <w:rFonts w:ascii="Times New Roman" w:hAnsi="Times New Roman" w:cs="Times New Roman"/>
          <w:color w:val="000000"/>
          <w:sz w:val="24"/>
          <w:szCs w:val="24"/>
        </w:rPr>
        <w:t xml:space="preserve"> IL-33 во серум</w:t>
      </w:r>
      <w:r w:rsidR="00445C45" w:rsidRPr="00C45CC4">
        <w:rPr>
          <w:rFonts w:ascii="Times New Roman" w:hAnsi="Times New Roman" w:cs="Times New Roman"/>
          <w:sz w:val="24"/>
          <w:szCs w:val="24"/>
        </w:rPr>
        <w:t xml:space="preserve">, за </w:t>
      </w:r>
      <w:r w:rsidR="00445C45" w:rsidRPr="00C45CC4">
        <w:rPr>
          <w:rFonts w:ascii="Times New Roman" w:hAnsi="Times New Roman" w:cs="Times New Roman"/>
          <w:color w:val="000000"/>
          <w:sz w:val="24"/>
          <w:szCs w:val="24"/>
        </w:rPr>
        <w:t>p&gt;0,05, бе</w:t>
      </w:r>
      <w:r w:rsidR="00C2176F" w:rsidRPr="00C45CC4">
        <w:rPr>
          <w:rFonts w:ascii="Times New Roman" w:hAnsi="Times New Roman" w:cs="Times New Roman"/>
          <w:color w:val="000000"/>
          <w:sz w:val="24"/>
          <w:szCs w:val="24"/>
        </w:rPr>
        <w:t xml:space="preserve">ше </w:t>
      </w:r>
      <w:r w:rsidR="00445C45" w:rsidRPr="00C45CC4">
        <w:rPr>
          <w:rFonts w:ascii="Times New Roman" w:hAnsi="Times New Roman" w:cs="Times New Roman"/>
          <w:color w:val="000000"/>
          <w:sz w:val="24"/>
          <w:szCs w:val="24"/>
        </w:rPr>
        <w:t>несигнификантно повисок</w:t>
      </w:r>
      <w:r w:rsidR="00C2176F" w:rsidRPr="00C45CC4">
        <w:rPr>
          <w:rFonts w:ascii="Times New Roman" w:hAnsi="Times New Roman" w:cs="Times New Roman"/>
          <w:color w:val="000000"/>
          <w:sz w:val="24"/>
          <w:szCs w:val="24"/>
        </w:rPr>
        <w:t xml:space="preserve">а </w:t>
      </w:r>
      <w:r w:rsidR="00445C45" w:rsidRPr="00C45CC4">
        <w:rPr>
          <w:rFonts w:ascii="Times New Roman" w:hAnsi="Times New Roman" w:cs="Times New Roman"/>
          <w:sz w:val="24"/>
          <w:szCs w:val="24"/>
        </w:rPr>
        <w:t xml:space="preserve">кај пациентите </w:t>
      </w:r>
      <w:r w:rsidR="0030404E" w:rsidRPr="00C45CC4">
        <w:rPr>
          <w:rFonts w:ascii="Times New Roman" w:hAnsi="Times New Roman" w:cs="Times New Roman"/>
          <w:sz w:val="24"/>
          <w:szCs w:val="24"/>
        </w:rPr>
        <w:t xml:space="preserve">со малигни тумори на паротидните жлезди </w:t>
      </w:r>
      <w:r w:rsidR="00F70103" w:rsidRPr="00C45CC4">
        <w:rPr>
          <w:rFonts w:ascii="Times New Roman" w:hAnsi="Times New Roman" w:cs="Times New Roman"/>
          <w:color w:val="000000"/>
          <w:sz w:val="24"/>
          <w:szCs w:val="24"/>
        </w:rPr>
        <w:t>– Mean=</w:t>
      </w:r>
      <w:r w:rsidR="00445C45" w:rsidRPr="00C45CC4">
        <w:rPr>
          <w:rFonts w:ascii="Times New Roman" w:hAnsi="Times New Roman" w:cs="Times New Roman"/>
          <w:sz w:val="24"/>
          <w:szCs w:val="24"/>
        </w:rPr>
        <w:t xml:space="preserve">4,86±0,17 </w:t>
      </w:r>
      <w:r w:rsidR="00F70103" w:rsidRPr="00C45CC4">
        <w:rPr>
          <w:rFonts w:ascii="Times New Roman" w:hAnsi="Times New Roman" w:cs="Times New Roman"/>
          <w:sz w:val="24"/>
          <w:szCs w:val="24"/>
        </w:rPr>
        <w:t xml:space="preserve">и </w:t>
      </w:r>
      <w:r w:rsidR="00F70103" w:rsidRPr="00A926CA">
        <w:rPr>
          <w:rFonts w:ascii="Times New Roman" w:hAnsi="Times New Roman" w:cs="Times New Roman"/>
          <w:sz w:val="24"/>
          <w:szCs w:val="24"/>
        </w:rPr>
        <w:t>Median IQR=</w:t>
      </w:r>
      <w:r w:rsidR="00F70103" w:rsidRPr="00C45CC4">
        <w:rPr>
          <w:rFonts w:ascii="Times New Roman" w:hAnsi="Times New Roman" w:cs="Times New Roman"/>
          <w:bCs/>
          <w:color w:val="000000"/>
          <w:sz w:val="24"/>
          <w:szCs w:val="24"/>
        </w:rPr>
        <w:t>4,85 (4,76-5,01</w:t>
      </w:r>
      <w:r w:rsidR="00F70103" w:rsidRPr="00A926CA">
        <w:rPr>
          <w:rFonts w:ascii="Times New Roman" w:hAnsi="Times New Roman" w:cs="Times New Roman"/>
          <w:bCs/>
          <w:color w:val="000000"/>
          <w:sz w:val="24"/>
          <w:szCs w:val="24"/>
        </w:rPr>
        <w:t xml:space="preserve">), </w:t>
      </w:r>
      <w:r w:rsidR="0030404E" w:rsidRPr="00C45CC4">
        <w:rPr>
          <w:rFonts w:ascii="Times New Roman" w:hAnsi="Times New Roman" w:cs="Times New Roman"/>
          <w:color w:val="000000"/>
          <w:sz w:val="24"/>
          <w:szCs w:val="24"/>
        </w:rPr>
        <w:t xml:space="preserve">споредено со </w:t>
      </w:r>
      <w:r w:rsidR="00F70103" w:rsidRPr="00C45CC4">
        <w:rPr>
          <w:rFonts w:ascii="Times New Roman" w:hAnsi="Times New Roman" w:cs="Times New Roman"/>
          <w:color w:val="000000"/>
          <w:sz w:val="24"/>
          <w:szCs w:val="24"/>
        </w:rPr>
        <w:t>IL-33 во серум</w:t>
      </w:r>
      <w:r w:rsidR="00445C45" w:rsidRPr="00C45CC4">
        <w:rPr>
          <w:rFonts w:ascii="Times New Roman" w:hAnsi="Times New Roman" w:cs="Times New Roman"/>
          <w:color w:val="000000"/>
          <w:sz w:val="24"/>
          <w:szCs w:val="24"/>
        </w:rPr>
        <w:t xml:space="preserve"> кај </w:t>
      </w:r>
      <w:r w:rsidR="00337626">
        <w:rPr>
          <w:rFonts w:ascii="Times New Roman" w:hAnsi="Times New Roman" w:cs="Times New Roman"/>
          <w:color w:val="000000"/>
          <w:sz w:val="24"/>
          <w:szCs w:val="24"/>
        </w:rPr>
        <w:t xml:space="preserve">оние </w:t>
      </w:r>
      <w:r w:rsidR="0030404E" w:rsidRPr="00C45CC4">
        <w:rPr>
          <w:rFonts w:ascii="Times New Roman" w:hAnsi="Times New Roman" w:cs="Times New Roman"/>
          <w:color w:val="000000"/>
          <w:sz w:val="24"/>
          <w:szCs w:val="24"/>
        </w:rPr>
        <w:t xml:space="preserve">со бенигни тумори </w:t>
      </w:r>
      <w:r w:rsidR="005179E7">
        <w:rPr>
          <w:rFonts w:ascii="Times New Roman" w:hAnsi="Times New Roman" w:cs="Times New Roman"/>
          <w:color w:val="000000"/>
          <w:sz w:val="24"/>
          <w:szCs w:val="24"/>
        </w:rPr>
        <w:t xml:space="preserve">на </w:t>
      </w:r>
      <w:r w:rsidR="00445C45" w:rsidRPr="00C45CC4">
        <w:rPr>
          <w:rFonts w:ascii="Times New Roman" w:hAnsi="Times New Roman" w:cs="Times New Roman"/>
          <w:sz w:val="24"/>
          <w:szCs w:val="24"/>
        </w:rPr>
        <w:t xml:space="preserve">паротидните жлезди </w:t>
      </w:r>
      <w:r w:rsidR="00445C45" w:rsidRPr="00C45CC4">
        <w:rPr>
          <w:rFonts w:ascii="Times New Roman" w:hAnsi="Times New Roman" w:cs="Times New Roman"/>
          <w:color w:val="000000"/>
          <w:sz w:val="24"/>
          <w:szCs w:val="24"/>
        </w:rPr>
        <w:t xml:space="preserve">- </w:t>
      </w:r>
      <w:r w:rsidR="00F70103" w:rsidRPr="00C45CC4">
        <w:rPr>
          <w:rFonts w:ascii="Times New Roman" w:hAnsi="Times New Roman" w:cs="Times New Roman"/>
          <w:color w:val="000000"/>
          <w:sz w:val="24"/>
          <w:szCs w:val="24"/>
        </w:rPr>
        <w:t>Mean=</w:t>
      </w:r>
      <w:r w:rsidR="00445C45" w:rsidRPr="00C45CC4">
        <w:rPr>
          <w:rFonts w:ascii="Times New Roman" w:hAnsi="Times New Roman" w:cs="Times New Roman"/>
          <w:sz w:val="24"/>
          <w:szCs w:val="24"/>
        </w:rPr>
        <w:t xml:space="preserve">4,85±0,16 </w:t>
      </w:r>
      <w:r w:rsidR="00F70103" w:rsidRPr="00C45CC4">
        <w:rPr>
          <w:rFonts w:ascii="Times New Roman" w:hAnsi="Times New Roman" w:cs="Times New Roman"/>
          <w:sz w:val="24"/>
          <w:szCs w:val="24"/>
        </w:rPr>
        <w:t xml:space="preserve">и </w:t>
      </w:r>
      <w:r w:rsidR="00F70103" w:rsidRPr="00A926CA">
        <w:rPr>
          <w:rFonts w:ascii="Times New Roman" w:hAnsi="Times New Roman" w:cs="Times New Roman"/>
          <w:sz w:val="24"/>
          <w:szCs w:val="24"/>
        </w:rPr>
        <w:t>Median IQR=</w:t>
      </w:r>
      <w:r w:rsidR="00F70103" w:rsidRPr="00C45CC4">
        <w:rPr>
          <w:rFonts w:ascii="Times New Roman" w:hAnsi="Times New Roman" w:cs="Times New Roman"/>
          <w:bCs/>
          <w:color w:val="000000"/>
          <w:sz w:val="24"/>
          <w:szCs w:val="24"/>
        </w:rPr>
        <w:t>4,85 (4,85-4,93)</w:t>
      </w:r>
      <w:r w:rsidR="00F70103" w:rsidRPr="00A926CA">
        <w:rPr>
          <w:rFonts w:ascii="Times New Roman" w:hAnsi="Times New Roman" w:cs="Times New Roman"/>
          <w:bCs/>
          <w:color w:val="000000"/>
          <w:sz w:val="24"/>
          <w:szCs w:val="24"/>
        </w:rPr>
        <w:t xml:space="preserve"> </w:t>
      </w:r>
      <w:r w:rsidR="00445C45" w:rsidRPr="00C45CC4">
        <w:rPr>
          <w:rFonts w:ascii="Times New Roman" w:hAnsi="Times New Roman" w:cs="Times New Roman"/>
          <w:sz w:val="24"/>
          <w:szCs w:val="24"/>
        </w:rPr>
        <w:t xml:space="preserve">за </w:t>
      </w:r>
      <w:r w:rsidR="00445C45" w:rsidRPr="00A926CA">
        <w:rPr>
          <w:rFonts w:ascii="Times New Roman" w:hAnsi="Times New Roman" w:cs="Times New Roman"/>
          <w:color w:val="000000"/>
          <w:sz w:val="24"/>
          <w:szCs w:val="24"/>
          <w:lang w:eastAsia="mk-MK"/>
        </w:rPr>
        <w:t xml:space="preserve">Mann Whitney U test: </w:t>
      </w:r>
      <w:r w:rsidR="00445C45" w:rsidRPr="00C45CC4">
        <w:rPr>
          <w:rFonts w:ascii="Times New Roman" w:hAnsi="Times New Roman" w:cs="Times New Roman"/>
          <w:color w:val="000000"/>
          <w:sz w:val="24"/>
          <w:szCs w:val="24"/>
        </w:rPr>
        <w:t>Z=0,129; p=0,8968</w:t>
      </w:r>
      <w:r w:rsidR="00445C45" w:rsidRPr="00C45CC4">
        <w:rPr>
          <w:rFonts w:ascii="Times New Roman" w:hAnsi="Times New Roman" w:cs="Times New Roman"/>
          <w:color w:val="000000"/>
          <w:sz w:val="24"/>
          <w:szCs w:val="24"/>
          <w:lang w:eastAsia="en-GB"/>
        </w:rPr>
        <w:t xml:space="preserve"> (Табела 12</w:t>
      </w:r>
      <w:r w:rsidR="00337626">
        <w:rPr>
          <w:rFonts w:ascii="Times New Roman" w:hAnsi="Times New Roman" w:cs="Times New Roman"/>
          <w:color w:val="000000"/>
          <w:sz w:val="24"/>
          <w:szCs w:val="24"/>
          <w:lang w:eastAsia="en-GB"/>
        </w:rPr>
        <w:t xml:space="preserve"> и График 19</w:t>
      </w:r>
      <w:r w:rsidR="00445C45" w:rsidRPr="00C45CC4">
        <w:rPr>
          <w:rFonts w:ascii="Times New Roman" w:hAnsi="Times New Roman" w:cs="Times New Roman"/>
          <w:color w:val="000000"/>
          <w:sz w:val="24"/>
          <w:szCs w:val="24"/>
          <w:lang w:eastAsia="en-GB"/>
        </w:rPr>
        <w:t>)</w:t>
      </w: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456BB9" w:rsidRDefault="00456BB9" w:rsidP="00104800">
      <w:pPr>
        <w:spacing w:after="200" w:line="360" w:lineRule="auto"/>
        <w:ind w:firstLine="720"/>
        <w:jc w:val="both"/>
        <w:rPr>
          <w:rFonts w:ascii="Times New Roman" w:hAnsi="Times New Roman" w:cs="Times New Roman"/>
          <w:color w:val="000000"/>
          <w:sz w:val="24"/>
          <w:szCs w:val="24"/>
        </w:rPr>
      </w:pPr>
    </w:p>
    <w:p w:rsidR="00820C0E" w:rsidRDefault="00820C0E" w:rsidP="000A1D74">
      <w:pPr>
        <w:spacing w:line="360" w:lineRule="auto"/>
        <w:rPr>
          <w:rFonts w:ascii="Times New Roman" w:hAnsi="Times New Roman" w:cs="Times New Roman"/>
          <w:color w:val="000000"/>
          <w:sz w:val="24"/>
          <w:szCs w:val="24"/>
        </w:rPr>
      </w:pPr>
    </w:p>
    <w:p w:rsidR="000A1D74" w:rsidRDefault="000A1D74" w:rsidP="000A1D74">
      <w:pPr>
        <w:spacing w:line="360" w:lineRule="auto"/>
        <w:rPr>
          <w:rFonts w:ascii="Times New Roman" w:hAnsi="Times New Roman" w:cs="Times New Roman"/>
          <w:b/>
          <w:color w:val="000000"/>
          <w:sz w:val="20"/>
          <w:szCs w:val="20"/>
          <w:highlight w:val="yellow"/>
        </w:rPr>
      </w:pPr>
    </w:p>
    <w:p w:rsidR="00D36D75" w:rsidRDefault="00D36D75" w:rsidP="00456BB9">
      <w:pPr>
        <w:spacing w:line="360" w:lineRule="auto"/>
        <w:jc w:val="center"/>
        <w:rPr>
          <w:rFonts w:ascii="Times New Roman" w:hAnsi="Times New Roman" w:cs="Times New Roman"/>
          <w:b/>
          <w:color w:val="000000"/>
          <w:sz w:val="20"/>
          <w:szCs w:val="20"/>
        </w:rPr>
      </w:pPr>
    </w:p>
    <w:p w:rsidR="007515AA" w:rsidRDefault="007515AA" w:rsidP="00467E44">
      <w:pPr>
        <w:spacing w:line="360" w:lineRule="auto"/>
        <w:jc w:val="center"/>
        <w:rPr>
          <w:rFonts w:ascii="Times New Roman" w:hAnsi="Times New Roman" w:cs="Times New Roman"/>
          <w:b/>
          <w:color w:val="000000"/>
          <w:sz w:val="20"/>
          <w:szCs w:val="20"/>
        </w:rPr>
      </w:pPr>
    </w:p>
    <w:p w:rsidR="007515AA" w:rsidRDefault="007515AA" w:rsidP="00467E44">
      <w:pPr>
        <w:spacing w:line="360" w:lineRule="auto"/>
        <w:jc w:val="center"/>
        <w:rPr>
          <w:rFonts w:ascii="Times New Roman" w:hAnsi="Times New Roman" w:cs="Times New Roman"/>
          <w:b/>
          <w:color w:val="000000"/>
          <w:sz w:val="20"/>
          <w:szCs w:val="20"/>
        </w:rPr>
      </w:pPr>
    </w:p>
    <w:p w:rsidR="00467E44" w:rsidRDefault="00D36D75" w:rsidP="00467E44">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Pr="000A1D74">
        <w:rPr>
          <w:rFonts w:ascii="Times New Roman" w:hAnsi="Times New Roman" w:cs="Times New Roman"/>
          <w:b/>
          <w:color w:val="000000"/>
          <w:sz w:val="20"/>
          <w:szCs w:val="20"/>
        </w:rPr>
        <w:t xml:space="preserve"> 19. Анализа </w:t>
      </w:r>
      <w:r>
        <w:rPr>
          <w:rFonts w:ascii="Times New Roman" w:hAnsi="Times New Roman" w:cs="Times New Roman"/>
          <w:b/>
          <w:color w:val="000000"/>
          <w:sz w:val="20"/>
          <w:szCs w:val="20"/>
        </w:rPr>
        <w:t xml:space="preserve">на </w:t>
      </w:r>
      <w:r w:rsidRPr="000A1D74">
        <w:rPr>
          <w:rFonts w:ascii="Times New Roman" w:hAnsi="Times New Roman" w:cs="Times New Roman"/>
          <w:b/>
          <w:color w:val="000000"/>
          <w:sz w:val="20"/>
          <w:szCs w:val="20"/>
        </w:rPr>
        <w:t>IL-</w:t>
      </w:r>
      <w:r w:rsidR="00456BB9" w:rsidRPr="000A1D74">
        <w:rPr>
          <w:rFonts w:ascii="Times New Roman" w:hAnsi="Times New Roman" w:cs="Times New Roman"/>
          <w:b/>
          <w:color w:val="000000"/>
          <w:sz w:val="20"/>
          <w:szCs w:val="20"/>
        </w:rPr>
        <w:t xml:space="preserve">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00456BB9" w:rsidRPr="000A1D74">
        <w:rPr>
          <w:rFonts w:ascii="Times New Roman" w:hAnsi="Times New Roman" w:cs="Times New Roman"/>
          <w:b/>
          <w:color w:val="000000"/>
          <w:sz w:val="20"/>
          <w:szCs w:val="20"/>
        </w:rPr>
        <w:t xml:space="preserve">во серум </w:t>
      </w:r>
      <w:r w:rsidR="000A1D74">
        <w:rPr>
          <w:rFonts w:ascii="Times New Roman" w:hAnsi="Times New Roman" w:cs="Times New Roman"/>
          <w:b/>
          <w:color w:val="000000"/>
          <w:sz w:val="20"/>
          <w:szCs w:val="20"/>
        </w:rPr>
        <w:t>в</w:t>
      </w:r>
      <w:r w:rsidR="00456BB9" w:rsidRPr="000A1D74">
        <w:rPr>
          <w:rFonts w:ascii="Times New Roman" w:hAnsi="Times New Roman" w:cs="Times New Roman"/>
          <w:b/>
          <w:color w:val="000000"/>
          <w:sz w:val="20"/>
          <w:szCs w:val="20"/>
        </w:rPr>
        <w:t>о испитувана и контролна група</w:t>
      </w:r>
    </w:p>
    <w:p w:rsidR="00467E44" w:rsidRDefault="00467E44" w:rsidP="00467E44">
      <w:pPr>
        <w:rPr>
          <w:rFonts w:ascii="Times New Roman" w:hAnsi="Times New Roman" w:cs="Times New Roman"/>
          <w:color w:val="000000"/>
          <w:sz w:val="24"/>
          <w:szCs w:val="24"/>
        </w:rPr>
      </w:pPr>
    </w:p>
    <w:p w:rsidR="007515AA" w:rsidRDefault="00D06C15" w:rsidP="007515AA">
      <w:pPr>
        <w:rPr>
          <w:rFonts w:ascii="Times New Roman" w:hAnsi="Times New Roman" w:cs="Times New Roman"/>
          <w:b/>
          <w:color w:val="000000"/>
          <w:sz w:val="20"/>
          <w:szCs w:val="20"/>
        </w:rPr>
      </w:pPr>
      <w:r w:rsidRPr="00C45CC4">
        <w:rPr>
          <w:rFonts w:ascii="Times New Roman" w:hAnsi="Times New Roman" w:cs="Times New Roman"/>
          <w:color w:val="000000"/>
          <w:sz w:val="24"/>
          <w:szCs w:val="24"/>
        </w:rPr>
        <w:t>Дополните</w:t>
      </w:r>
      <w:r w:rsidR="007515AA">
        <w:rPr>
          <w:rFonts w:ascii="Times New Roman" w:hAnsi="Times New Roman" w:cs="Times New Roman"/>
          <w:color w:val="000000"/>
          <w:sz w:val="24"/>
          <w:szCs w:val="24"/>
        </w:rPr>
        <w:t>л</w:t>
      </w:r>
      <w:r w:rsidRPr="00C45CC4">
        <w:rPr>
          <w:rFonts w:ascii="Times New Roman" w:hAnsi="Times New Roman" w:cs="Times New Roman"/>
          <w:color w:val="000000"/>
          <w:sz w:val="24"/>
          <w:szCs w:val="24"/>
        </w:rPr>
        <w:t xml:space="preserve">но, беше направена споредба на контролната група </w:t>
      </w:r>
      <w:r w:rsidR="00C45CC4">
        <w:rPr>
          <w:rFonts w:ascii="Times New Roman" w:hAnsi="Times New Roman" w:cs="Times New Roman"/>
          <w:color w:val="000000"/>
          <w:sz w:val="24"/>
          <w:szCs w:val="24"/>
        </w:rPr>
        <w:t xml:space="preserve">здрави </w:t>
      </w:r>
      <w:r w:rsidRPr="00C45CC4">
        <w:rPr>
          <w:rFonts w:ascii="Times New Roman" w:hAnsi="Times New Roman" w:cs="Times New Roman"/>
          <w:color w:val="000000"/>
          <w:sz w:val="24"/>
          <w:szCs w:val="24"/>
        </w:rPr>
        <w:t xml:space="preserve">испитаници </w:t>
      </w:r>
      <w:r w:rsidR="00FA487C" w:rsidRPr="00C45CC4">
        <w:rPr>
          <w:rFonts w:ascii="Times New Roman" w:hAnsi="Times New Roman" w:cs="Times New Roman"/>
          <w:color w:val="000000"/>
          <w:sz w:val="24"/>
          <w:szCs w:val="24"/>
        </w:rPr>
        <w:t xml:space="preserve">со </w:t>
      </w:r>
      <w:r w:rsidRPr="00C45CC4">
        <w:rPr>
          <w:rFonts w:ascii="Times New Roman" w:hAnsi="Times New Roman" w:cs="Times New Roman"/>
          <w:color w:val="000000"/>
          <w:sz w:val="24"/>
          <w:szCs w:val="24"/>
        </w:rPr>
        <w:t>пациенти</w:t>
      </w:r>
      <w:r w:rsidR="00C45CC4">
        <w:rPr>
          <w:rFonts w:ascii="Times New Roman" w:hAnsi="Times New Roman" w:cs="Times New Roman"/>
          <w:color w:val="000000"/>
          <w:sz w:val="24"/>
          <w:szCs w:val="24"/>
        </w:rPr>
        <w:t>те</w:t>
      </w:r>
      <w:r w:rsidRPr="00C45CC4">
        <w:rPr>
          <w:rFonts w:ascii="Times New Roman" w:hAnsi="Times New Roman" w:cs="Times New Roman"/>
          <w:color w:val="000000"/>
          <w:sz w:val="24"/>
          <w:szCs w:val="24"/>
        </w:rPr>
        <w:t xml:space="preserve"> со бенигни тумори на паротидните жлезди од испитуваната гр</w:t>
      </w:r>
      <w:r w:rsidR="00F70103" w:rsidRPr="00A926CA">
        <w:rPr>
          <w:rFonts w:ascii="Times New Roman" w:hAnsi="Times New Roman" w:cs="Times New Roman"/>
          <w:color w:val="000000"/>
          <w:sz w:val="24"/>
          <w:szCs w:val="24"/>
          <w:lang w:val="ru-RU"/>
        </w:rPr>
        <w:t>у</w:t>
      </w:r>
      <w:r w:rsidRPr="00C45CC4">
        <w:rPr>
          <w:rFonts w:ascii="Times New Roman" w:hAnsi="Times New Roman" w:cs="Times New Roman"/>
          <w:color w:val="000000"/>
          <w:sz w:val="24"/>
          <w:szCs w:val="24"/>
        </w:rPr>
        <w:t xml:space="preserve">па во однос на </w:t>
      </w:r>
      <w:r w:rsidRPr="00C45CC4">
        <w:rPr>
          <w:rFonts w:ascii="Times New Roman" w:hAnsi="Times New Roman" w:cs="Times New Roman"/>
          <w:sz w:val="24"/>
          <w:szCs w:val="24"/>
        </w:rPr>
        <w:t xml:space="preserve">вредностите на </w:t>
      </w:r>
      <w:r w:rsidRPr="00C45CC4">
        <w:rPr>
          <w:rFonts w:ascii="Times New Roman" w:hAnsi="Times New Roman" w:cs="Times New Roman"/>
          <w:color w:val="000000"/>
          <w:sz w:val="24"/>
          <w:szCs w:val="24"/>
        </w:rPr>
        <w:t xml:space="preserve">IL-33 во серум. </w:t>
      </w:r>
      <w:r w:rsidR="00FA487C" w:rsidRPr="00C45CC4">
        <w:rPr>
          <w:rFonts w:ascii="Times New Roman" w:hAnsi="Times New Roman" w:cs="Times New Roman"/>
          <w:sz w:val="24"/>
          <w:szCs w:val="24"/>
        </w:rPr>
        <w:t>Просечната вредност на</w:t>
      </w:r>
      <w:r w:rsidRPr="00C45CC4">
        <w:rPr>
          <w:rFonts w:ascii="Times New Roman" w:hAnsi="Times New Roman" w:cs="Times New Roman"/>
          <w:color w:val="000000"/>
          <w:sz w:val="24"/>
          <w:szCs w:val="24"/>
        </w:rPr>
        <w:t xml:space="preserve"> IL-33 во серум кај бенигните тумори </w:t>
      </w:r>
      <w:r w:rsidR="00FA487C" w:rsidRPr="00C45CC4">
        <w:rPr>
          <w:rFonts w:ascii="Times New Roman" w:hAnsi="Times New Roman" w:cs="Times New Roman"/>
          <w:color w:val="000000"/>
          <w:sz w:val="24"/>
          <w:szCs w:val="24"/>
        </w:rPr>
        <w:t xml:space="preserve">изнесуваше </w:t>
      </w:r>
      <w:r w:rsidR="00FA487C" w:rsidRPr="00C45CC4">
        <w:rPr>
          <w:rFonts w:ascii="Times New Roman" w:hAnsi="Times New Roman" w:cs="Times New Roman"/>
          <w:sz w:val="24"/>
          <w:szCs w:val="24"/>
        </w:rPr>
        <w:t xml:space="preserve">4,85±0,16 со </w:t>
      </w:r>
      <w:r w:rsidR="00FA487C" w:rsidRPr="00C45CC4">
        <w:rPr>
          <w:rFonts w:ascii="Times New Roman" w:hAnsi="Times New Roman" w:cs="Times New Roman"/>
          <w:sz w:val="24"/>
          <w:szCs w:val="24"/>
          <w:lang w:val="en-US"/>
        </w:rPr>
        <w:t>Median</w:t>
      </w:r>
      <w:r w:rsidR="00FA487C" w:rsidRPr="00A926CA">
        <w:rPr>
          <w:rFonts w:ascii="Times New Roman" w:hAnsi="Times New Roman" w:cs="Times New Roman"/>
          <w:sz w:val="24"/>
          <w:szCs w:val="24"/>
          <w:lang w:val="ru-RU"/>
        </w:rPr>
        <w:t xml:space="preserve"> </w:t>
      </w:r>
      <w:r w:rsidR="00FA487C" w:rsidRPr="00C45CC4">
        <w:rPr>
          <w:rFonts w:ascii="Times New Roman" w:hAnsi="Times New Roman" w:cs="Times New Roman"/>
          <w:sz w:val="24"/>
          <w:szCs w:val="24"/>
          <w:lang w:val="en-US"/>
        </w:rPr>
        <w:t>IQR</w:t>
      </w:r>
      <w:r w:rsidR="00FA487C" w:rsidRPr="00A926CA">
        <w:rPr>
          <w:rFonts w:ascii="Times New Roman" w:hAnsi="Times New Roman" w:cs="Times New Roman"/>
          <w:sz w:val="24"/>
          <w:szCs w:val="24"/>
          <w:lang w:val="ru-RU"/>
        </w:rPr>
        <w:t>=</w:t>
      </w:r>
      <w:r w:rsidR="00FA487C" w:rsidRPr="00C45CC4">
        <w:rPr>
          <w:rFonts w:ascii="Times New Roman" w:hAnsi="Times New Roman" w:cs="Times New Roman"/>
          <w:bCs/>
          <w:color w:val="000000"/>
          <w:sz w:val="24"/>
          <w:szCs w:val="24"/>
        </w:rPr>
        <w:t>4,85 (4,85-4,93)</w:t>
      </w:r>
      <w:r w:rsidR="00FA487C" w:rsidRPr="00C45CC4">
        <w:rPr>
          <w:rFonts w:ascii="Times New Roman" w:hAnsi="Times New Roman" w:cs="Times New Roman"/>
          <w:sz w:val="24"/>
          <w:szCs w:val="24"/>
        </w:rPr>
        <w:t xml:space="preserve">, а во контролната група  изнесуваше 4,80±0,55 со </w:t>
      </w:r>
      <w:r w:rsidR="00FA487C" w:rsidRPr="00C45CC4">
        <w:rPr>
          <w:rFonts w:ascii="Times New Roman" w:hAnsi="Times New Roman" w:cs="Times New Roman"/>
          <w:sz w:val="24"/>
          <w:szCs w:val="24"/>
          <w:lang w:val="en-US"/>
        </w:rPr>
        <w:t>Median</w:t>
      </w:r>
      <w:r w:rsidR="00FA487C" w:rsidRPr="00A926CA">
        <w:rPr>
          <w:rFonts w:ascii="Times New Roman" w:hAnsi="Times New Roman" w:cs="Times New Roman"/>
          <w:sz w:val="24"/>
          <w:szCs w:val="24"/>
          <w:lang w:val="ru-RU"/>
        </w:rPr>
        <w:t xml:space="preserve"> </w:t>
      </w:r>
      <w:r w:rsidR="00FA487C" w:rsidRPr="00C45CC4">
        <w:rPr>
          <w:rFonts w:ascii="Times New Roman" w:hAnsi="Times New Roman" w:cs="Times New Roman"/>
          <w:sz w:val="24"/>
          <w:szCs w:val="24"/>
          <w:lang w:val="en-US"/>
        </w:rPr>
        <w:t>IQR</w:t>
      </w:r>
      <w:r w:rsidR="00FA487C" w:rsidRPr="00A926CA">
        <w:rPr>
          <w:rFonts w:ascii="Times New Roman" w:hAnsi="Times New Roman" w:cs="Times New Roman"/>
          <w:sz w:val="24"/>
          <w:szCs w:val="24"/>
          <w:lang w:val="ru-RU"/>
        </w:rPr>
        <w:t>=</w:t>
      </w:r>
      <w:r w:rsidR="00FA487C" w:rsidRPr="00C45CC4">
        <w:rPr>
          <w:rFonts w:ascii="Times New Roman" w:hAnsi="Times New Roman" w:cs="Times New Roman"/>
          <w:bCs/>
          <w:color w:val="000000"/>
          <w:sz w:val="24"/>
          <w:szCs w:val="24"/>
        </w:rPr>
        <w:t xml:space="preserve">4,85 (4,76-5,01). </w:t>
      </w:r>
      <w:r w:rsidR="00FA487C" w:rsidRPr="00C45CC4">
        <w:rPr>
          <w:rFonts w:ascii="Times New Roman" w:hAnsi="Times New Roman" w:cs="Times New Roman"/>
          <w:sz w:val="24"/>
          <w:szCs w:val="24"/>
        </w:rPr>
        <w:t xml:space="preserve">За </w:t>
      </w:r>
      <w:r w:rsidR="00FA487C" w:rsidRPr="00C45CC4">
        <w:rPr>
          <w:rFonts w:ascii="Times New Roman" w:hAnsi="Times New Roman" w:cs="Times New Roman"/>
          <w:color w:val="000000"/>
          <w:sz w:val="24"/>
          <w:szCs w:val="24"/>
        </w:rPr>
        <w:t>p&gt;0,05,</w:t>
      </w:r>
      <w:r w:rsidR="000F0D27">
        <w:rPr>
          <w:rFonts w:ascii="Times New Roman" w:hAnsi="Times New Roman" w:cs="Times New Roman"/>
          <w:color w:val="000000"/>
          <w:sz w:val="24"/>
          <w:szCs w:val="24"/>
        </w:rPr>
        <w:t xml:space="preserve"> нивото на </w:t>
      </w:r>
      <w:r w:rsidR="000F0D27" w:rsidRPr="00C45CC4">
        <w:rPr>
          <w:rFonts w:ascii="Times New Roman" w:hAnsi="Times New Roman" w:cs="Times New Roman"/>
          <w:color w:val="000000"/>
          <w:sz w:val="24"/>
          <w:szCs w:val="24"/>
        </w:rPr>
        <w:t xml:space="preserve">IL-33 </w:t>
      </w:r>
      <w:r w:rsidR="000F0D27">
        <w:rPr>
          <w:rFonts w:ascii="Times New Roman" w:hAnsi="Times New Roman" w:cs="Times New Roman"/>
          <w:color w:val="000000"/>
          <w:sz w:val="24"/>
          <w:szCs w:val="24"/>
        </w:rPr>
        <w:t>во серум кај</w:t>
      </w:r>
      <w:r w:rsidR="000F0D27" w:rsidRPr="00C45CC4">
        <w:rPr>
          <w:rFonts w:ascii="Times New Roman" w:hAnsi="Times New Roman" w:cs="Times New Roman"/>
          <w:color w:val="000000"/>
          <w:sz w:val="24"/>
          <w:szCs w:val="24"/>
        </w:rPr>
        <w:t xml:space="preserve"> пациентите со бенигни тумори од испитуваната група </w:t>
      </w:r>
      <w:r w:rsidR="008038A5">
        <w:rPr>
          <w:rFonts w:ascii="Times New Roman" w:hAnsi="Times New Roman" w:cs="Times New Roman"/>
          <w:color w:val="000000"/>
          <w:sz w:val="24"/>
          <w:szCs w:val="24"/>
        </w:rPr>
        <w:t xml:space="preserve">беше несигнификантно повисока споредено со </w:t>
      </w:r>
      <w:r w:rsidR="008038A5" w:rsidRPr="00C45CC4">
        <w:rPr>
          <w:rFonts w:ascii="Times New Roman" w:hAnsi="Times New Roman" w:cs="Times New Roman"/>
          <w:color w:val="000000"/>
          <w:sz w:val="24"/>
          <w:szCs w:val="24"/>
        </w:rPr>
        <w:t xml:space="preserve">IL-33 </w:t>
      </w:r>
      <w:r w:rsidR="008038A5">
        <w:rPr>
          <w:rFonts w:ascii="Times New Roman" w:hAnsi="Times New Roman" w:cs="Times New Roman"/>
          <w:color w:val="000000"/>
          <w:sz w:val="24"/>
          <w:szCs w:val="24"/>
        </w:rPr>
        <w:t xml:space="preserve">во серум </w:t>
      </w:r>
      <w:r w:rsidR="000F0D27">
        <w:rPr>
          <w:rFonts w:ascii="Times New Roman" w:hAnsi="Times New Roman" w:cs="Times New Roman"/>
          <w:color w:val="000000"/>
          <w:sz w:val="24"/>
          <w:szCs w:val="24"/>
        </w:rPr>
        <w:t xml:space="preserve">во </w:t>
      </w:r>
      <w:r w:rsidR="00104800" w:rsidRPr="00C45CC4">
        <w:rPr>
          <w:rFonts w:ascii="Times New Roman" w:hAnsi="Times New Roman" w:cs="Times New Roman"/>
          <w:color w:val="000000"/>
          <w:sz w:val="24"/>
          <w:szCs w:val="24"/>
        </w:rPr>
        <w:t xml:space="preserve">контролната група на здрави пациенти за </w:t>
      </w:r>
      <w:r w:rsidR="00104800" w:rsidRPr="00C45CC4">
        <w:rPr>
          <w:rFonts w:ascii="Times New Roman" w:hAnsi="Times New Roman" w:cs="Times New Roman"/>
          <w:color w:val="000000"/>
          <w:sz w:val="24"/>
          <w:szCs w:val="24"/>
          <w:lang w:val="en-US" w:eastAsia="mk-MK"/>
        </w:rPr>
        <w:t>Mann</w:t>
      </w:r>
      <w:r w:rsidR="00104800" w:rsidRPr="00A926CA">
        <w:rPr>
          <w:rFonts w:ascii="Times New Roman" w:hAnsi="Times New Roman" w:cs="Times New Roman"/>
          <w:color w:val="000000"/>
          <w:sz w:val="24"/>
          <w:szCs w:val="24"/>
          <w:lang w:val="ru-RU" w:eastAsia="mk-MK"/>
        </w:rPr>
        <w:t xml:space="preserve"> </w:t>
      </w:r>
      <w:r w:rsidR="00104800" w:rsidRPr="00C45CC4">
        <w:rPr>
          <w:rFonts w:ascii="Times New Roman" w:hAnsi="Times New Roman" w:cs="Times New Roman"/>
          <w:color w:val="000000"/>
          <w:sz w:val="24"/>
          <w:szCs w:val="24"/>
          <w:lang w:val="en-US" w:eastAsia="mk-MK"/>
        </w:rPr>
        <w:t>Whitney</w:t>
      </w:r>
      <w:r w:rsidR="00104800" w:rsidRPr="00A926CA">
        <w:rPr>
          <w:rFonts w:ascii="Times New Roman" w:hAnsi="Times New Roman" w:cs="Times New Roman"/>
          <w:color w:val="000000"/>
          <w:sz w:val="24"/>
          <w:szCs w:val="24"/>
          <w:lang w:val="ru-RU" w:eastAsia="mk-MK"/>
        </w:rPr>
        <w:t xml:space="preserve"> </w:t>
      </w:r>
      <w:r w:rsidR="00104800" w:rsidRPr="00C45CC4">
        <w:rPr>
          <w:rFonts w:ascii="Times New Roman" w:hAnsi="Times New Roman" w:cs="Times New Roman"/>
          <w:color w:val="000000"/>
          <w:sz w:val="24"/>
          <w:szCs w:val="24"/>
          <w:lang w:val="en-US" w:eastAsia="mk-MK"/>
        </w:rPr>
        <w:t>U</w:t>
      </w:r>
      <w:r w:rsidR="00104800" w:rsidRPr="00A926CA">
        <w:rPr>
          <w:rFonts w:ascii="Times New Roman" w:hAnsi="Times New Roman" w:cs="Times New Roman"/>
          <w:color w:val="000000"/>
          <w:sz w:val="24"/>
          <w:szCs w:val="24"/>
          <w:lang w:val="ru-RU" w:eastAsia="mk-MK"/>
        </w:rPr>
        <w:t xml:space="preserve"> </w:t>
      </w:r>
      <w:r w:rsidR="00104800" w:rsidRPr="00C45CC4">
        <w:rPr>
          <w:rFonts w:ascii="Times New Roman" w:hAnsi="Times New Roman" w:cs="Times New Roman"/>
          <w:color w:val="000000"/>
          <w:sz w:val="24"/>
          <w:szCs w:val="24"/>
          <w:lang w:val="en-US" w:eastAsia="mk-MK"/>
        </w:rPr>
        <w:t>test</w:t>
      </w:r>
      <w:r w:rsidR="00104800" w:rsidRPr="00A926CA">
        <w:rPr>
          <w:rFonts w:ascii="Times New Roman" w:hAnsi="Times New Roman" w:cs="Times New Roman"/>
          <w:color w:val="000000"/>
          <w:sz w:val="24"/>
          <w:szCs w:val="24"/>
          <w:lang w:val="ru-RU" w:eastAsia="mk-MK"/>
        </w:rPr>
        <w:t xml:space="preserve">: </w:t>
      </w:r>
      <w:r w:rsidR="00104800" w:rsidRPr="00C45CC4">
        <w:rPr>
          <w:rFonts w:ascii="Times New Roman" w:hAnsi="Times New Roman" w:cs="Times New Roman"/>
          <w:color w:val="000000"/>
          <w:sz w:val="24"/>
          <w:szCs w:val="24"/>
        </w:rPr>
        <w:t>Z=0,275; p=0,7873</w:t>
      </w:r>
      <w:r w:rsidR="00104800" w:rsidRPr="00C45CC4">
        <w:rPr>
          <w:rFonts w:ascii="Times New Roman" w:hAnsi="Times New Roman" w:cs="Times New Roman"/>
          <w:color w:val="000000"/>
          <w:sz w:val="24"/>
          <w:szCs w:val="24"/>
          <w:lang w:eastAsia="en-GB"/>
        </w:rPr>
        <w:t xml:space="preserve"> (Табела 12</w:t>
      </w:r>
      <w:r w:rsidR="000A1D74">
        <w:rPr>
          <w:rFonts w:ascii="Times New Roman" w:hAnsi="Times New Roman" w:cs="Times New Roman"/>
          <w:color w:val="000000"/>
          <w:sz w:val="24"/>
          <w:szCs w:val="24"/>
          <w:lang w:eastAsia="en-GB"/>
        </w:rPr>
        <w:t xml:space="preserve"> и График 20</w:t>
      </w:r>
      <w:r w:rsidR="00104800" w:rsidRPr="00C45CC4">
        <w:rPr>
          <w:rFonts w:ascii="Times New Roman" w:hAnsi="Times New Roman" w:cs="Times New Roman"/>
          <w:color w:val="000000"/>
          <w:sz w:val="24"/>
          <w:szCs w:val="24"/>
          <w:lang w:eastAsia="en-GB"/>
        </w:rPr>
        <w:t>)</w:t>
      </w:r>
      <w:r w:rsidR="000A1D74">
        <w:rPr>
          <w:rFonts w:ascii="Times New Roman" w:hAnsi="Times New Roman" w:cs="Times New Roman"/>
          <w:color w:val="000000"/>
          <w:sz w:val="24"/>
          <w:szCs w:val="24"/>
          <w:lang w:eastAsia="en-GB"/>
        </w:rPr>
        <w:t>.</w:t>
      </w:r>
    </w:p>
    <w:p w:rsidR="007515AA" w:rsidRDefault="007515AA" w:rsidP="007515AA">
      <w:pPr>
        <w:rPr>
          <w:rFonts w:ascii="Times New Roman" w:hAnsi="Times New Roman" w:cs="Times New Roman"/>
          <w:b/>
          <w:color w:val="000000"/>
          <w:sz w:val="20"/>
          <w:szCs w:val="20"/>
        </w:rPr>
      </w:pPr>
    </w:p>
    <w:p w:rsidR="007515AA" w:rsidRDefault="00AC5063" w:rsidP="007515AA">
      <w:pPr>
        <w:rPr>
          <w:rFonts w:ascii="Times New Roman" w:hAnsi="Times New Roman" w:cs="Times New Roman"/>
          <w:color w:val="000000"/>
          <w:sz w:val="24"/>
          <w:szCs w:val="24"/>
        </w:rPr>
      </w:pPr>
      <w:r w:rsidRPr="00C45CC4">
        <w:rPr>
          <w:rFonts w:ascii="Times New Roman" w:hAnsi="Times New Roman" w:cs="Times New Roman"/>
          <w:color w:val="000000"/>
          <w:sz w:val="24"/>
          <w:szCs w:val="24"/>
        </w:rPr>
        <w:t xml:space="preserve">Во однос на </w:t>
      </w:r>
      <w:r w:rsidRPr="00C45CC4">
        <w:rPr>
          <w:rFonts w:ascii="Times New Roman" w:hAnsi="Times New Roman" w:cs="Times New Roman"/>
          <w:sz w:val="24"/>
          <w:szCs w:val="24"/>
        </w:rPr>
        <w:t xml:space="preserve">вредностите на </w:t>
      </w:r>
      <w:r w:rsidRPr="00C45CC4">
        <w:rPr>
          <w:rFonts w:ascii="Times New Roman" w:hAnsi="Times New Roman" w:cs="Times New Roman"/>
          <w:color w:val="000000"/>
          <w:sz w:val="24"/>
          <w:szCs w:val="24"/>
        </w:rPr>
        <w:t xml:space="preserve">IL-33 во серум, направена беше и споредба на контролната група испитаници со </w:t>
      </w:r>
      <w:r>
        <w:rPr>
          <w:rFonts w:ascii="Times New Roman" w:hAnsi="Times New Roman" w:cs="Times New Roman"/>
          <w:color w:val="000000"/>
          <w:sz w:val="24"/>
          <w:szCs w:val="24"/>
        </w:rPr>
        <w:t xml:space="preserve">пациентите со </w:t>
      </w:r>
      <w:r w:rsidRPr="00C45CC4">
        <w:rPr>
          <w:rFonts w:ascii="Times New Roman" w:hAnsi="Times New Roman" w:cs="Times New Roman"/>
          <w:color w:val="000000"/>
          <w:sz w:val="24"/>
          <w:szCs w:val="24"/>
        </w:rPr>
        <w:t>малигни тумори на паротидните жлезди од испитуваната гр</w:t>
      </w:r>
      <w:r w:rsidRPr="00A926CA">
        <w:rPr>
          <w:rFonts w:ascii="Times New Roman" w:hAnsi="Times New Roman" w:cs="Times New Roman"/>
          <w:color w:val="000000"/>
          <w:sz w:val="24"/>
          <w:szCs w:val="24"/>
          <w:lang w:val="ru-RU"/>
        </w:rPr>
        <w:t>у</w:t>
      </w:r>
      <w:r w:rsidRPr="00C45CC4">
        <w:rPr>
          <w:rFonts w:ascii="Times New Roman" w:hAnsi="Times New Roman" w:cs="Times New Roman"/>
          <w:color w:val="000000"/>
          <w:sz w:val="24"/>
          <w:szCs w:val="24"/>
        </w:rPr>
        <w:t>па</w:t>
      </w:r>
      <w:r>
        <w:rPr>
          <w:rFonts w:ascii="Times New Roman" w:hAnsi="Times New Roman" w:cs="Times New Roman"/>
          <w:color w:val="000000"/>
          <w:sz w:val="24"/>
          <w:szCs w:val="24"/>
        </w:rPr>
        <w:t xml:space="preserve"> (Табела 12)</w:t>
      </w:r>
      <w:r w:rsidRPr="00C45CC4">
        <w:rPr>
          <w:rFonts w:ascii="Times New Roman" w:hAnsi="Times New Roman" w:cs="Times New Roman"/>
          <w:color w:val="000000"/>
          <w:sz w:val="24"/>
          <w:szCs w:val="24"/>
        </w:rPr>
        <w:t xml:space="preserve">. </w:t>
      </w:r>
      <w:r w:rsidRPr="00C45CC4">
        <w:rPr>
          <w:rFonts w:ascii="Times New Roman" w:hAnsi="Times New Roman" w:cs="Times New Roman"/>
          <w:sz w:val="24"/>
          <w:szCs w:val="24"/>
        </w:rPr>
        <w:t>Просечната вредност на</w:t>
      </w:r>
      <w:r w:rsidRPr="00C45CC4">
        <w:rPr>
          <w:rFonts w:ascii="Times New Roman" w:hAnsi="Times New Roman" w:cs="Times New Roman"/>
          <w:color w:val="000000"/>
          <w:sz w:val="24"/>
          <w:szCs w:val="24"/>
        </w:rPr>
        <w:t xml:space="preserve"> нивото на IL-33 во серум кај </w:t>
      </w:r>
    </w:p>
    <w:p w:rsidR="007515AA" w:rsidRDefault="007515AA" w:rsidP="007515AA">
      <w:pPr>
        <w:rPr>
          <w:rFonts w:ascii="Times New Roman" w:hAnsi="Times New Roman" w:cs="Times New Roman"/>
          <w:color w:val="000000"/>
          <w:sz w:val="24"/>
          <w:szCs w:val="24"/>
        </w:rPr>
      </w:pPr>
    </w:p>
    <w:p w:rsidR="007515AA" w:rsidRDefault="007515AA" w:rsidP="007515AA">
      <w:pPr>
        <w:rPr>
          <w:rFonts w:ascii="Times New Roman" w:hAnsi="Times New Roman" w:cs="Times New Roman"/>
          <w:color w:val="000000"/>
          <w:sz w:val="24"/>
          <w:szCs w:val="24"/>
        </w:rPr>
      </w:pPr>
    </w:p>
    <w:p w:rsidR="007515AA" w:rsidRDefault="007515AA" w:rsidP="007515AA">
      <w:pPr>
        <w:rPr>
          <w:rFonts w:ascii="Times New Roman" w:hAnsi="Times New Roman" w:cs="Times New Roman"/>
          <w:color w:val="000000"/>
          <w:sz w:val="24"/>
          <w:szCs w:val="24"/>
        </w:rPr>
      </w:pPr>
    </w:p>
    <w:p w:rsidR="007515AA" w:rsidRDefault="007515AA" w:rsidP="007515AA">
      <w:pPr>
        <w:rPr>
          <w:rFonts w:ascii="Times New Roman" w:hAnsi="Times New Roman" w:cs="Times New Roman"/>
          <w:color w:val="000000"/>
          <w:sz w:val="24"/>
          <w:szCs w:val="24"/>
        </w:rPr>
      </w:pPr>
    </w:p>
    <w:p w:rsidR="00AC5063" w:rsidRPr="007515AA" w:rsidRDefault="00AC5063" w:rsidP="007515AA">
      <w:pPr>
        <w:rPr>
          <w:rFonts w:ascii="Times New Roman" w:hAnsi="Times New Roman" w:cs="Times New Roman"/>
          <w:b/>
          <w:color w:val="000000"/>
          <w:sz w:val="20"/>
          <w:szCs w:val="20"/>
        </w:rPr>
      </w:pPr>
      <w:r w:rsidRPr="00C45CC4">
        <w:rPr>
          <w:rFonts w:ascii="Times New Roman" w:hAnsi="Times New Roman" w:cs="Times New Roman"/>
          <w:color w:val="000000"/>
          <w:sz w:val="24"/>
          <w:szCs w:val="24"/>
        </w:rPr>
        <w:t>малигните</w:t>
      </w:r>
      <w:r>
        <w:rPr>
          <w:rFonts w:ascii="Times New Roman" w:hAnsi="Times New Roman" w:cs="Times New Roman"/>
          <w:color w:val="000000"/>
          <w:sz w:val="24"/>
          <w:szCs w:val="24"/>
        </w:rPr>
        <w:t xml:space="preserve"> </w:t>
      </w:r>
      <w:r w:rsidRPr="00C45CC4">
        <w:rPr>
          <w:rFonts w:ascii="Times New Roman" w:hAnsi="Times New Roman" w:cs="Times New Roman"/>
          <w:color w:val="000000"/>
          <w:sz w:val="24"/>
          <w:szCs w:val="24"/>
        </w:rPr>
        <w:t>тумори</w:t>
      </w:r>
      <w:r w:rsidRPr="00AC5063">
        <w:rPr>
          <w:rFonts w:ascii="Times New Roman" w:hAnsi="Times New Roman" w:cs="Times New Roman"/>
          <w:color w:val="000000"/>
          <w:sz w:val="24"/>
          <w:szCs w:val="24"/>
        </w:rPr>
        <w:t xml:space="preserve"> </w:t>
      </w:r>
      <w:r w:rsidRPr="00C45CC4">
        <w:rPr>
          <w:rFonts w:ascii="Times New Roman" w:hAnsi="Times New Roman" w:cs="Times New Roman"/>
          <w:color w:val="000000"/>
          <w:sz w:val="24"/>
          <w:szCs w:val="24"/>
        </w:rPr>
        <w:t xml:space="preserve">изнесуваше </w:t>
      </w:r>
      <w:r w:rsidRPr="00C45CC4">
        <w:rPr>
          <w:rFonts w:ascii="Times New Roman" w:hAnsi="Times New Roman" w:cs="Times New Roman"/>
          <w:sz w:val="24"/>
          <w:szCs w:val="24"/>
        </w:rPr>
        <w:t xml:space="preserve">4,86±0,17 со </w:t>
      </w:r>
      <w:r w:rsidRPr="00C45CC4">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C45CC4">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Pr>
          <w:rFonts w:ascii="Times New Roman" w:hAnsi="Times New Roman" w:cs="Times New Roman"/>
          <w:sz w:val="24"/>
          <w:szCs w:val="24"/>
        </w:rPr>
        <w:t>4</w:t>
      </w:r>
      <w:r w:rsidRPr="00C45CC4">
        <w:rPr>
          <w:rFonts w:ascii="Times New Roman" w:hAnsi="Times New Roman" w:cs="Times New Roman"/>
          <w:bCs/>
          <w:color w:val="000000"/>
          <w:sz w:val="24"/>
          <w:szCs w:val="24"/>
        </w:rPr>
        <w:t>,85 (4,76-5,01)</w:t>
      </w:r>
      <w:r w:rsidRPr="00C45CC4">
        <w:rPr>
          <w:rFonts w:ascii="Times New Roman" w:hAnsi="Times New Roman" w:cs="Times New Roman"/>
          <w:sz w:val="24"/>
          <w:szCs w:val="24"/>
        </w:rPr>
        <w:t xml:space="preserve">, а во контролната група  изнесуваше 4,80±0,55 со </w:t>
      </w:r>
      <w:r w:rsidRPr="00C45CC4">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C45CC4">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sidRPr="00C45CC4">
        <w:rPr>
          <w:rFonts w:ascii="Times New Roman" w:hAnsi="Times New Roman" w:cs="Times New Roman"/>
          <w:bCs/>
          <w:color w:val="000000"/>
          <w:sz w:val="24"/>
          <w:szCs w:val="24"/>
        </w:rPr>
        <w:t xml:space="preserve">4,85 (4,76-5,01). </w:t>
      </w:r>
      <w:r w:rsidRPr="00C45CC4">
        <w:rPr>
          <w:rFonts w:ascii="Times New Roman" w:hAnsi="Times New Roman" w:cs="Times New Roman"/>
          <w:sz w:val="24"/>
          <w:szCs w:val="24"/>
        </w:rPr>
        <w:t xml:space="preserve">За </w:t>
      </w:r>
      <w:r w:rsidRPr="00C45CC4">
        <w:rPr>
          <w:rFonts w:ascii="Times New Roman" w:hAnsi="Times New Roman" w:cs="Times New Roman"/>
          <w:color w:val="000000"/>
          <w:sz w:val="24"/>
          <w:szCs w:val="24"/>
        </w:rPr>
        <w:t xml:space="preserve">p&gt;0,05, </w:t>
      </w:r>
      <w:r>
        <w:rPr>
          <w:rFonts w:ascii="Times New Roman" w:hAnsi="Times New Roman" w:cs="Times New Roman"/>
          <w:color w:val="000000"/>
          <w:sz w:val="24"/>
          <w:szCs w:val="24"/>
        </w:rPr>
        <w:t xml:space="preserve">нивото на </w:t>
      </w:r>
      <w:r w:rsidRPr="00C45CC4">
        <w:rPr>
          <w:rFonts w:ascii="Times New Roman" w:hAnsi="Times New Roman" w:cs="Times New Roman"/>
          <w:color w:val="000000"/>
          <w:sz w:val="24"/>
          <w:szCs w:val="24"/>
        </w:rPr>
        <w:t xml:space="preserve">IL-33 </w:t>
      </w:r>
      <w:r>
        <w:rPr>
          <w:rFonts w:ascii="Times New Roman" w:hAnsi="Times New Roman" w:cs="Times New Roman"/>
          <w:color w:val="000000"/>
          <w:sz w:val="24"/>
          <w:szCs w:val="24"/>
        </w:rPr>
        <w:t>во серум кај</w:t>
      </w:r>
      <w:r w:rsidRPr="00C45CC4">
        <w:rPr>
          <w:rFonts w:ascii="Times New Roman" w:hAnsi="Times New Roman" w:cs="Times New Roman"/>
          <w:color w:val="000000"/>
          <w:sz w:val="24"/>
          <w:szCs w:val="24"/>
        </w:rPr>
        <w:t xml:space="preserve"> пациентите со </w:t>
      </w:r>
      <w:r>
        <w:rPr>
          <w:rFonts w:ascii="Times New Roman" w:hAnsi="Times New Roman" w:cs="Times New Roman"/>
          <w:color w:val="000000"/>
          <w:sz w:val="24"/>
          <w:szCs w:val="24"/>
        </w:rPr>
        <w:t>малигни</w:t>
      </w:r>
      <w:r w:rsidRPr="00C45CC4">
        <w:rPr>
          <w:rFonts w:ascii="Times New Roman" w:hAnsi="Times New Roman" w:cs="Times New Roman"/>
          <w:color w:val="000000"/>
          <w:sz w:val="24"/>
          <w:szCs w:val="24"/>
        </w:rPr>
        <w:t xml:space="preserve"> тумори од испитуваната група </w:t>
      </w:r>
      <w:r>
        <w:rPr>
          <w:rFonts w:ascii="Times New Roman" w:hAnsi="Times New Roman" w:cs="Times New Roman"/>
          <w:color w:val="000000"/>
          <w:sz w:val="24"/>
          <w:szCs w:val="24"/>
        </w:rPr>
        <w:t>беше</w:t>
      </w:r>
      <w:r w:rsidR="00467E44" w:rsidRPr="00467E44">
        <w:rPr>
          <w:rFonts w:ascii="Times New Roman" w:hAnsi="Times New Roman" w:cs="Times New Roman"/>
          <w:color w:val="000000"/>
          <w:sz w:val="24"/>
          <w:szCs w:val="24"/>
        </w:rPr>
        <w:t xml:space="preserve"> </w:t>
      </w:r>
      <w:r w:rsidR="00467E44">
        <w:rPr>
          <w:rFonts w:ascii="Times New Roman" w:hAnsi="Times New Roman" w:cs="Times New Roman"/>
          <w:color w:val="000000"/>
          <w:sz w:val="24"/>
          <w:szCs w:val="24"/>
        </w:rPr>
        <w:t xml:space="preserve">несигнификантно повисока споредено со </w:t>
      </w:r>
      <w:r w:rsidR="00467E44" w:rsidRPr="00C45CC4">
        <w:rPr>
          <w:rFonts w:ascii="Times New Roman" w:hAnsi="Times New Roman" w:cs="Times New Roman"/>
          <w:color w:val="000000"/>
          <w:sz w:val="24"/>
          <w:szCs w:val="24"/>
        </w:rPr>
        <w:t xml:space="preserve">IL-33 </w:t>
      </w:r>
      <w:r w:rsidR="00467E44">
        <w:rPr>
          <w:rFonts w:ascii="Times New Roman" w:hAnsi="Times New Roman" w:cs="Times New Roman"/>
          <w:color w:val="000000"/>
          <w:sz w:val="24"/>
          <w:szCs w:val="24"/>
        </w:rPr>
        <w:t xml:space="preserve">во серум во </w:t>
      </w:r>
      <w:r w:rsidR="00467E44" w:rsidRPr="00C45CC4">
        <w:rPr>
          <w:rFonts w:ascii="Times New Roman" w:hAnsi="Times New Roman" w:cs="Times New Roman"/>
          <w:color w:val="000000"/>
          <w:sz w:val="24"/>
          <w:szCs w:val="24"/>
        </w:rPr>
        <w:t xml:space="preserve">контролната група на здрави пациенти за </w:t>
      </w:r>
      <w:r w:rsidR="00467E44" w:rsidRPr="00C45CC4">
        <w:rPr>
          <w:rFonts w:ascii="Times New Roman" w:hAnsi="Times New Roman" w:cs="Times New Roman"/>
          <w:color w:val="000000"/>
          <w:sz w:val="24"/>
          <w:szCs w:val="24"/>
          <w:lang w:val="en-US" w:eastAsia="mk-MK"/>
        </w:rPr>
        <w:t>Mann</w:t>
      </w:r>
      <w:r w:rsidR="00467E44" w:rsidRPr="00A926CA">
        <w:rPr>
          <w:rFonts w:ascii="Times New Roman" w:hAnsi="Times New Roman" w:cs="Times New Roman"/>
          <w:color w:val="000000"/>
          <w:sz w:val="24"/>
          <w:szCs w:val="24"/>
          <w:lang w:val="ru-RU" w:eastAsia="mk-MK"/>
        </w:rPr>
        <w:t xml:space="preserve"> </w:t>
      </w:r>
      <w:r w:rsidR="00467E44" w:rsidRPr="00C45CC4">
        <w:rPr>
          <w:rFonts w:ascii="Times New Roman" w:hAnsi="Times New Roman" w:cs="Times New Roman"/>
          <w:color w:val="000000"/>
          <w:sz w:val="24"/>
          <w:szCs w:val="24"/>
          <w:lang w:val="en-US" w:eastAsia="mk-MK"/>
        </w:rPr>
        <w:t>Whitney</w:t>
      </w:r>
      <w:r w:rsidR="00467E44" w:rsidRPr="00A926CA">
        <w:rPr>
          <w:rFonts w:ascii="Times New Roman" w:hAnsi="Times New Roman" w:cs="Times New Roman"/>
          <w:color w:val="000000"/>
          <w:sz w:val="24"/>
          <w:szCs w:val="24"/>
          <w:lang w:val="ru-RU" w:eastAsia="mk-MK"/>
        </w:rPr>
        <w:t xml:space="preserve"> </w:t>
      </w:r>
      <w:r w:rsidR="00467E44" w:rsidRPr="00C45CC4">
        <w:rPr>
          <w:rFonts w:ascii="Times New Roman" w:hAnsi="Times New Roman" w:cs="Times New Roman"/>
          <w:color w:val="000000"/>
          <w:sz w:val="24"/>
          <w:szCs w:val="24"/>
          <w:lang w:val="en-US" w:eastAsia="mk-MK"/>
        </w:rPr>
        <w:t>U</w:t>
      </w:r>
      <w:r w:rsidR="00467E44" w:rsidRPr="00A926CA">
        <w:rPr>
          <w:rFonts w:ascii="Times New Roman" w:hAnsi="Times New Roman" w:cs="Times New Roman"/>
          <w:color w:val="000000"/>
          <w:sz w:val="24"/>
          <w:szCs w:val="24"/>
          <w:lang w:val="ru-RU" w:eastAsia="mk-MK"/>
        </w:rPr>
        <w:t xml:space="preserve"> </w:t>
      </w:r>
      <w:r w:rsidR="00467E44" w:rsidRPr="00C45CC4">
        <w:rPr>
          <w:rFonts w:ascii="Times New Roman" w:hAnsi="Times New Roman" w:cs="Times New Roman"/>
          <w:color w:val="000000"/>
          <w:sz w:val="24"/>
          <w:szCs w:val="24"/>
          <w:lang w:val="en-US" w:eastAsia="mk-MK"/>
        </w:rPr>
        <w:t>test</w:t>
      </w:r>
      <w:r w:rsidR="00467E44" w:rsidRPr="00A926CA">
        <w:rPr>
          <w:rFonts w:ascii="Times New Roman" w:hAnsi="Times New Roman" w:cs="Times New Roman"/>
          <w:color w:val="000000"/>
          <w:sz w:val="24"/>
          <w:szCs w:val="24"/>
          <w:lang w:val="ru-RU" w:eastAsia="mk-MK"/>
        </w:rPr>
        <w:t xml:space="preserve">: </w:t>
      </w:r>
      <w:r w:rsidR="00467E44" w:rsidRPr="00C45CC4">
        <w:rPr>
          <w:rFonts w:ascii="Times New Roman" w:hAnsi="Times New Roman" w:cs="Times New Roman"/>
          <w:color w:val="000000"/>
          <w:sz w:val="24"/>
          <w:szCs w:val="24"/>
        </w:rPr>
        <w:t>Z=0,126; p=0,8994</w:t>
      </w:r>
      <w:r w:rsidR="00467E44" w:rsidRPr="00C45CC4">
        <w:rPr>
          <w:rFonts w:ascii="Times New Roman" w:hAnsi="Times New Roman" w:cs="Times New Roman"/>
          <w:color w:val="000000"/>
          <w:sz w:val="24"/>
          <w:szCs w:val="24"/>
          <w:lang w:eastAsia="en-GB"/>
        </w:rPr>
        <w:t xml:space="preserve"> (Табела 12</w:t>
      </w:r>
      <w:r w:rsidR="00467E44">
        <w:rPr>
          <w:rFonts w:ascii="Times New Roman" w:hAnsi="Times New Roman" w:cs="Times New Roman"/>
          <w:color w:val="000000"/>
          <w:sz w:val="24"/>
          <w:szCs w:val="24"/>
          <w:lang w:eastAsia="en-GB"/>
        </w:rPr>
        <w:t xml:space="preserve"> и График 20</w:t>
      </w:r>
      <w:r w:rsidR="00467E44" w:rsidRPr="00C45CC4">
        <w:rPr>
          <w:rFonts w:ascii="Times New Roman" w:hAnsi="Times New Roman" w:cs="Times New Roman"/>
          <w:color w:val="000000"/>
          <w:sz w:val="24"/>
          <w:szCs w:val="24"/>
          <w:lang w:eastAsia="en-GB"/>
        </w:rPr>
        <w:t>)</w:t>
      </w: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2166F2" w:rsidP="0030404E">
      <w:pPr>
        <w:spacing w:line="360" w:lineRule="auto"/>
        <w:jc w:val="both"/>
        <w:rPr>
          <w:rFonts w:ascii="Times New Roman" w:hAnsi="Times New Roman" w:cs="Times New Roman"/>
          <w:b/>
          <w:color w:val="000000"/>
          <w:sz w:val="20"/>
          <w:szCs w:val="20"/>
          <w:highlight w:val="yellow"/>
        </w:rPr>
      </w:pPr>
      <w:r>
        <w:rPr>
          <w:rFonts w:ascii="Times New Roman" w:hAnsi="Times New Roman" w:cs="Times New Roman"/>
          <w:b/>
          <w:noProof/>
          <w:color w:val="000000"/>
          <w:sz w:val="20"/>
          <w:szCs w:val="20"/>
          <w:lang w:val="en-US"/>
        </w:rPr>
        <w:drawing>
          <wp:anchor distT="0" distB="0" distL="114300" distR="114300" simplePos="0" relativeHeight="251640319" behindDoc="1" locked="0" layoutInCell="1" allowOverlap="1">
            <wp:simplePos x="0" y="0"/>
            <wp:positionH relativeFrom="column">
              <wp:posOffset>994410</wp:posOffset>
            </wp:positionH>
            <wp:positionV relativeFrom="paragraph">
              <wp:posOffset>90805</wp:posOffset>
            </wp:positionV>
            <wp:extent cx="3683000" cy="2768600"/>
            <wp:effectExtent l="19050" t="0" r="0" b="0"/>
            <wp:wrapTight wrapText="bothSides">
              <wp:wrapPolygon edited="0">
                <wp:start x="-112" y="0"/>
                <wp:lineTo x="-112" y="21253"/>
                <wp:lineTo x="21563" y="21253"/>
                <wp:lineTo x="21563" y="0"/>
                <wp:lineTo x="-112" y="0"/>
              </wp:wrapPolygon>
            </wp:wrapTight>
            <wp:docPr id="3"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36"/>
                    <a:srcRect/>
                    <a:stretch>
                      <a:fillRect/>
                    </a:stretch>
                  </pic:blipFill>
                  <pic:spPr bwMode="auto">
                    <a:xfrm>
                      <a:off x="0" y="0"/>
                      <a:ext cx="3683000" cy="2768600"/>
                    </a:xfrm>
                    <a:prstGeom prst="rect">
                      <a:avLst/>
                    </a:prstGeom>
                    <a:noFill/>
                    <a:ln w="9525">
                      <a:noFill/>
                      <a:miter lim="800000"/>
                      <a:headEnd/>
                      <a:tailEnd/>
                    </a:ln>
                  </pic:spPr>
                </pic:pic>
              </a:graphicData>
            </a:graphic>
          </wp:anchor>
        </w:drawing>
      </w: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2166F2">
      <w:pPr>
        <w:jc w:val="center"/>
        <w:rPr>
          <w:rFonts w:ascii="Times New Roman" w:hAnsi="Times New Roman" w:cs="Times New Roman"/>
          <w:b/>
          <w:color w:val="000000"/>
          <w:sz w:val="20"/>
          <w:szCs w:val="20"/>
        </w:rPr>
      </w:pPr>
      <w:r w:rsidRPr="000A1D74">
        <w:rPr>
          <w:rFonts w:ascii="Times New Roman" w:hAnsi="Times New Roman" w:cs="Times New Roman"/>
          <w:b/>
          <w:color w:val="000000"/>
          <w:sz w:val="20"/>
          <w:szCs w:val="20"/>
        </w:rPr>
        <w:t xml:space="preserve">График 20. </w:t>
      </w:r>
      <w:r>
        <w:rPr>
          <w:rFonts w:ascii="Times New Roman" w:hAnsi="Times New Roman" w:cs="Times New Roman"/>
          <w:b/>
          <w:color w:val="000000"/>
          <w:sz w:val="20"/>
          <w:szCs w:val="20"/>
        </w:rPr>
        <w:t xml:space="preserve">Анализа на </w:t>
      </w:r>
      <w:r w:rsidRPr="000A1D74">
        <w:rPr>
          <w:rFonts w:ascii="Times New Roman" w:hAnsi="Times New Roman" w:cs="Times New Roman"/>
          <w:b/>
          <w:color w:val="000000"/>
          <w:sz w:val="20"/>
          <w:szCs w:val="20"/>
        </w:rPr>
        <w:t xml:space="preserve">IL-33 </w:t>
      </w:r>
      <w:r>
        <w:rPr>
          <w:rFonts w:ascii="Times New Roman" w:hAnsi="Times New Roman" w:cs="Times New Roman"/>
          <w:b/>
          <w:color w:val="000000"/>
          <w:sz w:val="20"/>
          <w:szCs w:val="20"/>
          <w:lang w:val="en-US"/>
        </w:rPr>
        <w:t>pg</w:t>
      </w:r>
      <w:r w:rsidRPr="00A926CA">
        <w:rPr>
          <w:rFonts w:ascii="Times New Roman" w:hAnsi="Times New Roman" w:cs="Times New Roman"/>
          <w:b/>
          <w:color w:val="000000"/>
          <w:sz w:val="20"/>
          <w:szCs w:val="20"/>
          <w:lang w:val="ru-RU"/>
        </w:rPr>
        <w:t>/</w:t>
      </w:r>
      <w:r>
        <w:rPr>
          <w:rFonts w:ascii="Times New Roman" w:hAnsi="Times New Roman" w:cs="Times New Roman"/>
          <w:b/>
          <w:color w:val="000000"/>
          <w:sz w:val="20"/>
          <w:szCs w:val="20"/>
          <w:lang w:val="en-US"/>
        </w:rPr>
        <w:t>mL</w:t>
      </w:r>
      <w:r w:rsidRPr="00A926CA">
        <w:rPr>
          <w:rFonts w:ascii="Times New Roman" w:hAnsi="Times New Roman" w:cs="Times New Roman"/>
          <w:b/>
          <w:color w:val="000000"/>
          <w:sz w:val="20"/>
          <w:szCs w:val="20"/>
          <w:lang w:val="ru-RU"/>
        </w:rPr>
        <w:t xml:space="preserve"> </w:t>
      </w:r>
      <w:r w:rsidRPr="000A1D74">
        <w:rPr>
          <w:rFonts w:ascii="Times New Roman" w:hAnsi="Times New Roman" w:cs="Times New Roman"/>
          <w:b/>
          <w:color w:val="000000"/>
          <w:sz w:val="20"/>
          <w:szCs w:val="20"/>
        </w:rPr>
        <w:t>во серум кај бенигни</w:t>
      </w:r>
      <w:r>
        <w:rPr>
          <w:rFonts w:ascii="Times New Roman" w:hAnsi="Times New Roman" w:cs="Times New Roman"/>
          <w:b/>
          <w:color w:val="000000"/>
          <w:sz w:val="20"/>
          <w:szCs w:val="20"/>
        </w:rPr>
        <w:t xml:space="preserve"> и </w:t>
      </w:r>
      <w:r w:rsidRPr="000A1D74">
        <w:rPr>
          <w:rFonts w:ascii="Times New Roman" w:hAnsi="Times New Roman" w:cs="Times New Roman"/>
          <w:b/>
          <w:color w:val="000000"/>
          <w:sz w:val="20"/>
          <w:szCs w:val="20"/>
        </w:rPr>
        <w:t xml:space="preserve">малигни тумори на </w:t>
      </w:r>
    </w:p>
    <w:p w:rsidR="002166F2" w:rsidRPr="00393EB8" w:rsidRDefault="002166F2" w:rsidP="002166F2">
      <w:pPr>
        <w:jc w:val="center"/>
        <w:rPr>
          <w:rFonts w:ascii="Times New Roman" w:hAnsi="Times New Roman" w:cs="Times New Roman"/>
          <w:b/>
          <w:color w:val="000000"/>
          <w:sz w:val="20"/>
          <w:szCs w:val="20"/>
        </w:rPr>
      </w:pPr>
      <w:r w:rsidRPr="000A1D74">
        <w:rPr>
          <w:rFonts w:ascii="Times New Roman" w:hAnsi="Times New Roman" w:cs="Times New Roman"/>
          <w:b/>
          <w:color w:val="000000"/>
          <w:sz w:val="20"/>
          <w:szCs w:val="20"/>
        </w:rPr>
        <w:t>паротидни жлезди и</w:t>
      </w:r>
      <w:r>
        <w:rPr>
          <w:rFonts w:ascii="Times New Roman" w:hAnsi="Times New Roman" w:cs="Times New Roman"/>
          <w:b/>
          <w:color w:val="000000"/>
          <w:sz w:val="20"/>
          <w:szCs w:val="20"/>
        </w:rPr>
        <w:t xml:space="preserve"> </w:t>
      </w:r>
      <w:r w:rsidRPr="000A1D74">
        <w:rPr>
          <w:rFonts w:ascii="Times New Roman" w:hAnsi="Times New Roman" w:cs="Times New Roman"/>
          <w:b/>
          <w:color w:val="000000"/>
          <w:sz w:val="20"/>
          <w:szCs w:val="20"/>
        </w:rPr>
        <w:t>контролна група</w:t>
      </w: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2166F2" w:rsidRDefault="002166F2" w:rsidP="000A1D74">
      <w:pPr>
        <w:jc w:val="center"/>
        <w:rPr>
          <w:rFonts w:ascii="Times New Roman" w:hAnsi="Times New Roman" w:cs="Times New Roman"/>
          <w:b/>
          <w:color w:val="000000"/>
          <w:sz w:val="20"/>
          <w:szCs w:val="20"/>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2166F2" w:rsidRDefault="002166F2" w:rsidP="00456BB9">
      <w:pPr>
        <w:spacing w:after="200" w:line="360" w:lineRule="auto"/>
        <w:ind w:firstLine="720"/>
        <w:jc w:val="both"/>
        <w:rPr>
          <w:rFonts w:ascii="Times New Roman" w:hAnsi="Times New Roman" w:cs="Times New Roman"/>
          <w:noProof/>
        </w:rPr>
      </w:pPr>
    </w:p>
    <w:p w:rsidR="00456BB9" w:rsidRPr="00C45CC4" w:rsidRDefault="00446A60" w:rsidP="002166F2">
      <w:pPr>
        <w:spacing w:after="200"/>
        <w:ind w:firstLine="720"/>
        <w:jc w:val="both"/>
        <w:rPr>
          <w:rFonts w:ascii="Times New Roman" w:hAnsi="Times New Roman" w:cs="Times New Roman"/>
          <w:color w:val="000000"/>
          <w:sz w:val="24"/>
          <w:szCs w:val="24"/>
        </w:rPr>
      </w:pPr>
      <w:r>
        <w:rPr>
          <w:rFonts w:ascii="Times New Roman" w:hAnsi="Times New Roman" w:cs="Times New Roman"/>
          <w:noProof/>
          <w:lang w:val="en-US"/>
        </w:rPr>
        <w:drawing>
          <wp:anchor distT="0" distB="0" distL="114300" distR="114300" simplePos="0" relativeHeight="251664896" behindDoc="1" locked="0" layoutInCell="1" allowOverlap="1">
            <wp:simplePos x="0" y="0"/>
            <wp:positionH relativeFrom="column">
              <wp:posOffset>1025525</wp:posOffset>
            </wp:positionH>
            <wp:positionV relativeFrom="paragraph">
              <wp:posOffset>1441450</wp:posOffset>
            </wp:positionV>
            <wp:extent cx="3648710" cy="2734310"/>
            <wp:effectExtent l="19050" t="0" r="8890" b="0"/>
            <wp:wrapTight wrapText="bothSides">
              <wp:wrapPolygon edited="0">
                <wp:start x="-113" y="0"/>
                <wp:lineTo x="-113" y="21369"/>
                <wp:lineTo x="21653" y="21369"/>
                <wp:lineTo x="21653" y="0"/>
                <wp:lineTo x="-113" y="0"/>
              </wp:wrapPolygon>
            </wp:wrapTight>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37"/>
                    <a:srcRect/>
                    <a:stretch>
                      <a:fillRect/>
                    </a:stretch>
                  </pic:blipFill>
                  <pic:spPr bwMode="auto">
                    <a:xfrm>
                      <a:off x="0" y="0"/>
                      <a:ext cx="3648710" cy="2734310"/>
                    </a:xfrm>
                    <a:prstGeom prst="rect">
                      <a:avLst/>
                    </a:prstGeom>
                    <a:noFill/>
                    <a:ln w="9525">
                      <a:noFill/>
                      <a:miter lim="800000"/>
                      <a:headEnd/>
                      <a:tailEnd/>
                    </a:ln>
                  </pic:spPr>
                </pic:pic>
              </a:graphicData>
            </a:graphic>
          </wp:anchor>
        </w:drawing>
      </w:r>
      <w:r w:rsidR="00820C0E" w:rsidRPr="008038A5">
        <w:rPr>
          <w:rFonts w:ascii="Times New Roman" w:hAnsi="Times New Roman" w:cs="Times New Roman"/>
          <w:noProof/>
        </w:rPr>
        <w:t>Кај</w:t>
      </w:r>
      <w:r w:rsidR="00456BB9" w:rsidRPr="008038A5">
        <w:rPr>
          <w:rFonts w:ascii="Times New Roman" w:hAnsi="Times New Roman" w:cs="Times New Roman"/>
          <w:sz w:val="24"/>
          <w:szCs w:val="24"/>
        </w:rPr>
        <w:t xml:space="preserve"> </w:t>
      </w:r>
      <w:r w:rsidR="00456BB9" w:rsidRPr="00C45CC4">
        <w:rPr>
          <w:rFonts w:ascii="Times New Roman" w:hAnsi="Times New Roman" w:cs="Times New Roman"/>
          <w:sz w:val="24"/>
          <w:szCs w:val="24"/>
        </w:rPr>
        <w:t xml:space="preserve">бенигни тумори на паротидните жлезди во испитуваната група највисока просечна вредност на </w:t>
      </w:r>
      <w:r w:rsidR="00456BB9" w:rsidRPr="00C45CC4">
        <w:rPr>
          <w:rFonts w:ascii="Times New Roman" w:hAnsi="Times New Roman" w:cs="Times New Roman"/>
          <w:color w:val="000000"/>
          <w:sz w:val="24"/>
          <w:szCs w:val="24"/>
        </w:rPr>
        <w:t xml:space="preserve">IL-33 во серум </w:t>
      </w:r>
      <w:r w:rsidR="00456BB9" w:rsidRPr="00A926CA">
        <w:rPr>
          <w:rFonts w:ascii="Times New Roman" w:hAnsi="Times New Roman" w:cs="Times New Roman"/>
          <w:color w:val="000000"/>
          <w:sz w:val="24"/>
          <w:szCs w:val="24"/>
          <w:lang w:val="ru-RU"/>
        </w:rPr>
        <w:t>беше регистриран</w:t>
      </w:r>
      <w:r w:rsidR="00456BB9" w:rsidRPr="00C45CC4">
        <w:rPr>
          <w:rFonts w:ascii="Times New Roman" w:hAnsi="Times New Roman" w:cs="Times New Roman"/>
          <w:color w:val="000000"/>
          <w:sz w:val="24"/>
          <w:szCs w:val="24"/>
        </w:rPr>
        <w:t xml:space="preserve">а кај BA - </w:t>
      </w:r>
      <w:r w:rsidR="00456BB9" w:rsidRPr="00C45CC4">
        <w:rPr>
          <w:rFonts w:ascii="Times New Roman" w:hAnsi="Times New Roman" w:cs="Times New Roman"/>
          <w:sz w:val="24"/>
          <w:szCs w:val="24"/>
        </w:rPr>
        <w:t>4,93±0,12</w:t>
      </w:r>
      <w:r w:rsidR="00456BB9" w:rsidRPr="00A926CA">
        <w:rPr>
          <w:rFonts w:ascii="Times New Roman" w:hAnsi="Times New Roman" w:cs="Times New Roman"/>
          <w:sz w:val="24"/>
          <w:szCs w:val="24"/>
          <w:lang w:val="ru-RU"/>
        </w:rPr>
        <w:t xml:space="preserve">, следено со </w:t>
      </w:r>
      <w:r w:rsidR="00456BB9" w:rsidRPr="00C45CC4">
        <w:rPr>
          <w:rFonts w:ascii="Times New Roman" w:hAnsi="Times New Roman" w:cs="Times New Roman"/>
          <w:sz w:val="24"/>
          <w:szCs w:val="24"/>
          <w:lang w:val="en-US"/>
        </w:rPr>
        <w:t>Pa</w:t>
      </w:r>
      <w:r w:rsidR="00456BB9" w:rsidRPr="00A926CA">
        <w:rPr>
          <w:rFonts w:ascii="Times New Roman" w:hAnsi="Times New Roman" w:cs="Times New Roman"/>
          <w:sz w:val="24"/>
          <w:szCs w:val="24"/>
          <w:lang w:val="ru-RU"/>
        </w:rPr>
        <w:t xml:space="preserve"> - </w:t>
      </w:r>
      <w:r w:rsidR="00456BB9" w:rsidRPr="00C45CC4">
        <w:rPr>
          <w:rFonts w:ascii="Times New Roman" w:hAnsi="Times New Roman" w:cs="Times New Roman"/>
          <w:sz w:val="24"/>
          <w:szCs w:val="24"/>
        </w:rPr>
        <w:t xml:space="preserve">4,88±0,11, а најниска кај WT - 4,82±0,19. За </w:t>
      </w:r>
      <w:r w:rsidR="00456BB9" w:rsidRPr="00C45CC4">
        <w:rPr>
          <w:rFonts w:ascii="Times New Roman" w:hAnsi="Times New Roman" w:cs="Times New Roman"/>
          <w:color w:val="000000"/>
          <w:sz w:val="24"/>
          <w:szCs w:val="24"/>
        </w:rPr>
        <w:t>p&gt;0,05, немаше сигнификантна разлика меѓу трите типови на бенигни тумори (WT, BA, Pa) во однос на нивото на IL-33 во серум</w:t>
      </w:r>
      <w:r w:rsidR="00456BB9" w:rsidRPr="00A926CA">
        <w:rPr>
          <w:rFonts w:ascii="Times New Roman" w:hAnsi="Times New Roman" w:cs="Times New Roman"/>
          <w:color w:val="000000"/>
          <w:sz w:val="24"/>
          <w:szCs w:val="24"/>
          <w:lang w:val="ru-RU"/>
        </w:rPr>
        <w:t xml:space="preserve"> за </w:t>
      </w:r>
      <w:r w:rsidR="00456BB9" w:rsidRPr="00C45CC4">
        <w:rPr>
          <w:rFonts w:ascii="Times New Roman" w:hAnsi="Times New Roman"/>
          <w:color w:val="000000"/>
          <w:sz w:val="24"/>
          <w:szCs w:val="24"/>
        </w:rPr>
        <w:t xml:space="preserve">Kruskal-Wallis </w:t>
      </w:r>
      <w:r w:rsidR="00456BB9" w:rsidRPr="00C45CC4">
        <w:rPr>
          <w:rFonts w:ascii="Times New Roman" w:hAnsi="Times New Roman"/>
          <w:color w:val="000000"/>
          <w:sz w:val="24"/>
          <w:szCs w:val="24"/>
          <w:lang w:val="en-US"/>
        </w:rPr>
        <w:t>H</w:t>
      </w:r>
      <w:r w:rsidR="00456BB9" w:rsidRPr="00A926CA">
        <w:rPr>
          <w:rFonts w:ascii="Times New Roman" w:hAnsi="Times New Roman"/>
          <w:color w:val="000000"/>
          <w:sz w:val="24"/>
          <w:szCs w:val="24"/>
          <w:lang w:val="ru-RU"/>
        </w:rPr>
        <w:t xml:space="preserve"> </w:t>
      </w:r>
      <w:r w:rsidR="00456BB9" w:rsidRPr="00C45CC4">
        <w:rPr>
          <w:rFonts w:ascii="Times New Roman" w:hAnsi="Times New Roman"/>
          <w:color w:val="000000"/>
          <w:sz w:val="24"/>
          <w:szCs w:val="24"/>
        </w:rPr>
        <w:t>test=</w:t>
      </w:r>
      <w:r w:rsidR="00456BB9" w:rsidRPr="00C45CC4">
        <w:rPr>
          <w:rFonts w:ascii="Times New Roman" w:hAnsi="Times New Roman" w:cs="Times New Roman"/>
          <w:color w:val="000000"/>
          <w:sz w:val="24"/>
          <w:szCs w:val="24"/>
        </w:rPr>
        <w:t xml:space="preserve"> X</w:t>
      </w:r>
      <w:r w:rsidR="00456BB9" w:rsidRPr="00C45CC4">
        <w:rPr>
          <w:rFonts w:ascii="Times New Roman" w:hAnsi="Times New Roman" w:cs="Times New Roman"/>
          <w:color w:val="000000"/>
          <w:sz w:val="24"/>
          <w:szCs w:val="24"/>
          <w:vertAlign w:val="superscript"/>
        </w:rPr>
        <w:t>2</w:t>
      </w:r>
      <w:r w:rsidR="00456BB9" w:rsidRPr="00C45CC4">
        <w:rPr>
          <w:rFonts w:ascii="Times New Roman" w:hAnsi="Times New Roman" w:cs="Times New Roman"/>
          <w:color w:val="000000"/>
          <w:sz w:val="24"/>
          <w:szCs w:val="24"/>
          <w:vertAlign w:val="subscript"/>
        </w:rPr>
        <w:t>(2)</w:t>
      </w:r>
      <w:r w:rsidR="00456BB9" w:rsidRPr="00C45CC4">
        <w:rPr>
          <w:rFonts w:ascii="Times New Roman" w:hAnsi="Times New Roman" w:cs="Times New Roman"/>
          <w:color w:val="000000"/>
          <w:sz w:val="24"/>
          <w:szCs w:val="24"/>
        </w:rPr>
        <w:t>=1,287; p=0,5260</w:t>
      </w:r>
      <w:r w:rsidR="00456BB9" w:rsidRPr="00C45CC4">
        <w:rPr>
          <w:rFonts w:ascii="Times New Roman" w:hAnsi="Times New Roman" w:cs="Times New Roman"/>
          <w:color w:val="000000"/>
          <w:sz w:val="24"/>
          <w:szCs w:val="24"/>
          <w:lang w:eastAsia="en-GB"/>
        </w:rPr>
        <w:t xml:space="preserve"> (Табела 12 и График </w:t>
      </w:r>
      <w:r w:rsidR="00F20EF5">
        <w:rPr>
          <w:rFonts w:ascii="Times New Roman" w:hAnsi="Times New Roman" w:cs="Times New Roman"/>
          <w:color w:val="000000"/>
          <w:sz w:val="24"/>
          <w:szCs w:val="24"/>
          <w:lang w:eastAsia="en-GB"/>
        </w:rPr>
        <w:t>21</w:t>
      </w:r>
      <w:r w:rsidR="00456BB9" w:rsidRPr="00C45CC4">
        <w:rPr>
          <w:rFonts w:ascii="Times New Roman" w:hAnsi="Times New Roman" w:cs="Times New Roman"/>
          <w:color w:val="000000"/>
          <w:sz w:val="24"/>
          <w:szCs w:val="24"/>
          <w:lang w:eastAsia="en-GB"/>
        </w:rPr>
        <w:t>)</w:t>
      </w:r>
      <w:r w:rsidR="00456BB9" w:rsidRPr="00C45CC4">
        <w:rPr>
          <w:rFonts w:ascii="Times New Roman" w:hAnsi="Times New Roman" w:cs="Times New Roman"/>
          <w:color w:val="000000"/>
          <w:sz w:val="24"/>
          <w:szCs w:val="24"/>
        </w:rPr>
        <w:t xml:space="preserve">. </w:t>
      </w: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0303EB" w:rsidRDefault="000303EB" w:rsidP="0030404E">
      <w:pPr>
        <w:spacing w:line="360" w:lineRule="auto"/>
        <w:jc w:val="both"/>
        <w:rPr>
          <w:rFonts w:ascii="Times New Roman" w:hAnsi="Times New Roman" w:cs="Times New Roman"/>
          <w:b/>
          <w:color w:val="000000"/>
          <w:sz w:val="20"/>
          <w:szCs w:val="20"/>
          <w:highlight w:val="yellow"/>
        </w:rPr>
      </w:pPr>
    </w:p>
    <w:p w:rsidR="00456BB9" w:rsidRDefault="00456BB9" w:rsidP="000303EB">
      <w:pPr>
        <w:spacing w:after="360" w:line="360" w:lineRule="auto"/>
        <w:jc w:val="both"/>
        <w:rPr>
          <w:rFonts w:ascii="Times New Roman" w:hAnsi="Times New Roman" w:cs="Times New Roman"/>
          <w:b/>
          <w:color w:val="215868"/>
          <w:sz w:val="28"/>
          <w:szCs w:val="28"/>
        </w:rPr>
      </w:pPr>
    </w:p>
    <w:p w:rsidR="00820C0E" w:rsidRDefault="00820C0E" w:rsidP="00820C0E">
      <w:pPr>
        <w:spacing w:line="360" w:lineRule="auto"/>
        <w:jc w:val="center"/>
        <w:rPr>
          <w:rFonts w:ascii="Times New Roman" w:hAnsi="Times New Roman" w:cs="Times New Roman"/>
          <w:b/>
          <w:color w:val="215868"/>
          <w:sz w:val="28"/>
          <w:szCs w:val="28"/>
        </w:rPr>
      </w:pPr>
    </w:p>
    <w:p w:rsidR="00820C0E" w:rsidRDefault="00820C0E" w:rsidP="00820C0E">
      <w:pPr>
        <w:spacing w:line="360" w:lineRule="auto"/>
        <w:jc w:val="center"/>
        <w:rPr>
          <w:rFonts w:ascii="Times New Roman" w:hAnsi="Times New Roman" w:cs="Times New Roman"/>
          <w:b/>
          <w:color w:val="215868"/>
          <w:sz w:val="28"/>
          <w:szCs w:val="28"/>
        </w:rPr>
      </w:pPr>
    </w:p>
    <w:p w:rsidR="002166F2" w:rsidRDefault="002166F2" w:rsidP="00820C0E">
      <w:pPr>
        <w:spacing w:line="360" w:lineRule="auto"/>
        <w:jc w:val="center"/>
        <w:rPr>
          <w:rFonts w:ascii="Times New Roman" w:hAnsi="Times New Roman" w:cs="Times New Roman"/>
          <w:b/>
          <w:color w:val="000000"/>
          <w:sz w:val="20"/>
          <w:szCs w:val="20"/>
        </w:rPr>
      </w:pPr>
    </w:p>
    <w:p w:rsidR="002166F2" w:rsidRDefault="002166F2" w:rsidP="00820C0E">
      <w:pPr>
        <w:spacing w:line="360" w:lineRule="auto"/>
        <w:jc w:val="center"/>
        <w:rPr>
          <w:rFonts w:ascii="Times New Roman" w:hAnsi="Times New Roman" w:cs="Times New Roman"/>
          <w:b/>
          <w:color w:val="000000"/>
          <w:sz w:val="20"/>
          <w:szCs w:val="20"/>
        </w:rPr>
      </w:pPr>
    </w:p>
    <w:p w:rsidR="002166F2" w:rsidRDefault="002166F2" w:rsidP="00820C0E">
      <w:pPr>
        <w:spacing w:line="360" w:lineRule="auto"/>
        <w:jc w:val="center"/>
        <w:rPr>
          <w:rFonts w:ascii="Times New Roman" w:hAnsi="Times New Roman" w:cs="Times New Roman"/>
          <w:b/>
          <w:color w:val="000000"/>
          <w:sz w:val="20"/>
          <w:szCs w:val="20"/>
        </w:rPr>
      </w:pPr>
    </w:p>
    <w:p w:rsidR="00820C0E" w:rsidRPr="00393EB8" w:rsidRDefault="002166F2" w:rsidP="00820C0E">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00820C0E" w:rsidRPr="00F20EF5">
        <w:rPr>
          <w:rFonts w:ascii="Times New Roman" w:hAnsi="Times New Roman" w:cs="Times New Roman"/>
          <w:b/>
          <w:color w:val="000000"/>
          <w:sz w:val="20"/>
          <w:szCs w:val="20"/>
        </w:rPr>
        <w:t xml:space="preserve"> </w:t>
      </w:r>
      <w:r w:rsidR="00F20EF5" w:rsidRPr="00F20EF5">
        <w:rPr>
          <w:rFonts w:ascii="Times New Roman" w:hAnsi="Times New Roman" w:cs="Times New Roman"/>
          <w:b/>
          <w:color w:val="000000"/>
          <w:sz w:val="20"/>
          <w:szCs w:val="20"/>
        </w:rPr>
        <w:t>21</w:t>
      </w:r>
      <w:r w:rsidR="00820C0E" w:rsidRPr="00F20EF5">
        <w:rPr>
          <w:rFonts w:ascii="Times New Roman" w:hAnsi="Times New Roman" w:cs="Times New Roman"/>
          <w:b/>
          <w:color w:val="000000"/>
          <w:sz w:val="20"/>
          <w:szCs w:val="20"/>
        </w:rPr>
        <w:t xml:space="preserve">. Анализа IL-33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00820C0E" w:rsidRPr="00F20EF5">
        <w:rPr>
          <w:rFonts w:ascii="Times New Roman" w:hAnsi="Times New Roman" w:cs="Times New Roman"/>
          <w:b/>
          <w:color w:val="000000"/>
          <w:sz w:val="20"/>
          <w:szCs w:val="20"/>
        </w:rPr>
        <w:t xml:space="preserve">во серум </w:t>
      </w:r>
      <w:r w:rsidR="00F20EF5" w:rsidRPr="00F20EF5">
        <w:rPr>
          <w:rFonts w:ascii="Times New Roman" w:hAnsi="Times New Roman" w:cs="Times New Roman"/>
          <w:b/>
          <w:color w:val="000000"/>
          <w:sz w:val="20"/>
          <w:szCs w:val="20"/>
        </w:rPr>
        <w:t>меѓу типови на бенигни / малигни тумори</w:t>
      </w:r>
      <w:r w:rsidR="00F20EF5">
        <w:rPr>
          <w:rFonts w:ascii="Times New Roman" w:hAnsi="Times New Roman" w:cs="Times New Roman"/>
          <w:b/>
          <w:color w:val="000000"/>
          <w:sz w:val="20"/>
          <w:szCs w:val="20"/>
        </w:rPr>
        <w:t xml:space="preserve"> </w:t>
      </w:r>
    </w:p>
    <w:p w:rsidR="002166F2" w:rsidRDefault="002166F2" w:rsidP="002166F2">
      <w:pPr>
        <w:spacing w:after="200"/>
        <w:ind w:firstLine="720"/>
        <w:jc w:val="both"/>
        <w:rPr>
          <w:rFonts w:ascii="Times New Roman" w:hAnsi="Times New Roman" w:cs="Times New Roman"/>
          <w:sz w:val="24"/>
          <w:szCs w:val="24"/>
        </w:rPr>
      </w:pPr>
    </w:p>
    <w:p w:rsidR="00823B44" w:rsidRDefault="00456BB9" w:rsidP="002166F2">
      <w:pPr>
        <w:spacing w:after="200"/>
        <w:ind w:firstLine="720"/>
        <w:jc w:val="both"/>
        <w:rPr>
          <w:rFonts w:ascii="Times New Roman" w:hAnsi="Times New Roman" w:cs="Times New Roman"/>
          <w:color w:val="000000"/>
          <w:sz w:val="24"/>
          <w:szCs w:val="24"/>
        </w:rPr>
      </w:pPr>
      <w:r w:rsidRPr="00C45CC4">
        <w:rPr>
          <w:rFonts w:ascii="Times New Roman" w:hAnsi="Times New Roman" w:cs="Times New Roman"/>
          <w:sz w:val="24"/>
          <w:szCs w:val="24"/>
        </w:rPr>
        <w:t>К</w:t>
      </w:r>
      <w:r w:rsidRPr="00C45CC4">
        <w:rPr>
          <w:rFonts w:ascii="Times New Roman" w:hAnsi="Times New Roman" w:cs="Times New Roman"/>
          <w:color w:val="000000"/>
          <w:sz w:val="24"/>
          <w:szCs w:val="24"/>
        </w:rPr>
        <w:t xml:space="preserve">ај пациентите со малигни тумори на </w:t>
      </w:r>
      <w:r w:rsidRPr="00C45CC4">
        <w:rPr>
          <w:rFonts w:ascii="Times New Roman" w:hAnsi="Times New Roman" w:cs="Times New Roman"/>
          <w:sz w:val="24"/>
          <w:szCs w:val="24"/>
        </w:rPr>
        <w:t>паротидните жлезди во испитуваната група, на</w:t>
      </w:r>
      <w:r w:rsidR="00E52534">
        <w:rPr>
          <w:rFonts w:ascii="Times New Roman" w:hAnsi="Times New Roman" w:cs="Times New Roman"/>
          <w:sz w:val="24"/>
          <w:szCs w:val="24"/>
        </w:rPr>
        <w:t>ј</w:t>
      </w:r>
      <w:r w:rsidRPr="00C45CC4">
        <w:rPr>
          <w:rFonts w:ascii="Times New Roman" w:hAnsi="Times New Roman" w:cs="Times New Roman"/>
          <w:sz w:val="24"/>
          <w:szCs w:val="24"/>
        </w:rPr>
        <w:t xml:space="preserve">висока просечна вредности на </w:t>
      </w:r>
      <w:r w:rsidRPr="00C45CC4">
        <w:rPr>
          <w:rFonts w:ascii="Times New Roman" w:hAnsi="Times New Roman" w:cs="Times New Roman"/>
          <w:color w:val="000000"/>
          <w:sz w:val="24"/>
          <w:szCs w:val="24"/>
        </w:rPr>
        <w:t xml:space="preserve">IL-33 во серум имаше кај MEC - </w:t>
      </w:r>
      <w:r w:rsidRPr="00C45CC4">
        <w:rPr>
          <w:rFonts w:ascii="Times New Roman" w:hAnsi="Times New Roman" w:cs="Times New Roman"/>
          <w:sz w:val="24"/>
          <w:szCs w:val="24"/>
        </w:rPr>
        <w:t>5,01±0,00</w:t>
      </w:r>
      <w:r w:rsidRPr="00A926CA">
        <w:rPr>
          <w:rFonts w:ascii="Times New Roman" w:hAnsi="Times New Roman" w:cs="Times New Roman"/>
          <w:sz w:val="24"/>
          <w:szCs w:val="24"/>
          <w:lang w:val="ru-RU"/>
        </w:rPr>
        <w:t>, следено</w:t>
      </w:r>
      <w:r w:rsidRPr="00C45CC4">
        <w:rPr>
          <w:rFonts w:ascii="Times New Roman" w:hAnsi="Times New Roman" w:cs="Times New Roman"/>
          <w:sz w:val="24"/>
          <w:szCs w:val="24"/>
        </w:rPr>
        <w:t xml:space="preserve"> со </w:t>
      </w:r>
      <w:r w:rsidRPr="00C45CC4">
        <w:rPr>
          <w:rFonts w:ascii="Times New Roman" w:hAnsi="Times New Roman" w:cs="Times New Roman"/>
          <w:sz w:val="24"/>
          <w:szCs w:val="24"/>
          <w:lang w:val="en-US"/>
        </w:rPr>
        <w:t>CEA</w:t>
      </w:r>
      <w:r w:rsidRPr="00A926CA">
        <w:rPr>
          <w:rFonts w:ascii="Times New Roman" w:hAnsi="Times New Roman" w:cs="Times New Roman"/>
          <w:sz w:val="24"/>
          <w:szCs w:val="24"/>
          <w:lang w:val="ru-RU"/>
        </w:rPr>
        <w:t xml:space="preserve"> -  </w:t>
      </w:r>
      <w:r w:rsidRPr="00C45CC4">
        <w:rPr>
          <w:rFonts w:ascii="Times New Roman" w:hAnsi="Times New Roman" w:cs="Times New Roman"/>
          <w:sz w:val="24"/>
          <w:szCs w:val="24"/>
        </w:rPr>
        <w:t>4,93±0,12</w:t>
      </w:r>
      <w:r w:rsidRPr="00A926CA">
        <w:rPr>
          <w:rFonts w:ascii="Times New Roman" w:hAnsi="Times New Roman" w:cs="Times New Roman"/>
          <w:sz w:val="24"/>
          <w:szCs w:val="24"/>
          <w:lang w:val="ru-RU"/>
        </w:rPr>
        <w:t xml:space="preserve">, </w:t>
      </w:r>
      <w:r w:rsidRPr="00C45CC4">
        <w:rPr>
          <w:rFonts w:ascii="Times New Roman" w:hAnsi="Times New Roman" w:cs="Times New Roman"/>
          <w:sz w:val="24"/>
          <w:szCs w:val="24"/>
        </w:rPr>
        <w:t xml:space="preserve">и </w:t>
      </w:r>
      <w:r w:rsidRPr="00C45CC4">
        <w:rPr>
          <w:rFonts w:ascii="Times New Roman" w:hAnsi="Times New Roman" w:cs="Times New Roman"/>
          <w:sz w:val="24"/>
          <w:szCs w:val="24"/>
          <w:lang w:val="en-US"/>
        </w:rPr>
        <w:t>PC</w:t>
      </w:r>
      <w:r w:rsidRPr="00A926CA">
        <w:rPr>
          <w:rFonts w:ascii="Times New Roman" w:hAnsi="Times New Roman" w:cs="Times New Roman"/>
          <w:sz w:val="24"/>
          <w:szCs w:val="24"/>
          <w:lang w:val="ru-RU"/>
        </w:rPr>
        <w:t xml:space="preserve"> - </w:t>
      </w:r>
      <w:r w:rsidRPr="00C45CC4">
        <w:rPr>
          <w:rFonts w:ascii="Times New Roman" w:hAnsi="Times New Roman" w:cs="Times New Roman"/>
          <w:sz w:val="24"/>
          <w:szCs w:val="24"/>
        </w:rPr>
        <w:t xml:space="preserve">4,87±0,24. Еднакви просечни вредности на </w:t>
      </w:r>
      <w:r w:rsidRPr="00A926CA">
        <w:rPr>
          <w:rFonts w:ascii="Times New Roman" w:hAnsi="Times New Roman" w:cs="Times New Roman"/>
          <w:sz w:val="24"/>
          <w:szCs w:val="24"/>
          <w:lang w:val="ru-RU"/>
        </w:rPr>
        <w:t xml:space="preserve"> </w:t>
      </w:r>
      <w:r w:rsidRPr="00C45CC4">
        <w:rPr>
          <w:rFonts w:ascii="Times New Roman" w:hAnsi="Times New Roman" w:cs="Times New Roman"/>
          <w:color w:val="000000"/>
          <w:sz w:val="24"/>
          <w:szCs w:val="24"/>
        </w:rPr>
        <w:t xml:space="preserve">IL-33 во серум беа регистрирани кај случаите со Ly и ACC и тоа </w:t>
      </w:r>
      <w:r w:rsidRPr="00C45CC4">
        <w:rPr>
          <w:rFonts w:ascii="Times New Roman" w:hAnsi="Times New Roman" w:cs="Times New Roman"/>
          <w:sz w:val="24"/>
          <w:szCs w:val="24"/>
        </w:rPr>
        <w:t xml:space="preserve">4,85±0,00. Најниска просечна вредност на </w:t>
      </w:r>
      <w:r w:rsidRPr="00C45CC4">
        <w:rPr>
          <w:rFonts w:ascii="Times New Roman" w:hAnsi="Times New Roman" w:cs="Times New Roman"/>
          <w:color w:val="000000"/>
          <w:sz w:val="24"/>
          <w:szCs w:val="24"/>
        </w:rPr>
        <w:t xml:space="preserve">IL-33 во серум имаше </w:t>
      </w:r>
      <w:r w:rsidRPr="00A926CA">
        <w:rPr>
          <w:rFonts w:ascii="Times New Roman" w:hAnsi="Times New Roman" w:cs="Times New Roman"/>
          <w:color w:val="000000"/>
          <w:sz w:val="24"/>
          <w:szCs w:val="24"/>
        </w:rPr>
        <w:t xml:space="preserve">AC - </w:t>
      </w:r>
      <w:r w:rsidRPr="00C45CC4">
        <w:rPr>
          <w:rFonts w:ascii="Times New Roman" w:hAnsi="Times New Roman" w:cs="Times New Roman"/>
          <w:color w:val="000000"/>
          <w:sz w:val="24"/>
          <w:szCs w:val="24"/>
        </w:rPr>
        <w:t>4,80</w:t>
      </w:r>
      <w:r w:rsidRPr="00C45CC4">
        <w:rPr>
          <w:rFonts w:ascii="Times New Roman" w:hAnsi="Times New Roman" w:cs="Times New Roman"/>
          <w:sz w:val="24"/>
          <w:szCs w:val="24"/>
        </w:rPr>
        <w:t xml:space="preserve">±0,18. За </w:t>
      </w:r>
      <w:r w:rsidRPr="00C45CC4">
        <w:rPr>
          <w:rFonts w:ascii="Times New Roman" w:hAnsi="Times New Roman" w:cs="Times New Roman"/>
          <w:color w:val="000000"/>
          <w:sz w:val="24"/>
          <w:szCs w:val="24"/>
        </w:rPr>
        <w:t>p&gt;0,05, немаше сигнификантна разлика меѓу шестте типови на малигни тумори (</w:t>
      </w:r>
      <w:r w:rsidRPr="00C45CC4">
        <w:rPr>
          <w:rFonts w:ascii="Times New Roman" w:hAnsi="Times New Roman" w:cs="Times New Roman"/>
          <w:sz w:val="24"/>
          <w:szCs w:val="24"/>
        </w:rPr>
        <w:t>AC, PC, MEC</w:t>
      </w:r>
      <w:r w:rsidRPr="00A926CA">
        <w:rPr>
          <w:rFonts w:ascii="Times New Roman" w:hAnsi="Times New Roman" w:cs="Times New Roman"/>
          <w:sz w:val="24"/>
          <w:szCs w:val="24"/>
        </w:rPr>
        <w:t xml:space="preserve">, </w:t>
      </w:r>
      <w:r w:rsidRPr="00C45CC4">
        <w:rPr>
          <w:rFonts w:ascii="Times New Roman" w:hAnsi="Times New Roman" w:cs="Times New Roman"/>
          <w:sz w:val="24"/>
          <w:szCs w:val="24"/>
        </w:rPr>
        <w:t>CEA, Ly, ACC</w:t>
      </w:r>
      <w:r w:rsidRPr="00C45CC4">
        <w:rPr>
          <w:rFonts w:ascii="Times New Roman" w:hAnsi="Times New Roman" w:cs="Times New Roman"/>
          <w:color w:val="000000"/>
          <w:sz w:val="24"/>
          <w:szCs w:val="24"/>
        </w:rPr>
        <w:t>) во однос на нивото на IL-33 во серум</w:t>
      </w:r>
      <w:r w:rsidRPr="00A926CA">
        <w:rPr>
          <w:rFonts w:ascii="Times New Roman" w:hAnsi="Times New Roman" w:cs="Times New Roman"/>
          <w:color w:val="000000"/>
          <w:sz w:val="24"/>
          <w:szCs w:val="24"/>
        </w:rPr>
        <w:t xml:space="preserve"> за </w:t>
      </w:r>
      <w:r w:rsidRPr="00C45CC4">
        <w:rPr>
          <w:rFonts w:ascii="Times New Roman" w:hAnsi="Times New Roman"/>
          <w:color w:val="000000"/>
          <w:sz w:val="24"/>
          <w:szCs w:val="24"/>
        </w:rPr>
        <w:t xml:space="preserve">Kruskal-Wallis </w:t>
      </w:r>
      <w:r w:rsidRPr="00A926CA">
        <w:rPr>
          <w:rFonts w:ascii="Times New Roman" w:hAnsi="Times New Roman"/>
          <w:color w:val="000000"/>
          <w:sz w:val="24"/>
          <w:szCs w:val="24"/>
        </w:rPr>
        <w:t xml:space="preserve">H </w:t>
      </w:r>
      <w:r w:rsidRPr="00C45CC4">
        <w:rPr>
          <w:rFonts w:ascii="Times New Roman" w:hAnsi="Times New Roman"/>
          <w:color w:val="000000"/>
          <w:sz w:val="24"/>
          <w:szCs w:val="24"/>
        </w:rPr>
        <w:t>test=</w:t>
      </w:r>
      <w:r w:rsidRPr="00C45CC4">
        <w:rPr>
          <w:rFonts w:ascii="Times New Roman" w:hAnsi="Times New Roman" w:cs="Times New Roman"/>
          <w:color w:val="000000"/>
          <w:sz w:val="24"/>
          <w:szCs w:val="24"/>
        </w:rPr>
        <w:t xml:space="preserve"> X</w:t>
      </w:r>
      <w:r w:rsidRPr="00C45CC4">
        <w:rPr>
          <w:rFonts w:ascii="Times New Roman" w:hAnsi="Times New Roman" w:cs="Times New Roman"/>
          <w:color w:val="000000"/>
          <w:sz w:val="24"/>
          <w:szCs w:val="24"/>
          <w:vertAlign w:val="superscript"/>
        </w:rPr>
        <w:t>2</w:t>
      </w:r>
      <w:r w:rsidRPr="00C45CC4">
        <w:rPr>
          <w:rFonts w:ascii="Times New Roman" w:hAnsi="Times New Roman" w:cs="Times New Roman"/>
          <w:color w:val="000000"/>
          <w:sz w:val="24"/>
          <w:szCs w:val="24"/>
          <w:vertAlign w:val="subscript"/>
        </w:rPr>
        <w:t>(5)</w:t>
      </w:r>
      <w:r w:rsidRPr="00C45CC4">
        <w:rPr>
          <w:rFonts w:ascii="Times New Roman" w:hAnsi="Times New Roman" w:cs="Times New Roman"/>
          <w:color w:val="000000"/>
          <w:sz w:val="24"/>
          <w:szCs w:val="24"/>
        </w:rPr>
        <w:t>=2,093; p=0,8361</w:t>
      </w:r>
      <w:r w:rsidRPr="00C45CC4">
        <w:rPr>
          <w:rFonts w:ascii="Times New Roman" w:hAnsi="Times New Roman" w:cs="Times New Roman"/>
          <w:color w:val="000000"/>
          <w:sz w:val="24"/>
          <w:szCs w:val="24"/>
          <w:lang w:eastAsia="en-GB"/>
        </w:rPr>
        <w:t xml:space="preserve"> (Табела 12 и График </w:t>
      </w:r>
      <w:r w:rsidR="00F20EF5">
        <w:rPr>
          <w:rFonts w:ascii="Times New Roman" w:hAnsi="Times New Roman" w:cs="Times New Roman"/>
          <w:color w:val="000000"/>
          <w:sz w:val="24"/>
          <w:szCs w:val="24"/>
          <w:lang w:eastAsia="en-GB"/>
        </w:rPr>
        <w:t>21</w:t>
      </w:r>
      <w:r w:rsidRPr="00C45CC4">
        <w:rPr>
          <w:rFonts w:ascii="Times New Roman" w:hAnsi="Times New Roman" w:cs="Times New Roman"/>
          <w:color w:val="000000"/>
          <w:sz w:val="24"/>
          <w:szCs w:val="24"/>
          <w:lang w:eastAsia="en-GB"/>
        </w:rPr>
        <w:t>)</w:t>
      </w:r>
      <w:r w:rsidRPr="00C45CC4">
        <w:rPr>
          <w:rFonts w:ascii="Times New Roman" w:hAnsi="Times New Roman" w:cs="Times New Roman"/>
          <w:color w:val="000000"/>
          <w:sz w:val="24"/>
          <w:szCs w:val="24"/>
        </w:rPr>
        <w:t xml:space="preserve">. </w:t>
      </w:r>
    </w:p>
    <w:p w:rsidR="00823B44" w:rsidRDefault="00823B44" w:rsidP="00823B44">
      <w:pPr>
        <w:spacing w:after="200" w:line="360" w:lineRule="auto"/>
        <w:jc w:val="both"/>
        <w:rPr>
          <w:rFonts w:ascii="Times New Roman" w:hAnsi="Times New Roman" w:cs="Times New Roman"/>
          <w:b/>
          <w:color w:val="000000"/>
          <w:sz w:val="24"/>
          <w:szCs w:val="24"/>
        </w:rPr>
      </w:pPr>
    </w:p>
    <w:p w:rsidR="00823B44" w:rsidRDefault="00823B44" w:rsidP="00823B44">
      <w:pPr>
        <w:spacing w:after="200" w:line="360" w:lineRule="auto"/>
        <w:jc w:val="both"/>
        <w:rPr>
          <w:rFonts w:ascii="Times New Roman" w:hAnsi="Times New Roman" w:cs="Times New Roman"/>
          <w:b/>
          <w:color w:val="000000"/>
          <w:sz w:val="24"/>
          <w:szCs w:val="24"/>
        </w:rPr>
      </w:pPr>
    </w:p>
    <w:p w:rsidR="00823B44" w:rsidRDefault="00823B44" w:rsidP="00823B44">
      <w:pPr>
        <w:spacing w:after="200" w:line="360" w:lineRule="auto"/>
        <w:jc w:val="both"/>
        <w:rPr>
          <w:rFonts w:ascii="Times New Roman" w:hAnsi="Times New Roman" w:cs="Times New Roman"/>
          <w:b/>
          <w:color w:val="000000"/>
          <w:sz w:val="24"/>
          <w:szCs w:val="24"/>
        </w:rPr>
      </w:pPr>
    </w:p>
    <w:p w:rsidR="00823B44" w:rsidRDefault="00823B44" w:rsidP="00823B44">
      <w:pPr>
        <w:spacing w:after="200" w:line="360" w:lineRule="auto"/>
        <w:jc w:val="both"/>
        <w:rPr>
          <w:rFonts w:ascii="Times New Roman" w:hAnsi="Times New Roman" w:cs="Times New Roman"/>
          <w:b/>
          <w:color w:val="000000"/>
          <w:sz w:val="24"/>
          <w:szCs w:val="24"/>
        </w:rPr>
      </w:pPr>
    </w:p>
    <w:p w:rsidR="00823B44" w:rsidRDefault="00823B44" w:rsidP="00823B44">
      <w:pPr>
        <w:spacing w:after="200" w:line="360" w:lineRule="auto"/>
        <w:jc w:val="both"/>
        <w:rPr>
          <w:rFonts w:ascii="Times New Roman" w:hAnsi="Times New Roman" w:cs="Times New Roman"/>
          <w:b/>
          <w:color w:val="000000"/>
          <w:sz w:val="24"/>
          <w:szCs w:val="24"/>
        </w:rPr>
      </w:pPr>
    </w:p>
    <w:p w:rsidR="00823B44" w:rsidRDefault="00823B44" w:rsidP="00823B44">
      <w:pPr>
        <w:spacing w:after="200" w:line="360" w:lineRule="auto"/>
        <w:jc w:val="both"/>
        <w:rPr>
          <w:rFonts w:ascii="Times New Roman" w:hAnsi="Times New Roman" w:cs="Times New Roman"/>
          <w:b/>
          <w:color w:val="000000"/>
          <w:sz w:val="24"/>
          <w:szCs w:val="24"/>
        </w:rPr>
      </w:pPr>
    </w:p>
    <w:p w:rsidR="000303EB" w:rsidRPr="00823B44" w:rsidRDefault="00823B44" w:rsidP="002166F2">
      <w:pPr>
        <w:spacing w:after="200"/>
        <w:jc w:val="both"/>
        <w:rPr>
          <w:rFonts w:ascii="Times New Roman" w:hAnsi="Times New Roman" w:cs="Times New Roman"/>
          <w:color w:val="000000"/>
          <w:sz w:val="24"/>
          <w:szCs w:val="24"/>
        </w:rPr>
      </w:pPr>
      <w:r>
        <w:rPr>
          <w:rFonts w:ascii="Times New Roman" w:hAnsi="Times New Roman" w:cs="Times New Roman"/>
          <w:b/>
          <w:color w:val="000000"/>
          <w:sz w:val="24"/>
          <w:szCs w:val="24"/>
        </w:rPr>
        <w:t>7</w:t>
      </w:r>
      <w:r w:rsidR="0080619B">
        <w:rPr>
          <w:rFonts w:ascii="Times New Roman" w:hAnsi="Times New Roman" w:cs="Times New Roman"/>
          <w:b/>
          <w:color w:val="000000"/>
          <w:sz w:val="24"/>
          <w:szCs w:val="24"/>
        </w:rPr>
        <w:t>.2</w:t>
      </w:r>
      <w:r w:rsidR="000303EB" w:rsidRPr="00AB1D09">
        <w:rPr>
          <w:rFonts w:ascii="Times New Roman" w:hAnsi="Times New Roman" w:cs="Times New Roman"/>
          <w:b/>
          <w:color w:val="000000"/>
          <w:sz w:val="24"/>
          <w:szCs w:val="24"/>
        </w:rPr>
        <w:t xml:space="preserve"> </w:t>
      </w:r>
      <w:r w:rsidR="00BC0126" w:rsidRPr="0076051F">
        <w:rPr>
          <w:rFonts w:ascii="Times New Roman" w:hAnsi="Times New Roman" w:cs="Times New Roman"/>
          <w:b/>
          <w:color w:val="000000" w:themeColor="text1"/>
          <w:sz w:val="24"/>
          <w:szCs w:val="24"/>
        </w:rPr>
        <w:t>Анализа на</w:t>
      </w:r>
      <w:r w:rsidR="00BC0126">
        <w:rPr>
          <w:rFonts w:ascii="Times New Roman" w:hAnsi="Times New Roman" w:cs="Times New Roman"/>
          <w:b/>
          <w:color w:val="000000"/>
          <w:sz w:val="24"/>
          <w:szCs w:val="24"/>
        </w:rPr>
        <w:t xml:space="preserve"> </w:t>
      </w:r>
      <w:r w:rsidR="000303EB" w:rsidRPr="00AB1D09">
        <w:rPr>
          <w:rFonts w:ascii="Times New Roman" w:hAnsi="Times New Roman" w:cs="Times New Roman"/>
          <w:b/>
          <w:color w:val="000000"/>
          <w:sz w:val="24"/>
          <w:szCs w:val="24"/>
          <w:lang w:val="en-US"/>
        </w:rPr>
        <w:t>IL</w:t>
      </w:r>
      <w:r w:rsidR="000303EB" w:rsidRPr="00A926CA">
        <w:rPr>
          <w:rFonts w:ascii="Times New Roman" w:hAnsi="Times New Roman" w:cs="Times New Roman"/>
          <w:b/>
          <w:color w:val="000000"/>
          <w:sz w:val="24"/>
          <w:szCs w:val="24"/>
          <w:lang w:val="ru-RU"/>
        </w:rPr>
        <w:t xml:space="preserve">-33 во </w:t>
      </w:r>
      <w:r w:rsidR="000303EB" w:rsidRPr="00AB1D09">
        <w:rPr>
          <w:rFonts w:ascii="Times New Roman" w:hAnsi="Times New Roman" w:cs="Times New Roman"/>
          <w:b/>
          <w:color w:val="000000"/>
          <w:sz w:val="24"/>
          <w:szCs w:val="24"/>
        </w:rPr>
        <w:t>салива</w:t>
      </w:r>
      <w:r w:rsidR="000303EB" w:rsidRPr="00A926CA">
        <w:rPr>
          <w:rFonts w:ascii="Times New Roman" w:hAnsi="Times New Roman" w:cs="Times New Roman"/>
          <w:b/>
          <w:color w:val="000000"/>
          <w:sz w:val="24"/>
          <w:szCs w:val="24"/>
          <w:lang w:val="ru-RU"/>
        </w:rPr>
        <w:t xml:space="preserve"> </w:t>
      </w:r>
    </w:p>
    <w:p w:rsidR="0012693B" w:rsidRDefault="0012693B" w:rsidP="002166F2">
      <w:pPr>
        <w:ind w:firstLine="720"/>
        <w:jc w:val="both"/>
        <w:rPr>
          <w:rFonts w:ascii="Times New Roman" w:hAnsi="Times New Roman" w:cs="Times New Roman"/>
          <w:sz w:val="24"/>
          <w:szCs w:val="24"/>
        </w:rPr>
      </w:pPr>
    </w:p>
    <w:p w:rsidR="000303EB" w:rsidRDefault="007A2A2C" w:rsidP="002166F2">
      <w:pPr>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Нивото на  </w:t>
      </w:r>
      <w:r w:rsidRPr="00BF2ACE">
        <w:rPr>
          <w:rFonts w:ascii="Times New Roman" w:hAnsi="Times New Roman" w:cs="Times New Roman"/>
          <w:color w:val="000000"/>
          <w:sz w:val="24"/>
          <w:szCs w:val="24"/>
        </w:rPr>
        <w:t xml:space="preserve">IL-33 </w:t>
      </w:r>
      <w:r>
        <w:rPr>
          <w:rFonts w:ascii="Times New Roman" w:hAnsi="Times New Roman" w:cs="Times New Roman"/>
          <w:color w:val="000000"/>
          <w:sz w:val="24"/>
          <w:szCs w:val="24"/>
        </w:rPr>
        <w:t xml:space="preserve">беше анализирано и </w:t>
      </w:r>
      <w:r w:rsidRPr="00BF2ACE">
        <w:rPr>
          <w:rFonts w:ascii="Times New Roman" w:hAnsi="Times New Roman" w:cs="Times New Roman"/>
          <w:color w:val="000000"/>
          <w:sz w:val="24"/>
          <w:szCs w:val="24"/>
        </w:rPr>
        <w:t xml:space="preserve">во </w:t>
      </w:r>
      <w:r>
        <w:rPr>
          <w:rFonts w:ascii="Times New Roman" w:hAnsi="Times New Roman" w:cs="Times New Roman"/>
          <w:color w:val="000000"/>
          <w:sz w:val="24"/>
          <w:szCs w:val="24"/>
        </w:rPr>
        <w:t xml:space="preserve">примерок од салива кај </w:t>
      </w:r>
      <w:r>
        <w:rPr>
          <w:rFonts w:ascii="Times New Roman" w:hAnsi="Times New Roman" w:cs="Times New Roman"/>
          <w:sz w:val="24"/>
          <w:szCs w:val="24"/>
        </w:rPr>
        <w:t xml:space="preserve">испитаниците </w:t>
      </w:r>
      <w:r w:rsidR="000303EB">
        <w:rPr>
          <w:rFonts w:ascii="Times New Roman" w:hAnsi="Times New Roman" w:cs="Times New Roman"/>
          <w:sz w:val="24"/>
          <w:szCs w:val="24"/>
        </w:rPr>
        <w:t xml:space="preserve">од испитуваната и контролната група </w:t>
      </w:r>
      <w:r>
        <w:rPr>
          <w:rFonts w:ascii="Times New Roman" w:hAnsi="Times New Roman" w:cs="Times New Roman"/>
          <w:sz w:val="24"/>
          <w:szCs w:val="24"/>
        </w:rPr>
        <w:t xml:space="preserve">и тоа </w:t>
      </w:r>
      <w:r w:rsidR="000303EB">
        <w:rPr>
          <w:rFonts w:ascii="Times New Roman" w:hAnsi="Times New Roman" w:cs="Times New Roman"/>
          <w:sz w:val="24"/>
          <w:szCs w:val="24"/>
        </w:rPr>
        <w:t>меѓугрупн</w:t>
      </w:r>
      <w:r>
        <w:rPr>
          <w:rFonts w:ascii="Times New Roman" w:hAnsi="Times New Roman" w:cs="Times New Roman"/>
          <w:sz w:val="24"/>
          <w:szCs w:val="24"/>
        </w:rPr>
        <w:t>о</w:t>
      </w:r>
      <w:r w:rsidR="000303EB">
        <w:rPr>
          <w:rFonts w:ascii="Times New Roman" w:hAnsi="Times New Roman" w:cs="Times New Roman"/>
          <w:sz w:val="24"/>
          <w:szCs w:val="24"/>
        </w:rPr>
        <w:t xml:space="preserve"> и интрагрупн</w:t>
      </w:r>
      <w:r>
        <w:rPr>
          <w:rFonts w:ascii="Times New Roman" w:hAnsi="Times New Roman" w:cs="Times New Roman"/>
          <w:sz w:val="24"/>
          <w:szCs w:val="24"/>
        </w:rPr>
        <w:t>о</w:t>
      </w:r>
      <w:r w:rsidR="000303EB">
        <w:rPr>
          <w:rFonts w:ascii="Times New Roman" w:hAnsi="Times New Roman" w:cs="Times New Roman"/>
          <w:sz w:val="24"/>
          <w:szCs w:val="24"/>
        </w:rPr>
        <w:t xml:space="preserve"> </w:t>
      </w:r>
      <w:r>
        <w:rPr>
          <w:rFonts w:ascii="Times New Roman" w:hAnsi="Times New Roman" w:cs="Times New Roman"/>
          <w:color w:val="000000"/>
          <w:sz w:val="24"/>
          <w:szCs w:val="24"/>
        </w:rPr>
        <w:t>(Табела 13</w:t>
      </w:r>
      <w:r w:rsidR="000303EB">
        <w:rPr>
          <w:rFonts w:ascii="Times New Roman" w:hAnsi="Times New Roman" w:cs="Times New Roman"/>
          <w:color w:val="000000"/>
          <w:sz w:val="24"/>
          <w:szCs w:val="24"/>
        </w:rPr>
        <w:t>).</w:t>
      </w:r>
    </w:p>
    <w:p w:rsidR="000303EB" w:rsidRDefault="000303EB" w:rsidP="000303EB">
      <w:pPr>
        <w:spacing w:line="360" w:lineRule="auto"/>
        <w:ind w:firstLine="720"/>
        <w:jc w:val="both"/>
        <w:rPr>
          <w:rFonts w:ascii="Times New Roman" w:hAnsi="Times New Roman" w:cs="Times New Roman"/>
          <w:color w:val="000000"/>
          <w:sz w:val="24"/>
          <w:szCs w:val="24"/>
        </w:rPr>
      </w:pPr>
    </w:p>
    <w:p w:rsidR="0030404E" w:rsidRPr="007A2A2C" w:rsidRDefault="0030404E" w:rsidP="0030404E">
      <w:pPr>
        <w:spacing w:line="360" w:lineRule="auto"/>
        <w:jc w:val="both"/>
        <w:rPr>
          <w:rFonts w:ascii="Times New Roman" w:hAnsi="Times New Roman" w:cs="Times New Roman"/>
          <w:b/>
          <w:color w:val="000000"/>
          <w:sz w:val="20"/>
          <w:szCs w:val="20"/>
        </w:rPr>
      </w:pPr>
      <w:r w:rsidRPr="007A2A2C">
        <w:rPr>
          <w:rFonts w:ascii="Times New Roman" w:hAnsi="Times New Roman" w:cs="Times New Roman"/>
          <w:b/>
          <w:color w:val="000000"/>
          <w:sz w:val="20"/>
          <w:szCs w:val="20"/>
        </w:rPr>
        <w:t>Табела 1</w:t>
      </w:r>
      <w:r w:rsidR="007A2A2C" w:rsidRPr="007A2A2C">
        <w:rPr>
          <w:rFonts w:ascii="Times New Roman" w:hAnsi="Times New Roman" w:cs="Times New Roman"/>
          <w:b/>
          <w:color w:val="000000"/>
          <w:sz w:val="20"/>
          <w:szCs w:val="20"/>
        </w:rPr>
        <w:t>3</w:t>
      </w:r>
      <w:r w:rsidRPr="007A2A2C">
        <w:rPr>
          <w:rFonts w:ascii="Times New Roman" w:hAnsi="Times New Roman" w:cs="Times New Roman"/>
          <w:b/>
          <w:color w:val="000000"/>
          <w:sz w:val="20"/>
          <w:szCs w:val="20"/>
        </w:rPr>
        <w:t xml:space="preserve">. Анализа IL-33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Pr="007A2A2C">
        <w:rPr>
          <w:rFonts w:ascii="Times New Roman" w:hAnsi="Times New Roman" w:cs="Times New Roman"/>
          <w:b/>
          <w:color w:val="000000"/>
          <w:sz w:val="20"/>
          <w:szCs w:val="20"/>
        </w:rPr>
        <w:t xml:space="preserve">во </w:t>
      </w:r>
      <w:r w:rsidR="000303EB" w:rsidRPr="007A2A2C">
        <w:rPr>
          <w:rFonts w:ascii="Times New Roman" w:hAnsi="Times New Roman" w:cs="Times New Roman"/>
          <w:b/>
          <w:color w:val="000000"/>
          <w:sz w:val="20"/>
          <w:szCs w:val="20"/>
        </w:rPr>
        <w:t>салива</w:t>
      </w:r>
      <w:r w:rsidR="007A2A2C" w:rsidRPr="007A2A2C">
        <w:rPr>
          <w:rFonts w:ascii="Times New Roman" w:hAnsi="Times New Roman" w:cs="Times New Roman"/>
          <w:b/>
          <w:color w:val="000000"/>
          <w:sz w:val="20"/>
          <w:szCs w:val="20"/>
        </w:rPr>
        <w:t xml:space="preserve"> според</w:t>
      </w:r>
      <w:r w:rsidRPr="007A2A2C">
        <w:rPr>
          <w:rFonts w:ascii="Times New Roman" w:hAnsi="Times New Roman" w:cs="Times New Roman"/>
          <w:b/>
          <w:color w:val="000000"/>
          <w:sz w:val="20"/>
          <w:szCs w:val="20"/>
        </w:rPr>
        <w:t xml:space="preserve"> испитувана и контролна група</w:t>
      </w:r>
    </w:p>
    <w:tbl>
      <w:tblPr>
        <w:tblpPr w:leftFromText="180" w:rightFromText="180" w:vertAnchor="text" w:horzAnchor="margin" w:tblpX="-204" w:tblpY="51"/>
        <w:tblW w:w="93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1139"/>
        <w:gridCol w:w="1276"/>
        <w:gridCol w:w="640"/>
        <w:gridCol w:w="1912"/>
        <w:gridCol w:w="1559"/>
        <w:gridCol w:w="2835"/>
      </w:tblGrid>
      <w:tr w:rsidR="000E4D02" w:rsidRPr="000303EB" w:rsidTr="00B007FC">
        <w:trPr>
          <w:cantSplit/>
          <w:trHeight w:val="415"/>
        </w:trPr>
        <w:tc>
          <w:tcPr>
            <w:tcW w:w="2415" w:type="dxa"/>
            <w:gridSpan w:val="2"/>
            <w:vMerge w:val="restart"/>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Параметри</w:t>
            </w:r>
          </w:p>
        </w:tc>
        <w:tc>
          <w:tcPr>
            <w:tcW w:w="640" w:type="dxa"/>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color w:val="FFFFFF"/>
                <w:sz w:val="18"/>
                <w:szCs w:val="18"/>
                <w:lang w:eastAsia="mk-MK"/>
              </w:rPr>
            </w:pPr>
          </w:p>
        </w:tc>
        <w:tc>
          <w:tcPr>
            <w:tcW w:w="3471" w:type="dxa"/>
            <w:gridSpan w:val="2"/>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bCs/>
                <w:color w:val="FFFFFF"/>
                <w:sz w:val="18"/>
                <w:szCs w:val="18"/>
              </w:rPr>
            </w:pPr>
            <w:r w:rsidRPr="000303EB">
              <w:rPr>
                <w:rFonts w:ascii="Times New Roman" w:hAnsi="Times New Roman" w:cs="Times New Roman"/>
                <w:b/>
                <w:bCs/>
                <w:color w:val="FFFFFF"/>
                <w:sz w:val="18"/>
                <w:szCs w:val="18"/>
                <w:lang w:val="en-US"/>
              </w:rPr>
              <w:t xml:space="preserve">IL </w:t>
            </w:r>
            <w:r>
              <w:rPr>
                <w:rFonts w:ascii="Times New Roman" w:hAnsi="Times New Roman" w:cs="Times New Roman"/>
                <w:b/>
                <w:bCs/>
                <w:color w:val="FFFFFF"/>
                <w:sz w:val="18"/>
                <w:szCs w:val="18"/>
                <w:lang w:val="en-US"/>
              </w:rPr>
              <w:t>–</w:t>
            </w:r>
            <w:r w:rsidRPr="000303EB">
              <w:rPr>
                <w:rFonts w:ascii="Times New Roman" w:hAnsi="Times New Roman" w:cs="Times New Roman"/>
                <w:b/>
                <w:bCs/>
                <w:color w:val="FFFFFF"/>
                <w:sz w:val="18"/>
                <w:szCs w:val="18"/>
                <w:lang w:val="en-US"/>
              </w:rPr>
              <w:t xml:space="preserve"> 33</w:t>
            </w:r>
            <w:r>
              <w:rPr>
                <w:rFonts w:ascii="Times New Roman" w:hAnsi="Times New Roman" w:cs="Times New Roman"/>
                <w:b/>
                <w:bCs/>
                <w:color w:val="FFFFFF"/>
                <w:sz w:val="18"/>
                <w:szCs w:val="18"/>
              </w:rPr>
              <w:t xml:space="preserve"> </w:t>
            </w:r>
            <w:r w:rsidR="0022737D">
              <w:rPr>
                <w:rFonts w:ascii="Times New Roman" w:hAnsi="Times New Roman" w:cs="Times New Roman"/>
                <w:b/>
                <w:bCs/>
                <w:color w:val="FFFFFF"/>
                <w:sz w:val="18"/>
                <w:szCs w:val="18"/>
                <w:lang w:val="en-US"/>
              </w:rPr>
              <w:t xml:space="preserve">pg/mL </w:t>
            </w:r>
            <w:r>
              <w:rPr>
                <w:rFonts w:ascii="Times New Roman" w:hAnsi="Times New Roman" w:cs="Times New Roman"/>
                <w:b/>
                <w:bCs/>
                <w:color w:val="FFFFFF"/>
                <w:sz w:val="18"/>
                <w:szCs w:val="18"/>
              </w:rPr>
              <w:t>(салива)</w:t>
            </w:r>
          </w:p>
        </w:tc>
        <w:tc>
          <w:tcPr>
            <w:tcW w:w="2835" w:type="dxa"/>
            <w:vMerge w:val="restart"/>
            <w:shd w:val="clear" w:color="auto" w:fill="31849B"/>
            <w:vAlign w:val="center"/>
          </w:tcPr>
          <w:p w:rsidR="000E4D02" w:rsidRPr="00B007FC" w:rsidRDefault="000E4D02" w:rsidP="00B007FC">
            <w:pPr>
              <w:autoSpaceDE w:val="0"/>
              <w:autoSpaceDN w:val="0"/>
              <w:adjustRightInd w:val="0"/>
              <w:ind w:left="60" w:right="60"/>
              <w:jc w:val="center"/>
              <w:rPr>
                <w:rFonts w:ascii="Times New Roman" w:hAnsi="Times New Roman" w:cs="Times New Roman"/>
                <w:b/>
                <w:bCs/>
                <w:color w:val="FFFFFF"/>
                <w:sz w:val="18"/>
                <w:szCs w:val="18"/>
                <w:lang w:val="en-US"/>
              </w:rPr>
            </w:pPr>
            <w:r w:rsidRPr="00B007FC">
              <w:rPr>
                <w:rFonts w:ascii="Times New Roman" w:hAnsi="Times New Roman" w:cs="Times New Roman"/>
                <w:b/>
                <w:bCs/>
                <w:color w:val="FFFFFF"/>
                <w:sz w:val="18"/>
                <w:szCs w:val="18"/>
                <w:lang w:val="en-US"/>
              </w:rPr>
              <w:t>p</w:t>
            </w:r>
          </w:p>
        </w:tc>
      </w:tr>
      <w:tr w:rsidR="000E4D02" w:rsidRPr="000303EB" w:rsidTr="00B007FC">
        <w:trPr>
          <w:cantSplit/>
          <w:trHeight w:val="415"/>
        </w:trPr>
        <w:tc>
          <w:tcPr>
            <w:tcW w:w="2415" w:type="dxa"/>
            <w:gridSpan w:val="2"/>
            <w:vMerge/>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color w:val="FFFFFF"/>
                <w:sz w:val="18"/>
                <w:szCs w:val="18"/>
                <w:lang w:eastAsia="en-GB"/>
              </w:rPr>
            </w:pPr>
          </w:p>
        </w:tc>
        <w:tc>
          <w:tcPr>
            <w:tcW w:w="640" w:type="dxa"/>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N</w:t>
            </w:r>
          </w:p>
        </w:tc>
        <w:tc>
          <w:tcPr>
            <w:tcW w:w="1912" w:type="dxa"/>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color w:val="FFFFFF"/>
                <w:sz w:val="18"/>
                <w:szCs w:val="18"/>
                <w:lang w:val="en-US" w:eastAsia="mk-MK"/>
              </w:rPr>
            </w:pPr>
            <w:r w:rsidRPr="000303EB">
              <w:rPr>
                <w:rFonts w:ascii="Times New Roman" w:hAnsi="Times New Roman" w:cs="Times New Roman"/>
                <w:b/>
                <w:bCs/>
                <w:color w:val="FFFFFF"/>
                <w:sz w:val="18"/>
                <w:szCs w:val="18"/>
              </w:rPr>
              <w:t>Mean±</w:t>
            </w:r>
            <w:r w:rsidRPr="000303EB">
              <w:rPr>
                <w:rFonts w:ascii="Times New Roman" w:hAnsi="Times New Roman" w:cs="Times New Roman"/>
                <w:b/>
                <w:color w:val="FFFFFF"/>
                <w:sz w:val="18"/>
                <w:szCs w:val="18"/>
                <w:lang w:val="en-US" w:eastAsia="mk-MK"/>
              </w:rPr>
              <w:t xml:space="preserve"> SD</w:t>
            </w:r>
          </w:p>
        </w:tc>
        <w:tc>
          <w:tcPr>
            <w:tcW w:w="1559" w:type="dxa"/>
            <w:shd w:val="clear" w:color="auto" w:fill="31849B"/>
            <w:vAlign w:val="center"/>
          </w:tcPr>
          <w:p w:rsidR="000E4D02" w:rsidRPr="000303EB" w:rsidRDefault="000E4D02" w:rsidP="00B007FC">
            <w:pPr>
              <w:autoSpaceDE w:val="0"/>
              <w:autoSpaceDN w:val="0"/>
              <w:adjustRightInd w:val="0"/>
              <w:ind w:left="60" w:right="60"/>
              <w:jc w:val="center"/>
              <w:rPr>
                <w:rFonts w:ascii="Times New Roman" w:hAnsi="Times New Roman" w:cs="Times New Roman"/>
                <w:b/>
                <w:bCs/>
                <w:color w:val="FFFFFF"/>
                <w:sz w:val="18"/>
                <w:szCs w:val="18"/>
                <w:lang w:val="en-US"/>
              </w:rPr>
            </w:pPr>
            <w:r w:rsidRPr="000303EB">
              <w:rPr>
                <w:rFonts w:ascii="Times New Roman" w:hAnsi="Times New Roman" w:cs="Times New Roman"/>
                <w:b/>
                <w:bCs/>
                <w:color w:val="FFFFFF"/>
                <w:sz w:val="18"/>
                <w:szCs w:val="18"/>
                <w:lang w:val="en-US"/>
              </w:rPr>
              <w:t>Median (IQR)</w:t>
            </w:r>
          </w:p>
        </w:tc>
        <w:tc>
          <w:tcPr>
            <w:tcW w:w="2835" w:type="dxa"/>
            <w:vMerge/>
            <w:shd w:val="clear" w:color="auto" w:fill="31849B"/>
          </w:tcPr>
          <w:p w:rsidR="000E4D02" w:rsidRPr="000303EB" w:rsidRDefault="000E4D02" w:rsidP="00B007FC">
            <w:pPr>
              <w:autoSpaceDE w:val="0"/>
              <w:autoSpaceDN w:val="0"/>
              <w:adjustRightInd w:val="0"/>
              <w:ind w:left="60" w:right="60"/>
              <w:jc w:val="center"/>
              <w:rPr>
                <w:rFonts w:ascii="Times New Roman" w:hAnsi="Times New Roman" w:cs="Times New Roman"/>
                <w:b/>
                <w:bCs/>
                <w:color w:val="000000"/>
                <w:sz w:val="18"/>
                <w:szCs w:val="18"/>
                <w:lang w:val="en-US"/>
              </w:rPr>
            </w:pPr>
          </w:p>
        </w:tc>
      </w:tr>
      <w:tr w:rsidR="0030404E" w:rsidRPr="000303EB" w:rsidTr="00B007FC">
        <w:trPr>
          <w:cantSplit/>
          <w:trHeight w:val="279"/>
        </w:trPr>
        <w:tc>
          <w:tcPr>
            <w:tcW w:w="1139" w:type="dxa"/>
            <w:vMerge w:val="restart"/>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Групи</w:t>
            </w: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Испитувана</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62</w:t>
            </w:r>
          </w:p>
        </w:tc>
        <w:tc>
          <w:tcPr>
            <w:tcW w:w="1912" w:type="dxa"/>
            <w:shd w:val="clear" w:color="auto" w:fill="DAEEF3"/>
            <w:vAlign w:val="center"/>
          </w:tcPr>
          <w:p w:rsidR="0030404E" w:rsidRPr="000303EB" w:rsidRDefault="00D2333B" w:rsidP="00B007FC">
            <w:pPr>
              <w:jc w:val="center"/>
              <w:rPr>
                <w:rFonts w:ascii="Times New Roman" w:hAnsi="Times New Roman" w:cs="Times New Roman"/>
                <w:sz w:val="18"/>
                <w:szCs w:val="18"/>
              </w:rPr>
            </w:pPr>
            <w:r>
              <w:rPr>
                <w:rFonts w:ascii="Times New Roman" w:hAnsi="Times New Roman" w:cs="Times New Roman"/>
                <w:sz w:val="18"/>
                <w:szCs w:val="18"/>
              </w:rPr>
              <w:t>4,</w:t>
            </w:r>
            <w:r w:rsidR="00FE12A8">
              <w:rPr>
                <w:rFonts w:ascii="Times New Roman" w:hAnsi="Times New Roman" w:cs="Times New Roman"/>
                <w:sz w:val="18"/>
                <w:szCs w:val="18"/>
              </w:rPr>
              <w:t>81±0,18</w:t>
            </w:r>
          </w:p>
        </w:tc>
        <w:tc>
          <w:tcPr>
            <w:tcW w:w="1559" w:type="dxa"/>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val="restart"/>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Z=</w:t>
            </w:r>
            <w:r w:rsidR="0030404E" w:rsidRPr="000303EB">
              <w:rPr>
                <w:rFonts w:ascii="Times New Roman" w:hAnsi="Times New Roman" w:cs="Times New Roman"/>
                <w:color w:val="000000"/>
                <w:sz w:val="18"/>
                <w:szCs w:val="18"/>
              </w:rPr>
              <w:t>0,2</w:t>
            </w:r>
            <w:r>
              <w:rPr>
                <w:rFonts w:ascii="Times New Roman" w:hAnsi="Times New Roman" w:cs="Times New Roman"/>
                <w:color w:val="000000"/>
                <w:sz w:val="18"/>
                <w:szCs w:val="18"/>
              </w:rPr>
              <w:t>28</w:t>
            </w:r>
            <w:r w:rsidR="0030404E" w:rsidRPr="000303EB">
              <w:rPr>
                <w:rFonts w:ascii="Times New Roman" w:hAnsi="Times New Roman" w:cs="Times New Roman"/>
                <w:color w:val="000000"/>
                <w:sz w:val="18"/>
                <w:szCs w:val="18"/>
              </w:rPr>
              <w:t>; p=0,</w:t>
            </w:r>
            <w:r>
              <w:rPr>
                <w:rFonts w:ascii="Times New Roman" w:hAnsi="Times New Roman" w:cs="Times New Roman"/>
                <w:color w:val="000000"/>
                <w:sz w:val="18"/>
                <w:szCs w:val="18"/>
              </w:rPr>
              <w:t>8193</w:t>
            </w: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w:t>
            </w:r>
            <w:r w:rsidRPr="000303EB">
              <w:rPr>
                <w:rFonts w:ascii="Times New Roman" w:hAnsi="Times New Roman" w:cs="Times New Roman"/>
                <w:b/>
                <w:color w:val="FFFFFF"/>
                <w:sz w:val="18"/>
                <w:szCs w:val="18"/>
                <w:lang w:val="en-US" w:eastAsia="mk-MK"/>
              </w:rPr>
              <w:t xml:space="preserve"> </w:t>
            </w:r>
            <w:r w:rsidRPr="000303EB">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58</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4,73±0,56</w:t>
            </w:r>
          </w:p>
        </w:tc>
        <w:tc>
          <w:tcPr>
            <w:tcW w:w="1559" w:type="dxa"/>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65"/>
        </w:trPr>
        <w:tc>
          <w:tcPr>
            <w:tcW w:w="1139" w:type="dxa"/>
            <w:vMerge/>
            <w:shd w:val="clear" w:color="auto" w:fill="31849B"/>
            <w:vAlign w:val="center"/>
          </w:tcPr>
          <w:p w:rsidR="0030404E" w:rsidRPr="000303EB" w:rsidRDefault="0030404E" w:rsidP="00B007FC">
            <w:pPr>
              <w:autoSpaceDE w:val="0"/>
              <w:autoSpaceDN w:val="0"/>
              <w:adjustRightInd w:val="0"/>
              <w:ind w:left="62" w:right="62"/>
              <w:rPr>
                <w:rFonts w:ascii="Times New Roman" w:hAnsi="Times New Roman" w:cs="Times New Roman"/>
                <w:b/>
                <w:bCs/>
                <w:color w:val="FFFFFF"/>
                <w:sz w:val="18"/>
                <w:szCs w:val="18"/>
              </w:rPr>
            </w:pPr>
          </w:p>
        </w:tc>
        <w:tc>
          <w:tcPr>
            <w:tcW w:w="1276" w:type="dxa"/>
            <w:shd w:val="clear" w:color="auto" w:fill="31849B"/>
            <w:vAlign w:val="center"/>
          </w:tcPr>
          <w:p w:rsidR="0030404E" w:rsidRPr="000303EB" w:rsidRDefault="0030404E" w:rsidP="00B007FC">
            <w:pPr>
              <w:autoSpaceDE w:val="0"/>
              <w:autoSpaceDN w:val="0"/>
              <w:adjustRightInd w:val="0"/>
              <w:ind w:left="62" w:right="62"/>
              <w:rPr>
                <w:rFonts w:ascii="Times New Roman" w:hAnsi="Times New Roman" w:cs="Times New Roman"/>
                <w:b/>
                <w:bCs/>
                <w:color w:val="FFFFFF"/>
                <w:sz w:val="18"/>
                <w:szCs w:val="18"/>
              </w:rPr>
            </w:pPr>
            <w:r w:rsidRPr="000303EB">
              <w:rPr>
                <w:rFonts w:ascii="Times New Roman" w:hAnsi="Times New Roman" w:cs="Times New Roman"/>
                <w:b/>
                <w:bCs/>
                <w:color w:val="FFFFFF"/>
                <w:sz w:val="18"/>
                <w:szCs w:val="18"/>
              </w:rPr>
              <w:t>Вкупно</w:t>
            </w:r>
          </w:p>
        </w:tc>
        <w:tc>
          <w:tcPr>
            <w:tcW w:w="640" w:type="dxa"/>
            <w:shd w:val="clear" w:color="auto" w:fill="31849B"/>
            <w:vAlign w:val="center"/>
          </w:tcPr>
          <w:p w:rsidR="0030404E" w:rsidRPr="000303EB" w:rsidRDefault="0030404E"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120</w:t>
            </w:r>
          </w:p>
        </w:tc>
        <w:tc>
          <w:tcPr>
            <w:tcW w:w="1912" w:type="dxa"/>
            <w:shd w:val="clear" w:color="auto" w:fill="31849B"/>
            <w:vAlign w:val="center"/>
          </w:tcPr>
          <w:p w:rsidR="0030404E" w:rsidRPr="00FE12A8" w:rsidRDefault="00FE12A8" w:rsidP="00B007FC">
            <w:pPr>
              <w:jc w:val="center"/>
              <w:rPr>
                <w:rFonts w:ascii="Times New Roman" w:hAnsi="Times New Roman" w:cs="Times New Roman"/>
                <w:color w:val="FFFFFF"/>
                <w:sz w:val="18"/>
                <w:szCs w:val="18"/>
              </w:rPr>
            </w:pPr>
            <w:r w:rsidRPr="00FE12A8">
              <w:rPr>
                <w:rFonts w:ascii="Times New Roman" w:hAnsi="Times New Roman" w:cs="Times New Roman"/>
                <w:color w:val="FFFFFF"/>
                <w:sz w:val="18"/>
                <w:szCs w:val="18"/>
              </w:rPr>
              <w:t>4,77±0,41</w:t>
            </w:r>
          </w:p>
        </w:tc>
        <w:tc>
          <w:tcPr>
            <w:tcW w:w="1559" w:type="dxa"/>
            <w:shd w:val="clear" w:color="auto" w:fill="31849B"/>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FFFFFF"/>
                <w:sz w:val="18"/>
                <w:szCs w:val="18"/>
              </w:rPr>
            </w:pPr>
            <w:r>
              <w:rPr>
                <w:rFonts w:ascii="Times New Roman" w:hAnsi="Times New Roman" w:cs="Times New Roman"/>
                <w:bCs/>
                <w:color w:val="FFFFFF"/>
                <w:sz w:val="18"/>
                <w:szCs w:val="18"/>
              </w:rPr>
              <w:t>4,85 (4,68-4,85)</w:t>
            </w:r>
          </w:p>
        </w:tc>
        <w:tc>
          <w:tcPr>
            <w:tcW w:w="2835" w:type="dxa"/>
            <w:vMerge/>
            <w:shd w:val="clear" w:color="auto" w:fill="F2DBDB"/>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79"/>
        </w:trPr>
        <w:tc>
          <w:tcPr>
            <w:tcW w:w="1139" w:type="dxa"/>
            <w:vMerge w:val="restart"/>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 xml:space="preserve">Видови </w:t>
            </w:r>
          </w:p>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тумор</w:t>
            </w: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Бенигни</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49</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4,81±0,18</w:t>
            </w:r>
          </w:p>
        </w:tc>
        <w:tc>
          <w:tcPr>
            <w:tcW w:w="1559" w:type="dxa"/>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w:t>
            </w:r>
            <w:r>
              <w:rPr>
                <w:rFonts w:ascii="Times New Roman" w:hAnsi="Times New Roman" w:cs="Times New Roman"/>
                <w:sz w:val="18"/>
                <w:szCs w:val="18"/>
              </w:rPr>
              <w:t xml:space="preserve"> (4,68±4,85)</w:t>
            </w:r>
          </w:p>
        </w:tc>
        <w:tc>
          <w:tcPr>
            <w:tcW w:w="2835" w:type="dxa"/>
            <w:vMerge w:val="restart"/>
            <w:shd w:val="clear" w:color="auto" w:fill="DAEEF3"/>
            <w:vAlign w:val="center"/>
          </w:tcPr>
          <w:p w:rsidR="0030404E" w:rsidRPr="000303EB" w:rsidRDefault="0030404E" w:rsidP="00B007FC">
            <w:pPr>
              <w:autoSpaceDE w:val="0"/>
              <w:autoSpaceDN w:val="0"/>
              <w:adjustRightInd w:val="0"/>
              <w:ind w:left="62" w:right="62"/>
              <w:jc w:val="center"/>
              <w:rPr>
                <w:rFonts w:ascii="Times New Roman" w:hAnsi="Times New Roman" w:cs="Times New Roman"/>
                <w:color w:val="000000"/>
                <w:sz w:val="18"/>
                <w:szCs w:val="18"/>
                <w:lang w:val="en-US"/>
              </w:rPr>
            </w:pPr>
            <w:r w:rsidRPr="000303EB">
              <w:rPr>
                <w:rFonts w:ascii="Times New Roman" w:hAnsi="Times New Roman" w:cs="Times New Roman"/>
                <w:color w:val="000000"/>
                <w:sz w:val="18"/>
                <w:szCs w:val="18"/>
              </w:rPr>
              <w:t>Z=</w:t>
            </w:r>
            <w:r w:rsidR="00FE12A8">
              <w:rPr>
                <w:rFonts w:ascii="Times New Roman" w:hAnsi="Times New Roman" w:cs="Times New Roman"/>
                <w:color w:val="000000"/>
                <w:sz w:val="18"/>
                <w:szCs w:val="18"/>
              </w:rPr>
              <w:t>-0,112</w:t>
            </w:r>
            <w:r w:rsidRPr="000303EB">
              <w:rPr>
                <w:rFonts w:ascii="Times New Roman" w:hAnsi="Times New Roman" w:cs="Times New Roman"/>
                <w:color w:val="000000"/>
                <w:sz w:val="18"/>
                <w:szCs w:val="18"/>
              </w:rPr>
              <w:t>; p=0,</w:t>
            </w:r>
            <w:r w:rsidR="00FE12A8">
              <w:rPr>
                <w:rFonts w:ascii="Times New Roman" w:hAnsi="Times New Roman" w:cs="Times New Roman"/>
                <w:color w:val="000000"/>
                <w:sz w:val="18"/>
                <w:szCs w:val="18"/>
              </w:rPr>
              <w:t>9105</w:t>
            </w: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w:t>
            </w:r>
            <w:r w:rsidRPr="000303EB">
              <w:rPr>
                <w:rFonts w:ascii="Times New Roman" w:hAnsi="Times New Roman" w:cs="Times New Roman"/>
                <w:b/>
                <w:color w:val="FFFFFF"/>
                <w:sz w:val="18"/>
                <w:szCs w:val="18"/>
                <w:lang w:val="en-US" w:eastAsia="mk-MK"/>
              </w:rPr>
              <w:t xml:space="preserve"> </w:t>
            </w:r>
            <w:r w:rsidRPr="000303EB">
              <w:rPr>
                <w:rFonts w:ascii="Times New Roman" w:hAnsi="Times New Roman" w:cs="Times New Roman"/>
                <w:b/>
                <w:color w:val="FFFFFF"/>
                <w:sz w:val="18"/>
                <w:szCs w:val="18"/>
                <w:lang w:eastAsia="mk-MK"/>
              </w:rPr>
              <w:t>Малигни</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13</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4,82±0,15</w:t>
            </w:r>
          </w:p>
        </w:tc>
        <w:tc>
          <w:tcPr>
            <w:tcW w:w="1559" w:type="dxa"/>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bCs/>
                <w:color w:val="FFFFFF"/>
                <w:sz w:val="18"/>
                <w:szCs w:val="18"/>
              </w:rPr>
              <w:t xml:space="preserve">  Вкупно</w:t>
            </w:r>
          </w:p>
        </w:tc>
        <w:tc>
          <w:tcPr>
            <w:tcW w:w="640" w:type="dxa"/>
            <w:shd w:val="clear" w:color="auto" w:fill="31849B"/>
            <w:vAlign w:val="center"/>
          </w:tcPr>
          <w:p w:rsidR="0030404E" w:rsidRPr="000303EB" w:rsidRDefault="0030404E"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62</w:t>
            </w:r>
          </w:p>
        </w:tc>
        <w:tc>
          <w:tcPr>
            <w:tcW w:w="1912" w:type="dxa"/>
            <w:shd w:val="clear" w:color="auto" w:fill="31849B"/>
            <w:vAlign w:val="center"/>
          </w:tcPr>
          <w:p w:rsidR="0030404E" w:rsidRPr="00FE12A8" w:rsidRDefault="00FE12A8" w:rsidP="00B007FC">
            <w:pPr>
              <w:jc w:val="center"/>
              <w:rPr>
                <w:rFonts w:ascii="Times New Roman" w:hAnsi="Times New Roman" w:cs="Times New Roman"/>
                <w:color w:val="FFFFFF"/>
                <w:sz w:val="18"/>
                <w:szCs w:val="18"/>
              </w:rPr>
            </w:pPr>
            <w:r w:rsidRPr="00FE12A8">
              <w:rPr>
                <w:rFonts w:ascii="Times New Roman" w:hAnsi="Times New Roman" w:cs="Times New Roman"/>
                <w:color w:val="FFFFFF"/>
                <w:sz w:val="18"/>
                <w:szCs w:val="18"/>
              </w:rPr>
              <w:t>4,81±0,18</w:t>
            </w:r>
          </w:p>
        </w:tc>
        <w:tc>
          <w:tcPr>
            <w:tcW w:w="1559" w:type="dxa"/>
            <w:shd w:val="clear" w:color="auto" w:fill="31849B"/>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FFFFFF"/>
                <w:sz w:val="18"/>
                <w:szCs w:val="18"/>
              </w:rPr>
            </w:pPr>
            <w:r>
              <w:rPr>
                <w:rFonts w:ascii="Times New Roman" w:hAnsi="Times New Roman" w:cs="Times New Roman"/>
                <w:bCs/>
                <w:color w:val="FFFFFF"/>
                <w:sz w:val="18"/>
                <w:szCs w:val="18"/>
              </w:rPr>
              <w:t>4,85 (4,68-4,85)</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79"/>
        </w:trPr>
        <w:tc>
          <w:tcPr>
            <w:tcW w:w="1139" w:type="dxa"/>
            <w:vMerge w:val="restart"/>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Бенигни</w:t>
            </w:r>
          </w:p>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тумори</w:t>
            </w: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val="en-US" w:eastAsia="mk-MK"/>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WT</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27</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4,83±0,22</w:t>
            </w:r>
          </w:p>
        </w:tc>
        <w:tc>
          <w:tcPr>
            <w:tcW w:w="1559" w:type="dxa"/>
            <w:shd w:val="clear" w:color="auto" w:fill="DAEEF3"/>
            <w:vAlign w:val="center"/>
          </w:tcPr>
          <w:p w:rsidR="0030404E"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BD3EDB">
              <w:rPr>
                <w:rFonts w:ascii="Times New Roman" w:hAnsi="Times New Roman" w:cs="Times New Roman"/>
                <w:bCs/>
                <w:color w:val="000000"/>
                <w:sz w:val="18"/>
                <w:szCs w:val="18"/>
              </w:rPr>
              <w:t>85 (4,68-5,01)</w:t>
            </w:r>
          </w:p>
        </w:tc>
        <w:tc>
          <w:tcPr>
            <w:tcW w:w="2835" w:type="dxa"/>
            <w:vMerge w:val="restart"/>
            <w:shd w:val="clear" w:color="auto" w:fill="DAEEF3"/>
            <w:vAlign w:val="center"/>
          </w:tcPr>
          <w:p w:rsidR="0030404E" w:rsidRPr="00A56125" w:rsidRDefault="0030404E" w:rsidP="00B007FC">
            <w:pPr>
              <w:autoSpaceDE w:val="0"/>
              <w:autoSpaceDN w:val="0"/>
              <w:adjustRightInd w:val="0"/>
              <w:ind w:left="62" w:right="62"/>
              <w:jc w:val="center"/>
              <w:rPr>
                <w:rFonts w:ascii="Times New Roman" w:hAnsi="Times New Roman" w:cs="Times New Roman"/>
                <w:color w:val="000000"/>
                <w:sz w:val="18"/>
                <w:szCs w:val="18"/>
                <w:lang w:val="en-US"/>
              </w:rPr>
            </w:pPr>
            <w:r w:rsidRPr="00A56125">
              <w:rPr>
                <w:rFonts w:ascii="Times New Roman" w:hAnsi="Times New Roman" w:cs="Times New Roman"/>
                <w:color w:val="000000"/>
                <w:sz w:val="18"/>
                <w:szCs w:val="18"/>
              </w:rPr>
              <w:t>X</w:t>
            </w:r>
            <w:r w:rsidRPr="00A56125">
              <w:rPr>
                <w:rFonts w:ascii="Times New Roman" w:hAnsi="Times New Roman" w:cs="Times New Roman"/>
                <w:color w:val="000000"/>
                <w:sz w:val="18"/>
                <w:szCs w:val="18"/>
                <w:vertAlign w:val="superscript"/>
              </w:rPr>
              <w:t>2</w:t>
            </w:r>
            <w:r w:rsidRPr="00A56125">
              <w:rPr>
                <w:rFonts w:ascii="Times New Roman" w:hAnsi="Times New Roman" w:cs="Times New Roman"/>
                <w:color w:val="000000"/>
                <w:sz w:val="18"/>
                <w:szCs w:val="18"/>
                <w:vertAlign w:val="subscript"/>
              </w:rPr>
              <w:t>(2)</w:t>
            </w:r>
            <w:r w:rsidRPr="00A56125">
              <w:rPr>
                <w:rFonts w:ascii="Times New Roman" w:hAnsi="Times New Roman" w:cs="Times New Roman"/>
                <w:color w:val="000000"/>
                <w:sz w:val="18"/>
                <w:szCs w:val="18"/>
              </w:rPr>
              <w:t>=</w:t>
            </w:r>
            <w:r w:rsidR="00A56125" w:rsidRPr="00A56125">
              <w:rPr>
                <w:rFonts w:ascii="Times New Roman" w:hAnsi="Times New Roman" w:cs="Times New Roman"/>
                <w:color w:val="000000"/>
                <w:sz w:val="18"/>
                <w:szCs w:val="18"/>
                <w:lang w:val="en-US"/>
              </w:rPr>
              <w:t>4,233</w:t>
            </w:r>
            <w:r w:rsidRPr="00A56125">
              <w:rPr>
                <w:rFonts w:ascii="Times New Roman" w:hAnsi="Times New Roman" w:cs="Times New Roman"/>
                <w:color w:val="000000"/>
                <w:sz w:val="18"/>
                <w:szCs w:val="18"/>
              </w:rPr>
              <w:t>; p=0,</w:t>
            </w:r>
            <w:r w:rsidR="00A56125" w:rsidRPr="00A56125">
              <w:rPr>
                <w:rFonts w:ascii="Times New Roman" w:hAnsi="Times New Roman" w:cs="Times New Roman"/>
                <w:color w:val="000000"/>
                <w:sz w:val="18"/>
                <w:szCs w:val="18"/>
                <w:lang w:val="en-US"/>
              </w:rPr>
              <w:t>1204</w:t>
            </w: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BA</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2</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4,68±0,24</w:t>
            </w:r>
          </w:p>
        </w:tc>
        <w:tc>
          <w:tcPr>
            <w:tcW w:w="1559" w:type="dxa"/>
            <w:shd w:val="clear" w:color="auto" w:fill="DAEEF3"/>
            <w:vAlign w:val="center"/>
          </w:tcPr>
          <w:p w:rsidR="0030404E" w:rsidRPr="000303EB" w:rsidRDefault="00BD3EDB"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4,68 (4,51-4,85)</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73"/>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val="en-US"/>
              </w:rPr>
            </w:pPr>
            <w:r w:rsidRPr="000303EB">
              <w:rPr>
                <w:rFonts w:ascii="Times New Roman" w:hAnsi="Times New Roman" w:cs="Times New Roman"/>
                <w:b/>
                <w:color w:val="FFFFFF"/>
                <w:sz w:val="18"/>
                <w:szCs w:val="18"/>
                <w:lang w:val="en-US"/>
              </w:rPr>
              <w:t xml:space="preserve">  Pa</w:t>
            </w:r>
          </w:p>
        </w:tc>
        <w:tc>
          <w:tcPr>
            <w:tcW w:w="640" w:type="dxa"/>
            <w:shd w:val="clear" w:color="auto" w:fill="DAEEF3"/>
            <w:vAlign w:val="center"/>
          </w:tcPr>
          <w:p w:rsidR="0030404E" w:rsidRPr="000303EB" w:rsidRDefault="0030404E" w:rsidP="00B007FC">
            <w:pPr>
              <w:jc w:val="center"/>
              <w:rPr>
                <w:rFonts w:ascii="Times New Roman" w:hAnsi="Times New Roman" w:cs="Times New Roman"/>
                <w:sz w:val="18"/>
                <w:szCs w:val="18"/>
              </w:rPr>
            </w:pPr>
            <w:r w:rsidRPr="000303EB">
              <w:rPr>
                <w:rFonts w:ascii="Times New Roman" w:hAnsi="Times New Roman" w:cs="Times New Roman"/>
                <w:sz w:val="18"/>
                <w:szCs w:val="18"/>
              </w:rPr>
              <w:t>20</w:t>
            </w:r>
          </w:p>
        </w:tc>
        <w:tc>
          <w:tcPr>
            <w:tcW w:w="1912" w:type="dxa"/>
            <w:shd w:val="clear" w:color="auto" w:fill="DAEEF3"/>
            <w:vAlign w:val="center"/>
          </w:tcPr>
          <w:p w:rsidR="0030404E" w:rsidRPr="000303EB" w:rsidRDefault="00FE12A8" w:rsidP="00B007FC">
            <w:pPr>
              <w:jc w:val="center"/>
              <w:rPr>
                <w:rFonts w:ascii="Times New Roman" w:hAnsi="Times New Roman" w:cs="Times New Roman"/>
                <w:sz w:val="18"/>
                <w:szCs w:val="18"/>
              </w:rPr>
            </w:pPr>
            <w:r>
              <w:rPr>
                <w:rFonts w:ascii="Times New Roman" w:hAnsi="Times New Roman" w:cs="Times New Roman"/>
                <w:sz w:val="18"/>
                <w:szCs w:val="18"/>
              </w:rPr>
              <w:t>4,78±0,12</w:t>
            </w:r>
          </w:p>
        </w:tc>
        <w:tc>
          <w:tcPr>
            <w:tcW w:w="1559" w:type="dxa"/>
            <w:shd w:val="clear" w:color="auto" w:fill="DAEEF3"/>
            <w:vAlign w:val="center"/>
          </w:tcPr>
          <w:p w:rsidR="0030404E" w:rsidRPr="000303EB" w:rsidRDefault="00BD3EDB"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4,80 (4,68-4,85)</w:t>
            </w:r>
          </w:p>
        </w:tc>
        <w:tc>
          <w:tcPr>
            <w:tcW w:w="2835" w:type="dxa"/>
            <w:vMerge/>
            <w:shd w:val="clear" w:color="auto" w:fill="F2DBDB"/>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FE12A8" w:rsidRPr="000303EB" w:rsidTr="00B007FC">
        <w:trPr>
          <w:cantSplit/>
          <w:trHeight w:val="273"/>
        </w:trPr>
        <w:tc>
          <w:tcPr>
            <w:tcW w:w="1139" w:type="dxa"/>
            <w:vMerge/>
            <w:shd w:val="clear" w:color="auto" w:fill="31849B"/>
            <w:vAlign w:val="center"/>
          </w:tcPr>
          <w:p w:rsidR="00FE12A8" w:rsidRPr="000303EB" w:rsidRDefault="00FE12A8"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FE12A8" w:rsidRPr="000303EB" w:rsidRDefault="00FE12A8" w:rsidP="00B007FC">
            <w:pPr>
              <w:rPr>
                <w:rFonts w:ascii="Times New Roman" w:hAnsi="Times New Roman" w:cs="Times New Roman"/>
                <w:b/>
                <w:color w:val="FFFFFF"/>
                <w:sz w:val="18"/>
                <w:szCs w:val="18"/>
                <w:lang w:val="en-US"/>
              </w:rPr>
            </w:pPr>
            <w:r w:rsidRPr="000303EB">
              <w:rPr>
                <w:rFonts w:ascii="Times New Roman" w:hAnsi="Times New Roman" w:cs="Times New Roman"/>
                <w:b/>
                <w:bCs/>
                <w:color w:val="FFFFFF"/>
                <w:sz w:val="18"/>
                <w:szCs w:val="18"/>
              </w:rPr>
              <w:t xml:space="preserve">  Вкупно</w:t>
            </w:r>
          </w:p>
        </w:tc>
        <w:tc>
          <w:tcPr>
            <w:tcW w:w="640" w:type="dxa"/>
            <w:shd w:val="clear" w:color="auto" w:fill="31849B"/>
            <w:vAlign w:val="center"/>
          </w:tcPr>
          <w:p w:rsidR="00FE12A8" w:rsidRPr="000303EB" w:rsidRDefault="00FE12A8"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49</w:t>
            </w:r>
          </w:p>
        </w:tc>
        <w:tc>
          <w:tcPr>
            <w:tcW w:w="1912" w:type="dxa"/>
            <w:shd w:val="clear" w:color="auto" w:fill="31849B"/>
            <w:vAlign w:val="center"/>
          </w:tcPr>
          <w:p w:rsidR="00FE12A8" w:rsidRPr="00FE12A8" w:rsidRDefault="00FE12A8" w:rsidP="00B007FC">
            <w:pPr>
              <w:jc w:val="center"/>
              <w:rPr>
                <w:rFonts w:ascii="Times New Roman" w:hAnsi="Times New Roman" w:cs="Times New Roman"/>
                <w:color w:val="FFFFFF"/>
                <w:sz w:val="18"/>
                <w:szCs w:val="18"/>
              </w:rPr>
            </w:pPr>
            <w:r w:rsidRPr="00FE12A8">
              <w:rPr>
                <w:rFonts w:ascii="Times New Roman" w:hAnsi="Times New Roman" w:cs="Times New Roman"/>
                <w:color w:val="FFFFFF"/>
                <w:sz w:val="18"/>
                <w:szCs w:val="18"/>
              </w:rPr>
              <w:t>4,81±0,18</w:t>
            </w:r>
          </w:p>
        </w:tc>
        <w:tc>
          <w:tcPr>
            <w:tcW w:w="1559" w:type="dxa"/>
            <w:shd w:val="clear" w:color="auto" w:fill="31849B"/>
            <w:vAlign w:val="center"/>
          </w:tcPr>
          <w:p w:rsidR="00FE12A8" w:rsidRPr="00FE12A8" w:rsidRDefault="00FE12A8" w:rsidP="00B007FC">
            <w:pPr>
              <w:autoSpaceDE w:val="0"/>
              <w:autoSpaceDN w:val="0"/>
              <w:adjustRightInd w:val="0"/>
              <w:ind w:left="62" w:right="62"/>
              <w:jc w:val="center"/>
              <w:rPr>
                <w:rFonts w:ascii="Times New Roman" w:hAnsi="Times New Roman" w:cs="Times New Roman"/>
                <w:bCs/>
                <w:color w:val="FFFFFF"/>
                <w:sz w:val="18"/>
                <w:szCs w:val="18"/>
              </w:rPr>
            </w:pPr>
            <w:r w:rsidRPr="00FE12A8">
              <w:rPr>
                <w:rFonts w:ascii="Times New Roman" w:hAnsi="Times New Roman" w:cs="Times New Roman"/>
                <w:bCs/>
                <w:color w:val="FFFFFF"/>
                <w:sz w:val="18"/>
                <w:szCs w:val="18"/>
              </w:rPr>
              <w:t>4,85</w:t>
            </w:r>
            <w:r w:rsidRPr="00FE12A8">
              <w:rPr>
                <w:rFonts w:ascii="Times New Roman" w:hAnsi="Times New Roman" w:cs="Times New Roman"/>
                <w:color w:val="FFFFFF"/>
                <w:sz w:val="18"/>
                <w:szCs w:val="18"/>
              </w:rPr>
              <w:t xml:space="preserve"> (4,68±4,85)</w:t>
            </w:r>
          </w:p>
        </w:tc>
        <w:tc>
          <w:tcPr>
            <w:tcW w:w="2835" w:type="dxa"/>
            <w:vMerge/>
            <w:shd w:val="clear" w:color="auto" w:fill="F2DBDB"/>
          </w:tcPr>
          <w:p w:rsidR="00FE12A8" w:rsidRPr="000303EB" w:rsidRDefault="00FE12A8" w:rsidP="00B007FC">
            <w:pPr>
              <w:autoSpaceDE w:val="0"/>
              <w:autoSpaceDN w:val="0"/>
              <w:adjustRightInd w:val="0"/>
              <w:ind w:left="62" w:right="62"/>
              <w:jc w:val="center"/>
              <w:rPr>
                <w:rFonts w:ascii="Times New Roman" w:hAnsi="Times New Roman" w:cs="Times New Roman"/>
                <w:bCs/>
                <w:color w:val="000000"/>
                <w:sz w:val="18"/>
                <w:szCs w:val="18"/>
              </w:rPr>
            </w:pPr>
          </w:p>
        </w:tc>
      </w:tr>
      <w:tr w:rsidR="00864A03" w:rsidRPr="000303EB" w:rsidTr="00B007FC">
        <w:trPr>
          <w:cantSplit/>
          <w:trHeight w:val="279"/>
        </w:trPr>
        <w:tc>
          <w:tcPr>
            <w:tcW w:w="1139" w:type="dxa"/>
            <w:vMerge w:val="restart"/>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Малигни тумори</w:t>
            </w: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val="en-US" w:eastAsia="mk-MK"/>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AC</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4</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4,87±0,10</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(4,81-4,93)</w:t>
            </w:r>
          </w:p>
        </w:tc>
        <w:tc>
          <w:tcPr>
            <w:tcW w:w="2835" w:type="dxa"/>
            <w:vMerge w:val="restart"/>
            <w:shd w:val="clear" w:color="auto" w:fill="DAEEF3"/>
            <w:vAlign w:val="center"/>
          </w:tcPr>
          <w:p w:rsidR="00864A03" w:rsidRPr="00A56125" w:rsidRDefault="00864A03" w:rsidP="00B007FC">
            <w:pPr>
              <w:autoSpaceDE w:val="0"/>
              <w:autoSpaceDN w:val="0"/>
              <w:adjustRightInd w:val="0"/>
              <w:ind w:left="62" w:right="62"/>
              <w:jc w:val="center"/>
              <w:rPr>
                <w:rFonts w:ascii="Times New Roman" w:hAnsi="Times New Roman" w:cs="Times New Roman"/>
                <w:color w:val="000000"/>
                <w:sz w:val="18"/>
                <w:szCs w:val="18"/>
                <w:highlight w:val="yellow"/>
                <w:lang w:val="en-US"/>
              </w:rPr>
            </w:pPr>
            <w:r w:rsidRPr="00A56125">
              <w:rPr>
                <w:rFonts w:ascii="Times New Roman" w:hAnsi="Times New Roman" w:cs="Times New Roman"/>
                <w:color w:val="000000"/>
                <w:sz w:val="18"/>
                <w:szCs w:val="18"/>
              </w:rPr>
              <w:t>X</w:t>
            </w:r>
            <w:r w:rsidRPr="00A56125">
              <w:rPr>
                <w:rFonts w:ascii="Times New Roman" w:hAnsi="Times New Roman" w:cs="Times New Roman"/>
                <w:color w:val="000000"/>
                <w:sz w:val="18"/>
                <w:szCs w:val="18"/>
                <w:vertAlign w:val="superscript"/>
              </w:rPr>
              <w:t>2</w:t>
            </w:r>
            <w:r w:rsidRPr="00A56125">
              <w:rPr>
                <w:rFonts w:ascii="Times New Roman" w:hAnsi="Times New Roman" w:cs="Times New Roman"/>
                <w:color w:val="000000"/>
                <w:sz w:val="18"/>
                <w:szCs w:val="18"/>
                <w:vertAlign w:val="subscript"/>
              </w:rPr>
              <w:t>(5)</w:t>
            </w:r>
            <w:r w:rsidRPr="00A56125">
              <w:rPr>
                <w:rFonts w:ascii="Times New Roman" w:hAnsi="Times New Roman" w:cs="Times New Roman"/>
                <w:color w:val="000000"/>
                <w:sz w:val="18"/>
                <w:szCs w:val="18"/>
              </w:rPr>
              <w:t>=</w:t>
            </w:r>
            <w:r w:rsidR="00A56125" w:rsidRPr="00A56125">
              <w:rPr>
                <w:rFonts w:ascii="Times New Roman" w:hAnsi="Times New Roman" w:cs="Times New Roman"/>
                <w:color w:val="000000"/>
                <w:sz w:val="18"/>
                <w:szCs w:val="18"/>
                <w:lang w:val="en-US"/>
              </w:rPr>
              <w:t>7,671</w:t>
            </w:r>
            <w:r w:rsidRPr="00A56125">
              <w:rPr>
                <w:rFonts w:ascii="Times New Roman" w:hAnsi="Times New Roman" w:cs="Times New Roman"/>
                <w:color w:val="000000"/>
                <w:sz w:val="18"/>
                <w:szCs w:val="18"/>
              </w:rPr>
              <w:t>; p=0,</w:t>
            </w:r>
            <w:r w:rsidR="00A56125" w:rsidRPr="00A56125">
              <w:rPr>
                <w:rFonts w:ascii="Times New Roman" w:hAnsi="Times New Roman" w:cs="Times New Roman"/>
                <w:color w:val="000000"/>
                <w:sz w:val="18"/>
                <w:szCs w:val="18"/>
                <w:lang w:val="en-US"/>
              </w:rPr>
              <w:t>1753</w:t>
            </w:r>
          </w:p>
        </w:tc>
      </w:tr>
      <w:tr w:rsidR="00864A03" w:rsidRPr="000303EB" w:rsidTr="00B007FC">
        <w:trPr>
          <w:cantSplit/>
          <w:trHeight w:val="269"/>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PC</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4</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4,76±0,11</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4,76 (4,68-4,85</w:t>
            </w:r>
          </w:p>
        </w:tc>
        <w:tc>
          <w:tcPr>
            <w:tcW w:w="2835" w:type="dxa"/>
            <w:vMerge/>
            <w:shd w:val="clear" w:color="auto" w:fill="DAEEF3"/>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73"/>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val="en-US"/>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MEC</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1</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4,76±0,00</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4,76 (4,76-4,76)</w:t>
            </w:r>
          </w:p>
        </w:tc>
        <w:tc>
          <w:tcPr>
            <w:tcW w:w="2835" w:type="dxa"/>
            <w:vMerge/>
            <w:shd w:val="clear" w:color="auto" w:fill="F2DBDB"/>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77"/>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val="en-US"/>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CEA</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2</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4,68±0,00</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4,68 (4,68-4,68)</w:t>
            </w:r>
          </w:p>
        </w:tc>
        <w:tc>
          <w:tcPr>
            <w:tcW w:w="2835" w:type="dxa"/>
            <w:vMerge/>
            <w:shd w:val="clear" w:color="auto" w:fill="F2DBDB"/>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81"/>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val="en-US"/>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Ly</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1</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4,85±0,00</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(4,85-4,85)</w:t>
            </w:r>
          </w:p>
        </w:tc>
        <w:tc>
          <w:tcPr>
            <w:tcW w:w="2835" w:type="dxa"/>
            <w:vMerge/>
            <w:shd w:val="clear" w:color="auto" w:fill="F2DBDB"/>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57"/>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val="en-US"/>
              </w:rPr>
            </w:pPr>
            <w:r w:rsidRPr="000303EB">
              <w:rPr>
                <w:rFonts w:ascii="Times New Roman" w:hAnsi="Times New Roman" w:cs="Times New Roman"/>
                <w:b/>
                <w:color w:val="FFFFFF"/>
                <w:sz w:val="18"/>
                <w:szCs w:val="18"/>
              </w:rPr>
              <w:t xml:space="preserve">  </w:t>
            </w:r>
            <w:r w:rsidRPr="000303EB">
              <w:rPr>
                <w:rFonts w:ascii="Times New Roman" w:hAnsi="Times New Roman" w:cs="Times New Roman"/>
                <w:b/>
                <w:color w:val="FFFFFF"/>
                <w:sz w:val="18"/>
                <w:szCs w:val="18"/>
                <w:lang w:val="en-US"/>
              </w:rPr>
              <w:t>ACC</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1</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5.18±0,00</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5,18 (5,18-5,18)</w:t>
            </w:r>
          </w:p>
        </w:tc>
        <w:tc>
          <w:tcPr>
            <w:tcW w:w="2835" w:type="dxa"/>
            <w:vMerge/>
            <w:shd w:val="clear" w:color="auto" w:fill="F2DBDB"/>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57"/>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rPr>
            </w:pPr>
            <w:r w:rsidRPr="000303EB">
              <w:rPr>
                <w:rFonts w:ascii="Times New Roman" w:hAnsi="Times New Roman" w:cs="Times New Roman"/>
                <w:b/>
                <w:bCs/>
                <w:color w:val="FFFFFF"/>
                <w:sz w:val="18"/>
                <w:szCs w:val="18"/>
              </w:rPr>
              <w:t xml:space="preserve">  Вкупно</w:t>
            </w:r>
          </w:p>
        </w:tc>
        <w:tc>
          <w:tcPr>
            <w:tcW w:w="640" w:type="dxa"/>
            <w:shd w:val="clear" w:color="auto" w:fill="31849B"/>
            <w:vAlign w:val="center"/>
          </w:tcPr>
          <w:p w:rsidR="00864A03" w:rsidRPr="000303EB" w:rsidRDefault="00864A03"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13</w:t>
            </w:r>
          </w:p>
        </w:tc>
        <w:tc>
          <w:tcPr>
            <w:tcW w:w="1912" w:type="dxa"/>
            <w:shd w:val="clear" w:color="auto" w:fill="31849B"/>
            <w:vAlign w:val="center"/>
          </w:tcPr>
          <w:p w:rsidR="00864A03" w:rsidRPr="00FE12A8" w:rsidRDefault="00864A03" w:rsidP="00B007FC">
            <w:pPr>
              <w:jc w:val="center"/>
              <w:rPr>
                <w:rFonts w:ascii="Times New Roman" w:hAnsi="Times New Roman" w:cs="Times New Roman"/>
                <w:color w:val="FFFFFF"/>
                <w:sz w:val="18"/>
                <w:szCs w:val="18"/>
              </w:rPr>
            </w:pPr>
            <w:r w:rsidRPr="00FE12A8">
              <w:rPr>
                <w:rFonts w:ascii="Times New Roman" w:hAnsi="Times New Roman" w:cs="Times New Roman"/>
                <w:color w:val="FFFFFF"/>
                <w:sz w:val="18"/>
                <w:szCs w:val="18"/>
              </w:rPr>
              <w:t>4,82±0,15</w:t>
            </w:r>
          </w:p>
        </w:tc>
        <w:tc>
          <w:tcPr>
            <w:tcW w:w="1559" w:type="dxa"/>
            <w:shd w:val="clear" w:color="auto" w:fill="31849B"/>
            <w:vAlign w:val="center"/>
          </w:tcPr>
          <w:p w:rsidR="00864A03" w:rsidRPr="00FE12A8" w:rsidRDefault="00864A03" w:rsidP="00B007FC">
            <w:pPr>
              <w:autoSpaceDE w:val="0"/>
              <w:autoSpaceDN w:val="0"/>
              <w:adjustRightInd w:val="0"/>
              <w:ind w:left="62" w:right="62"/>
              <w:jc w:val="center"/>
              <w:rPr>
                <w:rFonts w:ascii="Times New Roman" w:hAnsi="Times New Roman" w:cs="Times New Roman"/>
                <w:bCs/>
                <w:color w:val="FFFFFF"/>
                <w:sz w:val="18"/>
                <w:szCs w:val="18"/>
              </w:rPr>
            </w:pPr>
            <w:r w:rsidRPr="00FE12A8">
              <w:rPr>
                <w:rFonts w:ascii="Times New Roman" w:hAnsi="Times New Roman" w:cs="Times New Roman"/>
                <w:bCs/>
                <w:color w:val="FFFFFF"/>
                <w:sz w:val="18"/>
                <w:szCs w:val="18"/>
              </w:rPr>
              <w:t>4,85 (4,68-4,85)</w:t>
            </w:r>
          </w:p>
        </w:tc>
        <w:tc>
          <w:tcPr>
            <w:tcW w:w="2835" w:type="dxa"/>
            <w:vMerge/>
            <w:shd w:val="clear" w:color="auto" w:fill="F2DBDB"/>
          </w:tcPr>
          <w:p w:rsidR="00864A03" w:rsidRPr="00864A03" w:rsidRDefault="00864A03" w:rsidP="00B007FC">
            <w:pPr>
              <w:autoSpaceDE w:val="0"/>
              <w:autoSpaceDN w:val="0"/>
              <w:adjustRightInd w:val="0"/>
              <w:ind w:left="62" w:right="62"/>
              <w:jc w:val="center"/>
              <w:rPr>
                <w:rFonts w:ascii="Times New Roman" w:hAnsi="Times New Roman" w:cs="Times New Roman"/>
                <w:bCs/>
                <w:color w:val="000000"/>
                <w:sz w:val="18"/>
                <w:szCs w:val="18"/>
                <w:highlight w:val="yellow"/>
              </w:rPr>
            </w:pPr>
          </w:p>
        </w:tc>
      </w:tr>
      <w:tr w:rsidR="00864A03" w:rsidRPr="000303EB" w:rsidTr="00B007FC">
        <w:trPr>
          <w:cantSplit/>
          <w:trHeight w:val="279"/>
        </w:trPr>
        <w:tc>
          <w:tcPr>
            <w:tcW w:w="1139" w:type="dxa"/>
            <w:vMerge w:val="restart"/>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Група/</w:t>
            </w:r>
          </w:p>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подгрупа</w:t>
            </w: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w:t>
            </w:r>
            <w:r w:rsidRPr="000303EB">
              <w:rPr>
                <w:rFonts w:ascii="Times New Roman" w:hAnsi="Times New Roman" w:cs="Times New Roman"/>
                <w:b/>
                <w:color w:val="FFFFFF"/>
                <w:sz w:val="18"/>
                <w:szCs w:val="18"/>
                <w:lang w:val="en-US" w:eastAsia="mk-MK"/>
              </w:rPr>
              <w:t xml:space="preserve"> </w:t>
            </w:r>
            <w:r w:rsidRPr="000303EB">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58</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4,73±0,56</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val="restart"/>
            <w:shd w:val="clear" w:color="auto" w:fill="DAEEF3"/>
            <w:vAlign w:val="center"/>
          </w:tcPr>
          <w:p w:rsidR="00864A03" w:rsidRPr="00864A03" w:rsidRDefault="00864A03" w:rsidP="00B007FC">
            <w:pPr>
              <w:autoSpaceDE w:val="0"/>
              <w:autoSpaceDN w:val="0"/>
              <w:adjustRightInd w:val="0"/>
              <w:ind w:left="62" w:right="62"/>
              <w:jc w:val="center"/>
              <w:rPr>
                <w:rFonts w:ascii="Times New Roman" w:hAnsi="Times New Roman" w:cs="Times New Roman"/>
                <w:color w:val="000000"/>
                <w:sz w:val="18"/>
                <w:szCs w:val="18"/>
                <w:highlight w:val="yellow"/>
                <w:lang w:val="en-US"/>
              </w:rPr>
            </w:pPr>
            <w:r w:rsidRPr="00525C5D">
              <w:rPr>
                <w:rFonts w:ascii="Times New Roman" w:hAnsi="Times New Roman" w:cs="Times New Roman"/>
                <w:color w:val="000000"/>
                <w:sz w:val="18"/>
                <w:szCs w:val="18"/>
              </w:rPr>
              <w:t>Z=</w:t>
            </w:r>
            <w:r w:rsidR="00525C5D" w:rsidRPr="00525C5D">
              <w:rPr>
                <w:rFonts w:ascii="Times New Roman" w:hAnsi="Times New Roman" w:cs="Times New Roman"/>
                <w:color w:val="000000"/>
                <w:sz w:val="18"/>
                <w:szCs w:val="18"/>
              </w:rPr>
              <w:t>-</w:t>
            </w:r>
            <w:r w:rsidRPr="00525C5D">
              <w:rPr>
                <w:rFonts w:ascii="Times New Roman" w:hAnsi="Times New Roman" w:cs="Times New Roman"/>
                <w:color w:val="000000"/>
                <w:sz w:val="18"/>
                <w:szCs w:val="18"/>
              </w:rPr>
              <w:t>0,</w:t>
            </w:r>
            <w:r w:rsidR="00525C5D" w:rsidRPr="00525C5D">
              <w:rPr>
                <w:rFonts w:ascii="Times New Roman" w:hAnsi="Times New Roman" w:cs="Times New Roman"/>
                <w:color w:val="000000"/>
                <w:sz w:val="18"/>
                <w:szCs w:val="18"/>
              </w:rPr>
              <w:t>262</w:t>
            </w:r>
            <w:r w:rsidRPr="00525C5D">
              <w:rPr>
                <w:rFonts w:ascii="Times New Roman" w:hAnsi="Times New Roman" w:cs="Times New Roman"/>
                <w:color w:val="000000"/>
                <w:sz w:val="18"/>
                <w:szCs w:val="18"/>
              </w:rPr>
              <w:t>; p=0,7</w:t>
            </w:r>
            <w:r w:rsidR="00525C5D" w:rsidRPr="00525C5D">
              <w:rPr>
                <w:rFonts w:ascii="Times New Roman" w:hAnsi="Times New Roman" w:cs="Times New Roman"/>
                <w:color w:val="000000"/>
                <w:sz w:val="18"/>
                <w:szCs w:val="18"/>
              </w:rPr>
              <w:t>928</w:t>
            </w:r>
          </w:p>
        </w:tc>
      </w:tr>
      <w:tr w:rsidR="00864A03" w:rsidRPr="000303EB" w:rsidTr="00B007FC">
        <w:trPr>
          <w:cantSplit/>
          <w:trHeight w:val="269"/>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Бенигни</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49</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4,81±0,18</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w:t>
            </w:r>
            <w:r>
              <w:rPr>
                <w:rFonts w:ascii="Times New Roman" w:hAnsi="Times New Roman" w:cs="Times New Roman"/>
                <w:sz w:val="18"/>
                <w:szCs w:val="18"/>
              </w:rPr>
              <w:t xml:space="preserve"> (4,68±4,85)</w:t>
            </w:r>
          </w:p>
        </w:tc>
        <w:tc>
          <w:tcPr>
            <w:tcW w:w="2835" w:type="dxa"/>
            <w:vMerge/>
            <w:shd w:val="clear" w:color="auto" w:fill="DAEEF3"/>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bCs/>
                <w:color w:val="FFFFFF"/>
                <w:sz w:val="18"/>
                <w:szCs w:val="18"/>
              </w:rPr>
              <w:t xml:space="preserve">  Вкупно</w:t>
            </w:r>
          </w:p>
        </w:tc>
        <w:tc>
          <w:tcPr>
            <w:tcW w:w="640" w:type="dxa"/>
            <w:shd w:val="clear" w:color="auto" w:fill="31849B"/>
            <w:vAlign w:val="center"/>
          </w:tcPr>
          <w:p w:rsidR="0030404E" w:rsidRPr="000303EB" w:rsidRDefault="0030404E"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107</w:t>
            </w:r>
          </w:p>
        </w:tc>
        <w:tc>
          <w:tcPr>
            <w:tcW w:w="1912" w:type="dxa"/>
            <w:shd w:val="clear" w:color="auto" w:fill="31849B"/>
            <w:vAlign w:val="center"/>
          </w:tcPr>
          <w:p w:rsidR="0030404E" w:rsidRPr="000303EB" w:rsidRDefault="0030404E"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w:t>
            </w:r>
          </w:p>
        </w:tc>
        <w:tc>
          <w:tcPr>
            <w:tcW w:w="1559" w:type="dxa"/>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Cs/>
                <w:color w:val="FFFFFF"/>
                <w:sz w:val="18"/>
                <w:szCs w:val="18"/>
              </w:rPr>
            </w:pPr>
            <w:r w:rsidRPr="000303EB">
              <w:rPr>
                <w:rFonts w:ascii="Times New Roman" w:hAnsi="Times New Roman" w:cs="Times New Roman"/>
                <w:bCs/>
                <w:color w:val="FFFFFF"/>
                <w:sz w:val="18"/>
                <w:szCs w:val="18"/>
              </w:rPr>
              <w:t>-</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864A03" w:rsidRPr="000303EB" w:rsidTr="00B007FC">
        <w:trPr>
          <w:cantSplit/>
          <w:trHeight w:val="279"/>
        </w:trPr>
        <w:tc>
          <w:tcPr>
            <w:tcW w:w="1139" w:type="dxa"/>
            <w:vMerge w:val="restart"/>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Група/</w:t>
            </w:r>
          </w:p>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r w:rsidRPr="000303EB">
              <w:rPr>
                <w:rFonts w:ascii="Times New Roman" w:hAnsi="Times New Roman" w:cs="Times New Roman"/>
                <w:b/>
                <w:color w:val="FFFFFF"/>
                <w:sz w:val="18"/>
                <w:szCs w:val="18"/>
                <w:lang w:eastAsia="en-GB"/>
              </w:rPr>
              <w:t>подгрупа</w:t>
            </w: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w:t>
            </w:r>
            <w:r w:rsidRPr="000303EB">
              <w:rPr>
                <w:rFonts w:ascii="Times New Roman" w:hAnsi="Times New Roman" w:cs="Times New Roman"/>
                <w:b/>
                <w:color w:val="FFFFFF"/>
                <w:sz w:val="18"/>
                <w:szCs w:val="18"/>
                <w:lang w:val="en-US" w:eastAsia="mk-MK"/>
              </w:rPr>
              <w:t xml:space="preserve"> </w:t>
            </w:r>
            <w:r w:rsidRPr="000303EB">
              <w:rPr>
                <w:rFonts w:ascii="Times New Roman" w:hAnsi="Times New Roman" w:cs="Times New Roman"/>
                <w:b/>
                <w:color w:val="FFFFFF"/>
                <w:sz w:val="18"/>
                <w:szCs w:val="18"/>
                <w:lang w:eastAsia="mk-MK"/>
              </w:rPr>
              <w:t>Контролна</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58</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4,73±0,56</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val="restart"/>
            <w:shd w:val="clear" w:color="auto" w:fill="DAEEF3"/>
            <w:vAlign w:val="center"/>
          </w:tcPr>
          <w:p w:rsidR="00864A03" w:rsidRPr="00A56125" w:rsidRDefault="00864A03" w:rsidP="00B007FC">
            <w:pPr>
              <w:autoSpaceDE w:val="0"/>
              <w:autoSpaceDN w:val="0"/>
              <w:adjustRightInd w:val="0"/>
              <w:ind w:left="62" w:right="62"/>
              <w:jc w:val="center"/>
              <w:rPr>
                <w:rFonts w:ascii="Times New Roman" w:hAnsi="Times New Roman" w:cs="Times New Roman"/>
                <w:color w:val="000000"/>
                <w:sz w:val="18"/>
                <w:szCs w:val="18"/>
                <w:lang w:val="en-US"/>
              </w:rPr>
            </w:pPr>
            <w:r w:rsidRPr="00525C5D">
              <w:rPr>
                <w:rFonts w:ascii="Times New Roman" w:hAnsi="Times New Roman" w:cs="Times New Roman"/>
                <w:color w:val="000000"/>
                <w:sz w:val="18"/>
                <w:szCs w:val="18"/>
              </w:rPr>
              <w:t>Z=</w:t>
            </w:r>
            <w:r w:rsidR="00525C5D" w:rsidRPr="00525C5D">
              <w:rPr>
                <w:rFonts w:ascii="Times New Roman" w:hAnsi="Times New Roman" w:cs="Times New Roman"/>
                <w:color w:val="000000"/>
                <w:sz w:val="18"/>
                <w:szCs w:val="18"/>
              </w:rPr>
              <w:t>-</w:t>
            </w:r>
            <w:r w:rsidRPr="00525C5D">
              <w:rPr>
                <w:rFonts w:ascii="Times New Roman" w:hAnsi="Times New Roman" w:cs="Times New Roman"/>
                <w:color w:val="000000"/>
                <w:sz w:val="18"/>
                <w:szCs w:val="18"/>
              </w:rPr>
              <w:t>0,</w:t>
            </w:r>
            <w:r w:rsidR="00525C5D" w:rsidRPr="00525C5D">
              <w:rPr>
                <w:rFonts w:ascii="Times New Roman" w:hAnsi="Times New Roman" w:cs="Times New Roman"/>
                <w:color w:val="000000"/>
                <w:sz w:val="18"/>
                <w:szCs w:val="18"/>
              </w:rPr>
              <w:t>022</w:t>
            </w:r>
            <w:r w:rsidRPr="00525C5D">
              <w:rPr>
                <w:rFonts w:ascii="Times New Roman" w:hAnsi="Times New Roman" w:cs="Times New Roman"/>
                <w:color w:val="000000"/>
                <w:sz w:val="18"/>
                <w:szCs w:val="18"/>
              </w:rPr>
              <w:t>; p=0,</w:t>
            </w:r>
            <w:r w:rsidR="00525C5D" w:rsidRPr="00525C5D">
              <w:rPr>
                <w:rFonts w:ascii="Times New Roman" w:hAnsi="Times New Roman" w:cs="Times New Roman"/>
                <w:color w:val="000000"/>
                <w:sz w:val="18"/>
                <w:szCs w:val="18"/>
              </w:rPr>
              <w:t>9822</w:t>
            </w:r>
          </w:p>
        </w:tc>
      </w:tr>
      <w:tr w:rsidR="00864A03" w:rsidRPr="000303EB" w:rsidTr="00B007FC">
        <w:trPr>
          <w:cantSplit/>
          <w:trHeight w:val="269"/>
        </w:trPr>
        <w:tc>
          <w:tcPr>
            <w:tcW w:w="1139" w:type="dxa"/>
            <w:vMerge/>
            <w:shd w:val="clear" w:color="auto" w:fill="31849B"/>
            <w:vAlign w:val="center"/>
          </w:tcPr>
          <w:p w:rsidR="00864A03" w:rsidRPr="000303EB" w:rsidRDefault="00864A03"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864A03" w:rsidRPr="000303EB" w:rsidRDefault="00864A03" w:rsidP="00B007FC">
            <w:pPr>
              <w:rPr>
                <w:rFonts w:ascii="Times New Roman" w:hAnsi="Times New Roman" w:cs="Times New Roman"/>
                <w:b/>
                <w:color w:val="FFFFFF"/>
                <w:sz w:val="18"/>
                <w:szCs w:val="18"/>
                <w:lang w:eastAsia="mk-MK"/>
              </w:rPr>
            </w:pPr>
            <w:r w:rsidRPr="000303EB">
              <w:rPr>
                <w:rFonts w:ascii="Times New Roman" w:hAnsi="Times New Roman" w:cs="Times New Roman"/>
                <w:b/>
                <w:color w:val="FFFFFF"/>
                <w:sz w:val="18"/>
                <w:szCs w:val="18"/>
                <w:lang w:eastAsia="mk-MK"/>
              </w:rPr>
              <w:t xml:space="preserve">  Малигни</w:t>
            </w:r>
          </w:p>
        </w:tc>
        <w:tc>
          <w:tcPr>
            <w:tcW w:w="640"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sidRPr="000303EB">
              <w:rPr>
                <w:rFonts w:ascii="Times New Roman" w:hAnsi="Times New Roman" w:cs="Times New Roman"/>
                <w:sz w:val="18"/>
                <w:szCs w:val="18"/>
              </w:rPr>
              <w:t>13</w:t>
            </w:r>
          </w:p>
        </w:tc>
        <w:tc>
          <w:tcPr>
            <w:tcW w:w="1912" w:type="dxa"/>
            <w:shd w:val="clear" w:color="auto" w:fill="DAEEF3"/>
            <w:vAlign w:val="center"/>
          </w:tcPr>
          <w:p w:rsidR="00864A03" w:rsidRPr="000303EB" w:rsidRDefault="00864A03" w:rsidP="00B007FC">
            <w:pPr>
              <w:jc w:val="center"/>
              <w:rPr>
                <w:rFonts w:ascii="Times New Roman" w:hAnsi="Times New Roman" w:cs="Times New Roman"/>
                <w:sz w:val="18"/>
                <w:szCs w:val="18"/>
              </w:rPr>
            </w:pPr>
            <w:r>
              <w:rPr>
                <w:rFonts w:ascii="Times New Roman" w:hAnsi="Times New Roman" w:cs="Times New Roman"/>
                <w:sz w:val="18"/>
                <w:szCs w:val="18"/>
              </w:rPr>
              <w:t>4,82±0,15</w:t>
            </w:r>
          </w:p>
        </w:tc>
        <w:tc>
          <w:tcPr>
            <w:tcW w:w="1559" w:type="dxa"/>
            <w:shd w:val="clear" w:color="auto" w:fill="DAEEF3"/>
            <w:vAlign w:val="center"/>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4,85 (4,68-4,85)</w:t>
            </w:r>
          </w:p>
        </w:tc>
        <w:tc>
          <w:tcPr>
            <w:tcW w:w="2835" w:type="dxa"/>
            <w:vMerge/>
            <w:shd w:val="clear" w:color="auto" w:fill="DAEEF3"/>
          </w:tcPr>
          <w:p w:rsidR="00864A03" w:rsidRPr="000303EB" w:rsidRDefault="00864A03"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0303EB" w:rsidTr="00B007FC">
        <w:trPr>
          <w:cantSplit/>
          <w:trHeight w:val="269"/>
        </w:trPr>
        <w:tc>
          <w:tcPr>
            <w:tcW w:w="1139" w:type="dxa"/>
            <w:vMerge/>
            <w:shd w:val="clear" w:color="auto" w:fill="31849B"/>
            <w:vAlign w:val="center"/>
          </w:tcPr>
          <w:p w:rsidR="0030404E" w:rsidRPr="000303EB" w:rsidRDefault="0030404E" w:rsidP="00B007FC">
            <w:pPr>
              <w:autoSpaceDE w:val="0"/>
              <w:autoSpaceDN w:val="0"/>
              <w:adjustRightInd w:val="0"/>
              <w:ind w:left="62" w:right="62"/>
              <w:jc w:val="center"/>
              <w:rPr>
                <w:rFonts w:ascii="Times New Roman" w:hAnsi="Times New Roman" w:cs="Times New Roman"/>
                <w:b/>
                <w:color w:val="FFFFFF"/>
                <w:sz w:val="18"/>
                <w:szCs w:val="18"/>
                <w:lang w:eastAsia="en-GB"/>
              </w:rPr>
            </w:pPr>
          </w:p>
        </w:tc>
        <w:tc>
          <w:tcPr>
            <w:tcW w:w="1276" w:type="dxa"/>
            <w:shd w:val="clear" w:color="auto" w:fill="31849B"/>
            <w:vAlign w:val="center"/>
          </w:tcPr>
          <w:p w:rsidR="0030404E" w:rsidRPr="000303EB" w:rsidRDefault="0030404E" w:rsidP="00B007FC">
            <w:pPr>
              <w:rPr>
                <w:rFonts w:ascii="Times New Roman" w:hAnsi="Times New Roman" w:cs="Times New Roman"/>
                <w:b/>
                <w:color w:val="FFFFFF"/>
                <w:sz w:val="18"/>
                <w:szCs w:val="18"/>
                <w:lang w:eastAsia="mk-MK"/>
              </w:rPr>
            </w:pPr>
            <w:r w:rsidRPr="000303EB">
              <w:rPr>
                <w:rFonts w:ascii="Times New Roman" w:hAnsi="Times New Roman" w:cs="Times New Roman"/>
                <w:b/>
                <w:bCs/>
                <w:color w:val="FFFFFF"/>
                <w:sz w:val="18"/>
                <w:szCs w:val="18"/>
              </w:rPr>
              <w:t xml:space="preserve">  Вкупно</w:t>
            </w:r>
          </w:p>
        </w:tc>
        <w:tc>
          <w:tcPr>
            <w:tcW w:w="640" w:type="dxa"/>
            <w:shd w:val="clear" w:color="auto" w:fill="31849B"/>
            <w:vAlign w:val="center"/>
          </w:tcPr>
          <w:p w:rsidR="0030404E" w:rsidRPr="000303EB" w:rsidRDefault="0030404E" w:rsidP="00B007FC">
            <w:pPr>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rPr>
              <w:t>71</w:t>
            </w:r>
          </w:p>
        </w:tc>
        <w:tc>
          <w:tcPr>
            <w:tcW w:w="1912" w:type="dxa"/>
            <w:shd w:val="clear" w:color="auto" w:fill="31849B"/>
            <w:vAlign w:val="center"/>
          </w:tcPr>
          <w:p w:rsidR="0030404E" w:rsidRPr="000303EB" w:rsidRDefault="00864A03" w:rsidP="00B007FC">
            <w:pPr>
              <w:jc w:val="center"/>
              <w:rPr>
                <w:rFonts w:ascii="Times New Roman" w:hAnsi="Times New Roman" w:cs="Times New Roman"/>
                <w:color w:val="FFFFFF"/>
                <w:sz w:val="18"/>
                <w:szCs w:val="18"/>
              </w:rPr>
            </w:pPr>
            <w:r>
              <w:rPr>
                <w:rFonts w:ascii="Times New Roman" w:hAnsi="Times New Roman" w:cs="Times New Roman"/>
                <w:color w:val="FFFFFF"/>
                <w:sz w:val="18"/>
                <w:szCs w:val="18"/>
              </w:rPr>
              <w:t>-</w:t>
            </w:r>
          </w:p>
        </w:tc>
        <w:tc>
          <w:tcPr>
            <w:tcW w:w="1559" w:type="dxa"/>
            <w:shd w:val="clear" w:color="auto" w:fill="31849B"/>
            <w:vAlign w:val="center"/>
          </w:tcPr>
          <w:p w:rsidR="0030404E" w:rsidRPr="000303EB" w:rsidRDefault="00864A03" w:rsidP="00B007FC">
            <w:pPr>
              <w:autoSpaceDE w:val="0"/>
              <w:autoSpaceDN w:val="0"/>
              <w:adjustRightInd w:val="0"/>
              <w:ind w:left="62" w:right="62"/>
              <w:jc w:val="center"/>
              <w:rPr>
                <w:rFonts w:ascii="Times New Roman" w:hAnsi="Times New Roman" w:cs="Times New Roman"/>
                <w:bCs/>
                <w:color w:val="FFFFFF"/>
                <w:sz w:val="18"/>
                <w:szCs w:val="18"/>
              </w:rPr>
            </w:pPr>
            <w:r>
              <w:rPr>
                <w:rFonts w:ascii="Times New Roman" w:hAnsi="Times New Roman" w:cs="Times New Roman"/>
                <w:bCs/>
                <w:color w:val="FFFFFF"/>
                <w:sz w:val="18"/>
                <w:szCs w:val="18"/>
              </w:rPr>
              <w:t>-</w:t>
            </w:r>
          </w:p>
        </w:tc>
        <w:tc>
          <w:tcPr>
            <w:tcW w:w="2835" w:type="dxa"/>
            <w:vMerge/>
            <w:shd w:val="clear" w:color="auto" w:fill="DAEEF3"/>
          </w:tcPr>
          <w:p w:rsidR="0030404E" w:rsidRPr="000303EB" w:rsidRDefault="0030404E" w:rsidP="00B007FC">
            <w:pPr>
              <w:autoSpaceDE w:val="0"/>
              <w:autoSpaceDN w:val="0"/>
              <w:adjustRightInd w:val="0"/>
              <w:ind w:left="62" w:right="62"/>
              <w:jc w:val="center"/>
              <w:rPr>
                <w:rFonts w:ascii="Times New Roman" w:hAnsi="Times New Roman" w:cs="Times New Roman"/>
                <w:bCs/>
                <w:color w:val="000000"/>
                <w:sz w:val="18"/>
                <w:szCs w:val="18"/>
              </w:rPr>
            </w:pPr>
          </w:p>
        </w:tc>
      </w:tr>
      <w:tr w:rsidR="0030404E" w:rsidRPr="006E00F6" w:rsidTr="00B007FC">
        <w:trPr>
          <w:cantSplit/>
          <w:trHeight w:val="1146"/>
        </w:trPr>
        <w:tc>
          <w:tcPr>
            <w:tcW w:w="9361" w:type="dxa"/>
            <w:gridSpan w:val="6"/>
            <w:shd w:val="clear" w:color="auto" w:fill="31849B"/>
            <w:vAlign w:val="center"/>
          </w:tcPr>
          <w:p w:rsidR="0030404E" w:rsidRPr="000303EB" w:rsidRDefault="0030404E" w:rsidP="00B007FC">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WT</w:t>
            </w:r>
            <w:r w:rsidRPr="000303EB">
              <w:rPr>
                <w:rFonts w:ascii="Times New Roman" w:hAnsi="Times New Roman" w:cs="Times New Roman"/>
                <w:color w:val="FFFFFF"/>
                <w:sz w:val="18"/>
                <w:szCs w:val="18"/>
              </w:rPr>
              <w:t xml:space="preserve"> - Warthin  </w:t>
            </w:r>
            <w:r w:rsidRPr="00A926CA">
              <w:rPr>
                <w:rFonts w:ascii="Times New Roman" w:hAnsi="Times New Roman" w:cs="Times New Roman"/>
                <w:color w:val="FFFFFF"/>
                <w:sz w:val="18"/>
                <w:szCs w:val="18"/>
              </w:rPr>
              <w:t>Tu</w:t>
            </w:r>
            <w:r w:rsidRPr="000303EB">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BA</w:t>
            </w:r>
            <w:r w:rsidRPr="000303EB">
              <w:rPr>
                <w:rFonts w:ascii="Times New Roman" w:hAnsi="Times New Roman" w:cs="Times New Roman"/>
                <w:color w:val="FFFFFF"/>
                <w:sz w:val="18"/>
                <w:szCs w:val="18"/>
              </w:rPr>
              <w:t xml:space="preserve"> - Basal cell adenoma; </w:t>
            </w:r>
            <w:r w:rsidRPr="00A926CA">
              <w:rPr>
                <w:rFonts w:ascii="Times New Roman" w:hAnsi="Times New Roman" w:cs="Times New Roman"/>
                <w:color w:val="FFFFFF"/>
                <w:sz w:val="18"/>
                <w:szCs w:val="18"/>
              </w:rPr>
              <w:t>Pa</w:t>
            </w:r>
            <w:r w:rsidRPr="000303EB">
              <w:rPr>
                <w:rFonts w:ascii="Times New Roman" w:hAnsi="Times New Roman" w:cs="Times New Roman"/>
                <w:color w:val="FFFFFF"/>
                <w:sz w:val="18"/>
                <w:szCs w:val="18"/>
              </w:rPr>
              <w:t xml:space="preserve"> - Tu mixtus; </w:t>
            </w:r>
            <w:r w:rsidRPr="00A926CA">
              <w:rPr>
                <w:rFonts w:ascii="Times New Roman" w:hAnsi="Times New Roman" w:cs="Times New Roman"/>
                <w:color w:val="FFFFFF"/>
                <w:sz w:val="18"/>
                <w:szCs w:val="18"/>
              </w:rPr>
              <w:t>AC</w:t>
            </w:r>
            <w:r w:rsidRPr="000303EB">
              <w:rPr>
                <w:rFonts w:ascii="Times New Roman" w:hAnsi="Times New Roman" w:cs="Times New Roman"/>
                <w:color w:val="FFFFFF"/>
                <w:sz w:val="18"/>
                <w:szCs w:val="18"/>
              </w:rPr>
              <w:t xml:space="preserve"> - Adenocarcinoma gl. parotis; </w:t>
            </w:r>
            <w:r w:rsidRPr="00A926CA">
              <w:rPr>
                <w:rFonts w:ascii="Times New Roman" w:hAnsi="Times New Roman" w:cs="Times New Roman"/>
                <w:color w:val="FFFFFF"/>
                <w:sz w:val="18"/>
                <w:szCs w:val="18"/>
              </w:rPr>
              <w:t xml:space="preserve">PC </w:t>
            </w:r>
            <w:r w:rsidRPr="000303EB">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P</w:t>
            </w:r>
            <w:r w:rsidRPr="000303EB">
              <w:rPr>
                <w:rFonts w:ascii="Times New Roman" w:hAnsi="Times New Roman" w:cs="Times New Roman"/>
                <w:color w:val="FFFFFF"/>
                <w:sz w:val="18"/>
                <w:szCs w:val="18"/>
              </w:rPr>
              <w:t>lanocellular</w:t>
            </w:r>
            <w:r w:rsidRPr="00A926CA">
              <w:rPr>
                <w:rFonts w:ascii="Times New Roman" w:hAnsi="Times New Roman" w:cs="Times New Roman"/>
                <w:color w:val="FFFFFF"/>
                <w:sz w:val="18"/>
                <w:szCs w:val="18"/>
              </w:rPr>
              <w:t xml:space="preserve"> Ca</w:t>
            </w:r>
            <w:r w:rsidRPr="000303EB">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rPr>
              <w:t xml:space="preserve"> </w:t>
            </w:r>
          </w:p>
          <w:p w:rsidR="0030404E" w:rsidRPr="000303EB" w:rsidRDefault="0030404E" w:rsidP="00B007FC">
            <w:pPr>
              <w:spacing w:line="276" w:lineRule="auto"/>
              <w:jc w:val="center"/>
              <w:rPr>
                <w:rFonts w:ascii="Times New Roman" w:hAnsi="Times New Roman" w:cs="Times New Roman"/>
                <w:color w:val="FFFFFF"/>
                <w:sz w:val="18"/>
                <w:szCs w:val="18"/>
              </w:rPr>
            </w:pPr>
            <w:r w:rsidRPr="00A926CA">
              <w:rPr>
                <w:rFonts w:ascii="Times New Roman" w:hAnsi="Times New Roman" w:cs="Times New Roman"/>
                <w:color w:val="FFFFFF"/>
                <w:sz w:val="18"/>
                <w:szCs w:val="18"/>
              </w:rPr>
              <w:t>MEC</w:t>
            </w:r>
            <w:r w:rsidRPr="000303EB">
              <w:rPr>
                <w:rFonts w:ascii="Times New Roman" w:hAnsi="Times New Roman" w:cs="Times New Roman"/>
                <w:color w:val="FFFFFF"/>
                <w:sz w:val="18"/>
                <w:szCs w:val="18"/>
              </w:rPr>
              <w:t xml:space="preserve"> - Mucoepidermoid carcinoma gl. </w:t>
            </w:r>
            <w:r w:rsidRPr="00A926CA">
              <w:rPr>
                <w:rFonts w:ascii="Times New Roman" w:hAnsi="Times New Roman" w:cs="Times New Roman"/>
                <w:color w:val="FFFFFF"/>
                <w:sz w:val="18"/>
                <w:szCs w:val="18"/>
              </w:rPr>
              <w:t>p</w:t>
            </w:r>
            <w:r w:rsidRPr="000303EB">
              <w:rPr>
                <w:rFonts w:ascii="Times New Roman" w:hAnsi="Times New Roman" w:cs="Times New Roman"/>
                <w:color w:val="FFFFFF"/>
                <w:sz w:val="18"/>
                <w:szCs w:val="18"/>
              </w:rPr>
              <w:t xml:space="preserve">arotis; </w:t>
            </w:r>
            <w:r w:rsidRPr="00A926CA">
              <w:rPr>
                <w:rFonts w:ascii="Times New Roman" w:hAnsi="Times New Roman" w:cs="Times New Roman"/>
                <w:color w:val="FFFFFF"/>
                <w:sz w:val="18"/>
                <w:szCs w:val="18"/>
              </w:rPr>
              <w:t>CEA</w:t>
            </w:r>
            <w:r w:rsidRPr="000303EB">
              <w:rPr>
                <w:rFonts w:ascii="Times New Roman" w:hAnsi="Times New Roman" w:cs="Times New Roman"/>
                <w:color w:val="FFFFFF"/>
                <w:sz w:val="18"/>
                <w:szCs w:val="18"/>
              </w:rPr>
              <w:t xml:space="preserve"> - Carcinoma ex pleomorphic adenoma; </w:t>
            </w:r>
            <w:r w:rsidRPr="00A926CA">
              <w:rPr>
                <w:rFonts w:ascii="Times New Roman" w:hAnsi="Times New Roman" w:cs="Times New Roman"/>
                <w:color w:val="FFFFFF"/>
                <w:sz w:val="18"/>
                <w:szCs w:val="18"/>
              </w:rPr>
              <w:t xml:space="preserve"> </w:t>
            </w:r>
          </w:p>
          <w:p w:rsidR="0030404E" w:rsidRPr="000303EB" w:rsidRDefault="0030404E" w:rsidP="00B007FC">
            <w:pPr>
              <w:spacing w:line="276" w:lineRule="auto"/>
              <w:jc w:val="center"/>
              <w:rPr>
                <w:rFonts w:ascii="Times New Roman" w:hAnsi="Times New Roman" w:cs="Times New Roman"/>
                <w:color w:val="FFFFFF"/>
                <w:sz w:val="18"/>
                <w:szCs w:val="18"/>
              </w:rPr>
            </w:pPr>
            <w:r w:rsidRPr="000303EB">
              <w:rPr>
                <w:rFonts w:ascii="Times New Roman" w:hAnsi="Times New Roman" w:cs="Times New Roman"/>
                <w:color w:val="FFFFFF"/>
                <w:sz w:val="18"/>
                <w:szCs w:val="18"/>
                <w:lang w:val="en-US"/>
              </w:rPr>
              <w:t>Ly</w:t>
            </w:r>
            <w:r w:rsidRPr="000303EB">
              <w:rPr>
                <w:rFonts w:ascii="Times New Roman" w:hAnsi="Times New Roman" w:cs="Times New Roman"/>
                <w:color w:val="FFFFFF"/>
                <w:sz w:val="18"/>
                <w:szCs w:val="18"/>
              </w:rPr>
              <w:t xml:space="preserve"> – Lymphoma; </w:t>
            </w:r>
            <w:r w:rsidRPr="000303EB">
              <w:rPr>
                <w:rFonts w:ascii="Times New Roman" w:hAnsi="Times New Roman" w:cs="Times New Roman"/>
                <w:color w:val="FFFFFF"/>
                <w:sz w:val="18"/>
                <w:szCs w:val="18"/>
                <w:lang w:val="en-US"/>
              </w:rPr>
              <w:t xml:space="preserve"> ACC</w:t>
            </w:r>
            <w:r w:rsidRPr="000303EB">
              <w:rPr>
                <w:rFonts w:ascii="Times New Roman" w:hAnsi="Times New Roman" w:cs="Times New Roman"/>
                <w:color w:val="FFFFFF"/>
                <w:sz w:val="18"/>
                <w:szCs w:val="18"/>
              </w:rPr>
              <w:t xml:space="preserve"> - Acinic cell carcinoma;</w:t>
            </w:r>
          </w:p>
          <w:p w:rsidR="0030404E" w:rsidRPr="006E00F6" w:rsidRDefault="0030404E" w:rsidP="00B007FC">
            <w:pPr>
              <w:autoSpaceDE w:val="0"/>
              <w:autoSpaceDN w:val="0"/>
              <w:adjustRightInd w:val="0"/>
              <w:ind w:left="62" w:right="62"/>
              <w:jc w:val="center"/>
              <w:rPr>
                <w:rFonts w:ascii="Times New Roman" w:hAnsi="Times New Roman" w:cs="Times New Roman"/>
                <w:bCs/>
                <w:color w:val="000000"/>
                <w:sz w:val="18"/>
                <w:szCs w:val="18"/>
              </w:rPr>
            </w:pPr>
            <w:r w:rsidRPr="000303EB">
              <w:rPr>
                <w:rFonts w:ascii="Times New Roman" w:hAnsi="Times New Roman" w:cs="Times New Roman"/>
                <w:color w:val="FFFFFF"/>
                <w:sz w:val="18"/>
                <w:szCs w:val="18"/>
              </w:rPr>
              <w:t>Z=Mann-Whitney U Test</w:t>
            </w:r>
            <w:r w:rsidRPr="000303EB">
              <w:rPr>
                <w:rFonts w:ascii="Times New Roman" w:hAnsi="Times New Roman" w:cs="Times New Roman"/>
                <w:color w:val="FFFFFF"/>
                <w:sz w:val="18"/>
                <w:szCs w:val="18"/>
                <w:lang w:val="en-US"/>
              </w:rPr>
              <w:t>;</w:t>
            </w:r>
            <w:r w:rsidRPr="00A926CA">
              <w:rPr>
                <w:rFonts w:ascii="Times New Roman" w:hAnsi="Times New Roman" w:cs="Times New Roman"/>
                <w:b/>
                <w:color w:val="FFFFFF"/>
                <w:sz w:val="18"/>
                <w:szCs w:val="18"/>
                <w:lang w:val="en-US" w:eastAsia="mk-MK"/>
              </w:rPr>
              <w:t xml:space="preserve"> </w:t>
            </w:r>
            <w:r w:rsidRPr="000303EB">
              <w:rPr>
                <w:rFonts w:ascii="Times New Roman" w:hAnsi="Times New Roman" w:cs="Times New Roman"/>
                <w:b/>
                <w:color w:val="FFFFFF"/>
                <w:sz w:val="18"/>
                <w:szCs w:val="18"/>
                <w:lang w:val="en-US" w:eastAsia="mk-MK"/>
              </w:rPr>
              <w:t xml:space="preserve">          </w:t>
            </w:r>
            <w:r w:rsidRPr="000303EB">
              <w:rPr>
                <w:rFonts w:ascii="Times New Roman" w:hAnsi="Times New Roman" w:cs="Times New Roman"/>
                <w:color w:val="FFFFFF"/>
                <w:sz w:val="18"/>
                <w:szCs w:val="18"/>
              </w:rPr>
              <w:t>X</w:t>
            </w:r>
            <w:r w:rsidRPr="000303EB">
              <w:rPr>
                <w:rFonts w:ascii="Times New Roman" w:hAnsi="Times New Roman" w:cs="Times New Roman"/>
                <w:color w:val="FFFFFF"/>
                <w:sz w:val="18"/>
                <w:szCs w:val="18"/>
                <w:vertAlign w:val="superscript"/>
              </w:rPr>
              <w:t>2</w:t>
            </w:r>
            <w:r w:rsidRPr="000303EB">
              <w:rPr>
                <w:rFonts w:ascii="Times New Roman" w:hAnsi="Times New Roman" w:cs="Times New Roman"/>
                <w:color w:val="FFFFFF"/>
                <w:sz w:val="18"/>
                <w:szCs w:val="18"/>
              </w:rPr>
              <w:t>=</w:t>
            </w:r>
            <w:r w:rsidRPr="000303EB">
              <w:rPr>
                <w:rFonts w:ascii="Times New Roman" w:hAnsi="Times New Roman"/>
                <w:color w:val="FFFFFF"/>
                <w:sz w:val="18"/>
                <w:szCs w:val="18"/>
              </w:rPr>
              <w:t xml:space="preserve">Kruskal-Wallis </w:t>
            </w:r>
            <w:r w:rsidRPr="000303EB">
              <w:rPr>
                <w:rFonts w:ascii="Times New Roman" w:hAnsi="Times New Roman"/>
                <w:color w:val="FFFFFF"/>
                <w:sz w:val="18"/>
                <w:szCs w:val="18"/>
                <w:lang w:val="en-US"/>
              </w:rPr>
              <w:t xml:space="preserve">H </w:t>
            </w:r>
            <w:r w:rsidRPr="000303EB">
              <w:rPr>
                <w:rFonts w:ascii="Times New Roman" w:hAnsi="Times New Roman"/>
                <w:color w:val="FFFFFF"/>
                <w:sz w:val="18"/>
                <w:szCs w:val="18"/>
              </w:rPr>
              <w:t>test</w:t>
            </w:r>
            <w:r w:rsidRPr="000303EB">
              <w:rPr>
                <w:rFonts w:ascii="Times New Roman" w:hAnsi="Times New Roman"/>
                <w:color w:val="FFFFFF"/>
                <w:sz w:val="18"/>
                <w:szCs w:val="18"/>
                <w:lang w:val="en-US"/>
              </w:rPr>
              <w:t xml:space="preserve">; </w:t>
            </w:r>
            <w:r w:rsidRPr="000303EB">
              <w:rPr>
                <w:rFonts w:ascii="Times New Roman" w:hAnsi="Times New Roman" w:cs="Times New Roman"/>
                <w:color w:val="FFFFFF"/>
                <w:sz w:val="18"/>
                <w:szCs w:val="18"/>
              </w:rPr>
              <w:t xml:space="preserve">            *сигнификантно за </w:t>
            </w:r>
            <w:r w:rsidRPr="000303EB">
              <w:rPr>
                <w:rFonts w:ascii="Times New Roman" w:hAnsi="Times New Roman" w:cs="Times New Roman"/>
                <w:color w:val="FFFFFF"/>
                <w:sz w:val="18"/>
                <w:szCs w:val="18"/>
                <w:lang w:val="it-IT"/>
              </w:rPr>
              <w:t>p</w:t>
            </w:r>
            <w:r w:rsidRPr="00A926CA">
              <w:rPr>
                <w:rFonts w:ascii="Times New Roman" w:hAnsi="Times New Roman" w:cs="Times New Roman"/>
                <w:color w:val="FFFFFF"/>
                <w:sz w:val="18"/>
                <w:szCs w:val="18"/>
                <w:lang w:val="en-US"/>
              </w:rPr>
              <w:t>&lt;0,05</w:t>
            </w:r>
          </w:p>
        </w:tc>
      </w:tr>
    </w:tbl>
    <w:p w:rsidR="0030404E" w:rsidRDefault="0030404E" w:rsidP="002166F2">
      <w:pPr>
        <w:rPr>
          <w:rFonts w:ascii="Times New Roman" w:hAnsi="Times New Roman" w:cs="Times New Roman"/>
          <w:sz w:val="24"/>
          <w:szCs w:val="24"/>
        </w:rPr>
      </w:pPr>
    </w:p>
    <w:p w:rsidR="00A03FB2" w:rsidRPr="00A03FB2" w:rsidRDefault="00A03FB2" w:rsidP="002166F2">
      <w:pPr>
        <w:ind w:firstLine="720"/>
        <w:jc w:val="both"/>
        <w:rPr>
          <w:rFonts w:ascii="Times New Roman" w:hAnsi="Times New Roman" w:cs="Times New Roman"/>
          <w:sz w:val="24"/>
          <w:szCs w:val="24"/>
        </w:rPr>
      </w:pPr>
      <w:r w:rsidRPr="00A03FB2">
        <w:rPr>
          <w:rFonts w:ascii="Times New Roman" w:hAnsi="Times New Roman" w:cs="Times New Roman"/>
          <w:sz w:val="24"/>
          <w:szCs w:val="24"/>
        </w:rPr>
        <w:t xml:space="preserve">Вредноста на </w:t>
      </w:r>
      <w:r w:rsidRPr="00A03FB2">
        <w:rPr>
          <w:rFonts w:ascii="Times New Roman" w:hAnsi="Times New Roman" w:cs="Times New Roman"/>
          <w:color w:val="000000"/>
          <w:sz w:val="24"/>
          <w:szCs w:val="24"/>
        </w:rPr>
        <w:t xml:space="preserve">IL-33 во салива, за p&gt;0,05, беше несигнификантно повисока кај пациентите од испитуваната група со тумори на паротидните жлезди – </w:t>
      </w:r>
      <w:r w:rsidRPr="00A926CA">
        <w:rPr>
          <w:rFonts w:ascii="Times New Roman" w:hAnsi="Times New Roman" w:cs="Times New Roman"/>
          <w:color w:val="000000"/>
          <w:sz w:val="24"/>
          <w:szCs w:val="24"/>
        </w:rPr>
        <w:t>Mean=</w:t>
      </w:r>
      <w:r w:rsidRPr="00A03FB2">
        <w:rPr>
          <w:rFonts w:ascii="Times New Roman" w:hAnsi="Times New Roman" w:cs="Times New Roman"/>
          <w:sz w:val="24"/>
          <w:szCs w:val="24"/>
        </w:rPr>
        <w:t xml:space="preserve">4,81±0,18 и </w:t>
      </w:r>
      <w:r w:rsidRPr="00A926CA">
        <w:rPr>
          <w:rFonts w:ascii="Times New Roman" w:hAnsi="Times New Roman" w:cs="Times New Roman"/>
          <w:sz w:val="24"/>
          <w:szCs w:val="24"/>
        </w:rPr>
        <w:t>Median IQR=</w:t>
      </w:r>
      <w:r w:rsidRPr="00A03FB2">
        <w:rPr>
          <w:rFonts w:ascii="Times New Roman" w:hAnsi="Times New Roman" w:cs="Times New Roman"/>
          <w:bCs/>
          <w:color w:val="000000"/>
          <w:sz w:val="24"/>
          <w:szCs w:val="24"/>
        </w:rPr>
        <w:t>4,85 (4,68-4,85)</w:t>
      </w:r>
      <w:r w:rsidRPr="00A03FB2">
        <w:rPr>
          <w:rFonts w:ascii="Times New Roman" w:hAnsi="Times New Roman" w:cs="Times New Roman"/>
          <w:color w:val="000000"/>
          <w:sz w:val="24"/>
          <w:szCs w:val="24"/>
        </w:rPr>
        <w:t xml:space="preserve">, споредено со IL-33 во салива кај здрави лица </w:t>
      </w:r>
      <w:r w:rsidRPr="00A926CA">
        <w:rPr>
          <w:rFonts w:ascii="Times New Roman" w:hAnsi="Times New Roman" w:cs="Times New Roman"/>
          <w:color w:val="000000"/>
          <w:sz w:val="24"/>
          <w:szCs w:val="24"/>
        </w:rPr>
        <w:t xml:space="preserve">во </w:t>
      </w:r>
      <w:r w:rsidRPr="00A03FB2">
        <w:rPr>
          <w:rFonts w:ascii="Times New Roman" w:hAnsi="Times New Roman" w:cs="Times New Roman"/>
          <w:color w:val="000000"/>
          <w:sz w:val="24"/>
          <w:szCs w:val="24"/>
        </w:rPr>
        <w:t xml:space="preserve">контролната група – </w:t>
      </w:r>
      <w:r w:rsidRPr="00A926CA">
        <w:rPr>
          <w:rFonts w:ascii="Times New Roman" w:hAnsi="Times New Roman" w:cs="Times New Roman"/>
          <w:color w:val="000000"/>
          <w:sz w:val="24"/>
          <w:szCs w:val="24"/>
        </w:rPr>
        <w:t>Mean=</w:t>
      </w:r>
      <w:r w:rsidRPr="00A03FB2">
        <w:rPr>
          <w:rFonts w:ascii="Times New Roman" w:hAnsi="Times New Roman" w:cs="Times New Roman"/>
          <w:sz w:val="24"/>
          <w:szCs w:val="24"/>
        </w:rPr>
        <w:t xml:space="preserve">4,73±0,56 и </w:t>
      </w:r>
      <w:r w:rsidRPr="00A926CA">
        <w:rPr>
          <w:rFonts w:ascii="Times New Roman" w:hAnsi="Times New Roman" w:cs="Times New Roman"/>
          <w:sz w:val="24"/>
          <w:szCs w:val="24"/>
        </w:rPr>
        <w:t>Median IQR=</w:t>
      </w:r>
      <w:r w:rsidRPr="00A03FB2">
        <w:rPr>
          <w:rFonts w:ascii="Times New Roman" w:hAnsi="Times New Roman" w:cs="Times New Roman"/>
          <w:bCs/>
          <w:color w:val="000000"/>
          <w:sz w:val="24"/>
          <w:szCs w:val="24"/>
        </w:rPr>
        <w:t xml:space="preserve">4,85 (4,68-4,85) </w:t>
      </w:r>
      <w:r w:rsidRPr="00A03FB2">
        <w:rPr>
          <w:rFonts w:ascii="Times New Roman" w:hAnsi="Times New Roman" w:cs="Times New Roman"/>
          <w:sz w:val="24"/>
          <w:szCs w:val="24"/>
        </w:rPr>
        <w:t xml:space="preserve">за </w:t>
      </w:r>
      <w:r w:rsidRPr="00A926CA">
        <w:rPr>
          <w:rFonts w:ascii="Times New Roman" w:hAnsi="Times New Roman" w:cs="Times New Roman"/>
          <w:color w:val="000000"/>
          <w:sz w:val="24"/>
          <w:szCs w:val="24"/>
          <w:lang w:eastAsia="mk-MK"/>
        </w:rPr>
        <w:t xml:space="preserve">Mann Whitney U test: </w:t>
      </w:r>
      <w:r w:rsidRPr="00A03FB2">
        <w:rPr>
          <w:rFonts w:ascii="Times New Roman" w:hAnsi="Times New Roman" w:cs="Times New Roman"/>
          <w:color w:val="000000"/>
          <w:sz w:val="24"/>
          <w:szCs w:val="24"/>
        </w:rPr>
        <w:t>Z=0,228; p=0,8193</w:t>
      </w:r>
      <w:r w:rsidRPr="00A03FB2">
        <w:rPr>
          <w:rFonts w:ascii="Times New Roman" w:hAnsi="Times New Roman" w:cs="Times New Roman"/>
          <w:color w:val="000000"/>
          <w:sz w:val="24"/>
          <w:szCs w:val="24"/>
          <w:lang w:eastAsia="en-GB"/>
        </w:rPr>
        <w:t xml:space="preserve"> (Табела 13 и График 22)</w:t>
      </w:r>
    </w:p>
    <w:p w:rsidR="00A03FB2" w:rsidRPr="00A926CA" w:rsidRDefault="00A03FB2" w:rsidP="00A03FB2">
      <w:pPr>
        <w:rPr>
          <w:rFonts w:ascii="Times New Roman" w:hAnsi="Times New Roman" w:cs="Times New Roman"/>
          <w:sz w:val="24"/>
          <w:szCs w:val="24"/>
        </w:rPr>
      </w:pPr>
    </w:p>
    <w:p w:rsidR="002166F2" w:rsidRDefault="00A03FB2" w:rsidP="002166F2">
      <w:pPr>
        <w:spacing w:after="200"/>
        <w:jc w:val="both"/>
        <w:rPr>
          <w:rFonts w:ascii="Times New Roman" w:hAnsi="Times New Roman" w:cs="Times New Roman"/>
          <w:sz w:val="24"/>
          <w:szCs w:val="24"/>
        </w:rPr>
      </w:pPr>
      <w:r>
        <w:rPr>
          <w:rFonts w:ascii="Times New Roman" w:hAnsi="Times New Roman" w:cs="Times New Roman"/>
          <w:sz w:val="24"/>
          <w:szCs w:val="24"/>
        </w:rPr>
        <w:tab/>
      </w:r>
    </w:p>
    <w:p w:rsidR="002166F2" w:rsidRDefault="002166F2" w:rsidP="002166F2">
      <w:pPr>
        <w:spacing w:after="200"/>
        <w:jc w:val="both"/>
        <w:rPr>
          <w:rFonts w:ascii="Times New Roman" w:hAnsi="Times New Roman" w:cs="Times New Roman"/>
          <w:sz w:val="24"/>
          <w:szCs w:val="24"/>
        </w:rPr>
      </w:pPr>
    </w:p>
    <w:p w:rsidR="0012693B" w:rsidRDefault="0012693B" w:rsidP="002166F2">
      <w:pPr>
        <w:spacing w:after="200"/>
        <w:jc w:val="both"/>
        <w:rPr>
          <w:rFonts w:ascii="Times New Roman" w:hAnsi="Times New Roman" w:cs="Times New Roman"/>
          <w:sz w:val="24"/>
          <w:szCs w:val="24"/>
        </w:rPr>
      </w:pPr>
    </w:p>
    <w:p w:rsidR="00A03FB2" w:rsidRPr="00A03FB2" w:rsidRDefault="00A03FB2" w:rsidP="002166F2">
      <w:pPr>
        <w:spacing w:after="200"/>
        <w:jc w:val="both"/>
        <w:rPr>
          <w:rFonts w:ascii="Times New Roman" w:hAnsi="Times New Roman" w:cs="Times New Roman"/>
          <w:sz w:val="24"/>
          <w:szCs w:val="24"/>
        </w:rPr>
      </w:pPr>
      <w:r w:rsidRPr="00A03FB2">
        <w:rPr>
          <w:rFonts w:ascii="Times New Roman" w:hAnsi="Times New Roman" w:cs="Times New Roman"/>
          <w:sz w:val="24"/>
          <w:szCs w:val="24"/>
        </w:rPr>
        <w:t>Во испитуваната група, вредноста на</w:t>
      </w:r>
      <w:r w:rsidRPr="00A03FB2">
        <w:rPr>
          <w:rFonts w:ascii="Times New Roman" w:hAnsi="Times New Roman" w:cs="Times New Roman"/>
          <w:color w:val="000000"/>
          <w:sz w:val="24"/>
          <w:szCs w:val="24"/>
        </w:rPr>
        <w:t xml:space="preserve"> IL-33 во салива</w:t>
      </w:r>
      <w:r w:rsidRPr="00A03FB2">
        <w:rPr>
          <w:rFonts w:ascii="Times New Roman" w:hAnsi="Times New Roman" w:cs="Times New Roman"/>
          <w:sz w:val="24"/>
          <w:szCs w:val="24"/>
        </w:rPr>
        <w:t xml:space="preserve">, за </w:t>
      </w:r>
      <w:r w:rsidRPr="00A03FB2">
        <w:rPr>
          <w:rFonts w:ascii="Times New Roman" w:hAnsi="Times New Roman" w:cs="Times New Roman"/>
          <w:color w:val="000000"/>
          <w:sz w:val="24"/>
          <w:szCs w:val="24"/>
        </w:rPr>
        <w:t xml:space="preserve">p&gt;0,05, беше несигнификантно повисока </w:t>
      </w:r>
      <w:r w:rsidRPr="00A03FB2">
        <w:rPr>
          <w:rFonts w:ascii="Times New Roman" w:hAnsi="Times New Roman" w:cs="Times New Roman"/>
          <w:sz w:val="24"/>
          <w:szCs w:val="24"/>
        </w:rPr>
        <w:t xml:space="preserve">кај пациентите со малигни тумори на паротидните жлезди </w:t>
      </w:r>
      <w:r w:rsidRPr="00A03FB2">
        <w:rPr>
          <w:rFonts w:ascii="Times New Roman" w:hAnsi="Times New Roman" w:cs="Times New Roman"/>
          <w:color w:val="000000"/>
          <w:sz w:val="24"/>
          <w:szCs w:val="24"/>
        </w:rPr>
        <w:t>– Mean=</w:t>
      </w:r>
      <w:r w:rsidRPr="00A03FB2">
        <w:rPr>
          <w:rFonts w:ascii="Times New Roman" w:hAnsi="Times New Roman" w:cs="Times New Roman"/>
          <w:sz w:val="24"/>
          <w:szCs w:val="24"/>
        </w:rPr>
        <w:t xml:space="preserve">4,82±0,15 и </w:t>
      </w:r>
      <w:r w:rsidRPr="00A926CA">
        <w:rPr>
          <w:rFonts w:ascii="Times New Roman" w:hAnsi="Times New Roman" w:cs="Times New Roman"/>
          <w:sz w:val="24"/>
          <w:szCs w:val="24"/>
        </w:rPr>
        <w:t>Median IQR=</w:t>
      </w:r>
      <w:r w:rsidRPr="00A03FB2">
        <w:rPr>
          <w:rFonts w:ascii="Times New Roman" w:hAnsi="Times New Roman" w:cs="Times New Roman"/>
          <w:bCs/>
          <w:color w:val="000000"/>
          <w:sz w:val="24"/>
          <w:szCs w:val="24"/>
        </w:rPr>
        <w:t>4,85 (4,68-4,85)</w:t>
      </w:r>
      <w:r w:rsidRPr="00A926CA">
        <w:rPr>
          <w:rFonts w:ascii="Times New Roman" w:hAnsi="Times New Roman" w:cs="Times New Roman"/>
          <w:bCs/>
          <w:color w:val="000000"/>
          <w:sz w:val="24"/>
          <w:szCs w:val="24"/>
        </w:rPr>
        <w:t xml:space="preserve">, </w:t>
      </w:r>
      <w:r w:rsidRPr="00A03FB2">
        <w:rPr>
          <w:rFonts w:ascii="Times New Roman" w:hAnsi="Times New Roman" w:cs="Times New Roman"/>
          <w:color w:val="000000"/>
          <w:sz w:val="24"/>
          <w:szCs w:val="24"/>
        </w:rPr>
        <w:t xml:space="preserve">споредено со IL-33 во салива кај оние со бенигни тумори </w:t>
      </w:r>
      <w:r w:rsidR="005179E7">
        <w:rPr>
          <w:rFonts w:ascii="Times New Roman" w:hAnsi="Times New Roman" w:cs="Times New Roman"/>
          <w:color w:val="000000"/>
          <w:sz w:val="24"/>
          <w:szCs w:val="24"/>
        </w:rPr>
        <w:t xml:space="preserve">на </w:t>
      </w:r>
      <w:r w:rsidRPr="00A03FB2">
        <w:rPr>
          <w:rFonts w:ascii="Times New Roman" w:hAnsi="Times New Roman" w:cs="Times New Roman"/>
          <w:sz w:val="24"/>
          <w:szCs w:val="24"/>
        </w:rPr>
        <w:t xml:space="preserve">паротидните жлезди </w:t>
      </w:r>
      <w:r w:rsidRPr="00A03FB2">
        <w:rPr>
          <w:rFonts w:ascii="Times New Roman" w:hAnsi="Times New Roman" w:cs="Times New Roman"/>
          <w:color w:val="000000"/>
          <w:sz w:val="24"/>
          <w:szCs w:val="24"/>
        </w:rPr>
        <w:t>- Mean=</w:t>
      </w:r>
      <w:r w:rsidRPr="00A03FB2">
        <w:rPr>
          <w:rFonts w:ascii="Times New Roman" w:hAnsi="Times New Roman" w:cs="Times New Roman"/>
          <w:sz w:val="24"/>
          <w:szCs w:val="24"/>
        </w:rPr>
        <w:t xml:space="preserve">4,81±0,18 и </w:t>
      </w:r>
      <w:r w:rsidRPr="00A926CA">
        <w:rPr>
          <w:rFonts w:ascii="Times New Roman" w:hAnsi="Times New Roman" w:cs="Times New Roman"/>
          <w:sz w:val="24"/>
          <w:szCs w:val="24"/>
        </w:rPr>
        <w:t>Median IQR=</w:t>
      </w:r>
      <w:r w:rsidRPr="00A03FB2">
        <w:rPr>
          <w:rFonts w:ascii="Times New Roman" w:hAnsi="Times New Roman" w:cs="Times New Roman"/>
          <w:bCs/>
          <w:color w:val="000000"/>
          <w:sz w:val="24"/>
          <w:szCs w:val="24"/>
        </w:rPr>
        <w:t>4,85</w:t>
      </w:r>
      <w:r w:rsidRPr="00A03FB2">
        <w:rPr>
          <w:rFonts w:ascii="Times New Roman" w:hAnsi="Times New Roman" w:cs="Times New Roman"/>
          <w:sz w:val="24"/>
          <w:szCs w:val="24"/>
        </w:rPr>
        <w:t xml:space="preserve"> (4,68±4,85) за </w:t>
      </w:r>
      <w:r w:rsidRPr="00A926CA">
        <w:rPr>
          <w:rFonts w:ascii="Times New Roman" w:hAnsi="Times New Roman" w:cs="Times New Roman"/>
          <w:color w:val="000000"/>
          <w:sz w:val="24"/>
          <w:szCs w:val="24"/>
          <w:lang w:eastAsia="mk-MK"/>
        </w:rPr>
        <w:t xml:space="preserve">Mann Whitney U test: </w:t>
      </w:r>
      <w:r w:rsidRPr="00A03FB2">
        <w:rPr>
          <w:rFonts w:ascii="Times New Roman" w:hAnsi="Times New Roman" w:cs="Times New Roman"/>
          <w:color w:val="000000"/>
          <w:sz w:val="24"/>
          <w:szCs w:val="24"/>
        </w:rPr>
        <w:t>Z=-0,112; p=0,9105</w:t>
      </w:r>
      <w:r w:rsidRPr="00A03FB2">
        <w:rPr>
          <w:rFonts w:ascii="Times New Roman" w:hAnsi="Times New Roman" w:cs="Times New Roman"/>
          <w:color w:val="000000"/>
          <w:sz w:val="24"/>
          <w:szCs w:val="24"/>
          <w:lang w:eastAsia="en-GB"/>
        </w:rPr>
        <w:t xml:space="preserve"> (Табела 1</w:t>
      </w:r>
      <w:r>
        <w:rPr>
          <w:rFonts w:ascii="Times New Roman" w:hAnsi="Times New Roman" w:cs="Times New Roman"/>
          <w:color w:val="000000"/>
          <w:sz w:val="24"/>
          <w:szCs w:val="24"/>
          <w:lang w:eastAsia="en-GB"/>
        </w:rPr>
        <w:t xml:space="preserve">3 </w:t>
      </w:r>
      <w:r w:rsidRPr="00A03FB2">
        <w:rPr>
          <w:rFonts w:ascii="Times New Roman" w:hAnsi="Times New Roman" w:cs="Times New Roman"/>
          <w:color w:val="000000"/>
          <w:sz w:val="24"/>
          <w:szCs w:val="24"/>
          <w:lang w:eastAsia="en-GB"/>
        </w:rPr>
        <w:t xml:space="preserve">и График </w:t>
      </w:r>
      <w:r>
        <w:rPr>
          <w:rFonts w:ascii="Times New Roman" w:hAnsi="Times New Roman" w:cs="Times New Roman"/>
          <w:color w:val="000000"/>
          <w:sz w:val="24"/>
          <w:szCs w:val="24"/>
          <w:lang w:eastAsia="en-GB"/>
        </w:rPr>
        <w:t>22</w:t>
      </w:r>
      <w:r w:rsidRPr="00A03FB2">
        <w:rPr>
          <w:rFonts w:ascii="Times New Roman" w:hAnsi="Times New Roman" w:cs="Times New Roman"/>
          <w:color w:val="000000"/>
          <w:sz w:val="24"/>
          <w:szCs w:val="24"/>
          <w:lang w:eastAsia="en-GB"/>
        </w:rPr>
        <w:t>)</w:t>
      </w:r>
    </w:p>
    <w:p w:rsidR="00555439" w:rsidRDefault="00555439" w:rsidP="00555439">
      <w:pPr>
        <w:spacing w:line="360" w:lineRule="auto"/>
        <w:ind w:firstLine="720"/>
        <w:jc w:val="both"/>
        <w:rPr>
          <w:rFonts w:ascii="Times New Roman" w:hAnsi="Times New Roman" w:cs="Times New Roman"/>
          <w:b/>
          <w:color w:val="943634"/>
          <w:sz w:val="24"/>
          <w:szCs w:val="24"/>
        </w:rPr>
      </w:pPr>
    </w:p>
    <w:p w:rsidR="00C45CC4" w:rsidRDefault="002166F2" w:rsidP="00555439">
      <w:pPr>
        <w:spacing w:line="360" w:lineRule="auto"/>
        <w:ind w:firstLine="720"/>
        <w:jc w:val="both"/>
        <w:rPr>
          <w:rFonts w:ascii="Times New Roman" w:hAnsi="Times New Roman" w:cs="Times New Roman"/>
          <w:b/>
          <w:color w:val="943634"/>
          <w:sz w:val="24"/>
          <w:szCs w:val="24"/>
        </w:rPr>
      </w:pPr>
      <w:r>
        <w:rPr>
          <w:rFonts w:ascii="Times New Roman" w:hAnsi="Times New Roman" w:cs="Times New Roman"/>
          <w:b/>
          <w:noProof/>
          <w:color w:val="943634"/>
          <w:sz w:val="24"/>
          <w:szCs w:val="24"/>
          <w:lang w:val="en-US"/>
        </w:rPr>
        <w:drawing>
          <wp:anchor distT="0" distB="0" distL="114300" distR="114300" simplePos="0" relativeHeight="251665920" behindDoc="1" locked="0" layoutInCell="1" allowOverlap="1">
            <wp:simplePos x="0" y="0"/>
            <wp:positionH relativeFrom="column">
              <wp:posOffset>939800</wp:posOffset>
            </wp:positionH>
            <wp:positionV relativeFrom="paragraph">
              <wp:posOffset>218440</wp:posOffset>
            </wp:positionV>
            <wp:extent cx="3638550" cy="2736850"/>
            <wp:effectExtent l="19050" t="0" r="0" b="0"/>
            <wp:wrapTight wrapText="bothSides">
              <wp:wrapPolygon edited="0">
                <wp:start x="-113" y="0"/>
                <wp:lineTo x="-113" y="21349"/>
                <wp:lineTo x="21600" y="21349"/>
                <wp:lineTo x="21600" y="0"/>
                <wp:lineTo x="-113" y="0"/>
              </wp:wrapPolygon>
            </wp:wrapTight>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38"/>
                    <a:srcRect/>
                    <a:stretch>
                      <a:fillRect/>
                    </a:stretch>
                  </pic:blipFill>
                  <pic:spPr bwMode="auto">
                    <a:xfrm>
                      <a:off x="0" y="0"/>
                      <a:ext cx="3638550" cy="2736850"/>
                    </a:xfrm>
                    <a:prstGeom prst="rect">
                      <a:avLst/>
                    </a:prstGeom>
                    <a:noFill/>
                    <a:ln w="9525">
                      <a:noFill/>
                      <a:miter lim="800000"/>
                      <a:headEnd/>
                      <a:tailEnd/>
                    </a:ln>
                  </pic:spPr>
                </pic:pic>
              </a:graphicData>
            </a:graphic>
          </wp:anchor>
        </w:drawing>
      </w: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C45CC4" w:rsidRDefault="00C45CC4" w:rsidP="00555439">
      <w:pPr>
        <w:spacing w:line="360" w:lineRule="auto"/>
        <w:ind w:firstLine="720"/>
        <w:jc w:val="both"/>
        <w:rPr>
          <w:rFonts w:ascii="Times New Roman" w:hAnsi="Times New Roman" w:cs="Times New Roman"/>
          <w:b/>
          <w:color w:val="943634"/>
          <w:sz w:val="24"/>
          <w:szCs w:val="24"/>
        </w:rPr>
      </w:pPr>
    </w:p>
    <w:p w:rsidR="00250673" w:rsidRDefault="00250673" w:rsidP="00F70103">
      <w:pPr>
        <w:rPr>
          <w:rFonts w:ascii="Times New Roman" w:hAnsi="Times New Roman" w:cs="Times New Roman"/>
          <w:sz w:val="24"/>
          <w:szCs w:val="24"/>
        </w:rPr>
      </w:pPr>
    </w:p>
    <w:p w:rsidR="002166F2" w:rsidRDefault="002166F2" w:rsidP="00250673">
      <w:pPr>
        <w:spacing w:line="360" w:lineRule="auto"/>
        <w:jc w:val="center"/>
        <w:rPr>
          <w:rFonts w:ascii="Times New Roman" w:hAnsi="Times New Roman" w:cs="Times New Roman"/>
          <w:b/>
          <w:color w:val="000000"/>
          <w:sz w:val="20"/>
          <w:szCs w:val="20"/>
        </w:rPr>
      </w:pPr>
    </w:p>
    <w:p w:rsidR="002166F2" w:rsidRDefault="002166F2" w:rsidP="00250673">
      <w:pPr>
        <w:spacing w:line="360" w:lineRule="auto"/>
        <w:jc w:val="center"/>
        <w:rPr>
          <w:rFonts w:ascii="Times New Roman" w:hAnsi="Times New Roman" w:cs="Times New Roman"/>
          <w:b/>
          <w:color w:val="000000"/>
          <w:sz w:val="20"/>
          <w:szCs w:val="20"/>
        </w:rPr>
      </w:pPr>
    </w:p>
    <w:p w:rsidR="002166F2" w:rsidRDefault="002166F2" w:rsidP="00250673">
      <w:pPr>
        <w:spacing w:line="360" w:lineRule="auto"/>
        <w:jc w:val="center"/>
        <w:rPr>
          <w:rFonts w:ascii="Times New Roman" w:hAnsi="Times New Roman" w:cs="Times New Roman"/>
          <w:b/>
          <w:color w:val="000000"/>
          <w:sz w:val="20"/>
          <w:szCs w:val="20"/>
        </w:rPr>
      </w:pPr>
    </w:p>
    <w:p w:rsidR="002166F2" w:rsidRDefault="002166F2" w:rsidP="00250673">
      <w:pPr>
        <w:spacing w:line="360" w:lineRule="auto"/>
        <w:jc w:val="center"/>
        <w:rPr>
          <w:rFonts w:ascii="Times New Roman" w:hAnsi="Times New Roman" w:cs="Times New Roman"/>
          <w:b/>
          <w:color w:val="000000"/>
          <w:sz w:val="20"/>
          <w:szCs w:val="20"/>
        </w:rPr>
      </w:pPr>
    </w:p>
    <w:p w:rsidR="00250673" w:rsidRPr="00393EB8" w:rsidRDefault="00250673" w:rsidP="00250673">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Pr="000A1D74">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22</w:t>
      </w:r>
      <w:r w:rsidRPr="000A1D74">
        <w:rPr>
          <w:rFonts w:ascii="Times New Roman" w:hAnsi="Times New Roman" w:cs="Times New Roman"/>
          <w:b/>
          <w:color w:val="000000"/>
          <w:sz w:val="20"/>
          <w:szCs w:val="20"/>
        </w:rPr>
        <w:t xml:space="preserve">. Анализа </w:t>
      </w:r>
      <w:r>
        <w:rPr>
          <w:rFonts w:ascii="Times New Roman" w:hAnsi="Times New Roman" w:cs="Times New Roman"/>
          <w:b/>
          <w:color w:val="000000"/>
          <w:sz w:val="20"/>
          <w:szCs w:val="20"/>
        </w:rPr>
        <w:t xml:space="preserve">на </w:t>
      </w:r>
      <w:r w:rsidRPr="000A1D74">
        <w:rPr>
          <w:rFonts w:ascii="Times New Roman" w:hAnsi="Times New Roman" w:cs="Times New Roman"/>
          <w:b/>
          <w:color w:val="000000"/>
          <w:sz w:val="20"/>
          <w:szCs w:val="20"/>
        </w:rPr>
        <w:t xml:space="preserve">IL-33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Pr="000A1D74">
        <w:rPr>
          <w:rFonts w:ascii="Times New Roman" w:hAnsi="Times New Roman" w:cs="Times New Roman"/>
          <w:b/>
          <w:color w:val="000000"/>
          <w:sz w:val="20"/>
          <w:szCs w:val="20"/>
        </w:rPr>
        <w:t xml:space="preserve">во </w:t>
      </w:r>
      <w:r>
        <w:rPr>
          <w:rFonts w:ascii="Times New Roman" w:hAnsi="Times New Roman" w:cs="Times New Roman"/>
          <w:b/>
          <w:color w:val="000000"/>
          <w:sz w:val="20"/>
          <w:szCs w:val="20"/>
        </w:rPr>
        <w:t>салива</w:t>
      </w:r>
      <w:r w:rsidRPr="000A1D74">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в</w:t>
      </w:r>
      <w:r w:rsidRPr="000A1D74">
        <w:rPr>
          <w:rFonts w:ascii="Times New Roman" w:hAnsi="Times New Roman" w:cs="Times New Roman"/>
          <w:b/>
          <w:color w:val="000000"/>
          <w:sz w:val="20"/>
          <w:szCs w:val="20"/>
        </w:rPr>
        <w:t>о испитувана и контролна група</w:t>
      </w:r>
    </w:p>
    <w:p w:rsidR="005179E7" w:rsidRDefault="005179E7" w:rsidP="005179E7">
      <w:pPr>
        <w:spacing w:after="200" w:line="360" w:lineRule="auto"/>
        <w:jc w:val="both"/>
        <w:rPr>
          <w:rFonts w:ascii="Times New Roman" w:hAnsi="Times New Roman" w:cs="Times New Roman"/>
          <w:color w:val="000000"/>
          <w:sz w:val="24"/>
          <w:szCs w:val="24"/>
        </w:rPr>
      </w:pPr>
    </w:p>
    <w:p w:rsidR="000F0D27" w:rsidRPr="005179E7" w:rsidRDefault="000F0D27" w:rsidP="002166F2">
      <w:pPr>
        <w:spacing w:after="200"/>
        <w:ind w:firstLine="720"/>
        <w:jc w:val="both"/>
        <w:rPr>
          <w:rFonts w:ascii="Times New Roman" w:hAnsi="Times New Roman" w:cs="Times New Roman"/>
          <w:sz w:val="24"/>
          <w:szCs w:val="24"/>
        </w:rPr>
      </w:pPr>
      <w:r w:rsidRPr="005179E7">
        <w:rPr>
          <w:rFonts w:ascii="Times New Roman" w:hAnsi="Times New Roman" w:cs="Times New Roman"/>
          <w:color w:val="000000"/>
          <w:sz w:val="24"/>
          <w:szCs w:val="24"/>
        </w:rPr>
        <w:t>Направена беше споредба на контролната група здрави испитаници со пациентите со бенигни тумори на паротидните жлезди од испитуваната гр</w:t>
      </w:r>
      <w:r w:rsidRPr="00A926CA">
        <w:rPr>
          <w:rFonts w:ascii="Times New Roman" w:hAnsi="Times New Roman" w:cs="Times New Roman"/>
          <w:color w:val="000000"/>
          <w:sz w:val="24"/>
          <w:szCs w:val="24"/>
          <w:lang w:val="ru-RU"/>
        </w:rPr>
        <w:t>у</w:t>
      </w:r>
      <w:r w:rsidRPr="005179E7">
        <w:rPr>
          <w:rFonts w:ascii="Times New Roman" w:hAnsi="Times New Roman" w:cs="Times New Roman"/>
          <w:color w:val="000000"/>
          <w:sz w:val="24"/>
          <w:szCs w:val="24"/>
        </w:rPr>
        <w:t xml:space="preserve">па во однос на </w:t>
      </w:r>
      <w:r w:rsidRPr="005179E7">
        <w:rPr>
          <w:rFonts w:ascii="Times New Roman" w:hAnsi="Times New Roman" w:cs="Times New Roman"/>
          <w:sz w:val="24"/>
          <w:szCs w:val="24"/>
        </w:rPr>
        <w:t xml:space="preserve">вредностите на </w:t>
      </w:r>
      <w:r w:rsidRPr="005179E7">
        <w:rPr>
          <w:rFonts w:ascii="Times New Roman" w:hAnsi="Times New Roman" w:cs="Times New Roman"/>
          <w:color w:val="000000"/>
          <w:sz w:val="24"/>
          <w:szCs w:val="24"/>
        </w:rPr>
        <w:t xml:space="preserve">IL-33 во салива. </w:t>
      </w:r>
      <w:r w:rsidRPr="005179E7">
        <w:rPr>
          <w:rFonts w:ascii="Times New Roman" w:hAnsi="Times New Roman" w:cs="Times New Roman"/>
          <w:sz w:val="24"/>
          <w:szCs w:val="24"/>
        </w:rPr>
        <w:t>Просечната вредност на</w:t>
      </w:r>
      <w:r w:rsidRPr="005179E7">
        <w:rPr>
          <w:rFonts w:ascii="Times New Roman" w:hAnsi="Times New Roman" w:cs="Times New Roman"/>
          <w:color w:val="000000"/>
          <w:sz w:val="24"/>
          <w:szCs w:val="24"/>
        </w:rPr>
        <w:t xml:space="preserve"> IL-33 во салива кај бенигните тумори изнесуваше </w:t>
      </w:r>
      <w:r w:rsidRPr="005179E7">
        <w:rPr>
          <w:rFonts w:ascii="Times New Roman" w:hAnsi="Times New Roman" w:cs="Times New Roman"/>
          <w:sz w:val="24"/>
          <w:szCs w:val="24"/>
        </w:rPr>
        <w:t xml:space="preserve">4,81±0,18 со </w:t>
      </w:r>
      <w:r w:rsidRPr="005179E7">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5179E7">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sidRPr="005179E7">
        <w:rPr>
          <w:rFonts w:ascii="Times New Roman" w:hAnsi="Times New Roman" w:cs="Times New Roman"/>
          <w:bCs/>
          <w:color w:val="000000"/>
          <w:sz w:val="24"/>
          <w:szCs w:val="24"/>
        </w:rPr>
        <w:t>4,85</w:t>
      </w:r>
      <w:r w:rsidRPr="005179E7">
        <w:rPr>
          <w:rFonts w:ascii="Times New Roman" w:hAnsi="Times New Roman" w:cs="Times New Roman"/>
          <w:sz w:val="24"/>
          <w:szCs w:val="24"/>
        </w:rPr>
        <w:t xml:space="preserve"> (4,68±4,85), а во контролната група таа изнесуваше 4,73±0,56 со </w:t>
      </w:r>
      <w:r w:rsidRPr="005179E7">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5179E7">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sidRPr="005179E7">
        <w:rPr>
          <w:rFonts w:ascii="Times New Roman" w:hAnsi="Times New Roman" w:cs="Times New Roman"/>
          <w:bCs/>
          <w:color w:val="000000"/>
          <w:sz w:val="24"/>
          <w:szCs w:val="24"/>
        </w:rPr>
        <w:t xml:space="preserve">4,85 (4,68-4,85). </w:t>
      </w:r>
      <w:r w:rsidRPr="005179E7">
        <w:rPr>
          <w:rFonts w:ascii="Times New Roman" w:hAnsi="Times New Roman" w:cs="Times New Roman"/>
          <w:sz w:val="24"/>
          <w:szCs w:val="24"/>
        </w:rPr>
        <w:t xml:space="preserve">За </w:t>
      </w:r>
      <w:r w:rsidRPr="005179E7">
        <w:rPr>
          <w:rFonts w:ascii="Times New Roman" w:hAnsi="Times New Roman" w:cs="Times New Roman"/>
          <w:color w:val="000000"/>
          <w:sz w:val="24"/>
          <w:szCs w:val="24"/>
        </w:rPr>
        <w:t xml:space="preserve">p&gt;0,05, IL-33 во салива </w:t>
      </w:r>
      <w:r w:rsidR="005D4668" w:rsidRPr="005179E7">
        <w:rPr>
          <w:rFonts w:ascii="Times New Roman" w:hAnsi="Times New Roman" w:cs="Times New Roman"/>
          <w:color w:val="000000"/>
          <w:sz w:val="24"/>
          <w:szCs w:val="24"/>
        </w:rPr>
        <w:t xml:space="preserve">кај пациентите со бенигни тумори од испитуваната група беше несигнификантно повисока од IL-33 во салива </w:t>
      </w:r>
      <w:r w:rsidRPr="005179E7">
        <w:rPr>
          <w:rFonts w:ascii="Times New Roman" w:hAnsi="Times New Roman" w:cs="Times New Roman"/>
          <w:color w:val="000000"/>
          <w:sz w:val="24"/>
          <w:szCs w:val="24"/>
        </w:rPr>
        <w:t xml:space="preserve">во контролната група на здрави пациенти за </w:t>
      </w:r>
      <w:r w:rsidRPr="005179E7">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5179E7">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5179E7">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5179E7">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5179E7">
        <w:rPr>
          <w:rFonts w:ascii="Times New Roman" w:hAnsi="Times New Roman" w:cs="Times New Roman"/>
          <w:color w:val="000000"/>
          <w:sz w:val="24"/>
          <w:szCs w:val="24"/>
        </w:rPr>
        <w:t>Z=-0,262; p=0,7928</w:t>
      </w:r>
      <w:r w:rsidRPr="005179E7">
        <w:rPr>
          <w:rFonts w:ascii="Times New Roman" w:hAnsi="Times New Roman" w:cs="Times New Roman"/>
          <w:color w:val="000000"/>
          <w:sz w:val="24"/>
          <w:szCs w:val="24"/>
          <w:lang w:eastAsia="en-GB"/>
        </w:rPr>
        <w:t xml:space="preserve"> (Табела 12 и График 23).</w:t>
      </w: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anchor distT="0" distB="0" distL="114300" distR="114300" simplePos="0" relativeHeight="251666944" behindDoc="1" locked="0" layoutInCell="1" allowOverlap="1">
            <wp:simplePos x="0" y="0"/>
            <wp:positionH relativeFrom="column">
              <wp:posOffset>869950</wp:posOffset>
            </wp:positionH>
            <wp:positionV relativeFrom="paragraph">
              <wp:posOffset>180340</wp:posOffset>
            </wp:positionV>
            <wp:extent cx="3702050" cy="2787650"/>
            <wp:effectExtent l="19050" t="0" r="0" b="0"/>
            <wp:wrapTight wrapText="bothSides">
              <wp:wrapPolygon edited="0">
                <wp:start x="-111" y="0"/>
                <wp:lineTo x="-111" y="21256"/>
                <wp:lineTo x="21563" y="21256"/>
                <wp:lineTo x="21563" y="0"/>
                <wp:lineTo x="-111" y="0"/>
              </wp:wrapPolygon>
            </wp:wrapTight>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39"/>
                    <a:srcRect/>
                    <a:stretch>
                      <a:fillRect/>
                    </a:stretch>
                  </pic:blipFill>
                  <pic:spPr bwMode="auto">
                    <a:xfrm>
                      <a:off x="0" y="0"/>
                      <a:ext cx="3702050" cy="2787650"/>
                    </a:xfrm>
                    <a:prstGeom prst="rect">
                      <a:avLst/>
                    </a:prstGeom>
                    <a:noFill/>
                    <a:ln w="9525">
                      <a:noFill/>
                      <a:miter lim="800000"/>
                      <a:headEnd/>
                      <a:tailEnd/>
                    </a:ln>
                  </pic:spPr>
                </pic:pic>
              </a:graphicData>
            </a:graphic>
          </wp:anchor>
        </w:drawing>
      </w: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2166F2">
      <w:pPr>
        <w:spacing w:after="200"/>
        <w:jc w:val="both"/>
        <w:rPr>
          <w:rFonts w:ascii="Times New Roman" w:hAnsi="Times New Roman" w:cs="Times New Roman"/>
          <w:color w:val="000000"/>
          <w:sz w:val="24"/>
          <w:szCs w:val="24"/>
        </w:rPr>
      </w:pPr>
    </w:p>
    <w:p w:rsidR="00405999" w:rsidRDefault="00405999" w:rsidP="00405999">
      <w:pPr>
        <w:jc w:val="center"/>
        <w:rPr>
          <w:rFonts w:ascii="Times New Roman" w:hAnsi="Times New Roman" w:cs="Times New Roman"/>
          <w:b/>
          <w:color w:val="000000"/>
          <w:sz w:val="20"/>
          <w:szCs w:val="20"/>
        </w:rPr>
      </w:pPr>
    </w:p>
    <w:p w:rsidR="00405999" w:rsidRDefault="00405999" w:rsidP="00405999">
      <w:pPr>
        <w:jc w:val="center"/>
        <w:rPr>
          <w:rFonts w:ascii="Times New Roman" w:hAnsi="Times New Roman" w:cs="Times New Roman"/>
          <w:b/>
          <w:color w:val="000000"/>
          <w:sz w:val="20"/>
          <w:szCs w:val="20"/>
        </w:rPr>
      </w:pPr>
      <w:r w:rsidRPr="000A1D74">
        <w:rPr>
          <w:rFonts w:ascii="Times New Roman" w:hAnsi="Times New Roman" w:cs="Times New Roman"/>
          <w:b/>
          <w:color w:val="000000"/>
          <w:sz w:val="20"/>
          <w:szCs w:val="20"/>
        </w:rPr>
        <w:t>График 2</w:t>
      </w:r>
      <w:r>
        <w:rPr>
          <w:rFonts w:ascii="Times New Roman" w:hAnsi="Times New Roman" w:cs="Times New Roman"/>
          <w:b/>
          <w:color w:val="000000"/>
          <w:sz w:val="20"/>
          <w:szCs w:val="20"/>
        </w:rPr>
        <w:t>3</w:t>
      </w:r>
      <w:r w:rsidRPr="000A1D74">
        <w:rPr>
          <w:rFonts w:ascii="Times New Roman" w:hAnsi="Times New Roman" w:cs="Times New Roman"/>
          <w:b/>
          <w:color w:val="000000"/>
          <w:sz w:val="20"/>
          <w:szCs w:val="20"/>
        </w:rPr>
        <w:t xml:space="preserve">. </w:t>
      </w:r>
      <w:r>
        <w:rPr>
          <w:rFonts w:ascii="Times New Roman" w:hAnsi="Times New Roman" w:cs="Times New Roman"/>
          <w:b/>
          <w:color w:val="000000"/>
          <w:sz w:val="20"/>
          <w:szCs w:val="20"/>
        </w:rPr>
        <w:t xml:space="preserve">Анализа на </w:t>
      </w:r>
      <w:r w:rsidRPr="000A1D74">
        <w:rPr>
          <w:rFonts w:ascii="Times New Roman" w:hAnsi="Times New Roman" w:cs="Times New Roman"/>
          <w:b/>
          <w:color w:val="000000"/>
          <w:sz w:val="20"/>
          <w:szCs w:val="20"/>
        </w:rPr>
        <w:t xml:space="preserve">IL-33 </w:t>
      </w:r>
      <w:r>
        <w:rPr>
          <w:rFonts w:ascii="Times New Roman" w:hAnsi="Times New Roman" w:cs="Times New Roman"/>
          <w:b/>
          <w:color w:val="000000"/>
          <w:sz w:val="20"/>
          <w:szCs w:val="20"/>
          <w:lang w:val="en-US"/>
        </w:rPr>
        <w:t>pg</w:t>
      </w:r>
      <w:r w:rsidRPr="00A926CA">
        <w:rPr>
          <w:rFonts w:ascii="Times New Roman" w:hAnsi="Times New Roman" w:cs="Times New Roman"/>
          <w:b/>
          <w:color w:val="000000"/>
          <w:sz w:val="20"/>
          <w:szCs w:val="20"/>
          <w:lang w:val="ru-RU"/>
        </w:rPr>
        <w:t>/</w:t>
      </w:r>
      <w:r>
        <w:rPr>
          <w:rFonts w:ascii="Times New Roman" w:hAnsi="Times New Roman" w:cs="Times New Roman"/>
          <w:b/>
          <w:color w:val="000000"/>
          <w:sz w:val="20"/>
          <w:szCs w:val="20"/>
          <w:lang w:val="en-US"/>
        </w:rPr>
        <w:t>mL</w:t>
      </w:r>
      <w:r w:rsidRPr="00A926CA">
        <w:rPr>
          <w:rFonts w:ascii="Times New Roman" w:hAnsi="Times New Roman" w:cs="Times New Roman"/>
          <w:b/>
          <w:color w:val="000000"/>
          <w:sz w:val="20"/>
          <w:szCs w:val="20"/>
          <w:lang w:val="ru-RU"/>
        </w:rPr>
        <w:t xml:space="preserve"> </w:t>
      </w:r>
      <w:r w:rsidRPr="000A1D74">
        <w:rPr>
          <w:rFonts w:ascii="Times New Roman" w:hAnsi="Times New Roman" w:cs="Times New Roman"/>
          <w:b/>
          <w:color w:val="000000"/>
          <w:sz w:val="20"/>
          <w:szCs w:val="20"/>
        </w:rPr>
        <w:t xml:space="preserve">во </w:t>
      </w:r>
      <w:r>
        <w:rPr>
          <w:rFonts w:ascii="Times New Roman" w:hAnsi="Times New Roman" w:cs="Times New Roman"/>
          <w:b/>
          <w:color w:val="000000"/>
          <w:sz w:val="20"/>
          <w:szCs w:val="20"/>
        </w:rPr>
        <w:t>салива</w:t>
      </w:r>
      <w:r w:rsidRPr="000A1D74">
        <w:rPr>
          <w:rFonts w:ascii="Times New Roman" w:hAnsi="Times New Roman" w:cs="Times New Roman"/>
          <w:b/>
          <w:color w:val="000000"/>
          <w:sz w:val="20"/>
          <w:szCs w:val="20"/>
        </w:rPr>
        <w:t xml:space="preserve"> кај бенигни</w:t>
      </w:r>
      <w:r>
        <w:rPr>
          <w:rFonts w:ascii="Times New Roman" w:hAnsi="Times New Roman" w:cs="Times New Roman"/>
          <w:b/>
          <w:color w:val="000000"/>
          <w:sz w:val="20"/>
          <w:szCs w:val="20"/>
        </w:rPr>
        <w:t xml:space="preserve"> и </w:t>
      </w:r>
      <w:r w:rsidRPr="000A1D74">
        <w:rPr>
          <w:rFonts w:ascii="Times New Roman" w:hAnsi="Times New Roman" w:cs="Times New Roman"/>
          <w:b/>
          <w:color w:val="000000"/>
          <w:sz w:val="20"/>
          <w:szCs w:val="20"/>
        </w:rPr>
        <w:t xml:space="preserve">малигни тумори на </w:t>
      </w:r>
    </w:p>
    <w:p w:rsidR="00405999" w:rsidRPr="00393EB8" w:rsidRDefault="00405999" w:rsidP="00405999">
      <w:pPr>
        <w:jc w:val="center"/>
        <w:rPr>
          <w:rFonts w:ascii="Times New Roman" w:hAnsi="Times New Roman" w:cs="Times New Roman"/>
          <w:b/>
          <w:color w:val="000000"/>
          <w:sz w:val="20"/>
          <w:szCs w:val="20"/>
        </w:rPr>
      </w:pPr>
      <w:r w:rsidRPr="000A1D74">
        <w:rPr>
          <w:rFonts w:ascii="Times New Roman" w:hAnsi="Times New Roman" w:cs="Times New Roman"/>
          <w:b/>
          <w:color w:val="000000"/>
          <w:sz w:val="20"/>
          <w:szCs w:val="20"/>
        </w:rPr>
        <w:t>паротидни жлезди и</w:t>
      </w:r>
      <w:r>
        <w:rPr>
          <w:rFonts w:ascii="Times New Roman" w:hAnsi="Times New Roman" w:cs="Times New Roman"/>
          <w:b/>
          <w:color w:val="000000"/>
          <w:sz w:val="20"/>
          <w:szCs w:val="20"/>
        </w:rPr>
        <w:t xml:space="preserve"> </w:t>
      </w:r>
      <w:r w:rsidRPr="000A1D74">
        <w:rPr>
          <w:rFonts w:ascii="Times New Roman" w:hAnsi="Times New Roman" w:cs="Times New Roman"/>
          <w:b/>
          <w:color w:val="000000"/>
          <w:sz w:val="20"/>
          <w:szCs w:val="20"/>
        </w:rPr>
        <w:t>контролна група</w:t>
      </w:r>
    </w:p>
    <w:p w:rsidR="00405999" w:rsidRDefault="00405999" w:rsidP="002166F2">
      <w:pPr>
        <w:spacing w:after="200"/>
        <w:jc w:val="both"/>
        <w:rPr>
          <w:rFonts w:ascii="Times New Roman" w:hAnsi="Times New Roman" w:cs="Times New Roman"/>
          <w:color w:val="000000"/>
          <w:sz w:val="24"/>
          <w:szCs w:val="24"/>
        </w:rPr>
      </w:pPr>
    </w:p>
    <w:p w:rsidR="000F0D27" w:rsidRPr="00C45CC4" w:rsidRDefault="000F0D27" w:rsidP="002166F2">
      <w:pPr>
        <w:spacing w:after="200"/>
        <w:jc w:val="both"/>
        <w:rPr>
          <w:rFonts w:ascii="Times New Roman" w:hAnsi="Times New Roman" w:cs="Times New Roman"/>
          <w:sz w:val="24"/>
          <w:szCs w:val="24"/>
        </w:rPr>
      </w:pPr>
      <w:r w:rsidRPr="005179E7">
        <w:rPr>
          <w:rFonts w:ascii="Times New Roman" w:hAnsi="Times New Roman" w:cs="Times New Roman"/>
          <w:color w:val="000000"/>
          <w:sz w:val="24"/>
          <w:szCs w:val="24"/>
        </w:rPr>
        <w:t xml:space="preserve">Во однос на </w:t>
      </w:r>
      <w:r w:rsidRPr="005179E7">
        <w:rPr>
          <w:rFonts w:ascii="Times New Roman" w:hAnsi="Times New Roman" w:cs="Times New Roman"/>
          <w:sz w:val="24"/>
          <w:szCs w:val="24"/>
        </w:rPr>
        <w:t xml:space="preserve">вредностите на </w:t>
      </w:r>
      <w:r w:rsidRPr="005179E7">
        <w:rPr>
          <w:rFonts w:ascii="Times New Roman" w:hAnsi="Times New Roman" w:cs="Times New Roman"/>
          <w:color w:val="000000"/>
          <w:sz w:val="24"/>
          <w:szCs w:val="24"/>
        </w:rPr>
        <w:t xml:space="preserve">IL-33 во </w:t>
      </w:r>
      <w:r w:rsidR="005179E7" w:rsidRPr="005179E7">
        <w:rPr>
          <w:rFonts w:ascii="Times New Roman" w:hAnsi="Times New Roman" w:cs="Times New Roman"/>
          <w:color w:val="000000"/>
          <w:sz w:val="24"/>
          <w:szCs w:val="24"/>
        </w:rPr>
        <w:t>салива</w:t>
      </w:r>
      <w:r w:rsidRPr="005179E7">
        <w:rPr>
          <w:rFonts w:ascii="Times New Roman" w:hAnsi="Times New Roman" w:cs="Times New Roman"/>
          <w:color w:val="000000"/>
          <w:sz w:val="24"/>
          <w:szCs w:val="24"/>
        </w:rPr>
        <w:t xml:space="preserve">, направена беше и споредба на контролната група испитаници со </w:t>
      </w:r>
      <w:r w:rsidR="005179E7" w:rsidRPr="005179E7">
        <w:rPr>
          <w:rFonts w:ascii="Times New Roman" w:hAnsi="Times New Roman" w:cs="Times New Roman"/>
          <w:color w:val="000000"/>
          <w:sz w:val="24"/>
          <w:szCs w:val="24"/>
        </w:rPr>
        <w:t xml:space="preserve">пациентите со </w:t>
      </w:r>
      <w:r w:rsidRPr="005179E7">
        <w:rPr>
          <w:rFonts w:ascii="Times New Roman" w:hAnsi="Times New Roman" w:cs="Times New Roman"/>
          <w:color w:val="000000"/>
          <w:sz w:val="24"/>
          <w:szCs w:val="24"/>
        </w:rPr>
        <w:t>малигни тумори на паротидните жлезди од испитуваната гр</w:t>
      </w:r>
      <w:r w:rsidRPr="00A926CA">
        <w:rPr>
          <w:rFonts w:ascii="Times New Roman" w:hAnsi="Times New Roman" w:cs="Times New Roman"/>
          <w:color w:val="000000"/>
          <w:sz w:val="24"/>
          <w:szCs w:val="24"/>
          <w:lang w:val="ru-RU"/>
        </w:rPr>
        <w:t>у</w:t>
      </w:r>
      <w:r w:rsidRPr="005179E7">
        <w:rPr>
          <w:rFonts w:ascii="Times New Roman" w:hAnsi="Times New Roman" w:cs="Times New Roman"/>
          <w:color w:val="000000"/>
          <w:sz w:val="24"/>
          <w:szCs w:val="24"/>
        </w:rPr>
        <w:t>па (Табела 1</w:t>
      </w:r>
      <w:r w:rsidR="005179E7" w:rsidRPr="005179E7">
        <w:rPr>
          <w:rFonts w:ascii="Times New Roman" w:hAnsi="Times New Roman" w:cs="Times New Roman"/>
          <w:color w:val="000000"/>
          <w:sz w:val="24"/>
          <w:szCs w:val="24"/>
        </w:rPr>
        <w:t>3</w:t>
      </w:r>
      <w:r w:rsidRPr="005179E7">
        <w:rPr>
          <w:rFonts w:ascii="Times New Roman" w:hAnsi="Times New Roman" w:cs="Times New Roman"/>
          <w:color w:val="000000"/>
          <w:sz w:val="24"/>
          <w:szCs w:val="24"/>
        </w:rPr>
        <w:t xml:space="preserve">). </w:t>
      </w:r>
      <w:r w:rsidRPr="005179E7">
        <w:rPr>
          <w:rFonts w:ascii="Times New Roman" w:hAnsi="Times New Roman" w:cs="Times New Roman"/>
          <w:sz w:val="24"/>
          <w:szCs w:val="24"/>
        </w:rPr>
        <w:t>Просечната вредност на</w:t>
      </w:r>
      <w:r w:rsidRPr="005179E7">
        <w:rPr>
          <w:rFonts w:ascii="Times New Roman" w:hAnsi="Times New Roman" w:cs="Times New Roman"/>
          <w:color w:val="000000"/>
          <w:sz w:val="24"/>
          <w:szCs w:val="24"/>
        </w:rPr>
        <w:t xml:space="preserve"> нивото на IL-33 во </w:t>
      </w:r>
      <w:r w:rsidR="005179E7" w:rsidRPr="005179E7">
        <w:rPr>
          <w:rFonts w:ascii="Times New Roman" w:hAnsi="Times New Roman" w:cs="Times New Roman"/>
          <w:color w:val="000000"/>
          <w:sz w:val="24"/>
          <w:szCs w:val="24"/>
        </w:rPr>
        <w:t xml:space="preserve">салива </w:t>
      </w:r>
      <w:r w:rsidRPr="005179E7">
        <w:rPr>
          <w:rFonts w:ascii="Times New Roman" w:hAnsi="Times New Roman" w:cs="Times New Roman"/>
          <w:color w:val="000000"/>
          <w:sz w:val="24"/>
          <w:szCs w:val="24"/>
        </w:rPr>
        <w:t xml:space="preserve">кај малигните тумори изнесуваше </w:t>
      </w:r>
      <w:r w:rsidR="005179E7" w:rsidRPr="005179E7">
        <w:rPr>
          <w:rFonts w:ascii="Times New Roman" w:hAnsi="Times New Roman" w:cs="Times New Roman"/>
          <w:sz w:val="24"/>
          <w:szCs w:val="24"/>
        </w:rPr>
        <w:t xml:space="preserve">4,82±0,15 </w:t>
      </w:r>
      <w:r w:rsidRPr="005179E7">
        <w:rPr>
          <w:rFonts w:ascii="Times New Roman" w:hAnsi="Times New Roman" w:cs="Times New Roman"/>
          <w:sz w:val="24"/>
          <w:szCs w:val="24"/>
        </w:rPr>
        <w:t xml:space="preserve">со </w:t>
      </w:r>
      <w:r w:rsidRPr="005179E7">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5179E7">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sidR="005179E7" w:rsidRPr="005179E7">
        <w:rPr>
          <w:rFonts w:ascii="Times New Roman" w:hAnsi="Times New Roman" w:cs="Times New Roman"/>
          <w:bCs/>
          <w:color w:val="000000"/>
          <w:sz w:val="24"/>
          <w:szCs w:val="24"/>
        </w:rPr>
        <w:t>4,85 (4,68-4,85)</w:t>
      </w:r>
      <w:r w:rsidRPr="005179E7">
        <w:rPr>
          <w:rFonts w:ascii="Times New Roman" w:hAnsi="Times New Roman" w:cs="Times New Roman"/>
          <w:sz w:val="24"/>
          <w:szCs w:val="24"/>
        </w:rPr>
        <w:t xml:space="preserve">, а во контролната група  изнесуваше </w:t>
      </w:r>
      <w:r w:rsidR="005179E7" w:rsidRPr="005179E7">
        <w:rPr>
          <w:rFonts w:ascii="Times New Roman" w:hAnsi="Times New Roman" w:cs="Times New Roman"/>
          <w:sz w:val="24"/>
          <w:szCs w:val="24"/>
        </w:rPr>
        <w:t xml:space="preserve">4,73±0,56 </w:t>
      </w:r>
      <w:r w:rsidRPr="005179E7">
        <w:rPr>
          <w:rFonts w:ascii="Times New Roman" w:hAnsi="Times New Roman" w:cs="Times New Roman"/>
          <w:sz w:val="24"/>
          <w:szCs w:val="24"/>
        </w:rPr>
        <w:t xml:space="preserve">со </w:t>
      </w:r>
      <w:r w:rsidRPr="005179E7">
        <w:rPr>
          <w:rFonts w:ascii="Times New Roman" w:hAnsi="Times New Roman" w:cs="Times New Roman"/>
          <w:sz w:val="24"/>
          <w:szCs w:val="24"/>
          <w:lang w:val="en-US"/>
        </w:rPr>
        <w:t>Median</w:t>
      </w:r>
      <w:r w:rsidRPr="00A926CA">
        <w:rPr>
          <w:rFonts w:ascii="Times New Roman" w:hAnsi="Times New Roman" w:cs="Times New Roman"/>
          <w:sz w:val="24"/>
          <w:szCs w:val="24"/>
          <w:lang w:val="ru-RU"/>
        </w:rPr>
        <w:t xml:space="preserve"> </w:t>
      </w:r>
      <w:r w:rsidRPr="005179E7">
        <w:rPr>
          <w:rFonts w:ascii="Times New Roman" w:hAnsi="Times New Roman" w:cs="Times New Roman"/>
          <w:sz w:val="24"/>
          <w:szCs w:val="24"/>
          <w:lang w:val="en-US"/>
        </w:rPr>
        <w:t>IQR</w:t>
      </w:r>
      <w:r w:rsidRPr="00A926CA">
        <w:rPr>
          <w:rFonts w:ascii="Times New Roman" w:hAnsi="Times New Roman" w:cs="Times New Roman"/>
          <w:sz w:val="24"/>
          <w:szCs w:val="24"/>
          <w:lang w:val="ru-RU"/>
        </w:rPr>
        <w:t>=</w:t>
      </w:r>
      <w:r w:rsidR="005179E7" w:rsidRPr="005179E7">
        <w:rPr>
          <w:rFonts w:ascii="Times New Roman" w:hAnsi="Times New Roman" w:cs="Times New Roman"/>
          <w:bCs/>
          <w:color w:val="000000"/>
          <w:sz w:val="24"/>
          <w:szCs w:val="24"/>
        </w:rPr>
        <w:t>4,85 (4,68-4,85)</w:t>
      </w:r>
      <w:r w:rsidRPr="005179E7">
        <w:rPr>
          <w:rFonts w:ascii="Times New Roman" w:hAnsi="Times New Roman" w:cs="Times New Roman"/>
          <w:bCs/>
          <w:color w:val="000000"/>
          <w:sz w:val="24"/>
          <w:szCs w:val="24"/>
        </w:rPr>
        <w:t xml:space="preserve">. </w:t>
      </w:r>
      <w:r w:rsidRPr="005179E7">
        <w:rPr>
          <w:rFonts w:ascii="Times New Roman" w:hAnsi="Times New Roman" w:cs="Times New Roman"/>
          <w:sz w:val="24"/>
          <w:szCs w:val="24"/>
        </w:rPr>
        <w:t xml:space="preserve">За </w:t>
      </w:r>
      <w:r w:rsidRPr="005179E7">
        <w:rPr>
          <w:rFonts w:ascii="Times New Roman" w:hAnsi="Times New Roman" w:cs="Times New Roman"/>
          <w:color w:val="000000"/>
          <w:sz w:val="24"/>
          <w:szCs w:val="24"/>
        </w:rPr>
        <w:t xml:space="preserve">p&gt;0,05, </w:t>
      </w:r>
      <w:r w:rsidR="005179E7" w:rsidRPr="005179E7">
        <w:rPr>
          <w:rFonts w:ascii="Times New Roman" w:hAnsi="Times New Roman" w:cs="Times New Roman"/>
          <w:color w:val="000000"/>
          <w:sz w:val="24"/>
          <w:szCs w:val="24"/>
        </w:rPr>
        <w:t>утврдено беше дека IL-33 во салива кај пациентите со малигни тумори од испитуваната</w:t>
      </w:r>
      <w:r w:rsidR="005179E7" w:rsidRPr="000F0D27">
        <w:rPr>
          <w:rFonts w:ascii="Times New Roman" w:hAnsi="Times New Roman" w:cs="Times New Roman"/>
          <w:color w:val="000000"/>
          <w:sz w:val="24"/>
          <w:szCs w:val="24"/>
        </w:rPr>
        <w:t xml:space="preserve"> група беше несигнификантно </w:t>
      </w:r>
      <w:r w:rsidR="005179E7">
        <w:rPr>
          <w:rFonts w:ascii="Times New Roman" w:hAnsi="Times New Roman" w:cs="Times New Roman"/>
          <w:color w:val="000000"/>
          <w:sz w:val="24"/>
          <w:szCs w:val="24"/>
        </w:rPr>
        <w:t>повисока</w:t>
      </w:r>
      <w:r w:rsidR="005179E7" w:rsidRPr="000F0D27">
        <w:rPr>
          <w:rFonts w:ascii="Times New Roman" w:hAnsi="Times New Roman" w:cs="Times New Roman"/>
          <w:color w:val="000000"/>
          <w:sz w:val="24"/>
          <w:szCs w:val="24"/>
        </w:rPr>
        <w:t xml:space="preserve"> од IL-33 во салива во контролната група на здрави пациенти </w:t>
      </w:r>
      <w:r w:rsidRPr="00C45CC4">
        <w:rPr>
          <w:rFonts w:ascii="Times New Roman" w:hAnsi="Times New Roman" w:cs="Times New Roman"/>
          <w:color w:val="000000"/>
          <w:sz w:val="24"/>
          <w:szCs w:val="24"/>
        </w:rPr>
        <w:t xml:space="preserve">за </w:t>
      </w:r>
      <w:r w:rsidRPr="00C45CC4">
        <w:rPr>
          <w:rFonts w:ascii="Times New Roman" w:hAnsi="Times New Roman" w:cs="Times New Roman"/>
          <w:color w:val="000000"/>
          <w:sz w:val="24"/>
          <w:szCs w:val="24"/>
          <w:lang w:val="en-US" w:eastAsia="mk-MK"/>
        </w:rPr>
        <w:t>Mann</w:t>
      </w:r>
      <w:r w:rsidRPr="00A926CA">
        <w:rPr>
          <w:rFonts w:ascii="Times New Roman" w:hAnsi="Times New Roman" w:cs="Times New Roman"/>
          <w:color w:val="000000"/>
          <w:sz w:val="24"/>
          <w:szCs w:val="24"/>
          <w:lang w:val="ru-RU" w:eastAsia="mk-MK"/>
        </w:rPr>
        <w:t xml:space="preserve"> </w:t>
      </w:r>
      <w:r w:rsidRPr="00C45CC4">
        <w:rPr>
          <w:rFonts w:ascii="Times New Roman" w:hAnsi="Times New Roman" w:cs="Times New Roman"/>
          <w:color w:val="000000"/>
          <w:sz w:val="24"/>
          <w:szCs w:val="24"/>
          <w:lang w:val="en-US" w:eastAsia="mk-MK"/>
        </w:rPr>
        <w:t>Whitney</w:t>
      </w:r>
      <w:r w:rsidRPr="00A926CA">
        <w:rPr>
          <w:rFonts w:ascii="Times New Roman" w:hAnsi="Times New Roman" w:cs="Times New Roman"/>
          <w:color w:val="000000"/>
          <w:sz w:val="24"/>
          <w:szCs w:val="24"/>
          <w:lang w:val="ru-RU" w:eastAsia="mk-MK"/>
        </w:rPr>
        <w:t xml:space="preserve"> </w:t>
      </w:r>
      <w:r w:rsidRPr="00C45CC4">
        <w:rPr>
          <w:rFonts w:ascii="Times New Roman" w:hAnsi="Times New Roman" w:cs="Times New Roman"/>
          <w:color w:val="000000"/>
          <w:sz w:val="24"/>
          <w:szCs w:val="24"/>
          <w:lang w:val="en-US" w:eastAsia="mk-MK"/>
        </w:rPr>
        <w:t>U</w:t>
      </w:r>
      <w:r w:rsidRPr="00A926CA">
        <w:rPr>
          <w:rFonts w:ascii="Times New Roman" w:hAnsi="Times New Roman" w:cs="Times New Roman"/>
          <w:color w:val="000000"/>
          <w:sz w:val="24"/>
          <w:szCs w:val="24"/>
          <w:lang w:val="ru-RU" w:eastAsia="mk-MK"/>
        </w:rPr>
        <w:t xml:space="preserve"> </w:t>
      </w:r>
      <w:r w:rsidRPr="00C45CC4">
        <w:rPr>
          <w:rFonts w:ascii="Times New Roman" w:hAnsi="Times New Roman" w:cs="Times New Roman"/>
          <w:color w:val="000000"/>
          <w:sz w:val="24"/>
          <w:szCs w:val="24"/>
          <w:lang w:val="en-US" w:eastAsia="mk-MK"/>
        </w:rPr>
        <w:t>test</w:t>
      </w:r>
      <w:r w:rsidRPr="00A926CA">
        <w:rPr>
          <w:rFonts w:ascii="Times New Roman" w:hAnsi="Times New Roman" w:cs="Times New Roman"/>
          <w:color w:val="000000"/>
          <w:sz w:val="24"/>
          <w:szCs w:val="24"/>
          <w:lang w:val="ru-RU" w:eastAsia="mk-MK"/>
        </w:rPr>
        <w:t xml:space="preserve">: </w:t>
      </w:r>
      <w:r w:rsidRPr="00C45CC4">
        <w:rPr>
          <w:rFonts w:ascii="Times New Roman" w:hAnsi="Times New Roman" w:cs="Times New Roman"/>
          <w:color w:val="000000"/>
          <w:sz w:val="24"/>
          <w:szCs w:val="24"/>
        </w:rPr>
        <w:t>Z=0,126; p=0,8994</w:t>
      </w:r>
      <w:r w:rsidRPr="00C45CC4">
        <w:rPr>
          <w:rFonts w:ascii="Times New Roman" w:hAnsi="Times New Roman" w:cs="Times New Roman"/>
          <w:color w:val="000000"/>
          <w:sz w:val="24"/>
          <w:szCs w:val="24"/>
          <w:lang w:eastAsia="en-GB"/>
        </w:rPr>
        <w:t xml:space="preserve"> (Табела 1</w:t>
      </w:r>
      <w:r w:rsidR="005179E7">
        <w:rPr>
          <w:rFonts w:ascii="Times New Roman" w:hAnsi="Times New Roman" w:cs="Times New Roman"/>
          <w:color w:val="000000"/>
          <w:sz w:val="24"/>
          <w:szCs w:val="24"/>
          <w:lang w:eastAsia="en-GB"/>
        </w:rPr>
        <w:t>3</w:t>
      </w:r>
      <w:r>
        <w:rPr>
          <w:rFonts w:ascii="Times New Roman" w:hAnsi="Times New Roman" w:cs="Times New Roman"/>
          <w:color w:val="000000"/>
          <w:sz w:val="24"/>
          <w:szCs w:val="24"/>
          <w:lang w:eastAsia="en-GB"/>
        </w:rPr>
        <w:t xml:space="preserve"> и График 2</w:t>
      </w:r>
      <w:r w:rsidR="0086794C">
        <w:rPr>
          <w:rFonts w:ascii="Times New Roman" w:hAnsi="Times New Roman" w:cs="Times New Roman"/>
          <w:color w:val="000000"/>
          <w:sz w:val="24"/>
          <w:szCs w:val="24"/>
          <w:lang w:eastAsia="en-GB"/>
        </w:rPr>
        <w:t>3</w:t>
      </w:r>
      <w:r w:rsidRPr="00C45CC4">
        <w:rPr>
          <w:rFonts w:ascii="Times New Roman" w:hAnsi="Times New Roman" w:cs="Times New Roman"/>
          <w:color w:val="000000"/>
          <w:sz w:val="24"/>
          <w:szCs w:val="24"/>
          <w:lang w:eastAsia="en-GB"/>
        </w:rPr>
        <w:t>)</w:t>
      </w:r>
      <w:r w:rsidR="005179E7">
        <w:rPr>
          <w:rFonts w:ascii="Times New Roman" w:hAnsi="Times New Roman" w:cs="Times New Roman"/>
          <w:color w:val="000000"/>
          <w:sz w:val="24"/>
          <w:szCs w:val="24"/>
          <w:lang w:eastAsia="en-GB"/>
        </w:rPr>
        <w:t>.</w:t>
      </w: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spacing w:line="360" w:lineRule="auto"/>
        <w:jc w:val="both"/>
        <w:rPr>
          <w:rFonts w:ascii="Times New Roman" w:hAnsi="Times New Roman" w:cs="Times New Roman"/>
          <w:b/>
          <w:color w:val="000000"/>
          <w:sz w:val="20"/>
          <w:szCs w:val="20"/>
          <w:highlight w:val="yellow"/>
        </w:rPr>
      </w:pPr>
    </w:p>
    <w:p w:rsidR="0086794C" w:rsidRDefault="0086794C" w:rsidP="0086794C">
      <w:pPr>
        <w:jc w:val="center"/>
        <w:rPr>
          <w:rFonts w:ascii="Times New Roman" w:hAnsi="Times New Roman" w:cs="Times New Roman"/>
          <w:b/>
          <w:color w:val="000000"/>
          <w:sz w:val="20"/>
          <w:szCs w:val="20"/>
        </w:rPr>
      </w:pPr>
    </w:p>
    <w:p w:rsidR="0086794C" w:rsidRDefault="0086794C" w:rsidP="0086794C">
      <w:pPr>
        <w:jc w:val="center"/>
        <w:rPr>
          <w:rFonts w:ascii="Times New Roman" w:hAnsi="Times New Roman" w:cs="Times New Roman"/>
          <w:b/>
          <w:color w:val="000000"/>
          <w:sz w:val="20"/>
          <w:szCs w:val="20"/>
        </w:rPr>
      </w:pPr>
    </w:p>
    <w:p w:rsidR="0086794C" w:rsidRDefault="0086794C" w:rsidP="0086794C">
      <w:pPr>
        <w:jc w:val="center"/>
        <w:rPr>
          <w:rFonts w:ascii="Times New Roman" w:hAnsi="Times New Roman" w:cs="Times New Roman"/>
          <w:b/>
          <w:color w:val="000000"/>
          <w:sz w:val="20"/>
          <w:szCs w:val="20"/>
        </w:rPr>
      </w:pPr>
    </w:p>
    <w:p w:rsidR="0086794C" w:rsidRDefault="0086794C" w:rsidP="0086794C">
      <w:pPr>
        <w:jc w:val="center"/>
        <w:rPr>
          <w:rFonts w:ascii="Times New Roman" w:hAnsi="Times New Roman" w:cs="Times New Roman"/>
          <w:b/>
          <w:color w:val="000000"/>
          <w:sz w:val="20"/>
          <w:szCs w:val="20"/>
        </w:rPr>
      </w:pPr>
    </w:p>
    <w:p w:rsidR="0086794C" w:rsidRDefault="0086794C" w:rsidP="0086794C">
      <w:pPr>
        <w:jc w:val="center"/>
        <w:rPr>
          <w:rFonts w:ascii="Times New Roman" w:hAnsi="Times New Roman" w:cs="Times New Roman"/>
          <w:b/>
          <w:color w:val="000000"/>
          <w:sz w:val="20"/>
          <w:szCs w:val="20"/>
        </w:rPr>
      </w:pPr>
    </w:p>
    <w:p w:rsidR="00405999" w:rsidRDefault="00405999" w:rsidP="00405999">
      <w:pPr>
        <w:spacing w:after="200"/>
        <w:jc w:val="both"/>
        <w:rPr>
          <w:rFonts w:ascii="Times New Roman" w:hAnsi="Times New Roman" w:cs="Times New Roman"/>
          <w:b/>
          <w:color w:val="000000"/>
          <w:sz w:val="20"/>
          <w:szCs w:val="20"/>
        </w:rPr>
      </w:pPr>
    </w:p>
    <w:p w:rsidR="00405999" w:rsidRDefault="00405999" w:rsidP="00405999">
      <w:pPr>
        <w:spacing w:after="200"/>
        <w:jc w:val="both"/>
        <w:rPr>
          <w:rFonts w:ascii="Times New Roman" w:hAnsi="Times New Roman" w:cs="Times New Roman"/>
          <w:b/>
          <w:color w:val="000000"/>
          <w:sz w:val="20"/>
          <w:szCs w:val="20"/>
        </w:rPr>
      </w:pPr>
    </w:p>
    <w:p w:rsidR="00405999" w:rsidRDefault="00405999" w:rsidP="00405999">
      <w:pPr>
        <w:spacing w:after="200"/>
        <w:jc w:val="both"/>
        <w:rPr>
          <w:rFonts w:ascii="Times New Roman" w:hAnsi="Times New Roman" w:cs="Times New Roman"/>
          <w:b/>
          <w:color w:val="000000"/>
          <w:sz w:val="20"/>
          <w:szCs w:val="20"/>
        </w:rPr>
      </w:pPr>
    </w:p>
    <w:p w:rsidR="00AB2C11" w:rsidRPr="00AB2C11" w:rsidRDefault="00446A60" w:rsidP="00405999">
      <w:pPr>
        <w:spacing w:after="200"/>
        <w:jc w:val="both"/>
        <w:rPr>
          <w:rFonts w:ascii="Times New Roman" w:hAnsi="Times New Roman" w:cs="Times New Roman"/>
          <w:color w:val="000000"/>
          <w:sz w:val="24"/>
          <w:szCs w:val="24"/>
        </w:rPr>
      </w:pPr>
      <w:r>
        <w:rPr>
          <w:noProof/>
          <w:lang w:val="en-US"/>
        </w:rPr>
        <w:drawing>
          <wp:anchor distT="0" distB="0" distL="114300" distR="114300" simplePos="0" relativeHeight="251667968" behindDoc="1" locked="0" layoutInCell="1" allowOverlap="1">
            <wp:simplePos x="0" y="0"/>
            <wp:positionH relativeFrom="column">
              <wp:posOffset>966470</wp:posOffset>
            </wp:positionH>
            <wp:positionV relativeFrom="paragraph">
              <wp:posOffset>1406525</wp:posOffset>
            </wp:positionV>
            <wp:extent cx="3657600" cy="2747645"/>
            <wp:effectExtent l="19050" t="0" r="0" b="0"/>
            <wp:wrapTight wrapText="bothSides">
              <wp:wrapPolygon edited="0">
                <wp:start x="-113" y="0"/>
                <wp:lineTo x="-113" y="21266"/>
                <wp:lineTo x="21600" y="21266"/>
                <wp:lineTo x="21600" y="0"/>
                <wp:lineTo x="-113" y="0"/>
              </wp:wrapPolygon>
            </wp:wrapTight>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40"/>
                    <a:srcRect/>
                    <a:stretch>
                      <a:fillRect/>
                    </a:stretch>
                  </pic:blipFill>
                  <pic:spPr bwMode="auto">
                    <a:xfrm>
                      <a:off x="0" y="0"/>
                      <a:ext cx="3657600" cy="2747645"/>
                    </a:xfrm>
                    <a:prstGeom prst="rect">
                      <a:avLst/>
                    </a:prstGeom>
                    <a:noFill/>
                    <a:ln w="9525">
                      <a:noFill/>
                      <a:miter lim="800000"/>
                      <a:headEnd/>
                      <a:tailEnd/>
                    </a:ln>
                  </pic:spPr>
                </pic:pic>
              </a:graphicData>
            </a:graphic>
          </wp:anchor>
        </w:drawing>
      </w:r>
      <w:r w:rsidR="00AB2C11" w:rsidRPr="00AB2C11">
        <w:rPr>
          <w:rFonts w:ascii="Times New Roman" w:hAnsi="Times New Roman" w:cs="Times New Roman"/>
          <w:noProof/>
          <w:sz w:val="24"/>
          <w:szCs w:val="24"/>
        </w:rPr>
        <w:t>Кај</w:t>
      </w:r>
      <w:r w:rsidR="00AB2C11" w:rsidRPr="00AB2C11">
        <w:rPr>
          <w:rFonts w:ascii="Times New Roman" w:hAnsi="Times New Roman" w:cs="Times New Roman"/>
          <w:sz w:val="24"/>
          <w:szCs w:val="24"/>
        </w:rPr>
        <w:t xml:space="preserve"> бенигни тумори на паротидните жлезди во испитуваната група највисока просечна вредност на </w:t>
      </w:r>
      <w:r w:rsidR="00AB2C11" w:rsidRPr="00AB2C11">
        <w:rPr>
          <w:rFonts w:ascii="Times New Roman" w:hAnsi="Times New Roman" w:cs="Times New Roman"/>
          <w:color w:val="000000"/>
          <w:sz w:val="24"/>
          <w:szCs w:val="24"/>
        </w:rPr>
        <w:t xml:space="preserve">IL-33 во салива </w:t>
      </w:r>
      <w:r w:rsidR="00AB2C11" w:rsidRPr="00A926CA">
        <w:rPr>
          <w:rFonts w:ascii="Times New Roman" w:hAnsi="Times New Roman" w:cs="Times New Roman"/>
          <w:color w:val="000000"/>
          <w:sz w:val="24"/>
          <w:szCs w:val="24"/>
          <w:lang w:val="ru-RU"/>
        </w:rPr>
        <w:t>беше регистриран</w:t>
      </w:r>
      <w:r w:rsidR="00AB2C11" w:rsidRPr="00AB2C11">
        <w:rPr>
          <w:rFonts w:ascii="Times New Roman" w:hAnsi="Times New Roman" w:cs="Times New Roman"/>
          <w:color w:val="000000"/>
          <w:sz w:val="24"/>
          <w:szCs w:val="24"/>
        </w:rPr>
        <w:t xml:space="preserve">а кај </w:t>
      </w:r>
      <w:r w:rsidR="00AB2C11" w:rsidRPr="00AB2C11">
        <w:rPr>
          <w:rFonts w:ascii="Times New Roman" w:hAnsi="Times New Roman" w:cs="Times New Roman"/>
          <w:sz w:val="24"/>
          <w:szCs w:val="24"/>
        </w:rPr>
        <w:t xml:space="preserve">WT - 4,83±0,22, </w:t>
      </w:r>
      <w:r w:rsidR="00AB2C11" w:rsidRPr="00A926CA">
        <w:rPr>
          <w:rFonts w:ascii="Times New Roman" w:hAnsi="Times New Roman" w:cs="Times New Roman"/>
          <w:sz w:val="24"/>
          <w:szCs w:val="24"/>
          <w:lang w:val="ru-RU"/>
        </w:rPr>
        <w:t xml:space="preserve">следено со </w:t>
      </w:r>
      <w:r w:rsidR="00AB2C11" w:rsidRPr="00AB2C11">
        <w:rPr>
          <w:rFonts w:ascii="Times New Roman" w:hAnsi="Times New Roman" w:cs="Times New Roman"/>
          <w:sz w:val="24"/>
          <w:szCs w:val="24"/>
          <w:lang w:val="en-US"/>
        </w:rPr>
        <w:t>Pa</w:t>
      </w:r>
      <w:r w:rsidR="00AB2C11" w:rsidRPr="00A926CA">
        <w:rPr>
          <w:rFonts w:ascii="Times New Roman" w:hAnsi="Times New Roman" w:cs="Times New Roman"/>
          <w:sz w:val="24"/>
          <w:szCs w:val="24"/>
          <w:lang w:val="ru-RU"/>
        </w:rPr>
        <w:t xml:space="preserve"> - </w:t>
      </w:r>
      <w:r w:rsidR="00AB2C11" w:rsidRPr="00AB2C11">
        <w:rPr>
          <w:rFonts w:ascii="Times New Roman" w:hAnsi="Times New Roman" w:cs="Times New Roman"/>
          <w:sz w:val="24"/>
          <w:szCs w:val="24"/>
        </w:rPr>
        <w:t>4,78±0,12, а најниска кај</w:t>
      </w:r>
      <w:r w:rsidR="00AB2C11" w:rsidRPr="00AB2C11">
        <w:rPr>
          <w:rFonts w:ascii="Times New Roman" w:hAnsi="Times New Roman" w:cs="Times New Roman"/>
          <w:color w:val="000000"/>
          <w:sz w:val="24"/>
          <w:szCs w:val="24"/>
        </w:rPr>
        <w:t xml:space="preserve"> BA - </w:t>
      </w:r>
      <w:r w:rsidR="00AB2C11" w:rsidRPr="00AB2C11">
        <w:rPr>
          <w:rFonts w:ascii="Times New Roman" w:hAnsi="Times New Roman" w:cs="Times New Roman"/>
          <w:sz w:val="24"/>
          <w:szCs w:val="24"/>
        </w:rPr>
        <w:t xml:space="preserve">4,68±0,24. За </w:t>
      </w:r>
      <w:r w:rsidR="00AB2C11" w:rsidRPr="00AB2C11">
        <w:rPr>
          <w:rFonts w:ascii="Times New Roman" w:hAnsi="Times New Roman" w:cs="Times New Roman"/>
          <w:color w:val="000000"/>
          <w:sz w:val="24"/>
          <w:szCs w:val="24"/>
        </w:rPr>
        <w:t>p&gt;0,05, немаше сигнификантна разлика меѓу трите типови на бенигни тумори (WT, BA, Pa) во однос на нивото на IL-33 во салива</w:t>
      </w:r>
      <w:r w:rsidR="00AB2C11" w:rsidRPr="00A926CA">
        <w:rPr>
          <w:rFonts w:ascii="Times New Roman" w:hAnsi="Times New Roman" w:cs="Times New Roman"/>
          <w:color w:val="000000"/>
          <w:sz w:val="24"/>
          <w:szCs w:val="24"/>
          <w:lang w:val="ru-RU"/>
        </w:rPr>
        <w:t xml:space="preserve"> за </w:t>
      </w:r>
      <w:r w:rsidR="00AB2C11" w:rsidRPr="00AB2C11">
        <w:rPr>
          <w:rFonts w:ascii="Times New Roman" w:hAnsi="Times New Roman"/>
          <w:color w:val="000000"/>
          <w:sz w:val="24"/>
          <w:szCs w:val="24"/>
        </w:rPr>
        <w:t xml:space="preserve">Kruskal-Wallis </w:t>
      </w:r>
      <w:r w:rsidR="00AB2C11" w:rsidRPr="00AB2C11">
        <w:rPr>
          <w:rFonts w:ascii="Times New Roman" w:hAnsi="Times New Roman"/>
          <w:color w:val="000000"/>
          <w:sz w:val="24"/>
          <w:szCs w:val="24"/>
          <w:lang w:val="en-US"/>
        </w:rPr>
        <w:t>H</w:t>
      </w:r>
      <w:r w:rsidR="00AB2C11" w:rsidRPr="00A926CA">
        <w:rPr>
          <w:rFonts w:ascii="Times New Roman" w:hAnsi="Times New Roman"/>
          <w:color w:val="000000"/>
          <w:sz w:val="24"/>
          <w:szCs w:val="24"/>
          <w:lang w:val="ru-RU"/>
        </w:rPr>
        <w:t xml:space="preserve"> </w:t>
      </w:r>
      <w:r w:rsidR="00AB2C11" w:rsidRPr="00AB2C11">
        <w:rPr>
          <w:rFonts w:ascii="Times New Roman" w:hAnsi="Times New Roman"/>
          <w:color w:val="000000"/>
          <w:sz w:val="24"/>
          <w:szCs w:val="24"/>
        </w:rPr>
        <w:t>test=</w:t>
      </w:r>
      <w:r w:rsidR="00AB2C11" w:rsidRPr="00AB2C11">
        <w:rPr>
          <w:rFonts w:ascii="Times New Roman" w:hAnsi="Times New Roman" w:cs="Times New Roman"/>
          <w:color w:val="000000"/>
          <w:sz w:val="24"/>
          <w:szCs w:val="24"/>
        </w:rPr>
        <w:t xml:space="preserve"> X</w:t>
      </w:r>
      <w:r w:rsidR="00AB2C11" w:rsidRPr="00AB2C11">
        <w:rPr>
          <w:rFonts w:ascii="Times New Roman" w:hAnsi="Times New Roman" w:cs="Times New Roman"/>
          <w:color w:val="000000"/>
          <w:sz w:val="24"/>
          <w:szCs w:val="24"/>
          <w:vertAlign w:val="superscript"/>
        </w:rPr>
        <w:t>2</w:t>
      </w:r>
      <w:r w:rsidR="00AB2C11" w:rsidRPr="00AB2C11">
        <w:rPr>
          <w:rFonts w:ascii="Times New Roman" w:hAnsi="Times New Roman" w:cs="Times New Roman"/>
          <w:color w:val="000000"/>
          <w:sz w:val="24"/>
          <w:szCs w:val="24"/>
          <w:vertAlign w:val="subscript"/>
        </w:rPr>
        <w:t>(2)</w:t>
      </w:r>
      <w:r w:rsidR="00AB2C11" w:rsidRPr="00AB2C11">
        <w:rPr>
          <w:rFonts w:ascii="Times New Roman" w:hAnsi="Times New Roman" w:cs="Times New Roman"/>
          <w:color w:val="000000"/>
          <w:sz w:val="24"/>
          <w:szCs w:val="24"/>
        </w:rPr>
        <w:t>=</w:t>
      </w:r>
      <w:r w:rsidR="00AB2C11" w:rsidRPr="00A926CA">
        <w:rPr>
          <w:rFonts w:ascii="Times New Roman" w:hAnsi="Times New Roman" w:cs="Times New Roman"/>
          <w:color w:val="000000"/>
          <w:sz w:val="24"/>
          <w:szCs w:val="24"/>
          <w:lang w:val="ru-RU"/>
        </w:rPr>
        <w:t>4,233</w:t>
      </w:r>
      <w:r w:rsidR="00AB2C11" w:rsidRPr="00AB2C11">
        <w:rPr>
          <w:rFonts w:ascii="Times New Roman" w:hAnsi="Times New Roman" w:cs="Times New Roman"/>
          <w:color w:val="000000"/>
          <w:sz w:val="24"/>
          <w:szCs w:val="24"/>
        </w:rPr>
        <w:t>; p=0,</w:t>
      </w:r>
      <w:r w:rsidR="00AB2C11" w:rsidRPr="00A926CA">
        <w:rPr>
          <w:rFonts w:ascii="Times New Roman" w:hAnsi="Times New Roman" w:cs="Times New Roman"/>
          <w:color w:val="000000"/>
          <w:sz w:val="24"/>
          <w:szCs w:val="24"/>
          <w:lang w:val="ru-RU"/>
        </w:rPr>
        <w:t>1204</w:t>
      </w:r>
      <w:r w:rsidR="00AB2C11" w:rsidRPr="00AB2C11">
        <w:rPr>
          <w:rFonts w:ascii="Times New Roman" w:hAnsi="Times New Roman" w:cs="Times New Roman"/>
          <w:color w:val="000000"/>
          <w:sz w:val="24"/>
          <w:szCs w:val="24"/>
          <w:lang w:eastAsia="en-GB"/>
        </w:rPr>
        <w:t xml:space="preserve"> (Табела 13 и График 24)</w:t>
      </w:r>
      <w:r w:rsidR="00AB2C11" w:rsidRPr="00AB2C11">
        <w:rPr>
          <w:rFonts w:ascii="Times New Roman" w:hAnsi="Times New Roman" w:cs="Times New Roman"/>
          <w:color w:val="000000"/>
          <w:sz w:val="24"/>
          <w:szCs w:val="24"/>
        </w:rPr>
        <w:t xml:space="preserve">. </w:t>
      </w:r>
    </w:p>
    <w:p w:rsidR="0086794C" w:rsidRDefault="0086794C" w:rsidP="00A03FB2">
      <w:pPr>
        <w:spacing w:line="360" w:lineRule="auto"/>
        <w:jc w:val="both"/>
        <w:rPr>
          <w:rFonts w:ascii="Times New Roman" w:hAnsi="Times New Roman" w:cs="Times New Roman"/>
          <w:b/>
          <w:color w:val="000000"/>
          <w:sz w:val="20"/>
          <w:szCs w:val="20"/>
          <w:highlight w:val="yellow"/>
        </w:rPr>
      </w:pPr>
    </w:p>
    <w:p w:rsidR="0086794C" w:rsidRDefault="0086794C" w:rsidP="00A03FB2">
      <w:pPr>
        <w:spacing w:line="360" w:lineRule="auto"/>
        <w:jc w:val="both"/>
        <w:rPr>
          <w:rFonts w:ascii="Times New Roman" w:hAnsi="Times New Roman" w:cs="Times New Roman"/>
          <w:b/>
          <w:color w:val="000000"/>
          <w:sz w:val="20"/>
          <w:szCs w:val="20"/>
          <w:highlight w:val="yellow"/>
        </w:rPr>
      </w:pPr>
    </w:p>
    <w:p w:rsidR="0086794C" w:rsidRDefault="0086794C" w:rsidP="00A03FB2">
      <w:pPr>
        <w:spacing w:line="360" w:lineRule="auto"/>
        <w:jc w:val="both"/>
        <w:rPr>
          <w:rFonts w:ascii="Times New Roman" w:hAnsi="Times New Roman" w:cs="Times New Roman"/>
          <w:b/>
          <w:color w:val="000000"/>
          <w:sz w:val="20"/>
          <w:szCs w:val="20"/>
          <w:highlight w:val="yellow"/>
        </w:rPr>
      </w:pPr>
    </w:p>
    <w:p w:rsidR="0086794C" w:rsidRDefault="0086794C" w:rsidP="00A03FB2">
      <w:pPr>
        <w:spacing w:line="360" w:lineRule="auto"/>
        <w:jc w:val="both"/>
        <w:rPr>
          <w:rFonts w:ascii="Times New Roman" w:hAnsi="Times New Roman" w:cs="Times New Roman"/>
          <w:b/>
          <w:color w:val="000000"/>
          <w:sz w:val="20"/>
          <w:szCs w:val="20"/>
          <w:highlight w:val="yellow"/>
        </w:rPr>
      </w:pPr>
    </w:p>
    <w:p w:rsidR="0086794C" w:rsidRDefault="0086794C" w:rsidP="00A03FB2">
      <w:pPr>
        <w:spacing w:line="360" w:lineRule="auto"/>
        <w:jc w:val="both"/>
        <w:rPr>
          <w:rFonts w:ascii="Times New Roman" w:hAnsi="Times New Roman" w:cs="Times New Roman"/>
          <w:b/>
          <w:color w:val="000000"/>
          <w:sz w:val="20"/>
          <w:szCs w:val="20"/>
          <w:highlight w:val="yellow"/>
        </w:rPr>
      </w:pPr>
    </w:p>
    <w:p w:rsidR="0086794C" w:rsidRDefault="0086794C"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AB2C11" w:rsidRDefault="00AB2C11" w:rsidP="00A03FB2">
      <w:pPr>
        <w:spacing w:line="360" w:lineRule="auto"/>
        <w:jc w:val="both"/>
        <w:rPr>
          <w:rFonts w:ascii="Times New Roman" w:hAnsi="Times New Roman" w:cs="Times New Roman"/>
          <w:b/>
          <w:color w:val="000000"/>
          <w:sz w:val="20"/>
          <w:szCs w:val="20"/>
          <w:highlight w:val="yellow"/>
        </w:rPr>
      </w:pPr>
    </w:p>
    <w:p w:rsidR="002B2D67" w:rsidRDefault="002B2D67" w:rsidP="00E52534">
      <w:pPr>
        <w:spacing w:line="360" w:lineRule="auto"/>
        <w:jc w:val="center"/>
        <w:rPr>
          <w:rFonts w:ascii="Times New Roman" w:hAnsi="Times New Roman" w:cs="Times New Roman"/>
          <w:b/>
          <w:color w:val="000000"/>
          <w:sz w:val="20"/>
          <w:szCs w:val="20"/>
        </w:rPr>
      </w:pPr>
    </w:p>
    <w:p w:rsidR="002B2D67" w:rsidRDefault="002B2D67" w:rsidP="00E52534">
      <w:pPr>
        <w:spacing w:line="360" w:lineRule="auto"/>
        <w:jc w:val="center"/>
        <w:rPr>
          <w:rFonts w:ascii="Times New Roman" w:hAnsi="Times New Roman" w:cs="Times New Roman"/>
          <w:b/>
          <w:color w:val="000000"/>
          <w:sz w:val="20"/>
          <w:szCs w:val="20"/>
        </w:rPr>
      </w:pPr>
    </w:p>
    <w:p w:rsidR="002B2D67" w:rsidRDefault="002B2D67" w:rsidP="00E52534">
      <w:pPr>
        <w:spacing w:line="360" w:lineRule="auto"/>
        <w:jc w:val="center"/>
        <w:rPr>
          <w:rFonts w:ascii="Times New Roman" w:hAnsi="Times New Roman" w:cs="Times New Roman"/>
          <w:b/>
          <w:color w:val="000000"/>
          <w:sz w:val="20"/>
          <w:szCs w:val="20"/>
        </w:rPr>
      </w:pPr>
    </w:p>
    <w:p w:rsidR="000B4811" w:rsidRDefault="002B2D67" w:rsidP="000B4811">
      <w:pPr>
        <w:spacing w:line="36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График</w:t>
      </w:r>
      <w:r w:rsidR="00E52534" w:rsidRPr="00F20EF5">
        <w:rPr>
          <w:rFonts w:ascii="Times New Roman" w:hAnsi="Times New Roman" w:cs="Times New Roman"/>
          <w:b/>
          <w:color w:val="000000"/>
          <w:sz w:val="20"/>
          <w:szCs w:val="20"/>
        </w:rPr>
        <w:t xml:space="preserve"> 2</w:t>
      </w:r>
      <w:r w:rsidR="00E52534">
        <w:rPr>
          <w:rFonts w:ascii="Times New Roman" w:hAnsi="Times New Roman" w:cs="Times New Roman"/>
          <w:b/>
          <w:color w:val="000000"/>
          <w:sz w:val="20"/>
          <w:szCs w:val="20"/>
        </w:rPr>
        <w:t>4</w:t>
      </w:r>
      <w:r w:rsidR="00E52534" w:rsidRPr="00F20EF5">
        <w:rPr>
          <w:rFonts w:ascii="Times New Roman" w:hAnsi="Times New Roman" w:cs="Times New Roman"/>
          <w:b/>
          <w:color w:val="000000"/>
          <w:sz w:val="20"/>
          <w:szCs w:val="20"/>
        </w:rPr>
        <w:t xml:space="preserve">. Анализа IL-33 </w:t>
      </w:r>
      <w:r w:rsidR="0022737D">
        <w:rPr>
          <w:rFonts w:ascii="Times New Roman" w:hAnsi="Times New Roman" w:cs="Times New Roman"/>
          <w:b/>
          <w:color w:val="000000"/>
          <w:sz w:val="20"/>
          <w:szCs w:val="20"/>
          <w:lang w:val="en-US"/>
        </w:rPr>
        <w:t>pg</w:t>
      </w:r>
      <w:r w:rsidR="0022737D" w:rsidRPr="00A926CA">
        <w:rPr>
          <w:rFonts w:ascii="Times New Roman" w:hAnsi="Times New Roman" w:cs="Times New Roman"/>
          <w:b/>
          <w:color w:val="000000"/>
          <w:sz w:val="20"/>
          <w:szCs w:val="20"/>
          <w:lang w:val="ru-RU"/>
        </w:rPr>
        <w:t>/</w:t>
      </w:r>
      <w:r w:rsidR="0022737D">
        <w:rPr>
          <w:rFonts w:ascii="Times New Roman" w:hAnsi="Times New Roman" w:cs="Times New Roman"/>
          <w:b/>
          <w:color w:val="000000"/>
          <w:sz w:val="20"/>
          <w:szCs w:val="20"/>
          <w:lang w:val="en-US"/>
        </w:rPr>
        <w:t>mL</w:t>
      </w:r>
      <w:r w:rsidR="0022737D" w:rsidRPr="00A926CA">
        <w:rPr>
          <w:rFonts w:ascii="Times New Roman" w:hAnsi="Times New Roman" w:cs="Times New Roman"/>
          <w:b/>
          <w:color w:val="000000"/>
          <w:sz w:val="20"/>
          <w:szCs w:val="20"/>
          <w:lang w:val="ru-RU"/>
        </w:rPr>
        <w:t xml:space="preserve"> </w:t>
      </w:r>
      <w:r w:rsidR="00E52534" w:rsidRPr="00F20EF5">
        <w:rPr>
          <w:rFonts w:ascii="Times New Roman" w:hAnsi="Times New Roman" w:cs="Times New Roman"/>
          <w:b/>
          <w:color w:val="000000"/>
          <w:sz w:val="20"/>
          <w:szCs w:val="20"/>
        </w:rPr>
        <w:t xml:space="preserve">во </w:t>
      </w:r>
      <w:r w:rsidR="00E52534">
        <w:rPr>
          <w:rFonts w:ascii="Times New Roman" w:hAnsi="Times New Roman" w:cs="Times New Roman"/>
          <w:b/>
          <w:color w:val="000000"/>
          <w:sz w:val="20"/>
          <w:szCs w:val="20"/>
        </w:rPr>
        <w:t>салива</w:t>
      </w:r>
      <w:r w:rsidR="00E52534" w:rsidRPr="00F20EF5">
        <w:rPr>
          <w:rFonts w:ascii="Times New Roman" w:hAnsi="Times New Roman" w:cs="Times New Roman"/>
          <w:b/>
          <w:color w:val="000000"/>
          <w:sz w:val="20"/>
          <w:szCs w:val="20"/>
        </w:rPr>
        <w:t xml:space="preserve"> меѓу типови на бенигни / малигни тумори</w:t>
      </w:r>
      <w:r w:rsidR="00E52534">
        <w:rPr>
          <w:rFonts w:ascii="Times New Roman" w:hAnsi="Times New Roman" w:cs="Times New Roman"/>
          <w:b/>
          <w:color w:val="000000"/>
          <w:sz w:val="20"/>
          <w:szCs w:val="20"/>
        </w:rPr>
        <w:t xml:space="preserve"> </w:t>
      </w:r>
    </w:p>
    <w:p w:rsidR="000B4811" w:rsidRDefault="000B4811" w:rsidP="000B4811">
      <w:pPr>
        <w:spacing w:line="360" w:lineRule="auto"/>
        <w:jc w:val="center"/>
        <w:rPr>
          <w:rFonts w:ascii="Times New Roman" w:hAnsi="Times New Roman" w:cs="Times New Roman"/>
          <w:b/>
          <w:color w:val="000000"/>
          <w:sz w:val="20"/>
          <w:szCs w:val="20"/>
        </w:rPr>
      </w:pPr>
    </w:p>
    <w:p w:rsidR="00E52534" w:rsidRPr="000B4811" w:rsidRDefault="00E52534" w:rsidP="000B4811">
      <w:pPr>
        <w:rPr>
          <w:rFonts w:ascii="Times New Roman" w:hAnsi="Times New Roman" w:cs="Times New Roman"/>
          <w:b/>
          <w:color w:val="000000"/>
          <w:sz w:val="20"/>
          <w:szCs w:val="20"/>
        </w:rPr>
      </w:pPr>
      <w:r w:rsidRPr="00E52534">
        <w:rPr>
          <w:rFonts w:ascii="Times New Roman" w:hAnsi="Times New Roman" w:cs="Times New Roman"/>
          <w:sz w:val="24"/>
          <w:szCs w:val="24"/>
        </w:rPr>
        <w:t>К</w:t>
      </w:r>
      <w:r w:rsidRPr="00E52534">
        <w:rPr>
          <w:rFonts w:ascii="Times New Roman" w:hAnsi="Times New Roman" w:cs="Times New Roman"/>
          <w:color w:val="000000"/>
          <w:sz w:val="24"/>
          <w:szCs w:val="24"/>
        </w:rPr>
        <w:t xml:space="preserve">ај пациентите со малигни тумори на </w:t>
      </w:r>
      <w:r w:rsidRPr="00E52534">
        <w:rPr>
          <w:rFonts w:ascii="Times New Roman" w:hAnsi="Times New Roman" w:cs="Times New Roman"/>
          <w:sz w:val="24"/>
          <w:szCs w:val="24"/>
        </w:rPr>
        <w:t xml:space="preserve">паротидните жлезди во испитуваната група, нависока просечна вредности на </w:t>
      </w:r>
      <w:r w:rsidRPr="00E52534">
        <w:rPr>
          <w:rFonts w:ascii="Times New Roman" w:hAnsi="Times New Roman" w:cs="Times New Roman"/>
          <w:color w:val="000000"/>
          <w:sz w:val="24"/>
          <w:szCs w:val="24"/>
        </w:rPr>
        <w:t>IL-33 во салива имаше кај ACC</w:t>
      </w:r>
      <w:r w:rsidRPr="00A926CA">
        <w:rPr>
          <w:rFonts w:ascii="Times New Roman" w:hAnsi="Times New Roman" w:cs="Times New Roman"/>
          <w:color w:val="000000"/>
          <w:sz w:val="24"/>
          <w:szCs w:val="24"/>
          <w:lang w:val="ru-RU"/>
        </w:rPr>
        <w:t xml:space="preserve"> - </w:t>
      </w:r>
      <w:r w:rsidRPr="00E52534">
        <w:rPr>
          <w:rFonts w:ascii="Times New Roman" w:hAnsi="Times New Roman" w:cs="Times New Roman"/>
          <w:sz w:val="24"/>
          <w:szCs w:val="24"/>
        </w:rPr>
        <w:t>5.18±0,00,</w:t>
      </w:r>
      <w:r w:rsidRPr="00A926CA">
        <w:rPr>
          <w:rFonts w:ascii="Times New Roman" w:hAnsi="Times New Roman" w:cs="Times New Roman"/>
          <w:sz w:val="24"/>
          <w:szCs w:val="24"/>
          <w:lang w:val="ru-RU"/>
        </w:rPr>
        <w:t xml:space="preserve"> следено</w:t>
      </w:r>
      <w:r w:rsidRPr="00E52534">
        <w:rPr>
          <w:rFonts w:ascii="Times New Roman" w:hAnsi="Times New Roman" w:cs="Times New Roman"/>
          <w:sz w:val="24"/>
          <w:szCs w:val="24"/>
        </w:rPr>
        <w:t xml:space="preserve"> со</w:t>
      </w:r>
      <w:r w:rsidRPr="00A926CA">
        <w:rPr>
          <w:rFonts w:ascii="Times New Roman" w:hAnsi="Times New Roman" w:cs="Times New Roman"/>
          <w:color w:val="000000"/>
          <w:sz w:val="24"/>
          <w:szCs w:val="24"/>
          <w:lang w:val="ru-RU"/>
        </w:rPr>
        <w:t xml:space="preserve"> </w:t>
      </w:r>
      <w:r w:rsidRPr="00E52534">
        <w:rPr>
          <w:rFonts w:ascii="Times New Roman" w:hAnsi="Times New Roman" w:cs="Times New Roman"/>
          <w:color w:val="000000"/>
          <w:sz w:val="24"/>
          <w:szCs w:val="24"/>
          <w:lang w:val="en-US"/>
        </w:rPr>
        <w:t>AC</w:t>
      </w:r>
      <w:r w:rsidRPr="00A926CA">
        <w:rPr>
          <w:rFonts w:ascii="Times New Roman" w:hAnsi="Times New Roman" w:cs="Times New Roman"/>
          <w:color w:val="000000"/>
          <w:sz w:val="24"/>
          <w:szCs w:val="24"/>
          <w:lang w:val="ru-RU"/>
        </w:rPr>
        <w:t xml:space="preserve"> - </w:t>
      </w:r>
      <w:r w:rsidRPr="00E52534">
        <w:rPr>
          <w:rFonts w:ascii="Times New Roman" w:hAnsi="Times New Roman" w:cs="Times New Roman"/>
          <w:sz w:val="24"/>
          <w:szCs w:val="24"/>
        </w:rPr>
        <w:t xml:space="preserve">4,87±0,10, </w:t>
      </w:r>
      <w:r w:rsidRPr="00E52534">
        <w:rPr>
          <w:rFonts w:ascii="Times New Roman" w:hAnsi="Times New Roman" w:cs="Times New Roman"/>
          <w:color w:val="000000"/>
          <w:sz w:val="24"/>
          <w:szCs w:val="24"/>
        </w:rPr>
        <w:t>Ly</w:t>
      </w:r>
      <w:r w:rsidRPr="00A926CA">
        <w:rPr>
          <w:rFonts w:ascii="Times New Roman" w:hAnsi="Times New Roman" w:cs="Times New Roman"/>
          <w:sz w:val="24"/>
          <w:szCs w:val="24"/>
          <w:lang w:val="ru-RU"/>
        </w:rPr>
        <w:t xml:space="preserve"> </w:t>
      </w:r>
      <w:r w:rsidRPr="00E52534">
        <w:rPr>
          <w:rFonts w:ascii="Times New Roman" w:hAnsi="Times New Roman" w:cs="Times New Roman"/>
          <w:sz w:val="24"/>
          <w:szCs w:val="24"/>
        </w:rPr>
        <w:t xml:space="preserve">- 4,85±0,00, </w:t>
      </w:r>
      <w:r w:rsidRPr="00E52534">
        <w:rPr>
          <w:rFonts w:ascii="Times New Roman" w:hAnsi="Times New Roman" w:cs="Times New Roman"/>
          <w:sz w:val="24"/>
          <w:szCs w:val="24"/>
          <w:lang w:val="en-US"/>
        </w:rPr>
        <w:t>PC</w:t>
      </w:r>
      <w:r w:rsidRPr="00A926CA">
        <w:rPr>
          <w:rFonts w:ascii="Times New Roman" w:hAnsi="Times New Roman" w:cs="Times New Roman"/>
          <w:sz w:val="24"/>
          <w:szCs w:val="24"/>
          <w:lang w:val="ru-RU"/>
        </w:rPr>
        <w:t xml:space="preserve"> - </w:t>
      </w:r>
      <w:r w:rsidRPr="00E52534">
        <w:rPr>
          <w:rFonts w:ascii="Times New Roman" w:hAnsi="Times New Roman" w:cs="Times New Roman"/>
          <w:sz w:val="24"/>
          <w:szCs w:val="24"/>
        </w:rPr>
        <w:t>4,76±0,11 и MEC - 4,76±0,00</w:t>
      </w:r>
      <w:r w:rsidRPr="00E52534">
        <w:rPr>
          <w:rFonts w:ascii="Times New Roman" w:hAnsi="Times New Roman" w:cs="Times New Roman"/>
          <w:color w:val="000000"/>
          <w:sz w:val="24"/>
          <w:szCs w:val="24"/>
        </w:rPr>
        <w:t xml:space="preserve">. </w:t>
      </w:r>
      <w:r w:rsidRPr="00E52534">
        <w:rPr>
          <w:rFonts w:ascii="Times New Roman" w:hAnsi="Times New Roman" w:cs="Times New Roman"/>
          <w:sz w:val="24"/>
          <w:szCs w:val="24"/>
        </w:rPr>
        <w:t xml:space="preserve">Најниска просечна вредност на </w:t>
      </w:r>
      <w:r w:rsidRPr="00E52534">
        <w:rPr>
          <w:rFonts w:ascii="Times New Roman" w:hAnsi="Times New Roman" w:cs="Times New Roman"/>
          <w:color w:val="000000"/>
          <w:sz w:val="24"/>
          <w:szCs w:val="24"/>
        </w:rPr>
        <w:t xml:space="preserve">IL-33 во салива беше регистрирана кај </w:t>
      </w:r>
      <w:r w:rsidRPr="00E52534">
        <w:rPr>
          <w:rFonts w:ascii="Times New Roman" w:hAnsi="Times New Roman" w:cs="Times New Roman"/>
          <w:sz w:val="24"/>
          <w:szCs w:val="24"/>
        </w:rPr>
        <w:t>CEA</w:t>
      </w:r>
      <w:r w:rsidRPr="00A926CA">
        <w:rPr>
          <w:rFonts w:ascii="Times New Roman" w:hAnsi="Times New Roman" w:cs="Times New Roman"/>
          <w:color w:val="000000"/>
          <w:sz w:val="24"/>
          <w:szCs w:val="24"/>
          <w:lang w:val="ru-RU"/>
        </w:rPr>
        <w:t xml:space="preserve"> - </w:t>
      </w:r>
      <w:r w:rsidRPr="00E52534">
        <w:rPr>
          <w:rFonts w:ascii="Times New Roman" w:hAnsi="Times New Roman" w:cs="Times New Roman"/>
          <w:sz w:val="24"/>
          <w:szCs w:val="24"/>
        </w:rPr>
        <w:t xml:space="preserve">4,68±0,00. За </w:t>
      </w:r>
      <w:r w:rsidRPr="00E52534">
        <w:rPr>
          <w:rFonts w:ascii="Times New Roman" w:hAnsi="Times New Roman" w:cs="Times New Roman"/>
          <w:color w:val="000000"/>
          <w:sz w:val="24"/>
          <w:szCs w:val="24"/>
        </w:rPr>
        <w:t>p&gt;0,05, немаше сигнификантна разлика меѓу шестте типови на малигни тумори (</w:t>
      </w:r>
      <w:r w:rsidRPr="00E52534">
        <w:rPr>
          <w:rFonts w:ascii="Times New Roman" w:hAnsi="Times New Roman" w:cs="Times New Roman"/>
          <w:sz w:val="24"/>
          <w:szCs w:val="24"/>
        </w:rPr>
        <w:t>AC, PC, MEC</w:t>
      </w:r>
      <w:r w:rsidRPr="00A926CA">
        <w:rPr>
          <w:rFonts w:ascii="Times New Roman" w:hAnsi="Times New Roman" w:cs="Times New Roman"/>
          <w:sz w:val="24"/>
          <w:szCs w:val="24"/>
        </w:rPr>
        <w:t xml:space="preserve">, </w:t>
      </w:r>
      <w:r w:rsidRPr="00E52534">
        <w:rPr>
          <w:rFonts w:ascii="Times New Roman" w:hAnsi="Times New Roman" w:cs="Times New Roman"/>
          <w:sz w:val="24"/>
          <w:szCs w:val="24"/>
        </w:rPr>
        <w:t>CEA, Ly, ACC</w:t>
      </w:r>
      <w:r w:rsidRPr="00E52534">
        <w:rPr>
          <w:rFonts w:ascii="Times New Roman" w:hAnsi="Times New Roman" w:cs="Times New Roman"/>
          <w:color w:val="000000"/>
          <w:sz w:val="24"/>
          <w:szCs w:val="24"/>
        </w:rPr>
        <w:t>) во однос на нивото на IL-33 во салива</w:t>
      </w:r>
      <w:r w:rsidRPr="00A926CA">
        <w:rPr>
          <w:rFonts w:ascii="Times New Roman" w:hAnsi="Times New Roman" w:cs="Times New Roman"/>
          <w:color w:val="000000"/>
          <w:sz w:val="24"/>
          <w:szCs w:val="24"/>
        </w:rPr>
        <w:t xml:space="preserve"> за </w:t>
      </w:r>
      <w:r w:rsidRPr="00E52534">
        <w:rPr>
          <w:rFonts w:ascii="Times New Roman" w:hAnsi="Times New Roman"/>
          <w:color w:val="000000"/>
          <w:sz w:val="24"/>
          <w:szCs w:val="24"/>
        </w:rPr>
        <w:t xml:space="preserve">Kruskal-Wallis </w:t>
      </w:r>
      <w:r w:rsidRPr="00A926CA">
        <w:rPr>
          <w:rFonts w:ascii="Times New Roman" w:hAnsi="Times New Roman"/>
          <w:color w:val="000000"/>
          <w:sz w:val="24"/>
          <w:szCs w:val="24"/>
        </w:rPr>
        <w:t xml:space="preserve">H </w:t>
      </w:r>
      <w:r w:rsidRPr="00E52534">
        <w:rPr>
          <w:rFonts w:ascii="Times New Roman" w:hAnsi="Times New Roman"/>
          <w:color w:val="000000"/>
          <w:sz w:val="24"/>
          <w:szCs w:val="24"/>
        </w:rPr>
        <w:t>test=</w:t>
      </w:r>
      <w:r w:rsidRPr="00E52534">
        <w:rPr>
          <w:rFonts w:ascii="Times New Roman" w:hAnsi="Times New Roman" w:cs="Times New Roman"/>
          <w:color w:val="000000"/>
          <w:sz w:val="24"/>
          <w:szCs w:val="24"/>
        </w:rPr>
        <w:t xml:space="preserve"> X</w:t>
      </w:r>
      <w:r w:rsidRPr="00E52534">
        <w:rPr>
          <w:rFonts w:ascii="Times New Roman" w:hAnsi="Times New Roman" w:cs="Times New Roman"/>
          <w:color w:val="000000"/>
          <w:sz w:val="24"/>
          <w:szCs w:val="24"/>
          <w:vertAlign w:val="superscript"/>
        </w:rPr>
        <w:t>2</w:t>
      </w:r>
      <w:r w:rsidRPr="00E52534">
        <w:rPr>
          <w:rFonts w:ascii="Times New Roman" w:hAnsi="Times New Roman" w:cs="Times New Roman"/>
          <w:color w:val="000000"/>
          <w:sz w:val="24"/>
          <w:szCs w:val="24"/>
          <w:vertAlign w:val="subscript"/>
        </w:rPr>
        <w:t>(5)</w:t>
      </w:r>
      <w:r w:rsidRPr="00E52534">
        <w:rPr>
          <w:rFonts w:ascii="Times New Roman" w:hAnsi="Times New Roman" w:cs="Times New Roman"/>
          <w:color w:val="000000"/>
          <w:sz w:val="24"/>
          <w:szCs w:val="24"/>
        </w:rPr>
        <w:t>=</w:t>
      </w:r>
      <w:r w:rsidRPr="00A926CA">
        <w:rPr>
          <w:rFonts w:ascii="Times New Roman" w:hAnsi="Times New Roman" w:cs="Times New Roman"/>
          <w:color w:val="000000"/>
          <w:sz w:val="24"/>
          <w:szCs w:val="24"/>
        </w:rPr>
        <w:t>7,671</w:t>
      </w:r>
      <w:r w:rsidRPr="00E52534">
        <w:rPr>
          <w:rFonts w:ascii="Times New Roman" w:hAnsi="Times New Roman" w:cs="Times New Roman"/>
          <w:color w:val="000000"/>
          <w:sz w:val="24"/>
          <w:szCs w:val="24"/>
        </w:rPr>
        <w:t>; p=0,</w:t>
      </w:r>
      <w:r w:rsidRPr="00A926CA">
        <w:rPr>
          <w:rFonts w:ascii="Times New Roman" w:hAnsi="Times New Roman" w:cs="Times New Roman"/>
          <w:color w:val="000000"/>
          <w:sz w:val="24"/>
          <w:szCs w:val="24"/>
        </w:rPr>
        <w:t>1753</w:t>
      </w:r>
      <w:r w:rsidRPr="00E52534">
        <w:rPr>
          <w:rFonts w:ascii="Times New Roman" w:hAnsi="Times New Roman" w:cs="Times New Roman"/>
          <w:color w:val="000000"/>
          <w:sz w:val="24"/>
          <w:szCs w:val="24"/>
          <w:lang w:eastAsia="en-GB"/>
        </w:rPr>
        <w:t xml:space="preserve"> (Табела 1</w:t>
      </w:r>
      <w:r>
        <w:rPr>
          <w:rFonts w:ascii="Times New Roman" w:hAnsi="Times New Roman" w:cs="Times New Roman"/>
          <w:color w:val="000000"/>
          <w:sz w:val="24"/>
          <w:szCs w:val="24"/>
          <w:lang w:eastAsia="en-GB"/>
        </w:rPr>
        <w:t>3</w:t>
      </w:r>
      <w:r w:rsidRPr="00E52534">
        <w:rPr>
          <w:rFonts w:ascii="Times New Roman" w:hAnsi="Times New Roman" w:cs="Times New Roman"/>
          <w:color w:val="000000"/>
          <w:sz w:val="24"/>
          <w:szCs w:val="24"/>
          <w:lang w:eastAsia="en-GB"/>
        </w:rPr>
        <w:t xml:space="preserve"> и График </w:t>
      </w:r>
      <w:r>
        <w:rPr>
          <w:rFonts w:ascii="Times New Roman" w:hAnsi="Times New Roman" w:cs="Times New Roman"/>
          <w:color w:val="000000"/>
          <w:sz w:val="24"/>
          <w:szCs w:val="24"/>
          <w:lang w:eastAsia="en-GB"/>
        </w:rPr>
        <w:t>24</w:t>
      </w:r>
      <w:r w:rsidRPr="00E52534">
        <w:rPr>
          <w:rFonts w:ascii="Times New Roman" w:hAnsi="Times New Roman" w:cs="Times New Roman"/>
          <w:color w:val="000000"/>
          <w:sz w:val="24"/>
          <w:szCs w:val="24"/>
          <w:lang w:eastAsia="en-GB"/>
        </w:rPr>
        <w:t>)</w:t>
      </w:r>
      <w:r w:rsidRPr="00E52534">
        <w:rPr>
          <w:rFonts w:ascii="Times New Roman" w:hAnsi="Times New Roman" w:cs="Times New Roman"/>
          <w:color w:val="000000"/>
          <w:sz w:val="24"/>
          <w:szCs w:val="24"/>
        </w:rPr>
        <w:t xml:space="preserve">. </w:t>
      </w:r>
    </w:p>
    <w:p w:rsidR="00E52534" w:rsidRPr="00393EB8" w:rsidRDefault="00E52534" w:rsidP="00E52534">
      <w:pPr>
        <w:spacing w:line="360" w:lineRule="auto"/>
        <w:jc w:val="center"/>
        <w:rPr>
          <w:rFonts w:ascii="Times New Roman" w:hAnsi="Times New Roman" w:cs="Times New Roman"/>
          <w:b/>
          <w:color w:val="000000"/>
          <w:sz w:val="20"/>
          <w:szCs w:val="20"/>
        </w:rPr>
      </w:pPr>
    </w:p>
    <w:p w:rsidR="000B4811" w:rsidRDefault="000B4811" w:rsidP="002B2D67">
      <w:pPr>
        <w:spacing w:after="360"/>
        <w:jc w:val="both"/>
        <w:rPr>
          <w:rFonts w:ascii="Times New Roman" w:hAnsi="Times New Roman"/>
          <w:b/>
          <w:color w:val="000000"/>
          <w:sz w:val="24"/>
          <w:szCs w:val="24"/>
        </w:rPr>
      </w:pPr>
    </w:p>
    <w:p w:rsidR="000B4811" w:rsidRDefault="000B4811" w:rsidP="002B2D67">
      <w:pPr>
        <w:spacing w:after="360"/>
        <w:jc w:val="both"/>
        <w:rPr>
          <w:rFonts w:ascii="Times New Roman" w:hAnsi="Times New Roman"/>
          <w:b/>
          <w:color w:val="000000"/>
          <w:sz w:val="24"/>
          <w:szCs w:val="24"/>
        </w:rPr>
      </w:pPr>
    </w:p>
    <w:p w:rsidR="000B4811" w:rsidRDefault="000B4811" w:rsidP="002B2D67">
      <w:pPr>
        <w:spacing w:after="360"/>
        <w:jc w:val="both"/>
        <w:rPr>
          <w:rFonts w:ascii="Times New Roman" w:hAnsi="Times New Roman"/>
          <w:b/>
          <w:color w:val="000000"/>
          <w:sz w:val="24"/>
          <w:szCs w:val="24"/>
        </w:rPr>
      </w:pPr>
    </w:p>
    <w:p w:rsidR="000B4811" w:rsidRDefault="000B4811" w:rsidP="002B2D67">
      <w:pPr>
        <w:spacing w:after="360"/>
        <w:jc w:val="both"/>
        <w:rPr>
          <w:rFonts w:ascii="Times New Roman" w:hAnsi="Times New Roman"/>
          <w:b/>
          <w:color w:val="000000"/>
          <w:sz w:val="24"/>
          <w:szCs w:val="24"/>
        </w:rPr>
      </w:pPr>
    </w:p>
    <w:p w:rsidR="000B4811" w:rsidRDefault="000B4811" w:rsidP="002B2D67">
      <w:pPr>
        <w:spacing w:after="360"/>
        <w:jc w:val="both"/>
        <w:rPr>
          <w:rFonts w:ascii="Times New Roman" w:hAnsi="Times New Roman"/>
          <w:b/>
          <w:color w:val="000000"/>
          <w:sz w:val="24"/>
          <w:szCs w:val="24"/>
        </w:rPr>
      </w:pPr>
    </w:p>
    <w:p w:rsidR="000B4811" w:rsidRDefault="000B4811" w:rsidP="002B2D67">
      <w:pPr>
        <w:spacing w:after="360"/>
        <w:jc w:val="both"/>
        <w:rPr>
          <w:rFonts w:ascii="Times New Roman" w:hAnsi="Times New Roman"/>
          <w:b/>
          <w:color w:val="000000"/>
          <w:sz w:val="24"/>
          <w:szCs w:val="24"/>
        </w:rPr>
      </w:pPr>
    </w:p>
    <w:p w:rsidR="00F5147F" w:rsidRPr="00AB1D09" w:rsidRDefault="00823B44" w:rsidP="002B2D67">
      <w:pPr>
        <w:spacing w:after="360"/>
        <w:jc w:val="both"/>
        <w:rPr>
          <w:rFonts w:ascii="Times New Roman" w:hAnsi="Times New Roman"/>
          <w:b/>
          <w:color w:val="000000"/>
          <w:sz w:val="24"/>
          <w:szCs w:val="24"/>
        </w:rPr>
      </w:pPr>
      <w:r>
        <w:rPr>
          <w:rFonts w:ascii="Times New Roman" w:hAnsi="Times New Roman"/>
          <w:b/>
          <w:color w:val="000000"/>
          <w:sz w:val="24"/>
          <w:szCs w:val="24"/>
        </w:rPr>
        <w:t>7</w:t>
      </w:r>
      <w:r w:rsidR="008F7E61">
        <w:rPr>
          <w:rFonts w:ascii="Times New Roman" w:hAnsi="Times New Roman"/>
          <w:b/>
          <w:color w:val="000000"/>
          <w:sz w:val="24"/>
          <w:szCs w:val="24"/>
        </w:rPr>
        <w:t>.3</w:t>
      </w:r>
      <w:r w:rsidR="00F5147F" w:rsidRPr="00AB1D09">
        <w:rPr>
          <w:rFonts w:ascii="Times New Roman" w:hAnsi="Times New Roman"/>
          <w:b/>
          <w:color w:val="000000"/>
          <w:sz w:val="24"/>
          <w:szCs w:val="24"/>
        </w:rPr>
        <w:t xml:space="preserve"> </w:t>
      </w:r>
      <w:r w:rsidR="006F7E40" w:rsidRPr="00AB1D09">
        <w:rPr>
          <w:rFonts w:ascii="Times New Roman" w:hAnsi="Times New Roman"/>
          <w:b/>
          <w:color w:val="000000"/>
          <w:sz w:val="24"/>
          <w:szCs w:val="24"/>
        </w:rPr>
        <w:t>П</w:t>
      </w:r>
      <w:r w:rsidR="00F5147F" w:rsidRPr="00AB1D09">
        <w:rPr>
          <w:rFonts w:ascii="Times New Roman" w:hAnsi="Times New Roman"/>
          <w:b/>
          <w:color w:val="000000"/>
          <w:sz w:val="24"/>
          <w:szCs w:val="24"/>
        </w:rPr>
        <w:t xml:space="preserve">оврзаност на </w:t>
      </w:r>
      <w:r w:rsidR="002A54E2" w:rsidRPr="00AB1D09">
        <w:rPr>
          <w:rFonts w:ascii="Times New Roman" w:hAnsi="Times New Roman"/>
          <w:b/>
          <w:color w:val="000000"/>
          <w:sz w:val="24"/>
          <w:szCs w:val="24"/>
          <w:lang w:val="en-US"/>
        </w:rPr>
        <w:t>IL</w:t>
      </w:r>
      <w:r w:rsidR="002A54E2" w:rsidRPr="00AB1D09">
        <w:rPr>
          <w:rFonts w:ascii="Times New Roman" w:hAnsi="Times New Roman"/>
          <w:b/>
          <w:color w:val="000000"/>
          <w:sz w:val="24"/>
          <w:szCs w:val="24"/>
        </w:rPr>
        <w:t>-</w:t>
      </w:r>
      <w:r w:rsidR="006F7E40" w:rsidRPr="00A926CA">
        <w:rPr>
          <w:rFonts w:ascii="Times New Roman" w:hAnsi="Times New Roman"/>
          <w:b/>
          <w:color w:val="000000"/>
          <w:sz w:val="24"/>
          <w:szCs w:val="24"/>
          <w:lang w:val="ru-RU"/>
        </w:rPr>
        <w:t>33 во серум и салива со селектирани параметри</w:t>
      </w:r>
      <w:r w:rsidR="00F5147F" w:rsidRPr="00AB1D09">
        <w:rPr>
          <w:rFonts w:ascii="Times New Roman" w:hAnsi="Times New Roman"/>
          <w:b/>
          <w:color w:val="000000"/>
          <w:sz w:val="24"/>
          <w:szCs w:val="24"/>
        </w:rPr>
        <w:t xml:space="preserve"> </w:t>
      </w:r>
    </w:p>
    <w:p w:rsidR="00F5147F" w:rsidRDefault="00F5147F" w:rsidP="002B2D67">
      <w:pPr>
        <w:pStyle w:val="11"/>
        <w:spacing w:after="0" w:line="240" w:lineRule="auto"/>
        <w:ind w:firstLine="720"/>
        <w:jc w:val="both"/>
        <w:rPr>
          <w:rFonts w:ascii="Times New Roman" w:hAnsi="Times New Roman" w:cs="Times New Roman"/>
          <w:b w:val="0"/>
          <w:color w:val="000000"/>
        </w:rPr>
      </w:pPr>
      <w:r w:rsidRPr="004839A7">
        <w:rPr>
          <w:rFonts w:ascii="Times New Roman" w:hAnsi="Times New Roman" w:cs="Times New Roman"/>
          <w:b w:val="0"/>
          <w:color w:val="000000"/>
          <w:lang w:val="ru-RU"/>
        </w:rPr>
        <w:t xml:space="preserve">Во рамките на истражувањето направена </w:t>
      </w:r>
      <w:r w:rsidR="00BE4BEC" w:rsidRPr="004839A7">
        <w:rPr>
          <w:rFonts w:ascii="Times New Roman" w:hAnsi="Times New Roman" w:cs="Times New Roman"/>
          <w:b w:val="0"/>
          <w:color w:val="000000"/>
          <w:lang w:val="ru-RU"/>
        </w:rPr>
        <w:t xml:space="preserve">беше анализа на меѓусебната поврзаност на </w:t>
      </w:r>
      <w:r w:rsidR="00BE4BEC" w:rsidRPr="004839A7">
        <w:rPr>
          <w:rFonts w:ascii="Times New Roman" w:hAnsi="Times New Roman" w:cs="Times New Roman"/>
          <w:b w:val="0"/>
          <w:color w:val="000000"/>
          <w:lang w:val="en-US"/>
        </w:rPr>
        <w:t>IL</w:t>
      </w:r>
      <w:r w:rsidR="00BE4BEC" w:rsidRPr="00A926CA">
        <w:rPr>
          <w:rFonts w:ascii="Times New Roman" w:hAnsi="Times New Roman" w:cs="Times New Roman"/>
          <w:b w:val="0"/>
          <w:color w:val="000000"/>
          <w:lang w:val="ru-RU"/>
        </w:rPr>
        <w:t xml:space="preserve">-33 во серум </w:t>
      </w:r>
      <w:r w:rsidR="00BE4BEC" w:rsidRPr="004839A7">
        <w:rPr>
          <w:rFonts w:ascii="Times New Roman" w:hAnsi="Times New Roman" w:cs="Times New Roman"/>
          <w:b w:val="0"/>
          <w:color w:val="000000"/>
        </w:rPr>
        <w:t xml:space="preserve">односно во </w:t>
      </w:r>
      <w:r w:rsidR="00BE4BEC" w:rsidRPr="00A926CA">
        <w:rPr>
          <w:rFonts w:ascii="Times New Roman" w:hAnsi="Times New Roman" w:cs="Times New Roman"/>
          <w:b w:val="0"/>
          <w:color w:val="000000"/>
          <w:lang w:val="ru-RU"/>
        </w:rPr>
        <w:t xml:space="preserve">салива со селектирани параметри </w:t>
      </w:r>
      <w:r w:rsidR="00BE4BEC" w:rsidRPr="004839A7">
        <w:rPr>
          <w:rFonts w:ascii="Times New Roman" w:hAnsi="Times New Roman" w:cs="Times New Roman"/>
          <w:b w:val="0"/>
          <w:color w:val="000000"/>
        </w:rPr>
        <w:t xml:space="preserve">и тоа: 1) пол (мажи/ жени); 2) </w:t>
      </w:r>
      <w:r w:rsidR="004839A7" w:rsidRPr="004839A7">
        <w:rPr>
          <w:rFonts w:ascii="Times New Roman" w:hAnsi="Times New Roman" w:cs="Times New Roman"/>
          <w:b w:val="0"/>
          <w:color w:val="000000"/>
        </w:rPr>
        <w:t>возраст (години); 3) вид на тумор (</w:t>
      </w:r>
      <w:r w:rsidR="00095374">
        <w:rPr>
          <w:rFonts w:ascii="Times New Roman" w:hAnsi="Times New Roman" w:cs="Times New Roman"/>
          <w:b w:val="0"/>
          <w:color w:val="000000"/>
        </w:rPr>
        <w:t>нема</w:t>
      </w:r>
      <w:r w:rsidR="004839A7" w:rsidRPr="004839A7">
        <w:rPr>
          <w:rFonts w:ascii="Times New Roman" w:hAnsi="Times New Roman" w:cs="Times New Roman"/>
          <w:b w:val="0"/>
          <w:color w:val="000000"/>
        </w:rPr>
        <w:t xml:space="preserve">/ бениген/ малиген); 4) </w:t>
      </w:r>
      <w:r w:rsidR="00AA6620">
        <w:rPr>
          <w:rFonts w:ascii="Times New Roman" w:hAnsi="Times New Roman" w:cs="Times New Roman"/>
          <w:b w:val="0"/>
          <w:color w:val="000000"/>
        </w:rPr>
        <w:t>локација</w:t>
      </w:r>
      <w:r w:rsidR="004839A7" w:rsidRPr="004839A7">
        <w:rPr>
          <w:rFonts w:ascii="Times New Roman" w:hAnsi="Times New Roman" w:cs="Times New Roman"/>
          <w:b w:val="0"/>
          <w:color w:val="000000"/>
        </w:rPr>
        <w:t xml:space="preserve"> на тумор (лево/ десно; и 5) димензии на тумор</w:t>
      </w:r>
      <w:r w:rsidRPr="004839A7">
        <w:rPr>
          <w:rFonts w:ascii="Times New Roman" w:hAnsi="Times New Roman" w:cs="Times New Roman"/>
          <w:b w:val="0"/>
          <w:color w:val="000000"/>
          <w:lang w:val="ru-RU"/>
        </w:rPr>
        <w:t xml:space="preserve"> </w:t>
      </w:r>
      <w:r w:rsidR="006128F1">
        <w:rPr>
          <w:rFonts w:ascii="Times New Roman" w:hAnsi="Times New Roman" w:cs="Times New Roman"/>
          <w:b w:val="0"/>
          <w:color w:val="000000"/>
          <w:lang w:val="ru-RU"/>
        </w:rPr>
        <w:t>(мм)</w:t>
      </w:r>
      <w:r w:rsidR="004839A7" w:rsidRPr="004839A7">
        <w:rPr>
          <w:rFonts w:ascii="Times New Roman" w:hAnsi="Times New Roman" w:cs="Times New Roman"/>
          <w:b w:val="0"/>
          <w:color w:val="000000"/>
          <w:lang w:val="ru-RU"/>
        </w:rPr>
        <w:t xml:space="preserve">. </w:t>
      </w:r>
      <w:r w:rsidR="0085033D" w:rsidRPr="004839A7">
        <w:rPr>
          <w:rFonts w:ascii="Times New Roman" w:hAnsi="Times New Roman" w:cs="Times New Roman"/>
          <w:b w:val="0"/>
          <w:color w:val="000000"/>
        </w:rPr>
        <w:t xml:space="preserve">Направена беше и споредба </w:t>
      </w:r>
      <w:r w:rsidR="00652246" w:rsidRPr="004839A7">
        <w:rPr>
          <w:rFonts w:ascii="Times New Roman" w:hAnsi="Times New Roman" w:cs="Times New Roman"/>
          <w:b w:val="0"/>
          <w:color w:val="000000"/>
        </w:rPr>
        <w:t xml:space="preserve">(Z-statistics) </w:t>
      </w:r>
      <w:r w:rsidR="0085033D" w:rsidRPr="004839A7">
        <w:rPr>
          <w:rFonts w:ascii="Times New Roman" w:hAnsi="Times New Roman" w:cs="Times New Roman"/>
          <w:b w:val="0"/>
          <w:color w:val="000000"/>
        </w:rPr>
        <w:t xml:space="preserve">на добиените вредности за корелацијата </w:t>
      </w:r>
      <w:r w:rsidR="006128F1">
        <w:rPr>
          <w:rFonts w:ascii="Times New Roman" w:hAnsi="Times New Roman" w:cs="Times New Roman"/>
          <w:b w:val="0"/>
          <w:color w:val="000000"/>
        </w:rPr>
        <w:t xml:space="preserve">помеѓу </w:t>
      </w:r>
      <w:r w:rsidR="004839A7" w:rsidRPr="004839A7">
        <w:rPr>
          <w:rFonts w:ascii="Times New Roman" w:hAnsi="Times New Roman" w:cs="Times New Roman"/>
          <w:b w:val="0"/>
          <w:color w:val="000000"/>
          <w:lang w:val="en-US"/>
        </w:rPr>
        <w:t>IL</w:t>
      </w:r>
      <w:r w:rsidR="004839A7" w:rsidRPr="00A926CA">
        <w:rPr>
          <w:rFonts w:ascii="Times New Roman" w:hAnsi="Times New Roman" w:cs="Times New Roman"/>
          <w:b w:val="0"/>
          <w:color w:val="000000"/>
          <w:lang w:val="ru-RU"/>
        </w:rPr>
        <w:t xml:space="preserve">-33 во серум </w:t>
      </w:r>
      <w:r w:rsidR="004839A7" w:rsidRPr="004839A7">
        <w:rPr>
          <w:rFonts w:ascii="Times New Roman" w:hAnsi="Times New Roman" w:cs="Times New Roman"/>
          <w:b w:val="0"/>
          <w:color w:val="000000"/>
        </w:rPr>
        <w:t xml:space="preserve">односно </w:t>
      </w:r>
      <w:r w:rsidR="00652246" w:rsidRPr="004839A7">
        <w:rPr>
          <w:rFonts w:ascii="Times New Roman" w:hAnsi="Times New Roman" w:cs="Times New Roman"/>
          <w:b w:val="0"/>
          <w:color w:val="000000"/>
          <w:lang w:val="en-US"/>
        </w:rPr>
        <w:t>IL</w:t>
      </w:r>
      <w:r w:rsidR="00652246" w:rsidRPr="00A926CA">
        <w:rPr>
          <w:rFonts w:ascii="Times New Roman" w:hAnsi="Times New Roman" w:cs="Times New Roman"/>
          <w:b w:val="0"/>
          <w:color w:val="000000"/>
          <w:lang w:val="ru-RU"/>
        </w:rPr>
        <w:t xml:space="preserve">-33 </w:t>
      </w:r>
      <w:r w:rsidR="004839A7" w:rsidRPr="004839A7">
        <w:rPr>
          <w:rFonts w:ascii="Times New Roman" w:hAnsi="Times New Roman" w:cs="Times New Roman"/>
          <w:b w:val="0"/>
          <w:color w:val="000000"/>
        </w:rPr>
        <w:t xml:space="preserve">во </w:t>
      </w:r>
      <w:r w:rsidR="004839A7" w:rsidRPr="00A926CA">
        <w:rPr>
          <w:rFonts w:ascii="Times New Roman" w:hAnsi="Times New Roman" w:cs="Times New Roman"/>
          <w:b w:val="0"/>
          <w:color w:val="000000"/>
          <w:lang w:val="ru-RU"/>
        </w:rPr>
        <w:t>салива</w:t>
      </w:r>
      <w:r w:rsidR="0085033D" w:rsidRPr="004839A7">
        <w:rPr>
          <w:rFonts w:ascii="Times New Roman" w:hAnsi="Times New Roman" w:cs="Times New Roman"/>
          <w:b w:val="0"/>
          <w:color w:val="000000"/>
        </w:rPr>
        <w:t xml:space="preserve"> </w:t>
      </w:r>
      <w:r w:rsidR="006128F1">
        <w:rPr>
          <w:rFonts w:ascii="Times New Roman" w:hAnsi="Times New Roman" w:cs="Times New Roman"/>
          <w:b w:val="0"/>
          <w:color w:val="000000"/>
        </w:rPr>
        <w:t>со</w:t>
      </w:r>
      <w:r w:rsidR="004839A7">
        <w:rPr>
          <w:rFonts w:ascii="Times New Roman" w:hAnsi="Times New Roman" w:cs="Times New Roman"/>
          <w:b w:val="0"/>
          <w:color w:val="000000"/>
        </w:rPr>
        <w:t xml:space="preserve"> секој од селектираните параметри со</w:t>
      </w:r>
      <w:r w:rsidR="0085033D" w:rsidRPr="004839A7">
        <w:rPr>
          <w:rFonts w:ascii="Times New Roman" w:hAnsi="Times New Roman" w:cs="Times New Roman"/>
          <w:b w:val="0"/>
          <w:color w:val="000000"/>
        </w:rPr>
        <w:t xml:space="preserve"> цел за согледување на евентуални разлики </w:t>
      </w:r>
      <w:r w:rsidR="004839A7">
        <w:rPr>
          <w:rFonts w:ascii="Times New Roman" w:hAnsi="Times New Roman" w:cs="Times New Roman"/>
          <w:b w:val="0"/>
          <w:color w:val="000000"/>
        </w:rPr>
        <w:t>во степенот на поврзаност</w:t>
      </w:r>
      <w:r w:rsidR="0085033D" w:rsidRPr="004839A7">
        <w:rPr>
          <w:rFonts w:ascii="Times New Roman" w:hAnsi="Times New Roman" w:cs="Times New Roman"/>
          <w:b w:val="0"/>
          <w:color w:val="000000"/>
        </w:rPr>
        <w:t xml:space="preserve"> (Табела </w:t>
      </w:r>
      <w:r w:rsidR="0065789A">
        <w:rPr>
          <w:rFonts w:ascii="Times New Roman" w:hAnsi="Times New Roman" w:cs="Times New Roman"/>
          <w:b w:val="0"/>
          <w:color w:val="000000"/>
        </w:rPr>
        <w:t>14</w:t>
      </w:r>
      <w:r w:rsidR="00A5689B">
        <w:rPr>
          <w:rFonts w:ascii="Times New Roman" w:hAnsi="Times New Roman" w:cs="Times New Roman"/>
          <w:b w:val="0"/>
          <w:color w:val="000000"/>
        </w:rPr>
        <w:t xml:space="preserve"> и График 25-26</w:t>
      </w:r>
      <w:r w:rsidR="0085033D" w:rsidRPr="004839A7">
        <w:rPr>
          <w:rFonts w:ascii="Times New Roman" w:hAnsi="Times New Roman" w:cs="Times New Roman"/>
          <w:b w:val="0"/>
          <w:color w:val="000000"/>
        </w:rPr>
        <w:t>).</w:t>
      </w:r>
    </w:p>
    <w:p w:rsidR="0065789A" w:rsidRPr="0065789A" w:rsidRDefault="0065789A" w:rsidP="0065789A">
      <w:pPr>
        <w:pStyle w:val="11"/>
        <w:spacing w:after="0"/>
        <w:ind w:firstLine="720"/>
        <w:jc w:val="both"/>
        <w:rPr>
          <w:rFonts w:ascii="Times New Roman" w:hAnsi="Times New Roman" w:cs="Times New Roman"/>
          <w:b w:val="0"/>
          <w:color w:val="215868"/>
          <w:sz w:val="26"/>
          <w:szCs w:val="26"/>
        </w:rPr>
      </w:pPr>
    </w:p>
    <w:p w:rsidR="00F5147F" w:rsidRPr="0065789A" w:rsidRDefault="00F5147F" w:rsidP="00F5147F">
      <w:pPr>
        <w:pStyle w:val="Heading1"/>
        <w:spacing w:before="0" w:beforeAutospacing="0" w:after="0" w:afterAutospacing="0" w:line="360" w:lineRule="auto"/>
        <w:rPr>
          <w:rFonts w:ascii="Times New Roman" w:hAnsi="Times New Roman" w:cs="Times New Roman"/>
          <w:color w:val="000000"/>
          <w:sz w:val="20"/>
          <w:szCs w:val="20"/>
          <w:lang w:val="mk-MK"/>
        </w:rPr>
      </w:pPr>
      <w:r w:rsidRPr="0065789A">
        <w:rPr>
          <w:rFonts w:ascii="Times New Roman" w:hAnsi="Times New Roman" w:cs="Times New Roman"/>
          <w:color w:val="000000"/>
          <w:sz w:val="20"/>
          <w:szCs w:val="20"/>
          <w:lang w:val="ru-RU"/>
        </w:rPr>
        <w:t xml:space="preserve">Табела </w:t>
      </w:r>
      <w:r w:rsidR="00854A10">
        <w:rPr>
          <w:rFonts w:ascii="Times New Roman" w:hAnsi="Times New Roman" w:cs="Times New Roman"/>
          <w:color w:val="000000"/>
          <w:sz w:val="20"/>
          <w:szCs w:val="20"/>
          <w:lang w:val="ru-RU"/>
        </w:rPr>
        <w:t>14</w:t>
      </w:r>
      <w:r w:rsidRPr="0065789A">
        <w:rPr>
          <w:rFonts w:ascii="Times New Roman" w:hAnsi="Times New Roman" w:cs="Times New Roman"/>
          <w:color w:val="000000"/>
          <w:sz w:val="20"/>
          <w:szCs w:val="20"/>
          <w:lang w:val="ru-RU"/>
        </w:rPr>
        <w:t xml:space="preserve">. </w:t>
      </w:r>
      <w:r w:rsidRPr="0065789A">
        <w:rPr>
          <w:rFonts w:ascii="Times New Roman" w:hAnsi="Times New Roman" w:cs="Times New Roman"/>
          <w:color w:val="000000"/>
          <w:sz w:val="20"/>
          <w:szCs w:val="20"/>
          <w:lang w:val="mk-MK"/>
        </w:rPr>
        <w:t xml:space="preserve">Корелација </w:t>
      </w:r>
      <w:r w:rsidR="00020DAA">
        <w:rPr>
          <w:rFonts w:ascii="Times New Roman" w:hAnsi="Times New Roman" w:cs="Times New Roman"/>
          <w:color w:val="000000"/>
          <w:sz w:val="20"/>
          <w:szCs w:val="20"/>
          <w:lang w:val="mk-MK"/>
        </w:rPr>
        <w:t>на</w:t>
      </w:r>
      <w:r w:rsidRPr="0065789A">
        <w:rPr>
          <w:rFonts w:ascii="Times New Roman" w:hAnsi="Times New Roman" w:cs="Times New Roman"/>
          <w:color w:val="000000"/>
          <w:sz w:val="20"/>
          <w:szCs w:val="20"/>
          <w:lang w:val="mk-MK"/>
        </w:rPr>
        <w:t xml:space="preserve"> </w:t>
      </w:r>
      <w:r w:rsidR="0065789A" w:rsidRPr="0065789A">
        <w:rPr>
          <w:rFonts w:ascii="Times New Roman" w:hAnsi="Times New Roman" w:cs="Times New Roman"/>
          <w:color w:val="000000"/>
          <w:sz w:val="20"/>
          <w:szCs w:val="20"/>
        </w:rPr>
        <w:t xml:space="preserve">IL-33 во серум и </w:t>
      </w:r>
      <w:r w:rsidR="008153B2" w:rsidRPr="0065789A">
        <w:rPr>
          <w:rFonts w:ascii="Times New Roman" w:hAnsi="Times New Roman" w:cs="Times New Roman"/>
          <w:color w:val="000000"/>
          <w:sz w:val="20"/>
          <w:szCs w:val="20"/>
        </w:rPr>
        <w:t xml:space="preserve">IL-33 </w:t>
      </w:r>
      <w:r w:rsidR="0065789A" w:rsidRPr="0065789A">
        <w:rPr>
          <w:rFonts w:ascii="Times New Roman" w:hAnsi="Times New Roman" w:cs="Times New Roman"/>
          <w:color w:val="000000"/>
          <w:sz w:val="20"/>
          <w:szCs w:val="20"/>
        </w:rPr>
        <w:t xml:space="preserve">во </w:t>
      </w:r>
      <w:r w:rsidR="00816E64">
        <w:rPr>
          <w:rFonts w:ascii="Times New Roman" w:hAnsi="Times New Roman" w:cs="Times New Roman"/>
          <w:color w:val="000000"/>
          <w:sz w:val="20"/>
          <w:szCs w:val="20"/>
          <w:lang w:val="mk-MK"/>
        </w:rPr>
        <w:t>салива</w:t>
      </w:r>
      <w:r w:rsidR="0065789A" w:rsidRPr="0065789A">
        <w:rPr>
          <w:rFonts w:ascii="Times New Roman" w:hAnsi="Times New Roman" w:cs="Times New Roman"/>
          <w:color w:val="000000"/>
          <w:sz w:val="20"/>
          <w:szCs w:val="20"/>
        </w:rPr>
        <w:t xml:space="preserve"> со селектирани параметри</w:t>
      </w:r>
    </w:p>
    <w:tbl>
      <w:tblPr>
        <w:tblW w:w="9105"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77"/>
        <w:gridCol w:w="1913"/>
        <w:gridCol w:w="1914"/>
        <w:gridCol w:w="2301"/>
      </w:tblGrid>
      <w:tr w:rsidR="002A54E2" w:rsidRPr="0085033D" w:rsidTr="008153B2">
        <w:trPr>
          <w:trHeight w:val="451"/>
        </w:trPr>
        <w:tc>
          <w:tcPr>
            <w:tcW w:w="6804" w:type="dxa"/>
            <w:gridSpan w:val="3"/>
            <w:tcBorders>
              <w:right w:val="single" w:sz="4" w:space="0" w:color="FFFFFF"/>
            </w:tcBorders>
            <w:shd w:val="clear" w:color="auto" w:fill="31849B"/>
            <w:vAlign w:val="center"/>
          </w:tcPr>
          <w:p w:rsidR="002A54E2" w:rsidRPr="00AE4710" w:rsidRDefault="002A54E2" w:rsidP="00F135B9">
            <w:pPr>
              <w:jc w:val="center"/>
              <w:rPr>
                <w:rFonts w:ascii="Times New Roman" w:hAnsi="Times New Roman" w:cs="Times New Roman"/>
                <w:b/>
                <w:color w:val="FFFFFF"/>
                <w:sz w:val="18"/>
                <w:szCs w:val="18"/>
              </w:rPr>
            </w:pPr>
            <w:r w:rsidRPr="00AE4710">
              <w:rPr>
                <w:rFonts w:ascii="Times New Roman" w:hAnsi="Times New Roman" w:cs="Times New Roman"/>
                <w:b/>
                <w:bCs/>
                <w:color w:val="FFFFFF"/>
                <w:sz w:val="18"/>
                <w:szCs w:val="18"/>
              </w:rPr>
              <w:t xml:space="preserve">Spearman Rank order </w:t>
            </w:r>
            <w:r w:rsidRPr="00AE4710">
              <w:rPr>
                <w:rFonts w:ascii="Times New Roman" w:hAnsi="Times New Roman" w:cs="Times New Roman"/>
                <w:b/>
                <w:color w:val="FFFFFF"/>
                <w:sz w:val="18"/>
                <w:szCs w:val="18"/>
              </w:rPr>
              <w:t xml:space="preserve">coreallations </w:t>
            </w:r>
            <w:r w:rsidR="008153B2" w:rsidRPr="00AE4710">
              <w:rPr>
                <w:rFonts w:ascii="Times New Roman" w:hAnsi="Times New Roman" w:cs="Times New Roman"/>
                <w:b/>
                <w:color w:val="FFFFFF"/>
                <w:sz w:val="18"/>
                <w:szCs w:val="18"/>
              </w:rPr>
              <w:t>- R</w:t>
            </w:r>
            <w:r w:rsidRPr="00AE4710">
              <w:rPr>
                <w:rFonts w:ascii="Times New Roman" w:hAnsi="Times New Roman" w:cs="Times New Roman"/>
                <w:b/>
                <w:color w:val="FFFFFF"/>
                <w:sz w:val="18"/>
                <w:szCs w:val="18"/>
              </w:rPr>
              <w:t xml:space="preserve">                          </w:t>
            </w:r>
          </w:p>
        </w:tc>
        <w:tc>
          <w:tcPr>
            <w:tcW w:w="2301" w:type="dxa"/>
            <w:vMerge w:val="restart"/>
            <w:tcBorders>
              <w:left w:val="single" w:sz="4" w:space="0" w:color="FFFFFF"/>
              <w:right w:val="single" w:sz="4" w:space="0" w:color="215868"/>
            </w:tcBorders>
            <w:shd w:val="clear" w:color="auto" w:fill="31849B"/>
            <w:vAlign w:val="center"/>
          </w:tcPr>
          <w:p w:rsidR="002A54E2" w:rsidRPr="0085033D" w:rsidRDefault="002A54E2" w:rsidP="00F135B9">
            <w:pPr>
              <w:jc w:val="center"/>
              <w:rPr>
                <w:rFonts w:ascii="Times New Roman" w:hAnsi="Times New Roman" w:cs="Times New Roman"/>
                <w:b/>
                <w:color w:val="FFFFFF"/>
                <w:sz w:val="18"/>
                <w:szCs w:val="18"/>
                <w:vertAlign w:val="superscript"/>
              </w:rPr>
            </w:pPr>
            <w:r w:rsidRPr="0085033D">
              <w:rPr>
                <w:rFonts w:ascii="Times New Roman" w:hAnsi="Times New Roman" w:cs="Times New Roman"/>
                <w:b/>
                <w:color w:val="FFFFFF"/>
                <w:sz w:val="18"/>
                <w:szCs w:val="18"/>
                <w:vertAlign w:val="superscript"/>
              </w:rPr>
              <w:t>1</w:t>
            </w:r>
            <w:r w:rsidRPr="0085033D">
              <w:rPr>
                <w:rFonts w:ascii="Times New Roman" w:hAnsi="Times New Roman" w:cs="Times New Roman"/>
                <w:b/>
                <w:color w:val="FFFFFF"/>
                <w:sz w:val="18"/>
                <w:szCs w:val="18"/>
              </w:rPr>
              <w:t>p</w:t>
            </w:r>
          </w:p>
        </w:tc>
      </w:tr>
      <w:tr w:rsidR="002A54E2" w:rsidRPr="0085033D" w:rsidTr="000D486D">
        <w:trPr>
          <w:trHeight w:val="381"/>
        </w:trPr>
        <w:tc>
          <w:tcPr>
            <w:tcW w:w="2977" w:type="dxa"/>
            <w:vMerge w:val="restart"/>
            <w:shd w:val="clear" w:color="auto" w:fill="31849B"/>
            <w:vAlign w:val="center"/>
          </w:tcPr>
          <w:p w:rsidR="002A54E2" w:rsidRPr="0085033D" w:rsidRDefault="002A54E2" w:rsidP="00F135B9">
            <w:pPr>
              <w:jc w:val="center"/>
              <w:rPr>
                <w:rFonts w:ascii="Times New Roman" w:hAnsi="Times New Roman" w:cs="Times New Roman"/>
                <w:b/>
                <w:color w:val="FFFFFF"/>
                <w:sz w:val="18"/>
                <w:szCs w:val="18"/>
              </w:rPr>
            </w:pPr>
            <w:r w:rsidRPr="0085033D">
              <w:rPr>
                <w:rFonts w:ascii="Times New Roman" w:hAnsi="Times New Roman" w:cs="Times New Roman"/>
                <w:b/>
                <w:color w:val="FFFFFF"/>
                <w:sz w:val="18"/>
                <w:szCs w:val="18"/>
              </w:rPr>
              <w:t>Параметри</w:t>
            </w:r>
          </w:p>
        </w:tc>
        <w:tc>
          <w:tcPr>
            <w:tcW w:w="3827" w:type="dxa"/>
            <w:gridSpan w:val="2"/>
            <w:tcBorders>
              <w:right w:val="single" w:sz="4" w:space="0" w:color="FFFFFF"/>
            </w:tcBorders>
            <w:shd w:val="clear" w:color="auto" w:fill="31849B"/>
            <w:vAlign w:val="center"/>
          </w:tcPr>
          <w:p w:rsidR="002A54E2" w:rsidRPr="0022737D" w:rsidRDefault="002A54E2" w:rsidP="00F135B9">
            <w:pPr>
              <w:jc w:val="center"/>
              <w:rPr>
                <w:rFonts w:ascii="Times New Roman" w:hAnsi="Times New Roman" w:cs="Times New Roman"/>
                <w:b/>
                <w:color w:val="FFFFFF"/>
                <w:sz w:val="18"/>
                <w:szCs w:val="18"/>
                <w:lang w:val="en-US"/>
              </w:rPr>
            </w:pPr>
            <w:r>
              <w:rPr>
                <w:rFonts w:ascii="Times New Roman" w:hAnsi="Times New Roman" w:cs="Times New Roman"/>
                <w:b/>
                <w:color w:val="FFFFFF"/>
                <w:sz w:val="18"/>
                <w:szCs w:val="18"/>
              </w:rPr>
              <w:t>Биомаркери</w:t>
            </w:r>
            <w:r w:rsidR="0022737D">
              <w:rPr>
                <w:rFonts w:ascii="Times New Roman" w:hAnsi="Times New Roman" w:cs="Times New Roman"/>
                <w:b/>
                <w:color w:val="FFFFFF"/>
                <w:sz w:val="18"/>
                <w:szCs w:val="18"/>
                <w:lang w:val="en-US"/>
              </w:rPr>
              <w:t xml:space="preserve"> (pg/mL)</w:t>
            </w:r>
          </w:p>
        </w:tc>
        <w:tc>
          <w:tcPr>
            <w:tcW w:w="2301" w:type="dxa"/>
            <w:vMerge/>
            <w:tcBorders>
              <w:left w:val="single" w:sz="4" w:space="0" w:color="FFFFFF"/>
              <w:right w:val="single" w:sz="4" w:space="0" w:color="215868"/>
            </w:tcBorders>
            <w:shd w:val="clear" w:color="auto" w:fill="31849B"/>
            <w:vAlign w:val="center"/>
          </w:tcPr>
          <w:p w:rsidR="002A54E2" w:rsidRPr="0085033D" w:rsidRDefault="002A54E2" w:rsidP="00F135B9">
            <w:pPr>
              <w:jc w:val="center"/>
              <w:rPr>
                <w:rFonts w:ascii="Times New Roman" w:hAnsi="Times New Roman" w:cs="Times New Roman"/>
                <w:b/>
                <w:color w:val="FFFFFF"/>
                <w:sz w:val="18"/>
                <w:szCs w:val="18"/>
              </w:rPr>
            </w:pPr>
          </w:p>
        </w:tc>
      </w:tr>
      <w:tr w:rsidR="002A54E2" w:rsidRPr="0085033D" w:rsidTr="000D486D">
        <w:trPr>
          <w:trHeight w:val="471"/>
        </w:trPr>
        <w:tc>
          <w:tcPr>
            <w:tcW w:w="2977" w:type="dxa"/>
            <w:vMerge/>
            <w:shd w:val="clear" w:color="auto" w:fill="31849B"/>
          </w:tcPr>
          <w:p w:rsidR="002A54E2" w:rsidRPr="0085033D" w:rsidRDefault="002A54E2" w:rsidP="00F135B9">
            <w:pPr>
              <w:rPr>
                <w:rFonts w:ascii="Times New Roman" w:hAnsi="Times New Roman" w:cs="Times New Roman"/>
                <w:b/>
                <w:color w:val="FF0000"/>
                <w:sz w:val="18"/>
                <w:szCs w:val="18"/>
              </w:rPr>
            </w:pPr>
          </w:p>
        </w:tc>
        <w:tc>
          <w:tcPr>
            <w:tcW w:w="1913" w:type="dxa"/>
            <w:tcBorders>
              <w:right w:val="single" w:sz="4" w:space="0" w:color="FFFFFF"/>
            </w:tcBorders>
            <w:shd w:val="clear" w:color="auto" w:fill="31849B"/>
            <w:vAlign w:val="center"/>
          </w:tcPr>
          <w:p w:rsidR="002A54E2" w:rsidRPr="0085033D" w:rsidRDefault="002A54E2" w:rsidP="002242CF">
            <w:pPr>
              <w:jc w:val="center"/>
              <w:rPr>
                <w:rFonts w:ascii="Times New Roman" w:hAnsi="Times New Roman" w:cs="Times New Roman"/>
                <w:b/>
                <w:color w:val="FFFFFF"/>
                <w:sz w:val="18"/>
                <w:szCs w:val="18"/>
              </w:rPr>
            </w:pPr>
            <w:r>
              <w:rPr>
                <w:rFonts w:ascii="Times New Roman" w:hAnsi="Times New Roman" w:cs="Times New Roman"/>
                <w:b/>
                <w:color w:val="FFFFFF"/>
                <w:sz w:val="18"/>
                <w:szCs w:val="18"/>
                <w:lang w:val="en-US"/>
              </w:rPr>
              <w:t>IL-33</w:t>
            </w:r>
            <w:r>
              <w:rPr>
                <w:rFonts w:ascii="Times New Roman" w:hAnsi="Times New Roman" w:cs="Times New Roman"/>
                <w:b/>
                <w:color w:val="FFFFFF"/>
                <w:sz w:val="18"/>
                <w:szCs w:val="18"/>
              </w:rPr>
              <w:t xml:space="preserve"> серум</w:t>
            </w:r>
          </w:p>
        </w:tc>
        <w:tc>
          <w:tcPr>
            <w:tcW w:w="1914" w:type="dxa"/>
            <w:tcBorders>
              <w:left w:val="single" w:sz="4" w:space="0" w:color="FFFFFF"/>
              <w:right w:val="single" w:sz="4" w:space="0" w:color="FFFFFF"/>
            </w:tcBorders>
            <w:shd w:val="clear" w:color="auto" w:fill="31849B"/>
            <w:vAlign w:val="center"/>
          </w:tcPr>
          <w:p w:rsidR="002A54E2" w:rsidRPr="0085033D" w:rsidRDefault="002A54E2" w:rsidP="00F135B9">
            <w:pPr>
              <w:jc w:val="center"/>
              <w:rPr>
                <w:rFonts w:ascii="Times New Roman" w:hAnsi="Times New Roman" w:cs="Times New Roman"/>
                <w:b/>
                <w:color w:val="FFFFFF"/>
                <w:sz w:val="18"/>
                <w:szCs w:val="18"/>
              </w:rPr>
            </w:pPr>
            <w:r>
              <w:rPr>
                <w:rFonts w:ascii="Times New Roman" w:hAnsi="Times New Roman" w:cs="Times New Roman"/>
                <w:b/>
                <w:color w:val="FFFFFF"/>
                <w:sz w:val="18"/>
                <w:szCs w:val="18"/>
                <w:lang w:val="en-US"/>
              </w:rPr>
              <w:t>IL-33</w:t>
            </w:r>
            <w:r>
              <w:rPr>
                <w:rFonts w:ascii="Times New Roman" w:hAnsi="Times New Roman" w:cs="Times New Roman"/>
                <w:b/>
                <w:color w:val="FFFFFF"/>
                <w:sz w:val="18"/>
                <w:szCs w:val="18"/>
              </w:rPr>
              <w:t xml:space="preserve"> салива</w:t>
            </w:r>
          </w:p>
        </w:tc>
        <w:tc>
          <w:tcPr>
            <w:tcW w:w="2301" w:type="dxa"/>
            <w:vMerge/>
            <w:tcBorders>
              <w:left w:val="single" w:sz="4" w:space="0" w:color="FFFFFF"/>
              <w:right w:val="single" w:sz="4" w:space="0" w:color="215868"/>
            </w:tcBorders>
            <w:shd w:val="clear" w:color="auto" w:fill="31849B"/>
          </w:tcPr>
          <w:p w:rsidR="002A54E2" w:rsidRPr="0085033D" w:rsidRDefault="002A54E2" w:rsidP="00F135B9">
            <w:pPr>
              <w:jc w:val="center"/>
              <w:rPr>
                <w:rFonts w:ascii="Times New Roman" w:hAnsi="Times New Roman" w:cs="Times New Roman"/>
                <w:b/>
                <w:color w:val="000000"/>
                <w:sz w:val="18"/>
                <w:szCs w:val="18"/>
              </w:rPr>
            </w:pPr>
          </w:p>
        </w:tc>
      </w:tr>
      <w:tr w:rsidR="0085033D" w:rsidRPr="0085033D" w:rsidTr="000D486D">
        <w:trPr>
          <w:trHeight w:val="548"/>
        </w:trPr>
        <w:tc>
          <w:tcPr>
            <w:tcW w:w="2977" w:type="dxa"/>
            <w:shd w:val="clear" w:color="auto" w:fill="31849B"/>
            <w:vAlign w:val="center"/>
          </w:tcPr>
          <w:p w:rsidR="0085033D" w:rsidRPr="0085033D" w:rsidRDefault="0085033D" w:rsidP="00F135B9">
            <w:pPr>
              <w:autoSpaceDE w:val="0"/>
              <w:autoSpaceDN w:val="0"/>
              <w:adjustRightInd w:val="0"/>
              <w:ind w:left="147" w:right="62"/>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Пол (мажи/ жени)</w:t>
            </w:r>
          </w:p>
        </w:tc>
        <w:tc>
          <w:tcPr>
            <w:tcW w:w="1913" w:type="dxa"/>
            <w:tcBorders>
              <w:right w:val="single" w:sz="4" w:space="0" w:color="215868"/>
            </w:tcBorders>
            <w:vAlign w:val="center"/>
          </w:tcPr>
          <w:p w:rsidR="0085033D" w:rsidRPr="008F6834" w:rsidRDefault="0085033D" w:rsidP="00F135B9">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008F6834" w:rsidRPr="008F6834">
              <w:rPr>
                <w:rFonts w:ascii="Times New Roman" w:hAnsi="Times New Roman" w:cs="Times New Roman"/>
                <w:bCs/>
                <w:color w:val="000000"/>
                <w:sz w:val="18"/>
                <w:szCs w:val="18"/>
                <w:vertAlign w:val="subscript"/>
                <w:lang w:val="en-US"/>
              </w:rPr>
              <w:t>120</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w:t>
            </w:r>
            <w:r w:rsidR="008F6834" w:rsidRPr="008F6834">
              <w:rPr>
                <w:rFonts w:ascii="Times New Roman" w:hAnsi="Times New Roman" w:cs="Times New Roman"/>
                <w:bCs/>
                <w:color w:val="000000"/>
                <w:sz w:val="18"/>
                <w:szCs w:val="18"/>
                <w:lang w:val="en-US"/>
              </w:rPr>
              <w:t>-</w:t>
            </w:r>
            <w:r w:rsidRPr="008F6834">
              <w:rPr>
                <w:rFonts w:ascii="Times New Roman" w:hAnsi="Times New Roman" w:cs="Times New Roman"/>
                <w:bCs/>
                <w:color w:val="000000"/>
                <w:sz w:val="18"/>
                <w:szCs w:val="18"/>
              </w:rPr>
              <w:t>0,</w:t>
            </w:r>
            <w:r w:rsidR="008F6834" w:rsidRPr="008F6834">
              <w:rPr>
                <w:rFonts w:ascii="Times New Roman" w:hAnsi="Times New Roman" w:cs="Times New Roman"/>
                <w:bCs/>
                <w:color w:val="000000"/>
                <w:sz w:val="18"/>
                <w:szCs w:val="18"/>
                <w:lang w:val="en-US"/>
              </w:rPr>
              <w:t>090</w:t>
            </w:r>
            <w:r w:rsidRPr="008F6834">
              <w:rPr>
                <w:rFonts w:ascii="Times New Roman" w:hAnsi="Times New Roman" w:cs="Times New Roman"/>
                <w:bCs/>
                <w:color w:val="000000"/>
                <w:sz w:val="18"/>
                <w:szCs w:val="18"/>
              </w:rPr>
              <w:t xml:space="preserve">; </w:t>
            </w:r>
          </w:p>
          <w:p w:rsidR="0085033D" w:rsidRPr="008F6834" w:rsidRDefault="0085033D" w:rsidP="008F6834">
            <w:pPr>
              <w:jc w:val="center"/>
              <w:rPr>
                <w:rFonts w:ascii="Times New Roman" w:hAnsi="Times New Roman" w:cs="Times New Roman"/>
                <w:color w:val="000000"/>
                <w:sz w:val="18"/>
                <w:szCs w:val="18"/>
                <w:lang w:val="en-US"/>
              </w:rPr>
            </w:pPr>
            <w:r w:rsidRPr="008F6834">
              <w:rPr>
                <w:rFonts w:ascii="Times New Roman" w:hAnsi="Times New Roman" w:cs="Times New Roman"/>
                <w:bCs/>
                <w:color w:val="000000"/>
                <w:sz w:val="18"/>
                <w:szCs w:val="18"/>
              </w:rPr>
              <w:t>p=0,</w:t>
            </w:r>
            <w:r w:rsidR="008F6834" w:rsidRPr="008F6834">
              <w:rPr>
                <w:rFonts w:ascii="Times New Roman" w:hAnsi="Times New Roman" w:cs="Times New Roman"/>
                <w:bCs/>
                <w:color w:val="000000"/>
                <w:sz w:val="18"/>
                <w:szCs w:val="18"/>
                <w:lang w:val="en-US"/>
              </w:rPr>
              <w:t>325</w:t>
            </w:r>
          </w:p>
        </w:tc>
        <w:tc>
          <w:tcPr>
            <w:tcW w:w="1914" w:type="dxa"/>
            <w:tcBorders>
              <w:right w:val="single" w:sz="4" w:space="0" w:color="215868"/>
            </w:tcBorders>
            <w:vAlign w:val="center"/>
          </w:tcPr>
          <w:p w:rsidR="0085033D" w:rsidRPr="008F6834" w:rsidRDefault="0085033D" w:rsidP="00F135B9">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008F6834" w:rsidRPr="008F6834">
              <w:rPr>
                <w:rFonts w:ascii="Times New Roman" w:hAnsi="Times New Roman" w:cs="Times New Roman"/>
                <w:bCs/>
                <w:color w:val="000000"/>
                <w:sz w:val="18"/>
                <w:szCs w:val="18"/>
                <w:vertAlign w:val="subscript"/>
                <w:lang w:val="en-US"/>
              </w:rPr>
              <w:t>120</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w:t>
            </w:r>
            <w:r w:rsidR="008F6834" w:rsidRPr="008F6834">
              <w:rPr>
                <w:rFonts w:ascii="Times New Roman" w:hAnsi="Times New Roman" w:cs="Times New Roman"/>
                <w:bCs/>
                <w:color w:val="000000"/>
                <w:sz w:val="18"/>
                <w:szCs w:val="18"/>
                <w:lang w:val="en-US"/>
              </w:rPr>
              <w:t>-</w:t>
            </w:r>
            <w:r w:rsidRPr="008F6834">
              <w:rPr>
                <w:rFonts w:ascii="Times New Roman" w:hAnsi="Times New Roman" w:cs="Times New Roman"/>
                <w:bCs/>
                <w:color w:val="000000"/>
                <w:sz w:val="18"/>
                <w:szCs w:val="18"/>
              </w:rPr>
              <w:t>0,</w:t>
            </w:r>
            <w:r w:rsidR="008F6834" w:rsidRPr="008F6834">
              <w:rPr>
                <w:rFonts w:ascii="Times New Roman" w:hAnsi="Times New Roman" w:cs="Times New Roman"/>
                <w:bCs/>
                <w:color w:val="000000"/>
                <w:sz w:val="18"/>
                <w:szCs w:val="18"/>
                <w:lang w:val="en-US"/>
              </w:rPr>
              <w:t>038</w:t>
            </w:r>
            <w:r w:rsidRPr="008F6834">
              <w:rPr>
                <w:rFonts w:ascii="Times New Roman" w:hAnsi="Times New Roman" w:cs="Times New Roman"/>
                <w:bCs/>
                <w:color w:val="000000"/>
                <w:sz w:val="18"/>
                <w:szCs w:val="18"/>
              </w:rPr>
              <w:t xml:space="preserve">; </w:t>
            </w:r>
          </w:p>
          <w:p w:rsidR="0085033D" w:rsidRPr="008F6834" w:rsidRDefault="0085033D" w:rsidP="008F6834">
            <w:pPr>
              <w:jc w:val="center"/>
              <w:rPr>
                <w:rFonts w:ascii="Times New Roman" w:hAnsi="Times New Roman" w:cs="Times New Roman"/>
                <w:color w:val="000000"/>
                <w:sz w:val="18"/>
                <w:szCs w:val="18"/>
                <w:lang w:val="en-US"/>
              </w:rPr>
            </w:pPr>
            <w:r w:rsidRPr="008F6834">
              <w:rPr>
                <w:rFonts w:ascii="Times New Roman" w:hAnsi="Times New Roman" w:cs="Times New Roman"/>
                <w:bCs/>
                <w:color w:val="000000"/>
                <w:sz w:val="18"/>
                <w:szCs w:val="18"/>
              </w:rPr>
              <w:t>p=0,</w:t>
            </w:r>
            <w:r w:rsidR="008F6834" w:rsidRPr="008F6834">
              <w:rPr>
                <w:rFonts w:ascii="Times New Roman" w:hAnsi="Times New Roman" w:cs="Times New Roman"/>
                <w:bCs/>
                <w:color w:val="000000"/>
                <w:sz w:val="18"/>
                <w:szCs w:val="18"/>
                <w:lang w:val="en-US"/>
              </w:rPr>
              <w:t>679</w:t>
            </w:r>
          </w:p>
        </w:tc>
        <w:tc>
          <w:tcPr>
            <w:tcW w:w="2301" w:type="dxa"/>
            <w:tcBorders>
              <w:right w:val="single" w:sz="4" w:space="0" w:color="215868"/>
            </w:tcBorders>
            <w:vAlign w:val="center"/>
          </w:tcPr>
          <w:p w:rsidR="0085033D" w:rsidRPr="0085033D" w:rsidRDefault="0085033D" w:rsidP="00854A10">
            <w:pPr>
              <w:jc w:val="center"/>
              <w:rPr>
                <w:rFonts w:ascii="Times New Roman" w:hAnsi="Times New Roman" w:cs="Times New Roman"/>
                <w:bCs/>
                <w:color w:val="000000"/>
                <w:sz w:val="18"/>
                <w:szCs w:val="18"/>
              </w:rPr>
            </w:pPr>
            <w:r w:rsidRPr="0085033D">
              <w:rPr>
                <w:rFonts w:ascii="Times New Roman" w:hAnsi="Times New Roman" w:cs="Times New Roman"/>
                <w:color w:val="000000"/>
                <w:sz w:val="18"/>
                <w:szCs w:val="18"/>
              </w:rPr>
              <w:t>z-Score=0,</w:t>
            </w:r>
            <w:r w:rsidR="00854A10">
              <w:rPr>
                <w:rFonts w:ascii="Times New Roman" w:hAnsi="Times New Roman" w:cs="Times New Roman"/>
                <w:color w:val="000000"/>
                <w:sz w:val="18"/>
                <w:szCs w:val="18"/>
              </w:rPr>
              <w:t>453</w:t>
            </w:r>
            <w:r w:rsidRPr="0085033D">
              <w:rPr>
                <w:rFonts w:ascii="Times New Roman" w:hAnsi="Times New Roman" w:cs="Times New Roman"/>
                <w:color w:val="000000"/>
                <w:sz w:val="18"/>
                <w:szCs w:val="18"/>
              </w:rPr>
              <w:t>; p=</w:t>
            </w:r>
            <w:r w:rsidR="00854A10">
              <w:rPr>
                <w:rFonts w:ascii="Times New Roman" w:hAnsi="Times New Roman" w:cs="Times New Roman"/>
                <w:color w:val="000000"/>
                <w:sz w:val="18"/>
                <w:szCs w:val="18"/>
              </w:rPr>
              <w:t>0,6505</w:t>
            </w:r>
          </w:p>
        </w:tc>
      </w:tr>
      <w:tr w:rsidR="0085033D" w:rsidRPr="0085033D" w:rsidTr="000D486D">
        <w:trPr>
          <w:trHeight w:val="556"/>
        </w:trPr>
        <w:tc>
          <w:tcPr>
            <w:tcW w:w="2977" w:type="dxa"/>
            <w:shd w:val="clear" w:color="auto" w:fill="31849B"/>
            <w:vAlign w:val="center"/>
          </w:tcPr>
          <w:p w:rsidR="0085033D" w:rsidRPr="0085033D" w:rsidRDefault="0085033D" w:rsidP="00F135B9">
            <w:pPr>
              <w:autoSpaceDE w:val="0"/>
              <w:autoSpaceDN w:val="0"/>
              <w:adjustRightInd w:val="0"/>
              <w:ind w:left="147" w:right="60"/>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Возраст (години)</w:t>
            </w:r>
            <w:r w:rsidRPr="0085033D">
              <w:rPr>
                <w:rFonts w:ascii="Times New Roman" w:hAnsi="Times New Roman" w:cs="Times New Roman"/>
                <w:b/>
                <w:color w:val="FFFFFF"/>
                <w:sz w:val="18"/>
                <w:szCs w:val="18"/>
                <w:lang w:eastAsia="mk-MK"/>
              </w:rPr>
              <w:t xml:space="preserve"> </w:t>
            </w:r>
          </w:p>
        </w:tc>
        <w:tc>
          <w:tcPr>
            <w:tcW w:w="1913" w:type="dxa"/>
            <w:tcBorders>
              <w:right w:val="single" w:sz="4" w:space="0" w:color="215868"/>
            </w:tcBorders>
            <w:shd w:val="clear" w:color="auto" w:fill="DAEEF3"/>
            <w:vAlign w:val="center"/>
          </w:tcPr>
          <w:p w:rsidR="00357F82" w:rsidRPr="008F6834" w:rsidRDefault="00357F82" w:rsidP="00357F82">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vertAlign w:val="subscript"/>
                <w:lang w:val="en-US"/>
              </w:rPr>
              <w:t>1</w:t>
            </w:r>
            <w:r>
              <w:rPr>
                <w:rFonts w:ascii="Times New Roman" w:hAnsi="Times New Roman" w:cs="Times New Roman"/>
                <w:bCs/>
                <w:color w:val="000000"/>
                <w:sz w:val="18"/>
                <w:szCs w:val="18"/>
                <w:vertAlign w:val="subscript"/>
                <w:lang w:val="en-US"/>
              </w:rPr>
              <w:t>17</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sidRPr="008F6834">
              <w:rPr>
                <w:rFonts w:ascii="Times New Roman" w:hAnsi="Times New Roman" w:cs="Times New Roman"/>
                <w:bCs/>
                <w:color w:val="000000"/>
                <w:sz w:val="18"/>
                <w:szCs w:val="18"/>
                <w:lang w:val="en-US"/>
              </w:rPr>
              <w:t>0</w:t>
            </w:r>
            <w:r>
              <w:rPr>
                <w:rFonts w:ascii="Times New Roman" w:hAnsi="Times New Roman" w:cs="Times New Roman"/>
                <w:bCs/>
                <w:color w:val="000000"/>
                <w:sz w:val="18"/>
                <w:szCs w:val="18"/>
                <w:lang w:val="en-US"/>
              </w:rPr>
              <w:t>09</w:t>
            </w:r>
            <w:r w:rsidRPr="008F6834">
              <w:rPr>
                <w:rFonts w:ascii="Times New Roman" w:hAnsi="Times New Roman" w:cs="Times New Roman"/>
                <w:bCs/>
                <w:color w:val="000000"/>
                <w:sz w:val="18"/>
                <w:szCs w:val="18"/>
              </w:rPr>
              <w:t xml:space="preserve">; </w:t>
            </w:r>
          </w:p>
          <w:p w:rsidR="0085033D" w:rsidRPr="0085033D" w:rsidRDefault="00357F82" w:rsidP="00357F82">
            <w:pPr>
              <w:jc w:val="center"/>
              <w:rPr>
                <w:rFonts w:ascii="Times New Roman" w:hAnsi="Times New Roman" w:cs="Times New Roman"/>
                <w:color w:val="000000"/>
                <w:sz w:val="18"/>
                <w:szCs w:val="18"/>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921</w:t>
            </w:r>
          </w:p>
        </w:tc>
        <w:tc>
          <w:tcPr>
            <w:tcW w:w="1914" w:type="dxa"/>
            <w:tcBorders>
              <w:right w:val="single" w:sz="4" w:space="0" w:color="215868"/>
            </w:tcBorders>
            <w:shd w:val="clear" w:color="auto" w:fill="DAEEF3"/>
            <w:vAlign w:val="center"/>
          </w:tcPr>
          <w:p w:rsidR="008F6834" w:rsidRPr="008F6834" w:rsidRDefault="008F6834" w:rsidP="008F6834">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vertAlign w:val="subscript"/>
                <w:lang w:val="en-US"/>
              </w:rPr>
              <w:t>1</w:t>
            </w:r>
            <w:r>
              <w:rPr>
                <w:rFonts w:ascii="Times New Roman" w:hAnsi="Times New Roman" w:cs="Times New Roman"/>
                <w:bCs/>
                <w:color w:val="000000"/>
                <w:sz w:val="18"/>
                <w:szCs w:val="18"/>
                <w:vertAlign w:val="subscript"/>
                <w:lang w:val="en-US"/>
              </w:rPr>
              <w:t>17</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sidRPr="008F6834">
              <w:rPr>
                <w:rFonts w:ascii="Times New Roman" w:hAnsi="Times New Roman" w:cs="Times New Roman"/>
                <w:bCs/>
                <w:color w:val="000000"/>
                <w:sz w:val="18"/>
                <w:szCs w:val="18"/>
                <w:lang w:val="en-US"/>
              </w:rPr>
              <w:t>0</w:t>
            </w:r>
            <w:r>
              <w:rPr>
                <w:rFonts w:ascii="Times New Roman" w:hAnsi="Times New Roman" w:cs="Times New Roman"/>
                <w:bCs/>
                <w:color w:val="000000"/>
                <w:sz w:val="18"/>
                <w:szCs w:val="18"/>
                <w:lang w:val="en-US"/>
              </w:rPr>
              <w:t>59</w:t>
            </w:r>
            <w:r w:rsidRPr="008F6834">
              <w:rPr>
                <w:rFonts w:ascii="Times New Roman" w:hAnsi="Times New Roman" w:cs="Times New Roman"/>
                <w:bCs/>
                <w:color w:val="000000"/>
                <w:sz w:val="18"/>
                <w:szCs w:val="18"/>
              </w:rPr>
              <w:t xml:space="preserve">; </w:t>
            </w:r>
          </w:p>
          <w:p w:rsidR="0085033D" w:rsidRPr="0085033D" w:rsidRDefault="008F6834" w:rsidP="008F6834">
            <w:pPr>
              <w:jc w:val="center"/>
              <w:rPr>
                <w:rFonts w:ascii="Times New Roman" w:hAnsi="Times New Roman" w:cs="Times New Roman"/>
                <w:color w:val="000000"/>
                <w:sz w:val="18"/>
                <w:szCs w:val="18"/>
              </w:rPr>
            </w:pPr>
            <w:r w:rsidRPr="008F6834">
              <w:rPr>
                <w:rFonts w:ascii="Times New Roman" w:hAnsi="Times New Roman" w:cs="Times New Roman"/>
                <w:bCs/>
                <w:color w:val="000000"/>
                <w:sz w:val="18"/>
                <w:szCs w:val="18"/>
              </w:rPr>
              <w:t>p=0,</w:t>
            </w:r>
            <w:r w:rsidRPr="008F6834">
              <w:rPr>
                <w:rFonts w:ascii="Times New Roman" w:hAnsi="Times New Roman" w:cs="Times New Roman"/>
                <w:bCs/>
                <w:color w:val="000000"/>
                <w:sz w:val="18"/>
                <w:szCs w:val="18"/>
                <w:lang w:val="en-US"/>
              </w:rPr>
              <w:t>6</w:t>
            </w:r>
            <w:r>
              <w:rPr>
                <w:rFonts w:ascii="Times New Roman" w:hAnsi="Times New Roman" w:cs="Times New Roman"/>
                <w:bCs/>
                <w:color w:val="000000"/>
                <w:sz w:val="18"/>
                <w:szCs w:val="18"/>
                <w:lang w:val="en-US"/>
              </w:rPr>
              <w:t>42</w:t>
            </w:r>
          </w:p>
        </w:tc>
        <w:tc>
          <w:tcPr>
            <w:tcW w:w="2301" w:type="dxa"/>
            <w:tcBorders>
              <w:right w:val="single" w:sz="4" w:space="0" w:color="215868"/>
            </w:tcBorders>
            <w:shd w:val="clear" w:color="auto" w:fill="DAEEF3"/>
            <w:vAlign w:val="center"/>
          </w:tcPr>
          <w:p w:rsidR="0085033D" w:rsidRPr="0085033D" w:rsidRDefault="00854A10" w:rsidP="00854A10">
            <w:pPr>
              <w:jc w:val="center"/>
              <w:rPr>
                <w:rFonts w:ascii="Times New Roman" w:hAnsi="Times New Roman" w:cs="Times New Roman"/>
                <w:bCs/>
                <w:color w:val="000000"/>
                <w:sz w:val="18"/>
                <w:szCs w:val="18"/>
              </w:rPr>
            </w:pPr>
            <w:r w:rsidRPr="0085033D">
              <w:rPr>
                <w:rFonts w:ascii="Times New Roman" w:hAnsi="Times New Roman" w:cs="Times New Roman"/>
                <w:color w:val="000000"/>
                <w:sz w:val="18"/>
                <w:szCs w:val="18"/>
              </w:rPr>
              <w:t>z-Score=</w:t>
            </w:r>
            <w:r>
              <w:rPr>
                <w:rFonts w:ascii="Times New Roman" w:hAnsi="Times New Roman" w:cs="Times New Roman"/>
                <w:color w:val="000000"/>
                <w:sz w:val="18"/>
                <w:szCs w:val="18"/>
              </w:rPr>
              <w:t>-</w:t>
            </w:r>
            <w:r w:rsidRPr="0085033D">
              <w:rPr>
                <w:rFonts w:ascii="Times New Roman" w:hAnsi="Times New Roman" w:cs="Times New Roman"/>
                <w:color w:val="000000"/>
                <w:sz w:val="18"/>
                <w:szCs w:val="18"/>
              </w:rPr>
              <w:t>0,</w:t>
            </w:r>
            <w:r>
              <w:rPr>
                <w:rFonts w:ascii="Times New Roman" w:hAnsi="Times New Roman" w:cs="Times New Roman"/>
                <w:color w:val="000000"/>
                <w:sz w:val="18"/>
                <w:szCs w:val="18"/>
              </w:rPr>
              <w:t>378</w:t>
            </w:r>
            <w:r w:rsidRPr="0085033D">
              <w:rPr>
                <w:rFonts w:ascii="Times New Roman" w:hAnsi="Times New Roman" w:cs="Times New Roman"/>
                <w:color w:val="000000"/>
                <w:sz w:val="18"/>
                <w:szCs w:val="18"/>
              </w:rPr>
              <w:t>; p=</w:t>
            </w:r>
            <w:r>
              <w:rPr>
                <w:rFonts w:ascii="Times New Roman" w:hAnsi="Times New Roman" w:cs="Times New Roman"/>
                <w:color w:val="000000"/>
                <w:sz w:val="18"/>
                <w:szCs w:val="18"/>
              </w:rPr>
              <w:t>0,7054</w:t>
            </w:r>
          </w:p>
        </w:tc>
      </w:tr>
      <w:tr w:rsidR="0085033D" w:rsidRPr="0085033D" w:rsidTr="000D486D">
        <w:trPr>
          <w:trHeight w:val="551"/>
        </w:trPr>
        <w:tc>
          <w:tcPr>
            <w:tcW w:w="2977" w:type="dxa"/>
            <w:shd w:val="clear" w:color="auto" w:fill="31849B"/>
            <w:vAlign w:val="center"/>
          </w:tcPr>
          <w:p w:rsidR="0085033D" w:rsidRPr="0085033D" w:rsidRDefault="00095374" w:rsidP="00F135B9">
            <w:pPr>
              <w:autoSpaceDE w:val="0"/>
              <w:autoSpaceDN w:val="0"/>
              <w:adjustRightInd w:val="0"/>
              <w:ind w:left="147" w:right="60"/>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Нема</w:t>
            </w:r>
            <w:r w:rsidR="0085033D">
              <w:rPr>
                <w:rFonts w:ascii="Times New Roman" w:hAnsi="Times New Roman" w:cs="Times New Roman"/>
                <w:b/>
                <w:color w:val="FFFFFF"/>
                <w:sz w:val="18"/>
                <w:szCs w:val="18"/>
                <w:lang w:eastAsia="mk-MK"/>
              </w:rPr>
              <w:t xml:space="preserve"> / бенигно/ малигно</w:t>
            </w:r>
          </w:p>
        </w:tc>
        <w:tc>
          <w:tcPr>
            <w:tcW w:w="1913" w:type="dxa"/>
            <w:tcBorders>
              <w:right w:val="single" w:sz="4" w:space="0" w:color="215868"/>
            </w:tcBorders>
            <w:vAlign w:val="center"/>
          </w:tcPr>
          <w:p w:rsidR="00357F82" w:rsidRPr="008F6834" w:rsidRDefault="00357F82" w:rsidP="00357F82">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vertAlign w:val="subscript"/>
                <w:lang w:val="en-US"/>
              </w:rPr>
              <w:t>120</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sidRPr="008F6834">
              <w:rPr>
                <w:rFonts w:ascii="Times New Roman" w:hAnsi="Times New Roman" w:cs="Times New Roman"/>
                <w:bCs/>
                <w:color w:val="000000"/>
                <w:sz w:val="18"/>
                <w:szCs w:val="18"/>
                <w:lang w:val="en-US"/>
              </w:rPr>
              <w:t>0</w:t>
            </w:r>
            <w:r>
              <w:rPr>
                <w:rFonts w:ascii="Times New Roman" w:hAnsi="Times New Roman" w:cs="Times New Roman"/>
                <w:bCs/>
                <w:color w:val="000000"/>
                <w:sz w:val="18"/>
                <w:szCs w:val="18"/>
                <w:lang w:val="en-US"/>
              </w:rPr>
              <w:t>23</w:t>
            </w:r>
            <w:r w:rsidRPr="008F6834">
              <w:rPr>
                <w:rFonts w:ascii="Times New Roman" w:hAnsi="Times New Roman" w:cs="Times New Roman"/>
                <w:bCs/>
                <w:color w:val="000000"/>
                <w:sz w:val="18"/>
                <w:szCs w:val="18"/>
              </w:rPr>
              <w:t xml:space="preserve">; </w:t>
            </w:r>
          </w:p>
          <w:p w:rsidR="0085033D" w:rsidRPr="0085033D" w:rsidRDefault="00357F82" w:rsidP="00357F82">
            <w:pPr>
              <w:jc w:val="center"/>
              <w:rPr>
                <w:rFonts w:ascii="Times New Roman" w:hAnsi="Times New Roman" w:cs="Times New Roman"/>
                <w:color w:val="000000"/>
                <w:sz w:val="18"/>
                <w:szCs w:val="18"/>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805</w:t>
            </w:r>
          </w:p>
        </w:tc>
        <w:tc>
          <w:tcPr>
            <w:tcW w:w="1914" w:type="dxa"/>
            <w:tcBorders>
              <w:right w:val="single" w:sz="4" w:space="0" w:color="215868"/>
            </w:tcBorders>
            <w:vAlign w:val="center"/>
          </w:tcPr>
          <w:p w:rsidR="008F6834" w:rsidRPr="008F6834" w:rsidRDefault="008F6834" w:rsidP="008F6834">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vertAlign w:val="subscript"/>
                <w:lang w:val="en-US"/>
              </w:rPr>
              <w:t>1</w:t>
            </w:r>
            <w:r>
              <w:rPr>
                <w:rFonts w:ascii="Times New Roman" w:hAnsi="Times New Roman" w:cs="Times New Roman"/>
                <w:bCs/>
                <w:color w:val="000000"/>
                <w:sz w:val="18"/>
                <w:szCs w:val="18"/>
                <w:vertAlign w:val="subscript"/>
                <w:lang w:val="en-US"/>
              </w:rPr>
              <w:t>20</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sidRPr="008F6834">
              <w:rPr>
                <w:rFonts w:ascii="Times New Roman" w:hAnsi="Times New Roman" w:cs="Times New Roman"/>
                <w:bCs/>
                <w:color w:val="000000"/>
                <w:sz w:val="18"/>
                <w:szCs w:val="18"/>
                <w:lang w:val="en-US"/>
              </w:rPr>
              <w:t>0</w:t>
            </w:r>
            <w:r>
              <w:rPr>
                <w:rFonts w:ascii="Times New Roman" w:hAnsi="Times New Roman" w:cs="Times New Roman"/>
                <w:bCs/>
                <w:color w:val="000000"/>
                <w:sz w:val="18"/>
                <w:szCs w:val="18"/>
                <w:lang w:val="en-US"/>
              </w:rPr>
              <w:t>18</w:t>
            </w:r>
            <w:r w:rsidRPr="008F6834">
              <w:rPr>
                <w:rFonts w:ascii="Times New Roman" w:hAnsi="Times New Roman" w:cs="Times New Roman"/>
                <w:bCs/>
                <w:color w:val="000000"/>
                <w:sz w:val="18"/>
                <w:szCs w:val="18"/>
              </w:rPr>
              <w:t xml:space="preserve">; </w:t>
            </w:r>
          </w:p>
          <w:p w:rsidR="0085033D" w:rsidRPr="008F6834" w:rsidRDefault="008F6834" w:rsidP="008F6834">
            <w:pPr>
              <w:jc w:val="center"/>
              <w:rPr>
                <w:rFonts w:ascii="Times New Roman" w:hAnsi="Times New Roman" w:cs="Times New Roman"/>
                <w:color w:val="000000"/>
                <w:sz w:val="18"/>
                <w:szCs w:val="18"/>
                <w:lang w:val="en-US"/>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193</w:t>
            </w:r>
          </w:p>
        </w:tc>
        <w:tc>
          <w:tcPr>
            <w:tcW w:w="2301" w:type="dxa"/>
            <w:tcBorders>
              <w:right w:val="single" w:sz="4" w:space="0" w:color="215868"/>
            </w:tcBorders>
            <w:vAlign w:val="center"/>
          </w:tcPr>
          <w:p w:rsidR="0085033D" w:rsidRPr="0085033D" w:rsidRDefault="00854A10" w:rsidP="00854A10">
            <w:pPr>
              <w:jc w:val="center"/>
              <w:rPr>
                <w:rFonts w:ascii="Times New Roman" w:hAnsi="Times New Roman" w:cs="Times New Roman"/>
                <w:bCs/>
                <w:color w:val="000000"/>
                <w:sz w:val="18"/>
                <w:szCs w:val="18"/>
              </w:rPr>
            </w:pPr>
            <w:r w:rsidRPr="0085033D">
              <w:rPr>
                <w:rFonts w:ascii="Times New Roman" w:hAnsi="Times New Roman" w:cs="Times New Roman"/>
                <w:color w:val="000000"/>
                <w:sz w:val="18"/>
                <w:szCs w:val="18"/>
              </w:rPr>
              <w:t>z-Score=0,</w:t>
            </w:r>
            <w:r>
              <w:rPr>
                <w:rFonts w:ascii="Times New Roman" w:hAnsi="Times New Roman" w:cs="Times New Roman"/>
                <w:color w:val="000000"/>
                <w:sz w:val="18"/>
                <w:szCs w:val="18"/>
              </w:rPr>
              <w:t>038</w:t>
            </w:r>
            <w:r w:rsidRPr="0085033D">
              <w:rPr>
                <w:rFonts w:ascii="Times New Roman" w:hAnsi="Times New Roman" w:cs="Times New Roman"/>
                <w:color w:val="000000"/>
                <w:sz w:val="18"/>
                <w:szCs w:val="18"/>
              </w:rPr>
              <w:t>; p=</w:t>
            </w:r>
            <w:r>
              <w:rPr>
                <w:rFonts w:ascii="Times New Roman" w:hAnsi="Times New Roman" w:cs="Times New Roman"/>
                <w:color w:val="000000"/>
                <w:sz w:val="18"/>
                <w:szCs w:val="18"/>
              </w:rPr>
              <w:t>0,9695</w:t>
            </w:r>
          </w:p>
        </w:tc>
      </w:tr>
      <w:tr w:rsidR="0085033D" w:rsidRPr="0085033D" w:rsidTr="000D486D">
        <w:trPr>
          <w:trHeight w:val="558"/>
        </w:trPr>
        <w:tc>
          <w:tcPr>
            <w:tcW w:w="2977"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5033D" w:rsidRPr="0085033D" w:rsidRDefault="00AA6620" w:rsidP="0085033D">
            <w:pPr>
              <w:autoSpaceDE w:val="0"/>
              <w:autoSpaceDN w:val="0"/>
              <w:adjustRightInd w:val="0"/>
              <w:ind w:left="147" w:right="60"/>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Локација</w:t>
            </w:r>
            <w:r w:rsidR="0085033D">
              <w:rPr>
                <w:rFonts w:ascii="Times New Roman" w:hAnsi="Times New Roman" w:cs="Times New Roman"/>
                <w:b/>
                <w:color w:val="FFFFFF"/>
                <w:sz w:val="18"/>
                <w:szCs w:val="18"/>
                <w:lang w:eastAsia="mk-MK"/>
              </w:rPr>
              <w:t xml:space="preserve"> (лево/ десно)</w:t>
            </w:r>
          </w:p>
        </w:tc>
        <w:tc>
          <w:tcPr>
            <w:tcW w:w="1913"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357F82" w:rsidRPr="008F6834" w:rsidRDefault="00357F82" w:rsidP="00357F82">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Pr>
                <w:rFonts w:ascii="Times New Roman" w:hAnsi="Times New Roman" w:cs="Times New Roman"/>
                <w:bCs/>
                <w:color w:val="000000"/>
                <w:sz w:val="18"/>
                <w:szCs w:val="18"/>
                <w:vertAlign w:val="subscript"/>
                <w:lang w:val="en-US"/>
              </w:rPr>
              <w:t>61</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w:t>
            </w:r>
            <w:r w:rsidRPr="008F6834">
              <w:rPr>
                <w:rFonts w:ascii="Times New Roman" w:hAnsi="Times New Roman" w:cs="Times New Roman"/>
                <w:bCs/>
                <w:color w:val="000000"/>
                <w:sz w:val="18"/>
                <w:szCs w:val="18"/>
                <w:lang w:val="en-US"/>
              </w:rPr>
              <w:t>-</w:t>
            </w:r>
            <w:r w:rsidRPr="008F6834">
              <w:rPr>
                <w:rFonts w:ascii="Times New Roman" w:hAnsi="Times New Roman" w:cs="Times New Roman"/>
                <w:bCs/>
                <w:color w:val="000000"/>
                <w:sz w:val="18"/>
                <w:szCs w:val="18"/>
              </w:rPr>
              <w:t>0,</w:t>
            </w:r>
            <w:r w:rsidRPr="008F6834">
              <w:rPr>
                <w:rFonts w:ascii="Times New Roman" w:hAnsi="Times New Roman" w:cs="Times New Roman"/>
                <w:bCs/>
                <w:color w:val="000000"/>
                <w:sz w:val="18"/>
                <w:szCs w:val="18"/>
                <w:lang w:val="en-US"/>
              </w:rPr>
              <w:t>0</w:t>
            </w:r>
            <w:r>
              <w:rPr>
                <w:rFonts w:ascii="Times New Roman" w:hAnsi="Times New Roman" w:cs="Times New Roman"/>
                <w:bCs/>
                <w:color w:val="000000"/>
                <w:sz w:val="18"/>
                <w:szCs w:val="18"/>
                <w:lang w:val="en-US"/>
              </w:rPr>
              <w:t>73</w:t>
            </w:r>
            <w:r w:rsidRPr="008F6834">
              <w:rPr>
                <w:rFonts w:ascii="Times New Roman" w:hAnsi="Times New Roman" w:cs="Times New Roman"/>
                <w:bCs/>
                <w:color w:val="000000"/>
                <w:sz w:val="18"/>
                <w:szCs w:val="18"/>
              </w:rPr>
              <w:t xml:space="preserve">; </w:t>
            </w:r>
          </w:p>
          <w:p w:rsidR="0085033D" w:rsidRPr="0085033D" w:rsidRDefault="00357F82" w:rsidP="00357F82">
            <w:pPr>
              <w:jc w:val="center"/>
              <w:rPr>
                <w:rFonts w:ascii="Times New Roman" w:hAnsi="Times New Roman" w:cs="Times New Roman"/>
                <w:bCs/>
                <w:color w:val="FF0000"/>
                <w:sz w:val="18"/>
                <w:szCs w:val="18"/>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578</w:t>
            </w:r>
          </w:p>
        </w:tc>
        <w:tc>
          <w:tcPr>
            <w:tcW w:w="1914"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F6834" w:rsidRPr="008F6834" w:rsidRDefault="008F6834" w:rsidP="008F6834">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Pr>
                <w:rFonts w:ascii="Times New Roman" w:hAnsi="Times New Roman" w:cs="Times New Roman"/>
                <w:bCs/>
                <w:color w:val="000000"/>
                <w:sz w:val="18"/>
                <w:szCs w:val="18"/>
                <w:vertAlign w:val="subscript"/>
                <w:lang w:val="en-US"/>
              </w:rPr>
              <w:t>61</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Pr>
                <w:rFonts w:ascii="Times New Roman" w:hAnsi="Times New Roman" w:cs="Times New Roman"/>
                <w:bCs/>
                <w:color w:val="000000"/>
                <w:sz w:val="18"/>
                <w:szCs w:val="18"/>
                <w:lang w:val="en-US"/>
              </w:rPr>
              <w:t>195</w:t>
            </w:r>
            <w:r w:rsidRPr="008F6834">
              <w:rPr>
                <w:rFonts w:ascii="Times New Roman" w:hAnsi="Times New Roman" w:cs="Times New Roman"/>
                <w:bCs/>
                <w:color w:val="000000"/>
                <w:sz w:val="18"/>
                <w:szCs w:val="18"/>
              </w:rPr>
              <w:t xml:space="preserve">; </w:t>
            </w:r>
          </w:p>
          <w:p w:rsidR="0085033D" w:rsidRPr="008F6834" w:rsidRDefault="008F6834" w:rsidP="008F6834">
            <w:pPr>
              <w:jc w:val="center"/>
              <w:rPr>
                <w:rFonts w:ascii="Times New Roman" w:hAnsi="Times New Roman" w:cs="Times New Roman"/>
                <w:bCs/>
                <w:color w:val="FF0000"/>
                <w:sz w:val="18"/>
                <w:szCs w:val="18"/>
                <w:lang w:val="en-US"/>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131</w:t>
            </w:r>
          </w:p>
        </w:tc>
        <w:tc>
          <w:tcPr>
            <w:tcW w:w="2301" w:type="dxa"/>
            <w:tcBorders>
              <w:top w:val="single" w:sz="4" w:space="0" w:color="FFFFFF"/>
              <w:left w:val="single" w:sz="4" w:space="0" w:color="FFFFFF"/>
              <w:bottom w:val="single" w:sz="4" w:space="0" w:color="FFFFFF"/>
              <w:right w:val="single" w:sz="4" w:space="0" w:color="215868"/>
            </w:tcBorders>
            <w:shd w:val="clear" w:color="auto" w:fill="DAEEF3"/>
            <w:vAlign w:val="center"/>
          </w:tcPr>
          <w:p w:rsidR="0085033D" w:rsidRPr="0085033D" w:rsidRDefault="00A35A3B" w:rsidP="00A35A3B">
            <w:pPr>
              <w:jc w:val="center"/>
              <w:rPr>
                <w:rFonts w:ascii="Times New Roman" w:hAnsi="Times New Roman" w:cs="Times New Roman"/>
                <w:bCs/>
                <w:color w:val="000000"/>
                <w:sz w:val="18"/>
                <w:szCs w:val="18"/>
              </w:rPr>
            </w:pPr>
            <w:r w:rsidRPr="0085033D">
              <w:rPr>
                <w:rFonts w:ascii="Times New Roman" w:hAnsi="Times New Roman" w:cs="Times New Roman"/>
                <w:color w:val="000000"/>
                <w:sz w:val="18"/>
                <w:szCs w:val="18"/>
              </w:rPr>
              <w:t>z-Score=</w:t>
            </w:r>
            <w:r>
              <w:rPr>
                <w:rFonts w:ascii="Times New Roman" w:hAnsi="Times New Roman" w:cs="Times New Roman"/>
                <w:color w:val="000000"/>
                <w:sz w:val="18"/>
                <w:szCs w:val="18"/>
              </w:rPr>
              <w:t>-</w:t>
            </w:r>
            <w:r w:rsidRPr="0085033D">
              <w:rPr>
                <w:rFonts w:ascii="Times New Roman" w:hAnsi="Times New Roman" w:cs="Times New Roman"/>
                <w:color w:val="000000"/>
                <w:sz w:val="18"/>
                <w:szCs w:val="18"/>
              </w:rPr>
              <w:t>0,</w:t>
            </w:r>
            <w:r>
              <w:rPr>
                <w:rFonts w:ascii="Times New Roman" w:hAnsi="Times New Roman" w:cs="Times New Roman"/>
                <w:color w:val="000000"/>
                <w:sz w:val="18"/>
                <w:szCs w:val="18"/>
              </w:rPr>
              <w:t>669</w:t>
            </w:r>
            <w:r w:rsidRPr="0085033D">
              <w:rPr>
                <w:rFonts w:ascii="Times New Roman" w:hAnsi="Times New Roman" w:cs="Times New Roman"/>
                <w:color w:val="000000"/>
                <w:sz w:val="18"/>
                <w:szCs w:val="18"/>
              </w:rPr>
              <w:t>; p=</w:t>
            </w:r>
            <w:r>
              <w:rPr>
                <w:rFonts w:ascii="Times New Roman" w:hAnsi="Times New Roman" w:cs="Times New Roman"/>
                <w:color w:val="000000"/>
                <w:sz w:val="18"/>
                <w:szCs w:val="18"/>
              </w:rPr>
              <w:t>0,5029</w:t>
            </w:r>
          </w:p>
        </w:tc>
      </w:tr>
      <w:tr w:rsidR="0085033D" w:rsidRPr="0085033D" w:rsidTr="000D486D">
        <w:trPr>
          <w:trHeight w:val="553"/>
        </w:trPr>
        <w:tc>
          <w:tcPr>
            <w:tcW w:w="2977" w:type="dxa"/>
            <w:tcBorders>
              <w:top w:val="single" w:sz="4" w:space="0" w:color="FFFFFF"/>
              <w:left w:val="single" w:sz="4" w:space="0" w:color="FFFFFF"/>
              <w:bottom w:val="single" w:sz="4" w:space="0" w:color="FFFFFF"/>
              <w:right w:val="single" w:sz="4" w:space="0" w:color="FFFFFF"/>
            </w:tcBorders>
            <w:shd w:val="clear" w:color="auto" w:fill="31849B"/>
            <w:vAlign w:val="center"/>
          </w:tcPr>
          <w:p w:rsidR="0085033D" w:rsidRPr="0085033D" w:rsidRDefault="0085033D" w:rsidP="00F135B9">
            <w:pPr>
              <w:autoSpaceDE w:val="0"/>
              <w:autoSpaceDN w:val="0"/>
              <w:adjustRightInd w:val="0"/>
              <w:ind w:left="147" w:right="60"/>
              <w:rPr>
                <w:rFonts w:ascii="Times New Roman" w:hAnsi="Times New Roman" w:cs="Times New Roman"/>
                <w:b/>
                <w:color w:val="FFFFFF"/>
                <w:sz w:val="18"/>
                <w:szCs w:val="18"/>
                <w:lang w:eastAsia="mk-MK"/>
              </w:rPr>
            </w:pPr>
            <w:r>
              <w:rPr>
                <w:rFonts w:ascii="Times New Roman" w:hAnsi="Times New Roman" w:cs="Times New Roman"/>
                <w:b/>
                <w:color w:val="FFFFFF"/>
                <w:sz w:val="18"/>
                <w:szCs w:val="18"/>
                <w:lang w:eastAsia="mk-MK"/>
              </w:rPr>
              <w:t>Димензии на тумор (мм)</w:t>
            </w:r>
          </w:p>
        </w:tc>
        <w:tc>
          <w:tcPr>
            <w:tcW w:w="1913" w:type="dxa"/>
            <w:tcBorders>
              <w:top w:val="single" w:sz="4" w:space="0" w:color="FFFFFF"/>
              <w:left w:val="single" w:sz="4" w:space="0" w:color="FFFFFF"/>
              <w:bottom w:val="single" w:sz="4" w:space="0" w:color="FFFFFF"/>
              <w:right w:val="single" w:sz="4" w:space="0" w:color="215868"/>
            </w:tcBorders>
            <w:vAlign w:val="center"/>
          </w:tcPr>
          <w:p w:rsidR="00357F82" w:rsidRPr="008F6834" w:rsidRDefault="00357F82" w:rsidP="00357F82">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sidR="00A35A3B">
              <w:rPr>
                <w:rFonts w:ascii="Times New Roman" w:hAnsi="Times New Roman" w:cs="Times New Roman"/>
                <w:bCs/>
                <w:color w:val="000000"/>
                <w:sz w:val="18"/>
                <w:szCs w:val="18"/>
                <w:vertAlign w:val="subscript"/>
              </w:rPr>
              <w:t>39</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Pr>
                <w:rFonts w:ascii="Times New Roman" w:hAnsi="Times New Roman" w:cs="Times New Roman"/>
                <w:bCs/>
                <w:color w:val="000000"/>
                <w:sz w:val="18"/>
                <w:szCs w:val="18"/>
                <w:lang w:val="en-US"/>
              </w:rPr>
              <w:t>172</w:t>
            </w:r>
            <w:r w:rsidRPr="008F6834">
              <w:rPr>
                <w:rFonts w:ascii="Times New Roman" w:hAnsi="Times New Roman" w:cs="Times New Roman"/>
                <w:bCs/>
                <w:color w:val="000000"/>
                <w:sz w:val="18"/>
                <w:szCs w:val="18"/>
              </w:rPr>
              <w:t xml:space="preserve">; </w:t>
            </w:r>
          </w:p>
          <w:p w:rsidR="0085033D" w:rsidRPr="0085033D" w:rsidRDefault="00357F82" w:rsidP="00357F82">
            <w:pPr>
              <w:jc w:val="center"/>
              <w:rPr>
                <w:rFonts w:ascii="Times New Roman" w:hAnsi="Times New Roman" w:cs="Times New Roman"/>
                <w:bCs/>
                <w:color w:val="FF0000"/>
                <w:sz w:val="18"/>
                <w:szCs w:val="18"/>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294</w:t>
            </w:r>
          </w:p>
        </w:tc>
        <w:tc>
          <w:tcPr>
            <w:tcW w:w="1914" w:type="dxa"/>
            <w:tcBorders>
              <w:top w:val="single" w:sz="4" w:space="0" w:color="FFFFFF"/>
              <w:left w:val="single" w:sz="4" w:space="0" w:color="FFFFFF"/>
              <w:bottom w:val="single" w:sz="4" w:space="0" w:color="FFFFFF"/>
              <w:right w:val="single" w:sz="4" w:space="0" w:color="215868"/>
            </w:tcBorders>
            <w:vAlign w:val="center"/>
          </w:tcPr>
          <w:p w:rsidR="008F6834" w:rsidRPr="008F6834" w:rsidRDefault="008F6834" w:rsidP="008F6834">
            <w:pPr>
              <w:jc w:val="center"/>
              <w:rPr>
                <w:rFonts w:ascii="Times New Roman" w:hAnsi="Times New Roman" w:cs="Times New Roman"/>
                <w:bCs/>
                <w:color w:val="000000"/>
                <w:sz w:val="18"/>
                <w:szCs w:val="18"/>
              </w:rPr>
            </w:pPr>
            <w:r w:rsidRPr="008F6834">
              <w:rPr>
                <w:rFonts w:ascii="Times New Roman" w:hAnsi="Times New Roman" w:cs="Times New Roman"/>
                <w:bCs/>
                <w:color w:val="000000"/>
                <w:sz w:val="18"/>
                <w:szCs w:val="18"/>
              </w:rPr>
              <w:t>R</w:t>
            </w:r>
            <w:r w:rsidRPr="008F6834">
              <w:rPr>
                <w:rFonts w:ascii="Times New Roman" w:hAnsi="Times New Roman" w:cs="Times New Roman"/>
                <w:bCs/>
                <w:color w:val="000000"/>
                <w:sz w:val="18"/>
                <w:szCs w:val="18"/>
                <w:vertAlign w:val="subscript"/>
              </w:rPr>
              <w:t>(</w:t>
            </w:r>
            <w:r>
              <w:rPr>
                <w:rFonts w:ascii="Times New Roman" w:hAnsi="Times New Roman" w:cs="Times New Roman"/>
                <w:bCs/>
                <w:color w:val="000000"/>
                <w:sz w:val="18"/>
                <w:szCs w:val="18"/>
                <w:vertAlign w:val="subscript"/>
                <w:lang w:val="en-US"/>
              </w:rPr>
              <w:t>39</w:t>
            </w:r>
            <w:r w:rsidRPr="008F6834">
              <w:rPr>
                <w:rFonts w:ascii="Times New Roman" w:hAnsi="Times New Roman" w:cs="Times New Roman"/>
                <w:bCs/>
                <w:color w:val="000000"/>
                <w:sz w:val="18"/>
                <w:szCs w:val="18"/>
                <w:vertAlign w:val="subscript"/>
              </w:rPr>
              <w:t>)</w:t>
            </w:r>
            <w:r w:rsidRPr="008F6834">
              <w:rPr>
                <w:rFonts w:ascii="Times New Roman" w:hAnsi="Times New Roman" w:cs="Times New Roman"/>
                <w:bCs/>
                <w:color w:val="000000"/>
                <w:sz w:val="18"/>
                <w:szCs w:val="18"/>
              </w:rPr>
              <w:t>=0,</w:t>
            </w:r>
            <w:r>
              <w:rPr>
                <w:rFonts w:ascii="Times New Roman" w:hAnsi="Times New Roman" w:cs="Times New Roman"/>
                <w:bCs/>
                <w:color w:val="000000"/>
                <w:sz w:val="18"/>
                <w:szCs w:val="18"/>
                <w:lang w:val="en-US"/>
              </w:rPr>
              <w:t>228</w:t>
            </w:r>
            <w:r w:rsidRPr="008F6834">
              <w:rPr>
                <w:rFonts w:ascii="Times New Roman" w:hAnsi="Times New Roman" w:cs="Times New Roman"/>
                <w:bCs/>
                <w:color w:val="000000"/>
                <w:sz w:val="18"/>
                <w:szCs w:val="18"/>
              </w:rPr>
              <w:t xml:space="preserve">; </w:t>
            </w:r>
          </w:p>
          <w:p w:rsidR="0085033D" w:rsidRPr="0085033D" w:rsidRDefault="008F6834" w:rsidP="008F6834">
            <w:pPr>
              <w:jc w:val="center"/>
              <w:rPr>
                <w:rFonts w:ascii="Times New Roman" w:hAnsi="Times New Roman" w:cs="Times New Roman"/>
                <w:bCs/>
                <w:color w:val="FF0000"/>
                <w:sz w:val="18"/>
                <w:szCs w:val="18"/>
              </w:rPr>
            </w:pPr>
            <w:r w:rsidRPr="008F6834">
              <w:rPr>
                <w:rFonts w:ascii="Times New Roman" w:hAnsi="Times New Roman" w:cs="Times New Roman"/>
                <w:bCs/>
                <w:color w:val="000000"/>
                <w:sz w:val="18"/>
                <w:szCs w:val="18"/>
              </w:rPr>
              <w:t>p=0,</w:t>
            </w:r>
            <w:r>
              <w:rPr>
                <w:rFonts w:ascii="Times New Roman" w:hAnsi="Times New Roman" w:cs="Times New Roman"/>
                <w:bCs/>
                <w:color w:val="000000"/>
                <w:sz w:val="18"/>
                <w:szCs w:val="18"/>
                <w:lang w:val="en-US"/>
              </w:rPr>
              <w:t>162</w:t>
            </w:r>
          </w:p>
        </w:tc>
        <w:tc>
          <w:tcPr>
            <w:tcW w:w="2301" w:type="dxa"/>
            <w:tcBorders>
              <w:top w:val="single" w:sz="4" w:space="0" w:color="FFFFFF"/>
              <w:left w:val="single" w:sz="4" w:space="0" w:color="FFFFFF"/>
              <w:bottom w:val="single" w:sz="4" w:space="0" w:color="FFFFFF"/>
              <w:right w:val="single" w:sz="4" w:space="0" w:color="215868"/>
            </w:tcBorders>
            <w:vAlign w:val="center"/>
          </w:tcPr>
          <w:p w:rsidR="0085033D" w:rsidRPr="0085033D" w:rsidRDefault="00A35A3B" w:rsidP="00A35A3B">
            <w:pPr>
              <w:jc w:val="center"/>
              <w:rPr>
                <w:rFonts w:ascii="Times New Roman" w:hAnsi="Times New Roman" w:cs="Times New Roman"/>
                <w:bCs/>
                <w:color w:val="000000"/>
                <w:sz w:val="18"/>
                <w:szCs w:val="18"/>
              </w:rPr>
            </w:pPr>
            <w:r w:rsidRPr="0085033D">
              <w:rPr>
                <w:rFonts w:ascii="Times New Roman" w:hAnsi="Times New Roman" w:cs="Times New Roman"/>
                <w:color w:val="000000"/>
                <w:sz w:val="18"/>
                <w:szCs w:val="18"/>
              </w:rPr>
              <w:t>z-Score=</w:t>
            </w:r>
            <w:r>
              <w:rPr>
                <w:rFonts w:ascii="Times New Roman" w:hAnsi="Times New Roman" w:cs="Times New Roman"/>
                <w:color w:val="000000"/>
                <w:sz w:val="18"/>
                <w:szCs w:val="18"/>
              </w:rPr>
              <w:t>-</w:t>
            </w:r>
            <w:r w:rsidRPr="0085033D">
              <w:rPr>
                <w:rFonts w:ascii="Times New Roman" w:hAnsi="Times New Roman" w:cs="Times New Roman"/>
                <w:color w:val="000000"/>
                <w:sz w:val="18"/>
                <w:szCs w:val="18"/>
              </w:rPr>
              <w:t>0,</w:t>
            </w:r>
            <w:r>
              <w:rPr>
                <w:rFonts w:ascii="Times New Roman" w:hAnsi="Times New Roman" w:cs="Times New Roman"/>
                <w:color w:val="000000"/>
                <w:sz w:val="18"/>
                <w:szCs w:val="18"/>
              </w:rPr>
              <w:t>247</w:t>
            </w:r>
            <w:r w:rsidRPr="0085033D">
              <w:rPr>
                <w:rFonts w:ascii="Times New Roman" w:hAnsi="Times New Roman" w:cs="Times New Roman"/>
                <w:color w:val="000000"/>
                <w:sz w:val="18"/>
                <w:szCs w:val="18"/>
              </w:rPr>
              <w:t>; p=</w:t>
            </w:r>
            <w:r>
              <w:rPr>
                <w:rFonts w:ascii="Times New Roman" w:hAnsi="Times New Roman" w:cs="Times New Roman"/>
                <w:color w:val="000000"/>
                <w:sz w:val="18"/>
                <w:szCs w:val="18"/>
              </w:rPr>
              <w:t>0,8044</w:t>
            </w:r>
          </w:p>
        </w:tc>
      </w:tr>
      <w:tr w:rsidR="0085033D" w:rsidRPr="0085033D" w:rsidTr="000D486D">
        <w:trPr>
          <w:trHeight w:val="588"/>
        </w:trPr>
        <w:tc>
          <w:tcPr>
            <w:tcW w:w="9105" w:type="dxa"/>
            <w:gridSpan w:val="4"/>
            <w:tcBorders>
              <w:top w:val="single" w:sz="4" w:space="0" w:color="FFFFFF"/>
              <w:left w:val="single" w:sz="4" w:space="0" w:color="FFFFFF"/>
              <w:bottom w:val="single" w:sz="4" w:space="0" w:color="FFFFFF"/>
              <w:right w:val="single" w:sz="4" w:space="0" w:color="215868"/>
            </w:tcBorders>
            <w:shd w:val="clear" w:color="auto" w:fill="31849B"/>
            <w:vAlign w:val="center"/>
          </w:tcPr>
          <w:p w:rsidR="0085033D" w:rsidRPr="002A54E2" w:rsidRDefault="0085033D" w:rsidP="008153B2">
            <w:pPr>
              <w:jc w:val="center"/>
              <w:rPr>
                <w:rFonts w:ascii="Times New Roman" w:hAnsi="Times New Roman" w:cs="Times New Roman"/>
                <w:bCs/>
                <w:color w:val="FFFFFF"/>
                <w:sz w:val="18"/>
                <w:szCs w:val="18"/>
              </w:rPr>
            </w:pPr>
            <w:r w:rsidRPr="002A54E2">
              <w:rPr>
                <w:rFonts w:ascii="Times New Roman" w:hAnsi="Times New Roman" w:cs="Times New Roman"/>
                <w:bCs/>
                <w:color w:val="FFFFFF"/>
                <w:sz w:val="18"/>
                <w:szCs w:val="18"/>
                <w:vertAlign w:val="superscript"/>
              </w:rPr>
              <w:t>1</w:t>
            </w:r>
            <w:r w:rsidR="002A54E2" w:rsidRPr="002A54E2">
              <w:rPr>
                <w:rFonts w:ascii="Times New Roman" w:hAnsi="Times New Roman" w:cs="Times New Roman"/>
                <w:color w:val="FFFFFF"/>
                <w:sz w:val="18"/>
                <w:szCs w:val="18"/>
              </w:rPr>
              <w:t>Z-statistics</w:t>
            </w:r>
            <w:r w:rsidRPr="002A54E2">
              <w:rPr>
                <w:rFonts w:ascii="Times New Roman" w:hAnsi="Times New Roman" w:cs="Times New Roman"/>
                <w:color w:val="FFFFFF"/>
                <w:sz w:val="18"/>
                <w:szCs w:val="18"/>
              </w:rPr>
              <w:t xml:space="preserve"> </w:t>
            </w:r>
            <w:r w:rsidR="002A54E2">
              <w:rPr>
                <w:rFonts w:ascii="Times New Roman" w:hAnsi="Times New Roman" w:cs="Times New Roman"/>
                <w:color w:val="FFFFFF"/>
                <w:sz w:val="18"/>
                <w:szCs w:val="18"/>
              </w:rPr>
              <w:t xml:space="preserve">                        </w:t>
            </w:r>
            <w:r w:rsidRPr="002A54E2">
              <w:rPr>
                <w:rFonts w:ascii="Times New Roman" w:hAnsi="Times New Roman" w:cs="Times New Roman"/>
                <w:color w:val="FFFFFF"/>
                <w:sz w:val="18"/>
                <w:szCs w:val="18"/>
              </w:rPr>
              <w:t>*сигнификантно за p&lt;0,05</w:t>
            </w:r>
          </w:p>
        </w:tc>
      </w:tr>
    </w:tbl>
    <w:p w:rsidR="0085033D" w:rsidRPr="00A926CA" w:rsidRDefault="0085033D" w:rsidP="002A54E2">
      <w:pPr>
        <w:spacing w:line="360" w:lineRule="auto"/>
        <w:ind w:firstLine="720"/>
        <w:jc w:val="both"/>
        <w:rPr>
          <w:rFonts w:ascii="Times New Roman" w:hAnsi="Times New Roman" w:cs="Times New Roman"/>
          <w:color w:val="000000"/>
          <w:sz w:val="24"/>
          <w:szCs w:val="24"/>
          <w:highlight w:val="yellow"/>
          <w:lang w:val="ru-RU"/>
        </w:rPr>
      </w:pPr>
    </w:p>
    <w:p w:rsidR="002A54E2" w:rsidRPr="00AB1D09" w:rsidRDefault="002A54E2" w:rsidP="002B2D67">
      <w:pPr>
        <w:spacing w:after="360"/>
        <w:jc w:val="both"/>
        <w:rPr>
          <w:rFonts w:ascii="Times New Roman" w:hAnsi="Times New Roman" w:cs="Times New Roman"/>
          <w:b/>
          <w:color w:val="000000"/>
          <w:sz w:val="24"/>
          <w:szCs w:val="24"/>
        </w:rPr>
      </w:pPr>
      <w:r w:rsidRPr="00AB1D09">
        <w:rPr>
          <w:rFonts w:ascii="Times New Roman" w:hAnsi="Times New Roman"/>
          <w:b/>
          <w:color w:val="000000"/>
          <w:sz w:val="24"/>
          <w:szCs w:val="24"/>
          <w:lang w:val="en-US"/>
        </w:rPr>
        <w:t>IL</w:t>
      </w:r>
      <w:r w:rsidRPr="00AB1D09">
        <w:rPr>
          <w:rFonts w:ascii="Times New Roman" w:hAnsi="Times New Roman"/>
          <w:b/>
          <w:color w:val="000000"/>
          <w:sz w:val="24"/>
          <w:szCs w:val="24"/>
        </w:rPr>
        <w:t>-</w:t>
      </w:r>
      <w:r w:rsidRPr="00A926CA">
        <w:rPr>
          <w:rFonts w:ascii="Times New Roman" w:hAnsi="Times New Roman"/>
          <w:b/>
          <w:color w:val="000000"/>
          <w:sz w:val="24"/>
          <w:szCs w:val="24"/>
          <w:lang w:val="ru-RU"/>
        </w:rPr>
        <w:t xml:space="preserve">33 во серум </w:t>
      </w:r>
      <w:r w:rsidRPr="00AB1D09">
        <w:rPr>
          <w:rFonts w:ascii="Times New Roman" w:hAnsi="Times New Roman"/>
          <w:b/>
          <w:color w:val="000000"/>
          <w:sz w:val="24"/>
          <w:szCs w:val="24"/>
        </w:rPr>
        <w:t>и</w:t>
      </w:r>
      <w:r w:rsidRPr="00A926CA">
        <w:rPr>
          <w:rFonts w:ascii="Times New Roman" w:hAnsi="Times New Roman"/>
          <w:b/>
          <w:color w:val="000000"/>
          <w:sz w:val="24"/>
          <w:szCs w:val="24"/>
          <w:lang w:val="ru-RU"/>
        </w:rPr>
        <w:t xml:space="preserve"> селектирани параметри</w:t>
      </w:r>
    </w:p>
    <w:p w:rsidR="002B2D67" w:rsidRDefault="00A01DB5" w:rsidP="002B2D67">
      <w:pPr>
        <w:numPr>
          <w:ilvl w:val="0"/>
          <w:numId w:val="18"/>
        </w:numPr>
        <w:spacing w:after="200"/>
        <w:ind w:left="284" w:hanging="284"/>
        <w:jc w:val="both"/>
        <w:rPr>
          <w:rFonts w:ascii="Times New Roman" w:hAnsi="Times New Roman" w:cs="Times New Roman"/>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серум / пол </w:t>
      </w:r>
      <w:r w:rsidRPr="00AB1D09">
        <w:rPr>
          <w:rFonts w:ascii="Times New Roman" w:hAnsi="Times New Roman" w:cs="Times New Roman"/>
          <w:color w:val="000000"/>
          <w:sz w:val="24"/>
          <w:szCs w:val="24"/>
        </w:rPr>
        <w:t>–</w:t>
      </w:r>
      <w:r w:rsidR="00F5147F" w:rsidRPr="00A01DB5">
        <w:rPr>
          <w:rFonts w:ascii="Times New Roman" w:hAnsi="Times New Roman" w:cs="Times New Roman"/>
          <w:color w:val="000000"/>
          <w:sz w:val="24"/>
          <w:szCs w:val="24"/>
        </w:rPr>
        <w:t xml:space="preserve"> </w:t>
      </w:r>
      <w:r w:rsidRPr="00A01DB5">
        <w:rPr>
          <w:rFonts w:ascii="Times New Roman" w:hAnsi="Times New Roman" w:cs="Times New Roman"/>
          <w:color w:val="000000"/>
          <w:sz w:val="24"/>
          <w:szCs w:val="24"/>
        </w:rPr>
        <w:t xml:space="preserve">анализата на меѓусебната поврзаност на </w:t>
      </w:r>
      <w:r w:rsidRPr="00A01DB5">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w:t>
      </w:r>
      <w:r w:rsidR="0022737D" w:rsidRPr="00A926CA">
        <w:rPr>
          <w:rFonts w:ascii="Times New Roman" w:hAnsi="Times New Roman" w:cs="Times New Roman"/>
          <w:color w:val="000000"/>
          <w:sz w:val="24"/>
          <w:szCs w:val="24"/>
          <w:lang w:val="ru-RU"/>
        </w:rPr>
        <w:t xml:space="preserve">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серум </w:t>
      </w:r>
      <w:r w:rsidRPr="00A01DB5">
        <w:rPr>
          <w:rFonts w:ascii="Times New Roman" w:hAnsi="Times New Roman" w:cs="Times New Roman"/>
          <w:color w:val="000000"/>
          <w:sz w:val="24"/>
          <w:szCs w:val="24"/>
        </w:rPr>
        <w:t>со пол (мажи/жени) беше направена на целиот примерок на испитаници</w:t>
      </w:r>
      <w:r>
        <w:rPr>
          <w:rFonts w:ascii="Times New Roman" w:hAnsi="Times New Roman" w:cs="Times New Roman"/>
          <w:color w:val="000000"/>
          <w:sz w:val="24"/>
          <w:szCs w:val="24"/>
        </w:rPr>
        <w:t>. З</w:t>
      </w:r>
      <w:r w:rsidRPr="00A01DB5">
        <w:rPr>
          <w:rFonts w:ascii="Times New Roman" w:hAnsi="Times New Roman" w:cs="Times New Roman"/>
          <w:color w:val="000000"/>
          <w:sz w:val="24"/>
          <w:szCs w:val="24"/>
        </w:rPr>
        <w:t xml:space="preserve">а </w:t>
      </w:r>
      <w:r w:rsidRPr="00A01DB5">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A01DB5">
        <w:rPr>
          <w:rFonts w:ascii="Times New Roman" w:hAnsi="Times New Roman" w:cs="Times New Roman"/>
          <w:bCs/>
          <w:color w:val="000000"/>
          <w:sz w:val="24"/>
          <w:szCs w:val="24"/>
        </w:rPr>
        <w:t>0,05,</w:t>
      </w:r>
      <w:r w:rsidRPr="00A01DB5">
        <w:rPr>
          <w:rFonts w:ascii="Georgia" w:hAnsi="Georgia" w:cs="Times New Roman"/>
          <w:bCs/>
          <w:color w:val="000000"/>
        </w:rPr>
        <w:t xml:space="preserve"> </w:t>
      </w:r>
      <w:r w:rsidR="00093F0E">
        <w:rPr>
          <w:rFonts w:ascii="Georgia" w:hAnsi="Georgia" w:cs="Times New Roman"/>
          <w:bCs/>
          <w:color w:val="000000"/>
        </w:rPr>
        <w:t xml:space="preserve">помеѓу </w:t>
      </w:r>
      <w:r w:rsidR="00093F0E" w:rsidRPr="00A01DB5">
        <w:rPr>
          <w:rFonts w:ascii="Times New Roman" w:hAnsi="Times New Roman" w:cs="Times New Roman"/>
          <w:color w:val="000000"/>
          <w:sz w:val="24"/>
          <w:szCs w:val="24"/>
          <w:lang w:val="en-US"/>
        </w:rPr>
        <w:t>IL</w:t>
      </w:r>
      <w:r w:rsidR="00093F0E" w:rsidRPr="00A926CA">
        <w:rPr>
          <w:rFonts w:ascii="Times New Roman" w:hAnsi="Times New Roman" w:cs="Times New Roman"/>
          <w:color w:val="000000"/>
          <w:sz w:val="24"/>
          <w:szCs w:val="24"/>
          <w:lang w:val="ru-RU"/>
        </w:rPr>
        <w:t xml:space="preserve">-33 во серум </w:t>
      </w:r>
      <w:r w:rsidR="00093F0E">
        <w:rPr>
          <w:rFonts w:ascii="Times New Roman" w:hAnsi="Times New Roman" w:cs="Times New Roman"/>
          <w:color w:val="000000"/>
          <w:sz w:val="24"/>
          <w:szCs w:val="24"/>
        </w:rPr>
        <w:t>и</w:t>
      </w:r>
      <w:r w:rsidR="00093F0E" w:rsidRPr="00A01DB5">
        <w:rPr>
          <w:rFonts w:ascii="Times New Roman" w:hAnsi="Times New Roman" w:cs="Times New Roman"/>
          <w:color w:val="000000"/>
          <w:sz w:val="24"/>
          <w:szCs w:val="24"/>
        </w:rPr>
        <w:t xml:space="preserve"> пол</w:t>
      </w:r>
      <w:r w:rsidR="00093F0E">
        <w:rPr>
          <w:rFonts w:ascii="Georgia" w:hAnsi="Georgia" w:cs="Times New Roman"/>
          <w:bCs/>
          <w:color w:val="000000"/>
        </w:rPr>
        <w:t xml:space="preserve"> </w:t>
      </w:r>
      <w:r>
        <w:rPr>
          <w:rFonts w:ascii="Georgia" w:hAnsi="Georgia" w:cs="Times New Roman"/>
          <w:bCs/>
          <w:color w:val="000000"/>
        </w:rPr>
        <w:t xml:space="preserve">утврдена беше несигнификантна негативна </w:t>
      </w:r>
      <w:r w:rsidR="00730A97">
        <w:rPr>
          <w:rFonts w:ascii="Georgia" w:hAnsi="Georgia" w:cs="Times New Roman"/>
          <w:bCs/>
          <w:color w:val="000000"/>
        </w:rPr>
        <w:t xml:space="preserve">линеарна </w:t>
      </w:r>
      <w:r>
        <w:rPr>
          <w:rFonts w:ascii="Georgia" w:hAnsi="Georgia" w:cs="Times New Roman"/>
          <w:bCs/>
          <w:color w:val="000000"/>
        </w:rPr>
        <w:t xml:space="preserve">корелација </w:t>
      </w:r>
      <w:r w:rsidR="00093F0E" w:rsidRPr="00093F0E">
        <w:rPr>
          <w:rFonts w:ascii="Times New Roman" w:hAnsi="Times New Roman" w:cs="Times New Roman"/>
          <w:bCs/>
          <w:color w:val="000000"/>
          <w:sz w:val="24"/>
          <w:szCs w:val="24"/>
        </w:rPr>
        <w:t>(R</w:t>
      </w:r>
      <w:r w:rsidR="00093F0E" w:rsidRPr="00A926CA">
        <w:rPr>
          <w:rFonts w:ascii="Times New Roman" w:hAnsi="Times New Roman" w:cs="Times New Roman"/>
          <w:bCs/>
          <w:color w:val="000000"/>
          <w:sz w:val="24"/>
          <w:szCs w:val="24"/>
          <w:vertAlign w:val="subscript"/>
          <w:lang w:val="ru-RU"/>
        </w:rPr>
        <w:t>120</w:t>
      </w:r>
      <w:r w:rsidR="00093F0E" w:rsidRPr="00093F0E">
        <w:rPr>
          <w:rFonts w:ascii="Times New Roman" w:hAnsi="Times New Roman" w:cs="Times New Roman"/>
          <w:bCs/>
          <w:color w:val="000000"/>
          <w:sz w:val="24"/>
          <w:szCs w:val="24"/>
          <w:vertAlign w:val="subscript"/>
        </w:rPr>
        <w:t>)</w:t>
      </w:r>
      <w:r w:rsidR="00093F0E" w:rsidRPr="00093F0E">
        <w:rPr>
          <w:rFonts w:ascii="Times New Roman" w:hAnsi="Times New Roman" w:cs="Times New Roman"/>
          <w:bCs/>
          <w:color w:val="000000"/>
          <w:sz w:val="24"/>
          <w:szCs w:val="24"/>
        </w:rPr>
        <w:t>=</w:t>
      </w:r>
      <w:r w:rsidR="00093F0E" w:rsidRPr="00A926CA">
        <w:rPr>
          <w:rFonts w:ascii="Times New Roman" w:hAnsi="Times New Roman" w:cs="Times New Roman"/>
          <w:bCs/>
          <w:color w:val="000000"/>
          <w:sz w:val="24"/>
          <w:szCs w:val="24"/>
          <w:lang w:val="ru-RU"/>
        </w:rPr>
        <w:t>-</w:t>
      </w:r>
      <w:r w:rsidR="00093F0E" w:rsidRPr="00093F0E">
        <w:rPr>
          <w:rFonts w:ascii="Times New Roman" w:hAnsi="Times New Roman" w:cs="Times New Roman"/>
          <w:bCs/>
          <w:color w:val="000000"/>
          <w:sz w:val="24"/>
          <w:szCs w:val="24"/>
        </w:rPr>
        <w:t>0,</w:t>
      </w:r>
      <w:r w:rsidR="00093F0E" w:rsidRPr="00A926CA">
        <w:rPr>
          <w:rFonts w:ascii="Times New Roman" w:hAnsi="Times New Roman" w:cs="Times New Roman"/>
          <w:bCs/>
          <w:color w:val="000000"/>
          <w:sz w:val="24"/>
          <w:szCs w:val="24"/>
          <w:lang w:val="ru-RU"/>
        </w:rPr>
        <w:t>090</w:t>
      </w:r>
      <w:r w:rsidR="00093F0E" w:rsidRPr="00093F0E">
        <w:rPr>
          <w:rFonts w:ascii="Times New Roman" w:hAnsi="Times New Roman" w:cs="Times New Roman"/>
          <w:bCs/>
          <w:color w:val="000000"/>
          <w:sz w:val="24"/>
          <w:szCs w:val="24"/>
        </w:rPr>
        <w:t>; p=0,</w:t>
      </w:r>
      <w:r w:rsidR="00093F0E" w:rsidRPr="00A926CA">
        <w:rPr>
          <w:rFonts w:ascii="Times New Roman" w:hAnsi="Times New Roman" w:cs="Times New Roman"/>
          <w:bCs/>
          <w:color w:val="000000"/>
          <w:sz w:val="24"/>
          <w:szCs w:val="24"/>
          <w:lang w:val="ru-RU"/>
        </w:rPr>
        <w:t>325</w:t>
      </w:r>
      <w:r w:rsidR="00093F0E" w:rsidRPr="00093F0E">
        <w:rPr>
          <w:rFonts w:ascii="Times New Roman" w:hAnsi="Times New Roman" w:cs="Times New Roman"/>
          <w:bCs/>
          <w:color w:val="000000"/>
          <w:sz w:val="24"/>
          <w:szCs w:val="24"/>
        </w:rPr>
        <w:t xml:space="preserve">) – несигнификантно </w:t>
      </w:r>
      <w:r w:rsidR="00095374">
        <w:rPr>
          <w:rFonts w:ascii="Times New Roman" w:hAnsi="Times New Roman" w:cs="Times New Roman"/>
          <w:bCs/>
          <w:color w:val="000000"/>
          <w:sz w:val="24"/>
          <w:szCs w:val="24"/>
        </w:rPr>
        <w:t>опаѓање</w:t>
      </w:r>
      <w:r w:rsidR="00093F0E" w:rsidRPr="00093F0E">
        <w:rPr>
          <w:rFonts w:ascii="Times New Roman" w:hAnsi="Times New Roman" w:cs="Times New Roman"/>
          <w:bCs/>
          <w:color w:val="000000"/>
          <w:sz w:val="24"/>
          <w:szCs w:val="24"/>
        </w:rPr>
        <w:t xml:space="preserve"> на </w:t>
      </w:r>
      <w:r w:rsidR="00093F0E" w:rsidRPr="00093F0E">
        <w:rPr>
          <w:rFonts w:ascii="Times New Roman" w:hAnsi="Times New Roman" w:cs="Times New Roman"/>
          <w:color w:val="000000"/>
          <w:sz w:val="24"/>
          <w:szCs w:val="24"/>
          <w:lang w:val="en-US"/>
        </w:rPr>
        <w:t>IL</w:t>
      </w:r>
      <w:r w:rsidR="00093F0E" w:rsidRPr="00A926CA">
        <w:rPr>
          <w:rFonts w:ascii="Times New Roman" w:hAnsi="Times New Roman" w:cs="Times New Roman"/>
          <w:color w:val="000000"/>
          <w:sz w:val="24"/>
          <w:szCs w:val="24"/>
          <w:lang w:val="ru-RU"/>
        </w:rPr>
        <w:t>-33 во серум</w:t>
      </w:r>
      <w:r w:rsidR="00093F0E" w:rsidRPr="00093F0E">
        <w:rPr>
          <w:rFonts w:ascii="Times New Roman" w:hAnsi="Times New Roman" w:cs="Times New Roman"/>
          <w:color w:val="000000"/>
          <w:sz w:val="24"/>
          <w:szCs w:val="24"/>
        </w:rPr>
        <w:t xml:space="preserve"> кај женскиот пол</w:t>
      </w:r>
      <w:r w:rsidR="00A5689B">
        <w:rPr>
          <w:rFonts w:ascii="Times New Roman" w:hAnsi="Times New Roman" w:cs="Times New Roman"/>
          <w:color w:val="000000"/>
          <w:sz w:val="24"/>
          <w:szCs w:val="24"/>
        </w:rPr>
        <w:t xml:space="preserve"> </w:t>
      </w:r>
      <w:r w:rsidR="00A5689B" w:rsidRPr="00A5689B">
        <w:rPr>
          <w:rFonts w:ascii="Times New Roman" w:hAnsi="Times New Roman" w:cs="Times New Roman"/>
          <w:color w:val="000000"/>
          <w:sz w:val="24"/>
          <w:szCs w:val="24"/>
        </w:rPr>
        <w:t>(Табела 14 и График 25)</w:t>
      </w:r>
    </w:p>
    <w:p w:rsidR="00A5689B" w:rsidRPr="002B2D67" w:rsidRDefault="00093F0E" w:rsidP="002B2D67">
      <w:pPr>
        <w:numPr>
          <w:ilvl w:val="0"/>
          <w:numId w:val="18"/>
        </w:numPr>
        <w:spacing w:after="200"/>
        <w:ind w:left="284" w:hanging="284"/>
        <w:jc w:val="both"/>
        <w:rPr>
          <w:rFonts w:ascii="Times New Roman" w:hAnsi="Times New Roman" w:cs="Times New Roman"/>
          <w:color w:val="000000"/>
          <w:sz w:val="24"/>
          <w:szCs w:val="24"/>
        </w:rPr>
      </w:pPr>
      <w:r w:rsidRPr="002B2D67">
        <w:rPr>
          <w:rFonts w:ascii="Times New Roman" w:hAnsi="Times New Roman" w:cs="Times New Roman"/>
          <w:b/>
          <w:color w:val="000000"/>
          <w:sz w:val="24"/>
          <w:szCs w:val="24"/>
          <w:lang w:val="en-US"/>
        </w:rPr>
        <w:t>IL</w:t>
      </w:r>
      <w:r w:rsidRPr="002B2D67">
        <w:rPr>
          <w:rFonts w:ascii="Times New Roman" w:hAnsi="Times New Roman" w:cs="Times New Roman"/>
          <w:b/>
          <w:color w:val="000000"/>
          <w:sz w:val="24"/>
          <w:szCs w:val="24"/>
          <w:lang w:val="ru-RU"/>
        </w:rPr>
        <w:t>-33</w:t>
      </w:r>
      <w:r w:rsidRPr="002B2D67">
        <w:rPr>
          <w:rFonts w:ascii="Times New Roman" w:hAnsi="Times New Roman" w:cs="Times New Roman"/>
          <w:b/>
          <w:color w:val="000000"/>
          <w:sz w:val="24"/>
          <w:szCs w:val="24"/>
        </w:rPr>
        <w:t xml:space="preserve"> во серум / возраст </w:t>
      </w:r>
      <w:r w:rsidRPr="002B2D67">
        <w:rPr>
          <w:rFonts w:ascii="Times New Roman" w:hAnsi="Times New Roman" w:cs="Times New Roman"/>
          <w:color w:val="000000"/>
          <w:sz w:val="24"/>
          <w:szCs w:val="24"/>
        </w:rPr>
        <w:t xml:space="preserve">– анализата на меѓусебната поврзаност на </w:t>
      </w:r>
      <w:r w:rsidRPr="002B2D67">
        <w:rPr>
          <w:rFonts w:ascii="Times New Roman" w:hAnsi="Times New Roman" w:cs="Times New Roman"/>
          <w:color w:val="000000"/>
          <w:sz w:val="24"/>
          <w:szCs w:val="24"/>
          <w:lang w:val="en-US"/>
        </w:rPr>
        <w:t>IL</w:t>
      </w:r>
      <w:r w:rsidRPr="002B2D67">
        <w:rPr>
          <w:rFonts w:ascii="Times New Roman" w:hAnsi="Times New Roman" w:cs="Times New Roman"/>
          <w:color w:val="000000"/>
          <w:sz w:val="24"/>
          <w:szCs w:val="24"/>
          <w:lang w:val="ru-RU"/>
        </w:rPr>
        <w:t xml:space="preserve">-33 </w:t>
      </w:r>
      <w:r w:rsidR="0022737D" w:rsidRPr="002B2D67">
        <w:rPr>
          <w:rFonts w:ascii="Times New Roman" w:hAnsi="Times New Roman" w:cs="Times New Roman"/>
          <w:color w:val="000000"/>
          <w:sz w:val="24"/>
          <w:szCs w:val="24"/>
          <w:lang w:val="en-US"/>
        </w:rPr>
        <w:t>pg</w:t>
      </w:r>
      <w:r w:rsidR="0022737D" w:rsidRPr="002B2D67">
        <w:rPr>
          <w:rFonts w:ascii="Times New Roman" w:hAnsi="Times New Roman" w:cs="Times New Roman"/>
          <w:color w:val="000000"/>
          <w:sz w:val="24"/>
          <w:szCs w:val="24"/>
          <w:lang w:val="ru-RU"/>
        </w:rPr>
        <w:t>/</w:t>
      </w:r>
      <w:r w:rsidR="0022737D" w:rsidRPr="002B2D67">
        <w:rPr>
          <w:rFonts w:ascii="Times New Roman" w:hAnsi="Times New Roman" w:cs="Times New Roman"/>
          <w:color w:val="000000"/>
          <w:sz w:val="24"/>
          <w:szCs w:val="24"/>
          <w:lang w:val="en-US"/>
        </w:rPr>
        <w:t>mL</w:t>
      </w:r>
      <w:r w:rsidR="0022737D" w:rsidRPr="002B2D67">
        <w:rPr>
          <w:rFonts w:ascii="Times New Roman" w:hAnsi="Times New Roman" w:cs="Times New Roman"/>
          <w:color w:val="000000"/>
          <w:sz w:val="24"/>
          <w:szCs w:val="24"/>
          <w:lang w:val="ru-RU"/>
        </w:rPr>
        <w:t xml:space="preserve"> </w:t>
      </w:r>
      <w:r w:rsidRPr="002B2D67">
        <w:rPr>
          <w:rFonts w:ascii="Times New Roman" w:hAnsi="Times New Roman" w:cs="Times New Roman"/>
          <w:color w:val="000000"/>
          <w:sz w:val="24"/>
          <w:szCs w:val="24"/>
          <w:lang w:val="ru-RU"/>
        </w:rPr>
        <w:t xml:space="preserve">во серум </w:t>
      </w:r>
      <w:r w:rsidRPr="002B2D67">
        <w:rPr>
          <w:rFonts w:ascii="Times New Roman" w:hAnsi="Times New Roman" w:cs="Times New Roman"/>
          <w:color w:val="000000"/>
          <w:sz w:val="24"/>
          <w:szCs w:val="24"/>
        </w:rPr>
        <w:t xml:space="preserve">со возраст (години) беше направена на целиот примерок на испитаници. За </w:t>
      </w:r>
      <w:r w:rsidRPr="002B2D67">
        <w:rPr>
          <w:rFonts w:ascii="Times New Roman" w:hAnsi="Times New Roman" w:cs="Times New Roman"/>
          <w:bCs/>
          <w:color w:val="000000"/>
          <w:sz w:val="24"/>
          <w:szCs w:val="24"/>
        </w:rPr>
        <w:t>p</w:t>
      </w:r>
      <w:r w:rsidRPr="002B2D67">
        <w:rPr>
          <w:rFonts w:ascii="Times New Roman" w:hAnsi="Times New Roman" w:cs="Times New Roman"/>
          <w:bCs/>
          <w:color w:val="000000"/>
          <w:sz w:val="24"/>
          <w:szCs w:val="24"/>
          <w:lang w:val="ru-RU"/>
        </w:rPr>
        <w:t>&gt;</w:t>
      </w:r>
      <w:r w:rsidRPr="002B2D67">
        <w:rPr>
          <w:rFonts w:ascii="Times New Roman" w:hAnsi="Times New Roman" w:cs="Times New Roman"/>
          <w:bCs/>
          <w:color w:val="000000"/>
          <w:sz w:val="24"/>
          <w:szCs w:val="24"/>
        </w:rPr>
        <w:t xml:space="preserve">0,05, помеѓу </w:t>
      </w:r>
      <w:r w:rsidRPr="002B2D67">
        <w:rPr>
          <w:rFonts w:ascii="Times New Roman" w:hAnsi="Times New Roman" w:cs="Times New Roman"/>
          <w:color w:val="000000"/>
          <w:sz w:val="24"/>
          <w:szCs w:val="24"/>
          <w:lang w:val="en-US"/>
        </w:rPr>
        <w:t>IL</w:t>
      </w:r>
      <w:r w:rsidRPr="002B2D67">
        <w:rPr>
          <w:rFonts w:ascii="Times New Roman" w:hAnsi="Times New Roman" w:cs="Times New Roman"/>
          <w:color w:val="000000"/>
          <w:sz w:val="24"/>
          <w:szCs w:val="24"/>
          <w:lang w:val="ru-RU"/>
        </w:rPr>
        <w:t xml:space="preserve">-33 во серум </w:t>
      </w:r>
      <w:r w:rsidRPr="002B2D67">
        <w:rPr>
          <w:rFonts w:ascii="Times New Roman" w:hAnsi="Times New Roman" w:cs="Times New Roman"/>
          <w:color w:val="000000"/>
          <w:sz w:val="24"/>
          <w:szCs w:val="24"/>
        </w:rPr>
        <w:t>и возраст</w:t>
      </w:r>
      <w:r w:rsidR="00A5689B" w:rsidRPr="002B2D67">
        <w:rPr>
          <w:rFonts w:ascii="Times New Roman" w:hAnsi="Times New Roman" w:cs="Times New Roman"/>
          <w:color w:val="000000"/>
          <w:sz w:val="24"/>
          <w:szCs w:val="24"/>
        </w:rPr>
        <w:t>а,</w:t>
      </w:r>
      <w:r w:rsidRPr="002B2D67">
        <w:rPr>
          <w:rFonts w:ascii="Times New Roman" w:hAnsi="Times New Roman" w:cs="Times New Roman"/>
          <w:bCs/>
          <w:color w:val="000000"/>
          <w:sz w:val="24"/>
          <w:szCs w:val="24"/>
        </w:rPr>
        <w:t xml:space="preserve"> утврдена беше несигнификантна </w:t>
      </w:r>
      <w:r w:rsidR="00A5689B" w:rsidRPr="002B2D67">
        <w:rPr>
          <w:rFonts w:ascii="Times New Roman" w:hAnsi="Times New Roman" w:cs="Times New Roman"/>
          <w:bCs/>
          <w:color w:val="000000"/>
          <w:sz w:val="24"/>
          <w:szCs w:val="24"/>
        </w:rPr>
        <w:t xml:space="preserve">позитивна </w:t>
      </w:r>
      <w:r w:rsidR="00730A97" w:rsidRPr="002B2D67">
        <w:rPr>
          <w:rFonts w:ascii="Times New Roman" w:hAnsi="Times New Roman" w:cs="Times New Roman"/>
          <w:bCs/>
          <w:color w:val="000000"/>
          <w:sz w:val="24"/>
          <w:szCs w:val="24"/>
        </w:rPr>
        <w:t xml:space="preserve">линеарна </w:t>
      </w:r>
      <w:r w:rsidRPr="002B2D67">
        <w:rPr>
          <w:rFonts w:ascii="Times New Roman" w:hAnsi="Times New Roman" w:cs="Times New Roman"/>
          <w:bCs/>
          <w:color w:val="000000"/>
          <w:sz w:val="24"/>
          <w:szCs w:val="24"/>
        </w:rPr>
        <w:t>корелација (</w:t>
      </w:r>
      <w:r w:rsidR="00A5689B" w:rsidRPr="002B2D67">
        <w:rPr>
          <w:rFonts w:ascii="Times New Roman" w:hAnsi="Times New Roman" w:cs="Times New Roman"/>
          <w:bCs/>
          <w:color w:val="000000"/>
          <w:sz w:val="24"/>
          <w:szCs w:val="24"/>
        </w:rPr>
        <w:t>R</w:t>
      </w:r>
      <w:r w:rsidR="00A5689B" w:rsidRPr="002B2D67">
        <w:rPr>
          <w:rFonts w:ascii="Times New Roman" w:hAnsi="Times New Roman" w:cs="Times New Roman"/>
          <w:bCs/>
          <w:color w:val="000000"/>
          <w:sz w:val="24"/>
          <w:szCs w:val="24"/>
          <w:vertAlign w:val="subscript"/>
        </w:rPr>
        <w:t>(</w:t>
      </w:r>
      <w:r w:rsidR="00A5689B" w:rsidRPr="002B2D67">
        <w:rPr>
          <w:rFonts w:ascii="Times New Roman" w:hAnsi="Times New Roman" w:cs="Times New Roman"/>
          <w:bCs/>
          <w:color w:val="000000"/>
          <w:sz w:val="24"/>
          <w:szCs w:val="24"/>
          <w:vertAlign w:val="subscript"/>
          <w:lang w:val="ru-RU"/>
        </w:rPr>
        <w:t>117</w:t>
      </w:r>
      <w:r w:rsidR="00A5689B" w:rsidRPr="002B2D67">
        <w:rPr>
          <w:rFonts w:ascii="Times New Roman" w:hAnsi="Times New Roman" w:cs="Times New Roman"/>
          <w:bCs/>
          <w:color w:val="000000"/>
          <w:sz w:val="24"/>
          <w:szCs w:val="24"/>
          <w:vertAlign w:val="subscript"/>
        </w:rPr>
        <w:t>)</w:t>
      </w:r>
      <w:r w:rsidR="00A5689B" w:rsidRPr="002B2D67">
        <w:rPr>
          <w:rFonts w:ascii="Times New Roman" w:hAnsi="Times New Roman" w:cs="Times New Roman"/>
          <w:bCs/>
          <w:color w:val="000000"/>
          <w:sz w:val="24"/>
          <w:szCs w:val="24"/>
        </w:rPr>
        <w:t>=0,</w:t>
      </w:r>
      <w:r w:rsidR="00A5689B" w:rsidRPr="002B2D67">
        <w:rPr>
          <w:rFonts w:ascii="Times New Roman" w:hAnsi="Times New Roman" w:cs="Times New Roman"/>
          <w:bCs/>
          <w:color w:val="000000"/>
          <w:sz w:val="24"/>
          <w:szCs w:val="24"/>
          <w:lang w:val="ru-RU"/>
        </w:rPr>
        <w:t>009</w:t>
      </w:r>
      <w:r w:rsidR="00A5689B" w:rsidRPr="002B2D67">
        <w:rPr>
          <w:rFonts w:ascii="Times New Roman" w:hAnsi="Times New Roman" w:cs="Times New Roman"/>
          <w:bCs/>
          <w:color w:val="000000"/>
          <w:sz w:val="24"/>
          <w:szCs w:val="24"/>
        </w:rPr>
        <w:t>; p=0,</w:t>
      </w:r>
      <w:r w:rsidR="00A5689B" w:rsidRPr="002B2D67">
        <w:rPr>
          <w:rFonts w:ascii="Times New Roman" w:hAnsi="Times New Roman" w:cs="Times New Roman"/>
          <w:bCs/>
          <w:color w:val="000000"/>
          <w:sz w:val="24"/>
          <w:szCs w:val="24"/>
          <w:lang w:val="ru-RU"/>
        </w:rPr>
        <w:t>921</w:t>
      </w:r>
      <w:r w:rsidR="00A5689B" w:rsidRPr="002B2D67">
        <w:rPr>
          <w:rFonts w:ascii="Times New Roman" w:hAnsi="Times New Roman" w:cs="Times New Roman"/>
          <w:bCs/>
          <w:color w:val="000000"/>
          <w:sz w:val="24"/>
          <w:szCs w:val="24"/>
        </w:rPr>
        <w:t xml:space="preserve">) – </w:t>
      </w:r>
      <w:r w:rsidR="00A5689B" w:rsidRPr="002B2D67">
        <w:rPr>
          <w:rFonts w:ascii="Times New Roman" w:hAnsi="Times New Roman" w:cs="Times New Roman"/>
          <w:color w:val="000000"/>
          <w:sz w:val="24"/>
          <w:szCs w:val="24"/>
          <w:lang w:val="en-US"/>
        </w:rPr>
        <w:t>IL</w:t>
      </w:r>
      <w:r w:rsidR="00A5689B" w:rsidRPr="002B2D67">
        <w:rPr>
          <w:rFonts w:ascii="Times New Roman" w:hAnsi="Times New Roman" w:cs="Times New Roman"/>
          <w:color w:val="000000"/>
          <w:sz w:val="24"/>
          <w:szCs w:val="24"/>
          <w:lang w:val="ru-RU"/>
        </w:rPr>
        <w:t>-33 во серум</w:t>
      </w:r>
      <w:r w:rsidR="00A5689B" w:rsidRPr="002B2D67">
        <w:rPr>
          <w:rFonts w:ascii="Times New Roman" w:hAnsi="Times New Roman" w:cs="Times New Roman"/>
          <w:color w:val="000000"/>
          <w:sz w:val="24"/>
          <w:szCs w:val="24"/>
        </w:rPr>
        <w:t xml:space="preserve"> </w:t>
      </w:r>
      <w:r w:rsidR="00A5689B" w:rsidRPr="002B2D67">
        <w:rPr>
          <w:rFonts w:ascii="Times New Roman" w:hAnsi="Times New Roman" w:cs="Times New Roman"/>
          <w:bCs/>
          <w:color w:val="000000"/>
          <w:sz w:val="24"/>
          <w:szCs w:val="24"/>
        </w:rPr>
        <w:t>несигнификантно растеше с</w:t>
      </w:r>
      <w:r w:rsidR="00A5689B" w:rsidRPr="002B2D67">
        <w:rPr>
          <w:rFonts w:ascii="Times New Roman" w:hAnsi="Times New Roman" w:cs="Times New Roman"/>
          <w:color w:val="000000"/>
          <w:sz w:val="24"/>
          <w:szCs w:val="24"/>
        </w:rPr>
        <w:t>о зголемување на возраста (Табела 14 и График 25).</w:t>
      </w:r>
    </w:p>
    <w:p w:rsidR="000B4811" w:rsidRPr="000B4811" w:rsidRDefault="000B4811" w:rsidP="000B4811">
      <w:pPr>
        <w:ind w:left="284"/>
        <w:jc w:val="both"/>
        <w:rPr>
          <w:rFonts w:ascii="Times New Roman" w:hAnsi="Times New Roman" w:cs="Times New Roman"/>
          <w:bCs/>
          <w:color w:val="000000"/>
          <w:sz w:val="24"/>
          <w:szCs w:val="24"/>
        </w:rPr>
      </w:pPr>
    </w:p>
    <w:p w:rsidR="000B4811" w:rsidRPr="000B4811" w:rsidRDefault="000B4811" w:rsidP="000B4811">
      <w:pPr>
        <w:ind w:left="284"/>
        <w:jc w:val="both"/>
        <w:rPr>
          <w:rFonts w:ascii="Times New Roman" w:hAnsi="Times New Roman" w:cs="Times New Roman"/>
          <w:bCs/>
          <w:color w:val="000000"/>
          <w:sz w:val="24"/>
          <w:szCs w:val="24"/>
        </w:rPr>
      </w:pPr>
    </w:p>
    <w:p w:rsidR="000B4811" w:rsidRPr="000B4811" w:rsidRDefault="000B4811" w:rsidP="000B4811">
      <w:pPr>
        <w:ind w:left="284"/>
        <w:jc w:val="both"/>
        <w:rPr>
          <w:rFonts w:ascii="Times New Roman" w:hAnsi="Times New Roman" w:cs="Times New Roman"/>
          <w:bCs/>
          <w:color w:val="000000"/>
          <w:sz w:val="24"/>
          <w:szCs w:val="24"/>
        </w:rPr>
      </w:pPr>
    </w:p>
    <w:p w:rsidR="000B4811" w:rsidRPr="000B4811" w:rsidRDefault="000B4811" w:rsidP="000B4811">
      <w:pPr>
        <w:ind w:left="284"/>
        <w:jc w:val="both"/>
        <w:rPr>
          <w:rFonts w:ascii="Times New Roman" w:hAnsi="Times New Roman" w:cs="Times New Roman"/>
          <w:bCs/>
          <w:color w:val="000000"/>
          <w:sz w:val="24"/>
          <w:szCs w:val="24"/>
        </w:rPr>
      </w:pPr>
    </w:p>
    <w:p w:rsidR="00A5689B" w:rsidRPr="00A5689B" w:rsidRDefault="00A5689B" w:rsidP="002B2D67">
      <w:pPr>
        <w:numPr>
          <w:ilvl w:val="0"/>
          <w:numId w:val="18"/>
        </w:numPr>
        <w:ind w:left="284" w:hanging="284"/>
        <w:jc w:val="both"/>
        <w:rPr>
          <w:rFonts w:ascii="Times New Roman" w:hAnsi="Times New Roman" w:cs="Times New Roman"/>
          <w:bCs/>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серум / вид на тумор </w:t>
      </w:r>
      <w:r w:rsidRPr="00AB1D09">
        <w:rPr>
          <w:rFonts w:ascii="Times New Roman" w:hAnsi="Times New Roman" w:cs="Times New Roman"/>
          <w:color w:val="000000"/>
          <w:sz w:val="24"/>
          <w:szCs w:val="24"/>
        </w:rPr>
        <w:t>–</w:t>
      </w:r>
      <w:r w:rsidRPr="00A5689B">
        <w:rPr>
          <w:rFonts w:ascii="Times New Roman" w:hAnsi="Times New Roman" w:cs="Times New Roman"/>
          <w:color w:val="000000"/>
          <w:sz w:val="24"/>
          <w:szCs w:val="24"/>
        </w:rPr>
        <w:t xml:space="preserve"> анализата на меѓусебната поврзаност на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серум </w:t>
      </w:r>
      <w:r w:rsidRPr="00A5689B">
        <w:rPr>
          <w:rFonts w:ascii="Times New Roman" w:hAnsi="Times New Roman" w:cs="Times New Roman"/>
          <w:color w:val="000000"/>
          <w:sz w:val="24"/>
          <w:szCs w:val="24"/>
        </w:rPr>
        <w:t>со вид на тумор беше направена на целиот примерок на испитаници (</w:t>
      </w:r>
      <w:r w:rsidR="00095374">
        <w:rPr>
          <w:rFonts w:ascii="Times New Roman" w:hAnsi="Times New Roman" w:cs="Times New Roman"/>
          <w:color w:val="000000"/>
          <w:sz w:val="24"/>
          <w:szCs w:val="24"/>
        </w:rPr>
        <w:t>нема</w:t>
      </w:r>
      <w:r w:rsidRPr="00A5689B">
        <w:rPr>
          <w:rFonts w:ascii="Times New Roman" w:hAnsi="Times New Roman" w:cs="Times New Roman"/>
          <w:color w:val="000000"/>
          <w:sz w:val="24"/>
          <w:szCs w:val="24"/>
        </w:rPr>
        <w:t xml:space="preserve">/ бенигни/ малигни). За </w:t>
      </w:r>
      <w:r w:rsidRPr="00A5689B">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A5689B">
        <w:rPr>
          <w:rFonts w:ascii="Times New Roman" w:hAnsi="Times New Roman" w:cs="Times New Roman"/>
          <w:bCs/>
          <w:color w:val="000000"/>
          <w:sz w:val="24"/>
          <w:szCs w:val="24"/>
        </w:rPr>
        <w:t xml:space="preserve">0,05, помеѓу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серум </w:t>
      </w:r>
      <w:r w:rsidRPr="00A5689B">
        <w:rPr>
          <w:rFonts w:ascii="Times New Roman" w:hAnsi="Times New Roman" w:cs="Times New Roman"/>
          <w:color w:val="000000"/>
          <w:sz w:val="24"/>
          <w:szCs w:val="24"/>
        </w:rPr>
        <w:t xml:space="preserve">и вид на тумор </w:t>
      </w:r>
      <w:r w:rsidRPr="00A5689B">
        <w:rPr>
          <w:rFonts w:ascii="Times New Roman" w:hAnsi="Times New Roman" w:cs="Times New Roman"/>
          <w:bCs/>
          <w:color w:val="000000"/>
          <w:sz w:val="24"/>
          <w:szCs w:val="24"/>
        </w:rPr>
        <w:t>утврден</w:t>
      </w:r>
      <w:r w:rsidR="001543AB">
        <w:rPr>
          <w:rFonts w:ascii="Times New Roman" w:hAnsi="Times New Roman" w:cs="Times New Roman"/>
          <w:bCs/>
          <w:color w:val="000000"/>
          <w:sz w:val="24"/>
          <w:szCs w:val="24"/>
        </w:rPr>
        <w:t>о</w:t>
      </w:r>
      <w:r w:rsidRPr="00A5689B">
        <w:rPr>
          <w:rFonts w:ascii="Times New Roman" w:hAnsi="Times New Roman" w:cs="Times New Roman"/>
          <w:bCs/>
          <w:color w:val="000000"/>
          <w:sz w:val="24"/>
          <w:szCs w:val="24"/>
        </w:rPr>
        <w:t xml:space="preserve"> беше </w:t>
      </w:r>
      <w:r>
        <w:rPr>
          <w:rFonts w:ascii="Times New Roman" w:hAnsi="Times New Roman" w:cs="Times New Roman"/>
          <w:bCs/>
          <w:color w:val="000000"/>
          <w:sz w:val="24"/>
          <w:szCs w:val="24"/>
        </w:rPr>
        <w:t xml:space="preserve">постоење на </w:t>
      </w:r>
      <w:r w:rsidRPr="00A5689B">
        <w:rPr>
          <w:rFonts w:ascii="Times New Roman" w:hAnsi="Times New Roman" w:cs="Times New Roman"/>
          <w:bCs/>
          <w:color w:val="000000"/>
          <w:sz w:val="24"/>
          <w:szCs w:val="24"/>
        </w:rPr>
        <w:t xml:space="preserve">несигнификантна </w:t>
      </w:r>
      <w:r w:rsidR="000A75E1" w:rsidRPr="00A5689B">
        <w:rPr>
          <w:rFonts w:ascii="Times New Roman" w:hAnsi="Times New Roman" w:cs="Times New Roman"/>
          <w:bCs/>
          <w:color w:val="000000"/>
          <w:sz w:val="24"/>
          <w:szCs w:val="24"/>
        </w:rPr>
        <w:t xml:space="preserve">позитивна </w:t>
      </w:r>
      <w:r w:rsidR="00730A97" w:rsidRPr="00A5689B">
        <w:rPr>
          <w:rFonts w:ascii="Times New Roman" w:hAnsi="Times New Roman" w:cs="Times New Roman"/>
          <w:bCs/>
          <w:color w:val="000000"/>
          <w:sz w:val="24"/>
          <w:szCs w:val="24"/>
        </w:rPr>
        <w:t xml:space="preserve">линеарна </w:t>
      </w:r>
      <w:r w:rsidRPr="00A5689B">
        <w:rPr>
          <w:rFonts w:ascii="Times New Roman" w:hAnsi="Times New Roman" w:cs="Times New Roman"/>
          <w:bCs/>
          <w:color w:val="000000"/>
          <w:sz w:val="24"/>
          <w:szCs w:val="24"/>
        </w:rPr>
        <w:t>корелација (R</w:t>
      </w:r>
      <w:r w:rsidRPr="00A5689B">
        <w:rPr>
          <w:rFonts w:ascii="Times New Roman" w:hAnsi="Times New Roman" w:cs="Times New Roman"/>
          <w:bCs/>
          <w:color w:val="000000"/>
          <w:sz w:val="24"/>
          <w:szCs w:val="24"/>
          <w:vertAlign w:val="subscript"/>
        </w:rPr>
        <w:t>(</w:t>
      </w:r>
      <w:r w:rsidRPr="00A926CA">
        <w:rPr>
          <w:rFonts w:ascii="Times New Roman" w:hAnsi="Times New Roman" w:cs="Times New Roman"/>
          <w:bCs/>
          <w:color w:val="000000"/>
          <w:sz w:val="24"/>
          <w:szCs w:val="24"/>
          <w:vertAlign w:val="subscript"/>
          <w:lang w:val="ru-RU"/>
        </w:rPr>
        <w:t>120</w:t>
      </w:r>
      <w:r w:rsidRPr="00A5689B">
        <w:rPr>
          <w:rFonts w:ascii="Times New Roman" w:hAnsi="Times New Roman" w:cs="Times New Roman"/>
          <w:bCs/>
          <w:color w:val="000000"/>
          <w:sz w:val="24"/>
          <w:szCs w:val="24"/>
          <w:vertAlign w:val="subscript"/>
        </w:rPr>
        <w:t>)</w:t>
      </w:r>
      <w:r w:rsidRPr="00A5689B">
        <w:rPr>
          <w:rFonts w:ascii="Times New Roman" w:hAnsi="Times New Roman" w:cs="Times New Roman"/>
          <w:bCs/>
          <w:color w:val="000000"/>
          <w:sz w:val="24"/>
          <w:szCs w:val="24"/>
        </w:rPr>
        <w:t>=0,</w:t>
      </w:r>
      <w:r w:rsidRPr="00A926CA">
        <w:rPr>
          <w:rFonts w:ascii="Times New Roman" w:hAnsi="Times New Roman" w:cs="Times New Roman"/>
          <w:bCs/>
          <w:color w:val="000000"/>
          <w:sz w:val="24"/>
          <w:szCs w:val="24"/>
          <w:lang w:val="ru-RU"/>
        </w:rPr>
        <w:t>023</w:t>
      </w:r>
      <w:r w:rsidRPr="00A5689B">
        <w:rPr>
          <w:rFonts w:ascii="Times New Roman" w:hAnsi="Times New Roman" w:cs="Times New Roman"/>
          <w:bCs/>
          <w:color w:val="000000"/>
          <w:sz w:val="24"/>
          <w:szCs w:val="24"/>
        </w:rPr>
        <w:t>; p=0,</w:t>
      </w:r>
      <w:r w:rsidRPr="00A926CA">
        <w:rPr>
          <w:rFonts w:ascii="Times New Roman" w:hAnsi="Times New Roman" w:cs="Times New Roman"/>
          <w:bCs/>
          <w:color w:val="000000"/>
          <w:sz w:val="24"/>
          <w:szCs w:val="24"/>
          <w:lang w:val="ru-RU"/>
        </w:rPr>
        <w:t>805</w:t>
      </w:r>
      <w:r w:rsidRPr="00A5689B">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A5689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Вредностите на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 во серум</w:t>
      </w:r>
      <w:r w:rsidRPr="00A5689B">
        <w:rPr>
          <w:rFonts w:ascii="Times New Roman" w:hAnsi="Times New Roman" w:cs="Times New Roman"/>
          <w:color w:val="000000"/>
          <w:sz w:val="24"/>
          <w:szCs w:val="24"/>
        </w:rPr>
        <w:t xml:space="preserve"> </w:t>
      </w:r>
      <w:r w:rsidRPr="00A5689B">
        <w:rPr>
          <w:rFonts w:ascii="Times New Roman" w:hAnsi="Times New Roman" w:cs="Times New Roman"/>
          <w:bCs/>
          <w:color w:val="000000"/>
          <w:sz w:val="24"/>
          <w:szCs w:val="24"/>
        </w:rPr>
        <w:t>несигнификантно расте</w:t>
      </w:r>
      <w:r>
        <w:rPr>
          <w:rFonts w:ascii="Times New Roman" w:hAnsi="Times New Roman" w:cs="Times New Roman"/>
          <w:bCs/>
          <w:color w:val="000000"/>
          <w:sz w:val="24"/>
          <w:szCs w:val="24"/>
        </w:rPr>
        <w:t>а</w:t>
      </w:r>
      <w:r w:rsidRPr="00A5689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од здравите испитаници → </w:t>
      </w:r>
      <w:r w:rsidR="00F641D5">
        <w:rPr>
          <w:rFonts w:ascii="Times New Roman" w:hAnsi="Times New Roman" w:cs="Times New Roman"/>
          <w:bCs/>
          <w:color w:val="000000"/>
          <w:sz w:val="24"/>
          <w:szCs w:val="24"/>
        </w:rPr>
        <w:t>лицата со бениген тумор → лицата со малиген тумор на паротидните жлезди</w:t>
      </w:r>
      <w:r w:rsidR="007C59E7">
        <w:rPr>
          <w:rFonts w:ascii="Times New Roman" w:hAnsi="Times New Roman" w:cs="Times New Roman"/>
          <w:bCs/>
          <w:color w:val="000000"/>
          <w:sz w:val="24"/>
          <w:szCs w:val="24"/>
        </w:rPr>
        <w:t>, односно беа несигнификантно повисоки кај лицата со малиген тумор</w:t>
      </w:r>
      <w:r w:rsidR="00F641D5">
        <w:rPr>
          <w:rFonts w:ascii="Times New Roman" w:hAnsi="Times New Roman" w:cs="Times New Roman"/>
          <w:bCs/>
          <w:color w:val="000000"/>
          <w:sz w:val="24"/>
          <w:szCs w:val="24"/>
        </w:rPr>
        <w:t xml:space="preserve"> </w:t>
      </w:r>
      <w:r w:rsidRPr="00A5689B">
        <w:rPr>
          <w:rFonts w:ascii="Times New Roman" w:hAnsi="Times New Roman" w:cs="Times New Roman"/>
          <w:color w:val="000000"/>
          <w:sz w:val="24"/>
          <w:szCs w:val="24"/>
        </w:rPr>
        <w:t>(Табела 14 и График 25).</w:t>
      </w:r>
    </w:p>
    <w:p w:rsidR="008153B2" w:rsidRPr="00A926CA" w:rsidRDefault="000B4811" w:rsidP="008153B2">
      <w:pPr>
        <w:pStyle w:val="Heading1"/>
        <w:spacing w:before="0" w:beforeAutospacing="0" w:after="0" w:afterAutospacing="0" w:line="360" w:lineRule="auto"/>
        <w:jc w:val="center"/>
        <w:rPr>
          <w:rFonts w:ascii="Times New Roman" w:hAnsi="Times New Roman" w:cs="Times New Roman"/>
          <w:color w:val="000000"/>
          <w:sz w:val="20"/>
          <w:szCs w:val="20"/>
          <w:lang w:val="ru-RU"/>
        </w:rPr>
      </w:pPr>
      <w:r>
        <w:rPr>
          <w:rFonts w:ascii="Times New Roman" w:hAnsi="Times New Roman" w:cs="Times New Roman"/>
          <w:noProof/>
          <w:color w:val="000000"/>
          <w:sz w:val="20"/>
          <w:szCs w:val="20"/>
        </w:rPr>
        <w:drawing>
          <wp:anchor distT="0" distB="0" distL="114300" distR="114300" simplePos="0" relativeHeight="251668992" behindDoc="1" locked="0" layoutInCell="1" allowOverlap="1">
            <wp:simplePos x="0" y="0"/>
            <wp:positionH relativeFrom="column">
              <wp:posOffset>228600</wp:posOffset>
            </wp:positionH>
            <wp:positionV relativeFrom="paragraph">
              <wp:posOffset>107315</wp:posOffset>
            </wp:positionV>
            <wp:extent cx="5530850" cy="4152900"/>
            <wp:effectExtent l="19050" t="0" r="0" b="0"/>
            <wp:wrapTight wrapText="bothSides">
              <wp:wrapPolygon edited="0">
                <wp:start x="-74" y="0"/>
                <wp:lineTo x="-74" y="21402"/>
                <wp:lineTo x="21575" y="21402"/>
                <wp:lineTo x="21575" y="0"/>
                <wp:lineTo x="-74" y="0"/>
              </wp:wrapPolygon>
            </wp:wrapTight>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41"/>
                    <a:srcRect/>
                    <a:stretch>
                      <a:fillRect/>
                    </a:stretch>
                  </pic:blipFill>
                  <pic:spPr bwMode="auto">
                    <a:xfrm>
                      <a:off x="0" y="0"/>
                      <a:ext cx="5530850" cy="4152900"/>
                    </a:xfrm>
                    <a:prstGeom prst="rect">
                      <a:avLst/>
                    </a:prstGeom>
                    <a:noFill/>
                    <a:ln w="9525">
                      <a:noFill/>
                      <a:miter lim="800000"/>
                      <a:headEnd/>
                      <a:tailEnd/>
                    </a:ln>
                  </pic:spPr>
                </pic:pic>
              </a:graphicData>
            </a:graphic>
          </wp:anchor>
        </w:drawing>
      </w:r>
    </w:p>
    <w:p w:rsidR="008153B2" w:rsidRPr="0065789A" w:rsidRDefault="000B4811" w:rsidP="000B4811">
      <w:pPr>
        <w:pStyle w:val="Heading1"/>
        <w:spacing w:before="0" w:beforeAutospacing="0" w:after="0" w:afterAutospacing="0" w:line="360" w:lineRule="auto"/>
        <w:rPr>
          <w:rFonts w:ascii="Times New Roman" w:hAnsi="Times New Roman" w:cs="Times New Roman"/>
          <w:color w:val="000000"/>
          <w:sz w:val="20"/>
          <w:szCs w:val="20"/>
          <w:lang w:val="mk-MK"/>
        </w:rPr>
      </w:pPr>
      <w:r>
        <w:rPr>
          <w:rFonts w:ascii="Times New Roman" w:hAnsi="Times New Roman" w:cs="Times New Roman"/>
          <w:color w:val="000000"/>
          <w:sz w:val="20"/>
          <w:szCs w:val="20"/>
          <w:lang w:val="mk-MK"/>
        </w:rPr>
        <w:t xml:space="preserve">                               </w:t>
      </w:r>
      <w:r w:rsidR="008153B2" w:rsidRPr="00A926CA">
        <w:rPr>
          <w:rFonts w:ascii="Times New Roman" w:hAnsi="Times New Roman" w:cs="Times New Roman"/>
          <w:color w:val="000000"/>
          <w:sz w:val="20"/>
          <w:szCs w:val="20"/>
          <w:lang w:val="ru-RU"/>
        </w:rPr>
        <w:t>График 25</w:t>
      </w:r>
      <w:r w:rsidR="008153B2" w:rsidRPr="0065789A">
        <w:rPr>
          <w:rFonts w:ascii="Times New Roman" w:hAnsi="Times New Roman" w:cs="Times New Roman"/>
          <w:color w:val="000000"/>
          <w:sz w:val="20"/>
          <w:szCs w:val="20"/>
          <w:lang w:val="ru-RU"/>
        </w:rPr>
        <w:t xml:space="preserve">. </w:t>
      </w:r>
      <w:r w:rsidR="008153B2" w:rsidRPr="0065789A">
        <w:rPr>
          <w:rFonts w:ascii="Times New Roman" w:hAnsi="Times New Roman" w:cs="Times New Roman"/>
          <w:color w:val="000000"/>
          <w:sz w:val="20"/>
          <w:szCs w:val="20"/>
          <w:lang w:val="mk-MK"/>
        </w:rPr>
        <w:t xml:space="preserve">Корелација </w:t>
      </w:r>
      <w:r w:rsidR="00020DAA">
        <w:rPr>
          <w:rFonts w:ascii="Times New Roman" w:hAnsi="Times New Roman" w:cs="Times New Roman"/>
          <w:color w:val="000000"/>
          <w:sz w:val="20"/>
          <w:szCs w:val="20"/>
          <w:lang w:val="mk-MK"/>
        </w:rPr>
        <w:t xml:space="preserve">на </w:t>
      </w:r>
      <w:r w:rsidR="008153B2" w:rsidRPr="0065789A">
        <w:rPr>
          <w:rFonts w:ascii="Times New Roman" w:hAnsi="Times New Roman" w:cs="Times New Roman"/>
          <w:color w:val="000000"/>
          <w:sz w:val="20"/>
          <w:szCs w:val="20"/>
        </w:rPr>
        <w:t>IL</w:t>
      </w:r>
      <w:r w:rsidR="008153B2" w:rsidRPr="00A926CA">
        <w:rPr>
          <w:rFonts w:ascii="Times New Roman" w:hAnsi="Times New Roman" w:cs="Times New Roman"/>
          <w:color w:val="000000"/>
          <w:sz w:val="20"/>
          <w:szCs w:val="20"/>
          <w:lang w:val="ru-RU"/>
        </w:rPr>
        <w:t xml:space="preserve">-33 во серум </w:t>
      </w:r>
      <w:r w:rsidR="00020DAA">
        <w:rPr>
          <w:rFonts w:ascii="Times New Roman" w:hAnsi="Times New Roman" w:cs="Times New Roman"/>
          <w:color w:val="000000"/>
          <w:sz w:val="20"/>
          <w:szCs w:val="20"/>
          <w:lang w:val="mk-MK"/>
        </w:rPr>
        <w:t>со</w:t>
      </w:r>
      <w:r w:rsidR="008153B2" w:rsidRPr="00A926CA">
        <w:rPr>
          <w:rFonts w:ascii="Times New Roman" w:hAnsi="Times New Roman" w:cs="Times New Roman"/>
          <w:color w:val="000000"/>
          <w:sz w:val="20"/>
          <w:szCs w:val="20"/>
          <w:lang w:val="ru-RU"/>
        </w:rPr>
        <w:t xml:space="preserve"> селектирани параметри</w:t>
      </w:r>
    </w:p>
    <w:p w:rsidR="002A54E2" w:rsidRDefault="002A54E2" w:rsidP="000A75E1">
      <w:pPr>
        <w:spacing w:after="200" w:line="360" w:lineRule="auto"/>
        <w:ind w:firstLine="720"/>
        <w:jc w:val="both"/>
        <w:rPr>
          <w:rFonts w:ascii="Times New Roman" w:hAnsi="Times New Roman" w:cs="Times New Roman"/>
          <w:b/>
          <w:color w:val="215868"/>
          <w:sz w:val="24"/>
          <w:szCs w:val="24"/>
        </w:rPr>
      </w:pPr>
    </w:p>
    <w:p w:rsidR="000A75E1" w:rsidRPr="000A75E1" w:rsidRDefault="001543AB" w:rsidP="002B2D67">
      <w:pPr>
        <w:numPr>
          <w:ilvl w:val="0"/>
          <w:numId w:val="19"/>
        </w:numPr>
        <w:spacing w:after="200"/>
        <w:ind w:left="284" w:hanging="284"/>
        <w:jc w:val="both"/>
        <w:rPr>
          <w:rFonts w:ascii="Times New Roman" w:hAnsi="Times New Roman" w:cs="Times New Roman"/>
          <w:bCs/>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серум / </w:t>
      </w:r>
      <w:r w:rsidR="000A75E1" w:rsidRPr="00AB1D09">
        <w:rPr>
          <w:rFonts w:ascii="Times New Roman" w:hAnsi="Times New Roman" w:cs="Times New Roman"/>
          <w:b/>
          <w:color w:val="000000"/>
          <w:sz w:val="24"/>
          <w:szCs w:val="24"/>
        </w:rPr>
        <w:t>локација на тумор</w:t>
      </w:r>
      <w:r w:rsidRPr="00AB1D09">
        <w:rPr>
          <w:rFonts w:ascii="Times New Roman" w:hAnsi="Times New Roman" w:cs="Times New Roman"/>
          <w:b/>
          <w:color w:val="000000"/>
          <w:sz w:val="24"/>
          <w:szCs w:val="24"/>
        </w:rPr>
        <w:t xml:space="preserve"> </w:t>
      </w:r>
      <w:r w:rsidRPr="00AB1D09">
        <w:rPr>
          <w:rFonts w:ascii="Times New Roman" w:hAnsi="Times New Roman" w:cs="Times New Roman"/>
          <w:color w:val="000000"/>
          <w:sz w:val="24"/>
          <w:szCs w:val="24"/>
        </w:rPr>
        <w:t>–</w:t>
      </w:r>
      <w:r w:rsidRPr="000A75E1">
        <w:rPr>
          <w:rFonts w:ascii="Times New Roman" w:hAnsi="Times New Roman" w:cs="Times New Roman"/>
          <w:color w:val="000000"/>
          <w:sz w:val="24"/>
          <w:szCs w:val="24"/>
        </w:rPr>
        <w:t xml:space="preserve"> анализата на меѓусебната поврзаност на </w:t>
      </w:r>
      <w:r w:rsidRPr="000A75E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серум </w:t>
      </w:r>
      <w:r w:rsidRPr="000A75E1">
        <w:rPr>
          <w:rFonts w:ascii="Times New Roman" w:hAnsi="Times New Roman" w:cs="Times New Roman"/>
          <w:color w:val="000000"/>
          <w:sz w:val="24"/>
          <w:szCs w:val="24"/>
        </w:rPr>
        <w:t xml:space="preserve">со </w:t>
      </w:r>
      <w:r w:rsidR="000A75E1" w:rsidRPr="000A75E1">
        <w:rPr>
          <w:rFonts w:ascii="Times New Roman" w:hAnsi="Times New Roman" w:cs="Times New Roman"/>
          <w:color w:val="000000"/>
          <w:sz w:val="24"/>
          <w:szCs w:val="24"/>
        </w:rPr>
        <w:t xml:space="preserve">локација </w:t>
      </w:r>
      <w:r w:rsidRPr="000A75E1">
        <w:rPr>
          <w:rFonts w:ascii="Times New Roman" w:hAnsi="Times New Roman" w:cs="Times New Roman"/>
          <w:color w:val="000000"/>
          <w:sz w:val="24"/>
          <w:szCs w:val="24"/>
        </w:rPr>
        <w:t xml:space="preserve">на тумор беше направена </w:t>
      </w:r>
      <w:r w:rsidR="000A75E1" w:rsidRPr="000A75E1">
        <w:rPr>
          <w:rFonts w:ascii="Times New Roman" w:hAnsi="Times New Roman" w:cs="Times New Roman"/>
          <w:color w:val="000000"/>
          <w:sz w:val="24"/>
          <w:szCs w:val="24"/>
        </w:rPr>
        <w:t>кај испитуваната група (лево/десно)</w:t>
      </w:r>
      <w:r w:rsidRPr="000A75E1">
        <w:rPr>
          <w:rFonts w:ascii="Times New Roman" w:hAnsi="Times New Roman" w:cs="Times New Roman"/>
          <w:color w:val="000000"/>
          <w:sz w:val="24"/>
          <w:szCs w:val="24"/>
        </w:rPr>
        <w:t xml:space="preserve">. За </w:t>
      </w:r>
      <w:r w:rsidRPr="000A75E1">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0A75E1">
        <w:rPr>
          <w:rFonts w:ascii="Times New Roman" w:hAnsi="Times New Roman" w:cs="Times New Roman"/>
          <w:bCs/>
          <w:color w:val="000000"/>
          <w:sz w:val="24"/>
          <w:szCs w:val="24"/>
        </w:rPr>
        <w:t xml:space="preserve">0,05, помеѓу </w:t>
      </w:r>
      <w:r w:rsidRPr="000A75E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серум </w:t>
      </w:r>
      <w:r w:rsidRPr="000A75E1">
        <w:rPr>
          <w:rFonts w:ascii="Times New Roman" w:hAnsi="Times New Roman" w:cs="Times New Roman"/>
          <w:color w:val="000000"/>
          <w:sz w:val="24"/>
          <w:szCs w:val="24"/>
        </w:rPr>
        <w:t xml:space="preserve">и </w:t>
      </w:r>
      <w:r w:rsidR="000A75E1" w:rsidRPr="000A75E1">
        <w:rPr>
          <w:rFonts w:ascii="Times New Roman" w:hAnsi="Times New Roman" w:cs="Times New Roman"/>
          <w:color w:val="000000"/>
          <w:sz w:val="24"/>
          <w:szCs w:val="24"/>
        </w:rPr>
        <w:t xml:space="preserve">локација </w:t>
      </w:r>
      <w:r w:rsidRPr="000A75E1">
        <w:rPr>
          <w:rFonts w:ascii="Times New Roman" w:hAnsi="Times New Roman" w:cs="Times New Roman"/>
          <w:color w:val="000000"/>
          <w:sz w:val="24"/>
          <w:szCs w:val="24"/>
        </w:rPr>
        <w:t xml:space="preserve">на тумор </w:t>
      </w:r>
      <w:r w:rsidRPr="000A75E1">
        <w:rPr>
          <w:rFonts w:ascii="Times New Roman" w:hAnsi="Times New Roman" w:cs="Times New Roman"/>
          <w:bCs/>
          <w:color w:val="000000"/>
          <w:sz w:val="24"/>
          <w:szCs w:val="24"/>
        </w:rPr>
        <w:t xml:space="preserve">утврдено беше постоење на несигнификантна </w:t>
      </w:r>
      <w:r w:rsidR="000A75E1" w:rsidRPr="000A75E1">
        <w:rPr>
          <w:rFonts w:ascii="Times New Roman" w:hAnsi="Times New Roman" w:cs="Times New Roman"/>
          <w:bCs/>
          <w:color w:val="000000"/>
          <w:sz w:val="24"/>
          <w:szCs w:val="24"/>
        </w:rPr>
        <w:t xml:space="preserve">негативна </w:t>
      </w:r>
      <w:r w:rsidR="00730A97" w:rsidRPr="000A75E1">
        <w:rPr>
          <w:rFonts w:ascii="Times New Roman" w:hAnsi="Times New Roman" w:cs="Times New Roman"/>
          <w:bCs/>
          <w:color w:val="000000"/>
          <w:sz w:val="24"/>
          <w:szCs w:val="24"/>
        </w:rPr>
        <w:t xml:space="preserve">линеарна </w:t>
      </w:r>
      <w:r w:rsidRPr="000A75E1">
        <w:rPr>
          <w:rFonts w:ascii="Times New Roman" w:hAnsi="Times New Roman" w:cs="Times New Roman"/>
          <w:bCs/>
          <w:color w:val="000000"/>
          <w:sz w:val="24"/>
          <w:szCs w:val="24"/>
        </w:rPr>
        <w:t>корелација</w:t>
      </w:r>
      <w:r w:rsidR="000A75E1" w:rsidRPr="000A75E1">
        <w:rPr>
          <w:rFonts w:ascii="Times New Roman" w:hAnsi="Times New Roman" w:cs="Times New Roman"/>
          <w:bCs/>
          <w:color w:val="000000"/>
          <w:sz w:val="24"/>
          <w:szCs w:val="24"/>
        </w:rPr>
        <w:t xml:space="preserve"> (R</w:t>
      </w:r>
      <w:r w:rsidR="000A75E1" w:rsidRPr="000A75E1">
        <w:rPr>
          <w:rFonts w:ascii="Times New Roman" w:hAnsi="Times New Roman" w:cs="Times New Roman"/>
          <w:bCs/>
          <w:color w:val="000000"/>
          <w:sz w:val="24"/>
          <w:szCs w:val="24"/>
          <w:vertAlign w:val="subscript"/>
        </w:rPr>
        <w:t>(</w:t>
      </w:r>
      <w:r w:rsidR="000A75E1" w:rsidRPr="00A926CA">
        <w:rPr>
          <w:rFonts w:ascii="Times New Roman" w:hAnsi="Times New Roman" w:cs="Times New Roman"/>
          <w:bCs/>
          <w:color w:val="000000"/>
          <w:sz w:val="24"/>
          <w:szCs w:val="24"/>
          <w:vertAlign w:val="subscript"/>
          <w:lang w:val="ru-RU"/>
        </w:rPr>
        <w:t>61</w:t>
      </w:r>
      <w:r w:rsidR="000A75E1" w:rsidRPr="000A75E1">
        <w:rPr>
          <w:rFonts w:ascii="Times New Roman" w:hAnsi="Times New Roman" w:cs="Times New Roman"/>
          <w:bCs/>
          <w:color w:val="000000"/>
          <w:sz w:val="24"/>
          <w:szCs w:val="24"/>
          <w:vertAlign w:val="subscript"/>
        </w:rPr>
        <w:t>)</w:t>
      </w:r>
      <w:r w:rsidR="000A75E1" w:rsidRPr="000A75E1">
        <w:rPr>
          <w:rFonts w:ascii="Times New Roman" w:hAnsi="Times New Roman" w:cs="Times New Roman"/>
          <w:bCs/>
          <w:color w:val="000000"/>
          <w:sz w:val="24"/>
          <w:szCs w:val="24"/>
        </w:rPr>
        <w:t>=</w:t>
      </w:r>
      <w:r w:rsidR="000A75E1" w:rsidRPr="00A926CA">
        <w:rPr>
          <w:rFonts w:ascii="Times New Roman" w:hAnsi="Times New Roman" w:cs="Times New Roman"/>
          <w:bCs/>
          <w:color w:val="000000"/>
          <w:sz w:val="24"/>
          <w:szCs w:val="24"/>
          <w:lang w:val="ru-RU"/>
        </w:rPr>
        <w:t>-</w:t>
      </w:r>
      <w:r w:rsidR="000A75E1" w:rsidRPr="000A75E1">
        <w:rPr>
          <w:rFonts w:ascii="Times New Roman" w:hAnsi="Times New Roman" w:cs="Times New Roman"/>
          <w:bCs/>
          <w:color w:val="000000"/>
          <w:sz w:val="24"/>
          <w:szCs w:val="24"/>
        </w:rPr>
        <w:t>0,</w:t>
      </w:r>
      <w:r w:rsidR="000A75E1" w:rsidRPr="00A926CA">
        <w:rPr>
          <w:rFonts w:ascii="Times New Roman" w:hAnsi="Times New Roman" w:cs="Times New Roman"/>
          <w:bCs/>
          <w:color w:val="000000"/>
          <w:sz w:val="24"/>
          <w:szCs w:val="24"/>
          <w:lang w:val="ru-RU"/>
        </w:rPr>
        <w:t>073</w:t>
      </w:r>
      <w:r w:rsidR="000A75E1" w:rsidRPr="000A75E1">
        <w:rPr>
          <w:rFonts w:ascii="Times New Roman" w:hAnsi="Times New Roman" w:cs="Times New Roman"/>
          <w:bCs/>
          <w:color w:val="000000"/>
          <w:sz w:val="24"/>
          <w:szCs w:val="24"/>
        </w:rPr>
        <w:t>; p=0,</w:t>
      </w:r>
      <w:r w:rsidR="000A75E1" w:rsidRPr="00A926CA">
        <w:rPr>
          <w:rFonts w:ascii="Times New Roman" w:hAnsi="Times New Roman" w:cs="Times New Roman"/>
          <w:bCs/>
          <w:color w:val="000000"/>
          <w:sz w:val="24"/>
          <w:szCs w:val="24"/>
          <w:lang w:val="ru-RU"/>
        </w:rPr>
        <w:t>578</w:t>
      </w:r>
      <w:r w:rsidR="000A75E1" w:rsidRPr="000A75E1">
        <w:rPr>
          <w:rFonts w:ascii="Times New Roman" w:hAnsi="Times New Roman" w:cs="Times New Roman"/>
          <w:bCs/>
          <w:color w:val="000000"/>
          <w:sz w:val="24"/>
          <w:szCs w:val="24"/>
        </w:rPr>
        <w:t xml:space="preserve">).  Вредностите на </w:t>
      </w:r>
      <w:r w:rsidR="000A75E1" w:rsidRPr="000A75E1">
        <w:rPr>
          <w:rFonts w:ascii="Times New Roman" w:hAnsi="Times New Roman" w:cs="Times New Roman"/>
          <w:color w:val="000000"/>
          <w:sz w:val="24"/>
          <w:szCs w:val="24"/>
          <w:lang w:val="en-US"/>
        </w:rPr>
        <w:t>IL</w:t>
      </w:r>
      <w:r w:rsidR="000A75E1" w:rsidRPr="00A926CA">
        <w:rPr>
          <w:rFonts w:ascii="Times New Roman" w:hAnsi="Times New Roman" w:cs="Times New Roman"/>
          <w:color w:val="000000"/>
          <w:sz w:val="24"/>
          <w:szCs w:val="24"/>
          <w:lang w:val="ru-RU"/>
        </w:rPr>
        <w:t>-33 во серум</w:t>
      </w:r>
      <w:r w:rsidR="000A75E1" w:rsidRPr="000A75E1">
        <w:rPr>
          <w:rFonts w:ascii="Times New Roman" w:hAnsi="Times New Roman" w:cs="Times New Roman"/>
          <w:color w:val="000000"/>
          <w:sz w:val="24"/>
          <w:szCs w:val="24"/>
        </w:rPr>
        <w:t xml:space="preserve"> </w:t>
      </w:r>
      <w:r w:rsidR="000A75E1" w:rsidRPr="000A75E1">
        <w:rPr>
          <w:rFonts w:ascii="Times New Roman" w:hAnsi="Times New Roman" w:cs="Times New Roman"/>
          <w:bCs/>
          <w:color w:val="000000"/>
          <w:sz w:val="24"/>
          <w:szCs w:val="24"/>
        </w:rPr>
        <w:t xml:space="preserve">несигнификантно </w:t>
      </w:r>
      <w:r w:rsidR="007C59E7">
        <w:rPr>
          <w:rFonts w:ascii="Times New Roman" w:hAnsi="Times New Roman" w:cs="Times New Roman"/>
          <w:bCs/>
          <w:color w:val="000000"/>
          <w:sz w:val="24"/>
          <w:szCs w:val="24"/>
        </w:rPr>
        <w:t>растеа</w:t>
      </w:r>
      <w:r w:rsidR="000A75E1">
        <w:rPr>
          <w:rFonts w:ascii="Times New Roman" w:hAnsi="Times New Roman" w:cs="Times New Roman"/>
          <w:bCs/>
          <w:color w:val="000000"/>
          <w:sz w:val="24"/>
          <w:szCs w:val="24"/>
        </w:rPr>
        <w:t xml:space="preserve"> кај </w:t>
      </w:r>
      <w:r w:rsidR="000A75E1" w:rsidRPr="000A75E1">
        <w:rPr>
          <w:rFonts w:ascii="Times New Roman" w:hAnsi="Times New Roman" w:cs="Times New Roman"/>
          <w:bCs/>
          <w:color w:val="000000"/>
          <w:sz w:val="24"/>
          <w:szCs w:val="24"/>
        </w:rPr>
        <w:t>тумор</w:t>
      </w:r>
      <w:r w:rsidR="000A75E1">
        <w:rPr>
          <w:rFonts w:ascii="Times New Roman" w:hAnsi="Times New Roman" w:cs="Times New Roman"/>
          <w:bCs/>
          <w:color w:val="000000"/>
          <w:sz w:val="24"/>
          <w:szCs w:val="24"/>
        </w:rPr>
        <w:t>ите</w:t>
      </w:r>
      <w:r w:rsidR="000A75E1" w:rsidRPr="000A75E1">
        <w:rPr>
          <w:rFonts w:ascii="Times New Roman" w:hAnsi="Times New Roman" w:cs="Times New Roman"/>
          <w:bCs/>
          <w:color w:val="000000"/>
          <w:sz w:val="24"/>
          <w:szCs w:val="24"/>
        </w:rPr>
        <w:t xml:space="preserve"> на паротидните жлезди </w:t>
      </w:r>
      <w:r w:rsidR="000A75E1">
        <w:rPr>
          <w:rFonts w:ascii="Times New Roman" w:hAnsi="Times New Roman" w:cs="Times New Roman"/>
          <w:bCs/>
          <w:color w:val="000000"/>
          <w:sz w:val="24"/>
          <w:szCs w:val="24"/>
        </w:rPr>
        <w:t xml:space="preserve">со локација на лева страна </w:t>
      </w:r>
      <w:r w:rsidR="000A75E1" w:rsidRPr="000A75E1">
        <w:rPr>
          <w:rFonts w:ascii="Times New Roman" w:hAnsi="Times New Roman" w:cs="Times New Roman"/>
          <w:color w:val="000000"/>
          <w:sz w:val="24"/>
          <w:szCs w:val="24"/>
        </w:rPr>
        <w:t>(Табела 14 и График 25).</w:t>
      </w:r>
    </w:p>
    <w:p w:rsidR="000B4811" w:rsidRPr="000B4811" w:rsidRDefault="000B4811" w:rsidP="000B4811">
      <w:pPr>
        <w:spacing w:after="200"/>
        <w:ind w:left="284"/>
        <w:jc w:val="both"/>
        <w:rPr>
          <w:rFonts w:ascii="Times New Roman" w:hAnsi="Times New Roman" w:cs="Times New Roman"/>
          <w:bCs/>
          <w:color w:val="000000"/>
          <w:sz w:val="24"/>
          <w:szCs w:val="24"/>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167A89" w:rsidRPr="007C59E7" w:rsidRDefault="00167A89" w:rsidP="002B2D67">
      <w:pPr>
        <w:numPr>
          <w:ilvl w:val="0"/>
          <w:numId w:val="19"/>
        </w:numPr>
        <w:spacing w:after="200"/>
        <w:ind w:left="284" w:hanging="284"/>
        <w:jc w:val="both"/>
        <w:rPr>
          <w:rFonts w:ascii="Times New Roman" w:hAnsi="Times New Roman" w:cs="Times New Roman"/>
          <w:bCs/>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серум / димензија на тумор </w:t>
      </w:r>
      <w:r w:rsidRPr="00AB1D09">
        <w:rPr>
          <w:rFonts w:ascii="Times New Roman" w:hAnsi="Times New Roman" w:cs="Times New Roman"/>
          <w:color w:val="000000"/>
          <w:sz w:val="24"/>
          <w:szCs w:val="24"/>
        </w:rPr>
        <w:t>–</w:t>
      </w:r>
      <w:r w:rsidRPr="000A75E1">
        <w:rPr>
          <w:rFonts w:ascii="Times New Roman" w:hAnsi="Times New Roman" w:cs="Times New Roman"/>
          <w:color w:val="000000"/>
          <w:sz w:val="24"/>
          <w:szCs w:val="24"/>
        </w:rPr>
        <w:t xml:space="preserve"> анализата на </w:t>
      </w:r>
      <w:r w:rsidRPr="007C59E7">
        <w:rPr>
          <w:rFonts w:ascii="Times New Roman" w:hAnsi="Times New Roman" w:cs="Times New Roman"/>
          <w:color w:val="000000"/>
          <w:sz w:val="24"/>
          <w:szCs w:val="24"/>
        </w:rPr>
        <w:t xml:space="preserve">меѓусебната поврзаност на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серум </w:t>
      </w:r>
      <w:r w:rsidRPr="007C59E7">
        <w:rPr>
          <w:rFonts w:ascii="Times New Roman" w:hAnsi="Times New Roman" w:cs="Times New Roman"/>
          <w:color w:val="000000"/>
          <w:sz w:val="24"/>
          <w:szCs w:val="24"/>
        </w:rPr>
        <w:t xml:space="preserve">со димензијата на тумор (мм) беше направена кај испитуваната група. За </w:t>
      </w:r>
      <w:r w:rsidRPr="007C59E7">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7C59E7">
        <w:rPr>
          <w:rFonts w:ascii="Times New Roman" w:hAnsi="Times New Roman" w:cs="Times New Roman"/>
          <w:bCs/>
          <w:color w:val="000000"/>
          <w:sz w:val="24"/>
          <w:szCs w:val="24"/>
        </w:rPr>
        <w:t xml:space="preserve">0,05, помеѓу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серум </w:t>
      </w:r>
      <w:r w:rsidRPr="007C59E7">
        <w:rPr>
          <w:rFonts w:ascii="Times New Roman" w:hAnsi="Times New Roman" w:cs="Times New Roman"/>
          <w:color w:val="000000"/>
          <w:sz w:val="24"/>
          <w:szCs w:val="24"/>
        </w:rPr>
        <w:t xml:space="preserve">и димензијата на тумор </w:t>
      </w:r>
      <w:r w:rsidRPr="007C59E7">
        <w:rPr>
          <w:rFonts w:ascii="Times New Roman" w:hAnsi="Times New Roman" w:cs="Times New Roman"/>
          <w:bCs/>
          <w:color w:val="000000"/>
          <w:sz w:val="24"/>
          <w:szCs w:val="24"/>
        </w:rPr>
        <w:t xml:space="preserve">утврдено беше постоење на несигнификантна </w:t>
      </w:r>
      <w:r w:rsidR="007C59E7" w:rsidRPr="007C59E7">
        <w:rPr>
          <w:rFonts w:ascii="Times New Roman" w:hAnsi="Times New Roman" w:cs="Times New Roman"/>
          <w:bCs/>
          <w:color w:val="000000"/>
          <w:sz w:val="24"/>
          <w:szCs w:val="24"/>
        </w:rPr>
        <w:t xml:space="preserve">позитивна </w:t>
      </w:r>
      <w:r w:rsidR="00730A97" w:rsidRPr="007C59E7">
        <w:rPr>
          <w:rFonts w:ascii="Times New Roman" w:hAnsi="Times New Roman" w:cs="Times New Roman"/>
          <w:bCs/>
          <w:color w:val="000000"/>
          <w:sz w:val="24"/>
          <w:szCs w:val="24"/>
        </w:rPr>
        <w:t xml:space="preserve">линеарна </w:t>
      </w:r>
      <w:r w:rsidRPr="007C59E7">
        <w:rPr>
          <w:rFonts w:ascii="Times New Roman" w:hAnsi="Times New Roman" w:cs="Times New Roman"/>
          <w:bCs/>
          <w:color w:val="000000"/>
          <w:sz w:val="24"/>
          <w:szCs w:val="24"/>
        </w:rPr>
        <w:t xml:space="preserve">корелација </w:t>
      </w:r>
      <w:r w:rsidR="007C59E7" w:rsidRPr="007C59E7">
        <w:rPr>
          <w:rFonts w:ascii="Times New Roman" w:hAnsi="Times New Roman" w:cs="Times New Roman"/>
          <w:bCs/>
          <w:color w:val="000000"/>
          <w:sz w:val="24"/>
          <w:szCs w:val="24"/>
        </w:rPr>
        <w:t>(</w:t>
      </w:r>
      <w:r w:rsidRPr="007C59E7">
        <w:rPr>
          <w:rFonts w:ascii="Times New Roman" w:hAnsi="Times New Roman" w:cs="Times New Roman"/>
          <w:bCs/>
          <w:color w:val="000000"/>
          <w:sz w:val="24"/>
          <w:szCs w:val="24"/>
        </w:rPr>
        <w:t>R</w:t>
      </w:r>
      <w:r w:rsidRPr="007C59E7">
        <w:rPr>
          <w:rFonts w:ascii="Times New Roman" w:hAnsi="Times New Roman" w:cs="Times New Roman"/>
          <w:bCs/>
          <w:color w:val="000000"/>
          <w:sz w:val="24"/>
          <w:szCs w:val="24"/>
          <w:vertAlign w:val="subscript"/>
        </w:rPr>
        <w:t>(39)</w:t>
      </w:r>
      <w:r w:rsidRPr="007C59E7">
        <w:rPr>
          <w:rFonts w:ascii="Times New Roman" w:hAnsi="Times New Roman" w:cs="Times New Roman"/>
          <w:bCs/>
          <w:color w:val="000000"/>
          <w:sz w:val="24"/>
          <w:szCs w:val="24"/>
        </w:rPr>
        <w:t>=0,</w:t>
      </w:r>
      <w:r w:rsidRPr="00A926CA">
        <w:rPr>
          <w:rFonts w:ascii="Times New Roman" w:hAnsi="Times New Roman" w:cs="Times New Roman"/>
          <w:bCs/>
          <w:color w:val="000000"/>
          <w:sz w:val="24"/>
          <w:szCs w:val="24"/>
          <w:lang w:val="ru-RU"/>
        </w:rPr>
        <w:t>172</w:t>
      </w:r>
      <w:r w:rsidRPr="007C59E7">
        <w:rPr>
          <w:rFonts w:ascii="Times New Roman" w:hAnsi="Times New Roman" w:cs="Times New Roman"/>
          <w:bCs/>
          <w:color w:val="000000"/>
          <w:sz w:val="24"/>
          <w:szCs w:val="24"/>
        </w:rPr>
        <w:t>; p=0,</w:t>
      </w:r>
      <w:r w:rsidRPr="00A926CA">
        <w:rPr>
          <w:rFonts w:ascii="Times New Roman" w:hAnsi="Times New Roman" w:cs="Times New Roman"/>
          <w:bCs/>
          <w:color w:val="000000"/>
          <w:sz w:val="24"/>
          <w:szCs w:val="24"/>
          <w:lang w:val="ru-RU"/>
        </w:rPr>
        <w:t>294</w:t>
      </w:r>
      <w:r w:rsidR="007C59E7" w:rsidRPr="007C59E7">
        <w:rPr>
          <w:rFonts w:ascii="Times New Roman" w:hAnsi="Times New Roman" w:cs="Times New Roman"/>
          <w:bCs/>
          <w:color w:val="000000"/>
          <w:sz w:val="24"/>
          <w:szCs w:val="24"/>
        </w:rPr>
        <w:t xml:space="preserve">). Вредностите на </w:t>
      </w:r>
      <w:r w:rsidR="007C59E7" w:rsidRPr="007C59E7">
        <w:rPr>
          <w:rFonts w:ascii="Times New Roman" w:hAnsi="Times New Roman" w:cs="Times New Roman"/>
          <w:color w:val="000000"/>
          <w:sz w:val="24"/>
          <w:szCs w:val="24"/>
          <w:lang w:val="en-US"/>
        </w:rPr>
        <w:t>IL</w:t>
      </w:r>
      <w:r w:rsidR="007C59E7" w:rsidRPr="00A926CA">
        <w:rPr>
          <w:rFonts w:ascii="Times New Roman" w:hAnsi="Times New Roman" w:cs="Times New Roman"/>
          <w:color w:val="000000"/>
          <w:sz w:val="24"/>
          <w:szCs w:val="24"/>
          <w:lang w:val="ru-RU"/>
        </w:rPr>
        <w:t>-33 во серум</w:t>
      </w:r>
      <w:r w:rsidR="007C59E7" w:rsidRPr="007C59E7">
        <w:rPr>
          <w:rFonts w:ascii="Times New Roman" w:hAnsi="Times New Roman" w:cs="Times New Roman"/>
          <w:color w:val="000000"/>
          <w:sz w:val="24"/>
          <w:szCs w:val="24"/>
        </w:rPr>
        <w:t xml:space="preserve"> </w:t>
      </w:r>
      <w:r w:rsidR="007C59E7" w:rsidRPr="007C59E7">
        <w:rPr>
          <w:rFonts w:ascii="Times New Roman" w:hAnsi="Times New Roman" w:cs="Times New Roman"/>
          <w:bCs/>
          <w:color w:val="000000"/>
          <w:sz w:val="24"/>
          <w:szCs w:val="24"/>
        </w:rPr>
        <w:t xml:space="preserve">несигнификантно </w:t>
      </w:r>
      <w:r w:rsidR="007C59E7">
        <w:rPr>
          <w:rFonts w:ascii="Times New Roman" w:hAnsi="Times New Roman" w:cs="Times New Roman"/>
          <w:bCs/>
          <w:color w:val="000000"/>
          <w:sz w:val="24"/>
          <w:szCs w:val="24"/>
        </w:rPr>
        <w:t>растеа</w:t>
      </w:r>
      <w:r w:rsidR="007C59E7" w:rsidRPr="007C59E7">
        <w:rPr>
          <w:rFonts w:ascii="Times New Roman" w:hAnsi="Times New Roman" w:cs="Times New Roman"/>
          <w:bCs/>
          <w:color w:val="000000"/>
          <w:sz w:val="24"/>
          <w:szCs w:val="24"/>
        </w:rPr>
        <w:t xml:space="preserve"> </w:t>
      </w:r>
      <w:r w:rsidR="007238B0">
        <w:rPr>
          <w:rFonts w:ascii="Times New Roman" w:hAnsi="Times New Roman" w:cs="Times New Roman"/>
          <w:bCs/>
          <w:color w:val="000000"/>
          <w:sz w:val="24"/>
          <w:szCs w:val="24"/>
        </w:rPr>
        <w:t>со растење на димензиите на туморите</w:t>
      </w:r>
      <w:r w:rsidR="007C59E7" w:rsidRPr="007C59E7">
        <w:rPr>
          <w:rFonts w:ascii="Times New Roman" w:hAnsi="Times New Roman" w:cs="Times New Roman"/>
          <w:bCs/>
          <w:color w:val="000000"/>
          <w:sz w:val="24"/>
          <w:szCs w:val="24"/>
        </w:rPr>
        <w:t xml:space="preserve"> на паротидните жлезди </w:t>
      </w:r>
      <w:r w:rsidR="007C59E7" w:rsidRPr="007C59E7">
        <w:rPr>
          <w:rFonts w:ascii="Times New Roman" w:hAnsi="Times New Roman" w:cs="Times New Roman"/>
          <w:color w:val="000000"/>
          <w:sz w:val="24"/>
          <w:szCs w:val="24"/>
        </w:rPr>
        <w:t>(Табела 14 и График 25).</w:t>
      </w:r>
    </w:p>
    <w:p w:rsidR="00167A89" w:rsidRDefault="00167A89" w:rsidP="000A75E1">
      <w:pPr>
        <w:spacing w:after="120" w:line="360" w:lineRule="auto"/>
        <w:ind w:firstLine="720"/>
        <w:jc w:val="both"/>
        <w:rPr>
          <w:rFonts w:ascii="Times New Roman" w:hAnsi="Times New Roman" w:cs="Times New Roman"/>
          <w:bCs/>
          <w:color w:val="000000"/>
          <w:sz w:val="18"/>
          <w:szCs w:val="18"/>
        </w:rPr>
      </w:pPr>
    </w:p>
    <w:p w:rsidR="000B4811" w:rsidRDefault="000B4811" w:rsidP="002B2D67">
      <w:pPr>
        <w:spacing w:after="360"/>
        <w:jc w:val="both"/>
        <w:rPr>
          <w:rFonts w:ascii="Times New Roman" w:hAnsi="Times New Roman"/>
          <w:b/>
          <w:color w:val="000000"/>
          <w:sz w:val="24"/>
          <w:szCs w:val="24"/>
        </w:rPr>
      </w:pPr>
    </w:p>
    <w:p w:rsidR="008153B2" w:rsidRPr="00AB1D09" w:rsidRDefault="008153B2" w:rsidP="002B2D67">
      <w:pPr>
        <w:spacing w:after="360"/>
        <w:jc w:val="both"/>
        <w:rPr>
          <w:rFonts w:ascii="Times New Roman" w:hAnsi="Times New Roman" w:cs="Times New Roman"/>
          <w:b/>
          <w:color w:val="000000"/>
          <w:sz w:val="24"/>
          <w:szCs w:val="24"/>
        </w:rPr>
      </w:pPr>
      <w:r w:rsidRPr="00AB1D09">
        <w:rPr>
          <w:rFonts w:ascii="Times New Roman" w:hAnsi="Times New Roman"/>
          <w:b/>
          <w:color w:val="000000"/>
          <w:sz w:val="24"/>
          <w:szCs w:val="24"/>
          <w:lang w:val="en-US"/>
        </w:rPr>
        <w:t>IL</w:t>
      </w:r>
      <w:r w:rsidRPr="00AB1D09">
        <w:rPr>
          <w:rFonts w:ascii="Times New Roman" w:hAnsi="Times New Roman"/>
          <w:b/>
          <w:color w:val="000000"/>
          <w:sz w:val="24"/>
          <w:szCs w:val="24"/>
        </w:rPr>
        <w:t>-</w:t>
      </w:r>
      <w:r w:rsidRPr="00A926CA">
        <w:rPr>
          <w:rFonts w:ascii="Times New Roman" w:hAnsi="Times New Roman"/>
          <w:b/>
          <w:color w:val="000000"/>
          <w:sz w:val="24"/>
          <w:szCs w:val="24"/>
          <w:lang w:val="ru-RU"/>
        </w:rPr>
        <w:t>33 во с</w:t>
      </w:r>
      <w:r w:rsidRPr="00AB1D09">
        <w:rPr>
          <w:rFonts w:ascii="Times New Roman" w:hAnsi="Times New Roman"/>
          <w:b/>
          <w:color w:val="000000"/>
          <w:sz w:val="24"/>
          <w:szCs w:val="24"/>
        </w:rPr>
        <w:t>алива</w:t>
      </w:r>
      <w:r w:rsidRPr="00A926CA">
        <w:rPr>
          <w:rFonts w:ascii="Times New Roman" w:hAnsi="Times New Roman"/>
          <w:b/>
          <w:color w:val="000000"/>
          <w:sz w:val="24"/>
          <w:szCs w:val="24"/>
          <w:lang w:val="ru-RU"/>
        </w:rPr>
        <w:t xml:space="preserve"> </w:t>
      </w:r>
      <w:r w:rsidRPr="00AB1D09">
        <w:rPr>
          <w:rFonts w:ascii="Times New Roman" w:hAnsi="Times New Roman"/>
          <w:b/>
          <w:color w:val="000000"/>
          <w:sz w:val="24"/>
          <w:szCs w:val="24"/>
        </w:rPr>
        <w:t>и</w:t>
      </w:r>
      <w:r w:rsidRPr="00A926CA">
        <w:rPr>
          <w:rFonts w:ascii="Times New Roman" w:hAnsi="Times New Roman"/>
          <w:b/>
          <w:color w:val="000000"/>
          <w:sz w:val="24"/>
          <w:szCs w:val="24"/>
          <w:lang w:val="ru-RU"/>
        </w:rPr>
        <w:t xml:space="preserve"> селектирани параметри</w:t>
      </w:r>
    </w:p>
    <w:p w:rsidR="008153B2" w:rsidRPr="00A5689B" w:rsidRDefault="008153B2" w:rsidP="002B2D67">
      <w:pPr>
        <w:numPr>
          <w:ilvl w:val="0"/>
          <w:numId w:val="20"/>
        </w:numPr>
        <w:spacing w:after="200"/>
        <w:ind w:left="284" w:hanging="284"/>
        <w:jc w:val="both"/>
        <w:rPr>
          <w:rFonts w:ascii="Times New Roman" w:hAnsi="Times New Roman" w:cs="Times New Roman"/>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салива / пол </w:t>
      </w:r>
      <w:r w:rsidRPr="00AB1D09">
        <w:rPr>
          <w:rFonts w:ascii="Times New Roman" w:hAnsi="Times New Roman" w:cs="Times New Roman"/>
          <w:color w:val="000000"/>
          <w:sz w:val="24"/>
          <w:szCs w:val="24"/>
        </w:rPr>
        <w:t>–</w:t>
      </w:r>
      <w:r w:rsidRPr="00A01DB5">
        <w:rPr>
          <w:rFonts w:ascii="Times New Roman" w:hAnsi="Times New Roman" w:cs="Times New Roman"/>
          <w:color w:val="000000"/>
          <w:sz w:val="24"/>
          <w:szCs w:val="24"/>
        </w:rPr>
        <w:t xml:space="preserve"> анализата на меѓусебната поврзаност на </w:t>
      </w:r>
      <w:r w:rsidRPr="00A01DB5">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w:t>
      </w:r>
      <w:r w:rsidR="00095374">
        <w:rPr>
          <w:rFonts w:ascii="Times New Roman" w:hAnsi="Times New Roman" w:cs="Times New Roman"/>
          <w:color w:val="000000"/>
          <w:sz w:val="24"/>
          <w:szCs w:val="24"/>
        </w:rPr>
        <w:t xml:space="preserve">салива </w:t>
      </w:r>
      <w:r w:rsidRPr="00A01DB5">
        <w:rPr>
          <w:rFonts w:ascii="Times New Roman" w:hAnsi="Times New Roman" w:cs="Times New Roman"/>
          <w:color w:val="000000"/>
          <w:sz w:val="24"/>
          <w:szCs w:val="24"/>
        </w:rPr>
        <w:t>со пол (мажи/жени) беше направена на целиот примерок на испитаници</w:t>
      </w:r>
      <w:r>
        <w:rPr>
          <w:rFonts w:ascii="Times New Roman" w:hAnsi="Times New Roman" w:cs="Times New Roman"/>
          <w:color w:val="000000"/>
          <w:sz w:val="24"/>
          <w:szCs w:val="24"/>
        </w:rPr>
        <w:t>. З</w:t>
      </w:r>
      <w:r w:rsidRPr="00A01DB5">
        <w:rPr>
          <w:rFonts w:ascii="Times New Roman" w:hAnsi="Times New Roman" w:cs="Times New Roman"/>
          <w:color w:val="000000"/>
          <w:sz w:val="24"/>
          <w:szCs w:val="24"/>
        </w:rPr>
        <w:t xml:space="preserve">а </w:t>
      </w:r>
      <w:r w:rsidRPr="00A01DB5">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A01DB5">
        <w:rPr>
          <w:rFonts w:ascii="Times New Roman" w:hAnsi="Times New Roman" w:cs="Times New Roman"/>
          <w:bCs/>
          <w:color w:val="000000"/>
          <w:sz w:val="24"/>
          <w:szCs w:val="24"/>
        </w:rPr>
        <w:t>0,05,</w:t>
      </w:r>
      <w:r w:rsidRPr="00A01DB5">
        <w:rPr>
          <w:rFonts w:ascii="Georgia" w:hAnsi="Georgia" w:cs="Times New Roman"/>
          <w:bCs/>
          <w:color w:val="000000"/>
        </w:rPr>
        <w:t xml:space="preserve"> </w:t>
      </w:r>
      <w:r>
        <w:rPr>
          <w:rFonts w:ascii="Georgia" w:hAnsi="Georgia" w:cs="Times New Roman"/>
          <w:bCs/>
          <w:color w:val="000000"/>
        </w:rPr>
        <w:t xml:space="preserve">помеѓу </w:t>
      </w:r>
      <w:r w:rsidRPr="00A01DB5">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sidR="00095374">
        <w:rPr>
          <w:rFonts w:ascii="Times New Roman" w:hAnsi="Times New Roman" w:cs="Times New Roman"/>
          <w:color w:val="000000"/>
          <w:sz w:val="24"/>
          <w:szCs w:val="24"/>
        </w:rPr>
        <w:t>салива</w:t>
      </w:r>
      <w:r w:rsidRPr="00A926C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и</w:t>
      </w:r>
      <w:r w:rsidRPr="00A01DB5">
        <w:rPr>
          <w:rFonts w:ascii="Times New Roman" w:hAnsi="Times New Roman" w:cs="Times New Roman"/>
          <w:color w:val="000000"/>
          <w:sz w:val="24"/>
          <w:szCs w:val="24"/>
        </w:rPr>
        <w:t xml:space="preserve"> пол</w:t>
      </w:r>
      <w:r>
        <w:rPr>
          <w:rFonts w:ascii="Georgia" w:hAnsi="Georgia" w:cs="Times New Roman"/>
          <w:bCs/>
          <w:color w:val="000000"/>
        </w:rPr>
        <w:t xml:space="preserve"> утврдена беше несигнификантна негативна </w:t>
      </w:r>
      <w:r w:rsidR="00730A97">
        <w:rPr>
          <w:rFonts w:ascii="Georgia" w:hAnsi="Georgia" w:cs="Times New Roman"/>
          <w:bCs/>
          <w:color w:val="000000"/>
        </w:rPr>
        <w:t xml:space="preserve">линеарна </w:t>
      </w:r>
      <w:r>
        <w:rPr>
          <w:rFonts w:ascii="Georgia" w:hAnsi="Georgia" w:cs="Times New Roman"/>
          <w:bCs/>
          <w:color w:val="000000"/>
        </w:rPr>
        <w:t xml:space="preserve">корелација </w:t>
      </w:r>
      <w:r w:rsidRPr="00093F0E">
        <w:rPr>
          <w:rFonts w:ascii="Times New Roman" w:hAnsi="Times New Roman" w:cs="Times New Roman"/>
          <w:bCs/>
          <w:color w:val="000000"/>
          <w:sz w:val="24"/>
          <w:szCs w:val="24"/>
        </w:rPr>
        <w:t>(R</w:t>
      </w:r>
      <w:r w:rsidRPr="00A926CA">
        <w:rPr>
          <w:rFonts w:ascii="Times New Roman" w:hAnsi="Times New Roman" w:cs="Times New Roman"/>
          <w:bCs/>
          <w:color w:val="000000"/>
          <w:sz w:val="24"/>
          <w:szCs w:val="24"/>
          <w:vertAlign w:val="subscript"/>
          <w:lang w:val="ru-RU"/>
        </w:rPr>
        <w:t>120</w:t>
      </w:r>
      <w:r w:rsidRPr="00093F0E">
        <w:rPr>
          <w:rFonts w:ascii="Times New Roman" w:hAnsi="Times New Roman" w:cs="Times New Roman"/>
          <w:bCs/>
          <w:color w:val="000000"/>
          <w:sz w:val="24"/>
          <w:szCs w:val="24"/>
          <w:vertAlign w:val="subscript"/>
        </w:rPr>
        <w:t>)</w:t>
      </w:r>
      <w:r w:rsidRPr="00093F0E">
        <w:rPr>
          <w:rFonts w:ascii="Times New Roman" w:hAnsi="Times New Roman" w:cs="Times New Roman"/>
          <w:bCs/>
          <w:color w:val="000000"/>
          <w:sz w:val="24"/>
          <w:szCs w:val="24"/>
        </w:rPr>
        <w:t>=</w:t>
      </w:r>
      <w:r w:rsidRPr="00A926CA">
        <w:rPr>
          <w:rFonts w:ascii="Times New Roman" w:hAnsi="Times New Roman" w:cs="Times New Roman"/>
          <w:bCs/>
          <w:color w:val="000000"/>
          <w:sz w:val="24"/>
          <w:szCs w:val="24"/>
          <w:lang w:val="ru-RU"/>
        </w:rPr>
        <w:t>-</w:t>
      </w:r>
      <w:r w:rsidRPr="00093F0E">
        <w:rPr>
          <w:rFonts w:ascii="Times New Roman" w:hAnsi="Times New Roman" w:cs="Times New Roman"/>
          <w:bCs/>
          <w:color w:val="000000"/>
          <w:sz w:val="24"/>
          <w:szCs w:val="24"/>
        </w:rPr>
        <w:t>0,</w:t>
      </w:r>
      <w:r w:rsidRPr="00A926CA">
        <w:rPr>
          <w:rFonts w:ascii="Times New Roman" w:hAnsi="Times New Roman" w:cs="Times New Roman"/>
          <w:bCs/>
          <w:color w:val="000000"/>
          <w:sz w:val="24"/>
          <w:szCs w:val="24"/>
          <w:lang w:val="ru-RU"/>
        </w:rPr>
        <w:t>0</w:t>
      </w:r>
      <w:r w:rsidR="00095374">
        <w:rPr>
          <w:rFonts w:ascii="Times New Roman" w:hAnsi="Times New Roman" w:cs="Times New Roman"/>
          <w:bCs/>
          <w:color w:val="000000"/>
          <w:sz w:val="24"/>
          <w:szCs w:val="24"/>
        </w:rPr>
        <w:t>38</w:t>
      </w:r>
      <w:r w:rsidRPr="00093F0E">
        <w:rPr>
          <w:rFonts w:ascii="Times New Roman" w:hAnsi="Times New Roman" w:cs="Times New Roman"/>
          <w:bCs/>
          <w:color w:val="000000"/>
          <w:sz w:val="24"/>
          <w:szCs w:val="24"/>
        </w:rPr>
        <w:t>; p=0,</w:t>
      </w:r>
      <w:r w:rsidR="00095374">
        <w:rPr>
          <w:rFonts w:ascii="Times New Roman" w:hAnsi="Times New Roman" w:cs="Times New Roman"/>
          <w:bCs/>
          <w:color w:val="000000"/>
          <w:sz w:val="24"/>
          <w:szCs w:val="24"/>
        </w:rPr>
        <w:t>679</w:t>
      </w:r>
      <w:r w:rsidRPr="00093F0E">
        <w:rPr>
          <w:rFonts w:ascii="Times New Roman" w:hAnsi="Times New Roman" w:cs="Times New Roman"/>
          <w:bCs/>
          <w:color w:val="000000"/>
          <w:sz w:val="24"/>
          <w:szCs w:val="24"/>
        </w:rPr>
        <w:t xml:space="preserve">) – несигнификантно </w:t>
      </w:r>
      <w:r w:rsidR="00095374">
        <w:rPr>
          <w:rFonts w:ascii="Times New Roman" w:hAnsi="Times New Roman" w:cs="Times New Roman"/>
          <w:bCs/>
          <w:color w:val="000000"/>
          <w:sz w:val="24"/>
          <w:szCs w:val="24"/>
        </w:rPr>
        <w:t>опаѓање</w:t>
      </w:r>
      <w:r w:rsidRPr="00093F0E">
        <w:rPr>
          <w:rFonts w:ascii="Times New Roman" w:hAnsi="Times New Roman" w:cs="Times New Roman"/>
          <w:bCs/>
          <w:color w:val="000000"/>
          <w:sz w:val="24"/>
          <w:szCs w:val="24"/>
        </w:rPr>
        <w:t xml:space="preserve"> на </w:t>
      </w:r>
      <w:r w:rsidRPr="00093F0E">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sidR="00095374">
        <w:rPr>
          <w:rFonts w:ascii="Times New Roman" w:hAnsi="Times New Roman" w:cs="Times New Roman"/>
          <w:color w:val="000000"/>
          <w:sz w:val="24"/>
          <w:szCs w:val="24"/>
        </w:rPr>
        <w:t>салива</w:t>
      </w:r>
      <w:r w:rsidRPr="00093F0E">
        <w:rPr>
          <w:rFonts w:ascii="Times New Roman" w:hAnsi="Times New Roman" w:cs="Times New Roman"/>
          <w:color w:val="000000"/>
          <w:sz w:val="24"/>
          <w:szCs w:val="24"/>
        </w:rPr>
        <w:t xml:space="preserve"> кај </w:t>
      </w:r>
      <w:r w:rsidR="00095374">
        <w:rPr>
          <w:rFonts w:ascii="Times New Roman" w:hAnsi="Times New Roman" w:cs="Times New Roman"/>
          <w:color w:val="000000"/>
          <w:sz w:val="24"/>
          <w:szCs w:val="24"/>
        </w:rPr>
        <w:t>женскиот</w:t>
      </w:r>
      <w:r w:rsidRPr="00093F0E">
        <w:rPr>
          <w:rFonts w:ascii="Times New Roman" w:hAnsi="Times New Roman" w:cs="Times New Roman"/>
          <w:color w:val="000000"/>
          <w:sz w:val="24"/>
          <w:szCs w:val="24"/>
        </w:rPr>
        <w:t xml:space="preserve"> пол</w:t>
      </w:r>
      <w:r>
        <w:rPr>
          <w:rFonts w:ascii="Times New Roman" w:hAnsi="Times New Roman" w:cs="Times New Roman"/>
          <w:color w:val="000000"/>
          <w:sz w:val="24"/>
          <w:szCs w:val="24"/>
        </w:rPr>
        <w:t xml:space="preserve"> </w:t>
      </w:r>
      <w:r w:rsidRPr="00A5689B">
        <w:rPr>
          <w:rFonts w:ascii="Times New Roman" w:hAnsi="Times New Roman" w:cs="Times New Roman"/>
          <w:color w:val="000000"/>
          <w:sz w:val="24"/>
          <w:szCs w:val="24"/>
        </w:rPr>
        <w:t>(Табела 14 и График 2</w:t>
      </w:r>
      <w:r w:rsidR="00095374">
        <w:rPr>
          <w:rFonts w:ascii="Times New Roman" w:hAnsi="Times New Roman" w:cs="Times New Roman"/>
          <w:color w:val="000000"/>
          <w:sz w:val="24"/>
          <w:szCs w:val="24"/>
        </w:rPr>
        <w:t>6</w:t>
      </w:r>
      <w:r w:rsidRPr="00A5689B">
        <w:rPr>
          <w:rFonts w:ascii="Times New Roman" w:hAnsi="Times New Roman" w:cs="Times New Roman"/>
          <w:color w:val="000000"/>
          <w:sz w:val="24"/>
          <w:szCs w:val="24"/>
        </w:rPr>
        <w:t>).</w:t>
      </w:r>
    </w:p>
    <w:p w:rsidR="00095374" w:rsidRDefault="00095374" w:rsidP="002B2D67">
      <w:pPr>
        <w:numPr>
          <w:ilvl w:val="0"/>
          <w:numId w:val="20"/>
        </w:numPr>
        <w:spacing w:after="200"/>
        <w:ind w:left="284" w:hanging="284"/>
        <w:jc w:val="both"/>
        <w:rPr>
          <w:rFonts w:ascii="Times New Roman" w:hAnsi="Times New Roman" w:cs="Times New Roman"/>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салива / возраст </w:t>
      </w:r>
      <w:r w:rsidRPr="00AB1D09">
        <w:rPr>
          <w:rFonts w:ascii="Times New Roman" w:hAnsi="Times New Roman" w:cs="Times New Roman"/>
          <w:color w:val="000000"/>
          <w:sz w:val="24"/>
          <w:szCs w:val="24"/>
        </w:rPr>
        <w:t>–</w:t>
      </w:r>
      <w:r w:rsidRPr="00A5689B">
        <w:rPr>
          <w:rFonts w:ascii="Times New Roman" w:hAnsi="Times New Roman" w:cs="Times New Roman"/>
          <w:color w:val="000000"/>
          <w:sz w:val="24"/>
          <w:szCs w:val="24"/>
        </w:rPr>
        <w:t xml:space="preserve"> анализата на меѓусебната поврзаност на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w:t>
      </w:r>
      <w:r>
        <w:rPr>
          <w:rFonts w:ascii="Times New Roman" w:hAnsi="Times New Roman" w:cs="Times New Roman"/>
          <w:color w:val="000000"/>
          <w:sz w:val="24"/>
          <w:szCs w:val="24"/>
        </w:rPr>
        <w:t>салива</w:t>
      </w:r>
      <w:r w:rsidRPr="00A926CA">
        <w:rPr>
          <w:rFonts w:ascii="Times New Roman" w:hAnsi="Times New Roman" w:cs="Times New Roman"/>
          <w:color w:val="000000"/>
          <w:sz w:val="24"/>
          <w:szCs w:val="24"/>
          <w:lang w:val="ru-RU"/>
        </w:rPr>
        <w:t xml:space="preserve"> </w:t>
      </w:r>
      <w:r w:rsidRPr="00A5689B">
        <w:rPr>
          <w:rFonts w:ascii="Times New Roman" w:hAnsi="Times New Roman" w:cs="Times New Roman"/>
          <w:color w:val="000000"/>
          <w:sz w:val="24"/>
          <w:szCs w:val="24"/>
        </w:rPr>
        <w:t xml:space="preserve">со возраст (години) беше направена на целиот примерок на испитаници. За </w:t>
      </w:r>
      <w:r w:rsidRPr="00A5689B">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A5689B">
        <w:rPr>
          <w:rFonts w:ascii="Times New Roman" w:hAnsi="Times New Roman" w:cs="Times New Roman"/>
          <w:bCs/>
          <w:color w:val="000000"/>
          <w:sz w:val="24"/>
          <w:szCs w:val="24"/>
        </w:rPr>
        <w:t xml:space="preserve">0,05, помеѓу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Pr>
          <w:rFonts w:ascii="Times New Roman" w:hAnsi="Times New Roman" w:cs="Times New Roman"/>
          <w:color w:val="000000"/>
          <w:sz w:val="24"/>
          <w:szCs w:val="24"/>
        </w:rPr>
        <w:t>салива</w:t>
      </w:r>
      <w:r w:rsidRPr="00A926CA">
        <w:rPr>
          <w:rFonts w:ascii="Times New Roman" w:hAnsi="Times New Roman" w:cs="Times New Roman"/>
          <w:color w:val="000000"/>
          <w:sz w:val="24"/>
          <w:szCs w:val="24"/>
          <w:lang w:val="ru-RU"/>
        </w:rPr>
        <w:t xml:space="preserve"> </w:t>
      </w:r>
      <w:r w:rsidRPr="00A5689B">
        <w:rPr>
          <w:rFonts w:ascii="Times New Roman" w:hAnsi="Times New Roman" w:cs="Times New Roman"/>
          <w:color w:val="000000"/>
          <w:sz w:val="24"/>
          <w:szCs w:val="24"/>
        </w:rPr>
        <w:t>и возраст</w:t>
      </w:r>
      <w:r>
        <w:rPr>
          <w:rFonts w:ascii="Times New Roman" w:hAnsi="Times New Roman" w:cs="Times New Roman"/>
          <w:color w:val="000000"/>
          <w:sz w:val="24"/>
          <w:szCs w:val="24"/>
        </w:rPr>
        <w:t>а,</w:t>
      </w:r>
      <w:r w:rsidRPr="00A5689B">
        <w:rPr>
          <w:rFonts w:ascii="Times New Roman" w:hAnsi="Times New Roman" w:cs="Times New Roman"/>
          <w:bCs/>
          <w:color w:val="000000"/>
          <w:sz w:val="24"/>
          <w:szCs w:val="24"/>
        </w:rPr>
        <w:t xml:space="preserve"> утврдена беше несигнификантна позитивна </w:t>
      </w:r>
      <w:r w:rsidR="00730A97">
        <w:rPr>
          <w:rFonts w:ascii="Times New Roman" w:hAnsi="Times New Roman" w:cs="Times New Roman"/>
          <w:bCs/>
          <w:color w:val="000000"/>
          <w:sz w:val="24"/>
          <w:szCs w:val="24"/>
        </w:rPr>
        <w:t>линеарна</w:t>
      </w:r>
      <w:r w:rsidR="00730A97" w:rsidRPr="00A5689B">
        <w:rPr>
          <w:rFonts w:ascii="Times New Roman" w:hAnsi="Times New Roman" w:cs="Times New Roman"/>
          <w:bCs/>
          <w:color w:val="000000"/>
          <w:sz w:val="24"/>
          <w:szCs w:val="24"/>
        </w:rPr>
        <w:t xml:space="preserve"> </w:t>
      </w:r>
      <w:r w:rsidRPr="00A5689B">
        <w:rPr>
          <w:rFonts w:ascii="Times New Roman" w:hAnsi="Times New Roman" w:cs="Times New Roman"/>
          <w:bCs/>
          <w:color w:val="000000"/>
          <w:sz w:val="24"/>
          <w:szCs w:val="24"/>
        </w:rPr>
        <w:t>корелација (R</w:t>
      </w:r>
      <w:r w:rsidRPr="00A5689B">
        <w:rPr>
          <w:rFonts w:ascii="Times New Roman" w:hAnsi="Times New Roman" w:cs="Times New Roman"/>
          <w:bCs/>
          <w:color w:val="000000"/>
          <w:sz w:val="24"/>
          <w:szCs w:val="24"/>
          <w:vertAlign w:val="subscript"/>
        </w:rPr>
        <w:t>(</w:t>
      </w:r>
      <w:r w:rsidRPr="00A926CA">
        <w:rPr>
          <w:rFonts w:ascii="Times New Roman" w:hAnsi="Times New Roman" w:cs="Times New Roman"/>
          <w:bCs/>
          <w:color w:val="000000"/>
          <w:sz w:val="24"/>
          <w:szCs w:val="24"/>
          <w:vertAlign w:val="subscript"/>
          <w:lang w:val="ru-RU"/>
        </w:rPr>
        <w:t>117</w:t>
      </w:r>
      <w:r w:rsidRPr="00A5689B">
        <w:rPr>
          <w:rFonts w:ascii="Times New Roman" w:hAnsi="Times New Roman" w:cs="Times New Roman"/>
          <w:bCs/>
          <w:color w:val="000000"/>
          <w:sz w:val="24"/>
          <w:szCs w:val="24"/>
          <w:vertAlign w:val="subscript"/>
        </w:rPr>
        <w:t>)</w:t>
      </w:r>
      <w:r w:rsidRPr="00A5689B">
        <w:rPr>
          <w:rFonts w:ascii="Times New Roman" w:hAnsi="Times New Roman" w:cs="Times New Roman"/>
          <w:bCs/>
          <w:color w:val="000000"/>
          <w:sz w:val="24"/>
          <w:szCs w:val="24"/>
        </w:rPr>
        <w:t>=0,</w:t>
      </w:r>
      <w:r w:rsidRPr="00A926CA">
        <w:rPr>
          <w:rFonts w:ascii="Times New Roman" w:hAnsi="Times New Roman" w:cs="Times New Roman"/>
          <w:bCs/>
          <w:color w:val="000000"/>
          <w:sz w:val="24"/>
          <w:szCs w:val="24"/>
          <w:lang w:val="ru-RU"/>
        </w:rPr>
        <w:t>0</w:t>
      </w:r>
      <w:r>
        <w:rPr>
          <w:rFonts w:ascii="Times New Roman" w:hAnsi="Times New Roman" w:cs="Times New Roman"/>
          <w:bCs/>
          <w:color w:val="000000"/>
          <w:sz w:val="24"/>
          <w:szCs w:val="24"/>
        </w:rPr>
        <w:t>5</w:t>
      </w:r>
      <w:r w:rsidRPr="00A926CA">
        <w:rPr>
          <w:rFonts w:ascii="Times New Roman" w:hAnsi="Times New Roman" w:cs="Times New Roman"/>
          <w:bCs/>
          <w:color w:val="000000"/>
          <w:sz w:val="24"/>
          <w:szCs w:val="24"/>
          <w:lang w:val="ru-RU"/>
        </w:rPr>
        <w:t>9</w:t>
      </w:r>
      <w:r w:rsidRPr="00A5689B">
        <w:rPr>
          <w:rFonts w:ascii="Times New Roman" w:hAnsi="Times New Roman" w:cs="Times New Roman"/>
          <w:bCs/>
          <w:color w:val="000000"/>
          <w:sz w:val="24"/>
          <w:szCs w:val="24"/>
        </w:rPr>
        <w:t>; p=0,</w:t>
      </w:r>
      <w:r>
        <w:rPr>
          <w:rFonts w:ascii="Times New Roman" w:hAnsi="Times New Roman" w:cs="Times New Roman"/>
          <w:bCs/>
          <w:color w:val="000000"/>
          <w:sz w:val="24"/>
          <w:szCs w:val="24"/>
        </w:rPr>
        <w:t>642</w:t>
      </w:r>
      <w:r w:rsidRPr="00A5689B">
        <w:rPr>
          <w:rFonts w:ascii="Times New Roman" w:hAnsi="Times New Roman" w:cs="Times New Roman"/>
          <w:bCs/>
          <w:color w:val="000000"/>
          <w:sz w:val="24"/>
          <w:szCs w:val="24"/>
        </w:rPr>
        <w:t>) –</w:t>
      </w:r>
      <w:r>
        <w:rPr>
          <w:rFonts w:ascii="Times New Roman" w:hAnsi="Times New Roman" w:cs="Times New Roman"/>
          <w:bCs/>
          <w:color w:val="000000"/>
          <w:sz w:val="24"/>
          <w:szCs w:val="24"/>
        </w:rPr>
        <w:t xml:space="preserve">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Pr>
          <w:rFonts w:ascii="Times New Roman" w:hAnsi="Times New Roman" w:cs="Times New Roman"/>
          <w:color w:val="000000"/>
          <w:sz w:val="24"/>
          <w:szCs w:val="24"/>
        </w:rPr>
        <w:t>салива</w:t>
      </w:r>
      <w:r w:rsidRPr="00A5689B">
        <w:rPr>
          <w:rFonts w:ascii="Times New Roman" w:hAnsi="Times New Roman" w:cs="Times New Roman"/>
          <w:color w:val="000000"/>
          <w:sz w:val="24"/>
          <w:szCs w:val="24"/>
        </w:rPr>
        <w:t xml:space="preserve"> </w:t>
      </w:r>
      <w:r w:rsidRPr="00A5689B">
        <w:rPr>
          <w:rFonts w:ascii="Times New Roman" w:hAnsi="Times New Roman" w:cs="Times New Roman"/>
          <w:bCs/>
          <w:color w:val="000000"/>
          <w:sz w:val="24"/>
          <w:szCs w:val="24"/>
        </w:rPr>
        <w:t>несигнификантно растеше с</w:t>
      </w:r>
      <w:r w:rsidRPr="00A5689B">
        <w:rPr>
          <w:rFonts w:ascii="Times New Roman" w:hAnsi="Times New Roman" w:cs="Times New Roman"/>
          <w:color w:val="000000"/>
          <w:sz w:val="24"/>
          <w:szCs w:val="24"/>
        </w:rPr>
        <w:t>о зголемување на возраста</w:t>
      </w:r>
      <w:r>
        <w:rPr>
          <w:rFonts w:ascii="Times New Roman" w:hAnsi="Times New Roman" w:cs="Times New Roman"/>
          <w:color w:val="000000"/>
          <w:sz w:val="24"/>
          <w:szCs w:val="24"/>
        </w:rPr>
        <w:t xml:space="preserve"> </w:t>
      </w:r>
      <w:r w:rsidRPr="00A5689B">
        <w:rPr>
          <w:rFonts w:ascii="Times New Roman" w:hAnsi="Times New Roman" w:cs="Times New Roman"/>
          <w:color w:val="000000"/>
          <w:sz w:val="24"/>
          <w:szCs w:val="24"/>
        </w:rPr>
        <w:t xml:space="preserve">(Табела 14 и График </w:t>
      </w:r>
      <w:r>
        <w:rPr>
          <w:rFonts w:ascii="Times New Roman" w:hAnsi="Times New Roman" w:cs="Times New Roman"/>
          <w:color w:val="000000"/>
          <w:sz w:val="24"/>
          <w:szCs w:val="24"/>
        </w:rPr>
        <w:t>26</w:t>
      </w:r>
      <w:r w:rsidRPr="00A5689B">
        <w:rPr>
          <w:rFonts w:ascii="Times New Roman" w:hAnsi="Times New Roman" w:cs="Times New Roman"/>
          <w:color w:val="000000"/>
          <w:sz w:val="24"/>
          <w:szCs w:val="24"/>
        </w:rPr>
        <w:t>).</w:t>
      </w:r>
    </w:p>
    <w:p w:rsidR="000B4811" w:rsidRPr="000B4811" w:rsidRDefault="000B4811" w:rsidP="000B4811">
      <w:pPr>
        <w:spacing w:after="200"/>
        <w:ind w:left="284"/>
        <w:jc w:val="both"/>
        <w:rPr>
          <w:rFonts w:ascii="Times New Roman" w:hAnsi="Times New Roman" w:cs="Times New Roman"/>
          <w:bCs/>
          <w:color w:val="000000"/>
          <w:sz w:val="24"/>
          <w:szCs w:val="24"/>
        </w:rPr>
      </w:pPr>
    </w:p>
    <w:p w:rsidR="00167A89" w:rsidRPr="002155B3" w:rsidRDefault="00095374" w:rsidP="002B2D67">
      <w:pPr>
        <w:numPr>
          <w:ilvl w:val="0"/>
          <w:numId w:val="20"/>
        </w:numPr>
        <w:spacing w:after="200"/>
        <w:ind w:left="284" w:hanging="284"/>
        <w:jc w:val="both"/>
        <w:rPr>
          <w:rFonts w:ascii="Times New Roman" w:hAnsi="Times New Roman" w:cs="Times New Roman"/>
          <w:bCs/>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серум / вид на тумор </w:t>
      </w:r>
      <w:r w:rsidRPr="00AB1D09">
        <w:rPr>
          <w:rFonts w:ascii="Times New Roman" w:hAnsi="Times New Roman" w:cs="Times New Roman"/>
          <w:color w:val="000000"/>
          <w:sz w:val="24"/>
          <w:szCs w:val="24"/>
        </w:rPr>
        <w:t>–</w:t>
      </w:r>
      <w:r w:rsidRPr="00A5689B">
        <w:rPr>
          <w:rFonts w:ascii="Times New Roman" w:hAnsi="Times New Roman" w:cs="Times New Roman"/>
          <w:color w:val="000000"/>
          <w:sz w:val="24"/>
          <w:szCs w:val="24"/>
        </w:rPr>
        <w:t xml:space="preserve"> анализата на меѓусебната поврзаност на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серум </w:t>
      </w:r>
      <w:r w:rsidRPr="00A5689B">
        <w:rPr>
          <w:rFonts w:ascii="Times New Roman" w:hAnsi="Times New Roman" w:cs="Times New Roman"/>
          <w:color w:val="000000"/>
          <w:sz w:val="24"/>
          <w:szCs w:val="24"/>
        </w:rPr>
        <w:t>со вид на тумор беше направена на целиот примерок на испитаници (</w:t>
      </w:r>
      <w:r>
        <w:rPr>
          <w:rFonts w:ascii="Times New Roman" w:hAnsi="Times New Roman" w:cs="Times New Roman"/>
          <w:color w:val="000000"/>
          <w:sz w:val="24"/>
          <w:szCs w:val="24"/>
        </w:rPr>
        <w:t>нема</w:t>
      </w:r>
      <w:r w:rsidRPr="00A5689B">
        <w:rPr>
          <w:rFonts w:ascii="Times New Roman" w:hAnsi="Times New Roman" w:cs="Times New Roman"/>
          <w:color w:val="000000"/>
          <w:sz w:val="24"/>
          <w:szCs w:val="24"/>
        </w:rPr>
        <w:t xml:space="preserve">/ бенигни/ малигни). За </w:t>
      </w:r>
      <w:r w:rsidRPr="00A5689B">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A5689B">
        <w:rPr>
          <w:rFonts w:ascii="Times New Roman" w:hAnsi="Times New Roman" w:cs="Times New Roman"/>
          <w:bCs/>
          <w:color w:val="000000"/>
          <w:sz w:val="24"/>
          <w:szCs w:val="24"/>
        </w:rPr>
        <w:t xml:space="preserve">0,05, помеѓу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серум </w:t>
      </w:r>
      <w:r w:rsidRPr="00A5689B">
        <w:rPr>
          <w:rFonts w:ascii="Times New Roman" w:hAnsi="Times New Roman" w:cs="Times New Roman"/>
          <w:color w:val="000000"/>
          <w:sz w:val="24"/>
          <w:szCs w:val="24"/>
        </w:rPr>
        <w:t xml:space="preserve">и вид на тумор </w:t>
      </w:r>
      <w:r w:rsidRPr="00A5689B">
        <w:rPr>
          <w:rFonts w:ascii="Times New Roman" w:hAnsi="Times New Roman" w:cs="Times New Roman"/>
          <w:bCs/>
          <w:color w:val="000000"/>
          <w:sz w:val="24"/>
          <w:szCs w:val="24"/>
        </w:rPr>
        <w:t>утврден</w:t>
      </w:r>
      <w:r>
        <w:rPr>
          <w:rFonts w:ascii="Times New Roman" w:hAnsi="Times New Roman" w:cs="Times New Roman"/>
          <w:bCs/>
          <w:color w:val="000000"/>
          <w:sz w:val="24"/>
          <w:szCs w:val="24"/>
        </w:rPr>
        <w:t>о</w:t>
      </w:r>
      <w:r w:rsidRPr="00A5689B">
        <w:rPr>
          <w:rFonts w:ascii="Times New Roman" w:hAnsi="Times New Roman" w:cs="Times New Roman"/>
          <w:bCs/>
          <w:color w:val="000000"/>
          <w:sz w:val="24"/>
          <w:szCs w:val="24"/>
        </w:rPr>
        <w:t xml:space="preserve"> беше </w:t>
      </w:r>
      <w:r>
        <w:rPr>
          <w:rFonts w:ascii="Times New Roman" w:hAnsi="Times New Roman" w:cs="Times New Roman"/>
          <w:bCs/>
          <w:color w:val="000000"/>
          <w:sz w:val="24"/>
          <w:szCs w:val="24"/>
        </w:rPr>
        <w:t xml:space="preserve">постоење на </w:t>
      </w:r>
      <w:r w:rsidRPr="00A5689B">
        <w:rPr>
          <w:rFonts w:ascii="Times New Roman" w:hAnsi="Times New Roman" w:cs="Times New Roman"/>
          <w:bCs/>
          <w:color w:val="000000"/>
          <w:sz w:val="24"/>
          <w:szCs w:val="24"/>
        </w:rPr>
        <w:t xml:space="preserve">несигнификантна позитивна </w:t>
      </w:r>
      <w:r w:rsidR="00730A97" w:rsidRPr="00A5689B">
        <w:rPr>
          <w:rFonts w:ascii="Times New Roman" w:hAnsi="Times New Roman" w:cs="Times New Roman"/>
          <w:bCs/>
          <w:color w:val="000000"/>
          <w:sz w:val="24"/>
          <w:szCs w:val="24"/>
        </w:rPr>
        <w:t xml:space="preserve">линеарна </w:t>
      </w:r>
      <w:r w:rsidRPr="00A5689B">
        <w:rPr>
          <w:rFonts w:ascii="Times New Roman" w:hAnsi="Times New Roman" w:cs="Times New Roman"/>
          <w:bCs/>
          <w:color w:val="000000"/>
          <w:sz w:val="24"/>
          <w:szCs w:val="24"/>
        </w:rPr>
        <w:t>корелација (R</w:t>
      </w:r>
      <w:r w:rsidRPr="00A5689B">
        <w:rPr>
          <w:rFonts w:ascii="Times New Roman" w:hAnsi="Times New Roman" w:cs="Times New Roman"/>
          <w:bCs/>
          <w:color w:val="000000"/>
          <w:sz w:val="24"/>
          <w:szCs w:val="24"/>
          <w:vertAlign w:val="subscript"/>
        </w:rPr>
        <w:t>(</w:t>
      </w:r>
      <w:r w:rsidRPr="00A926CA">
        <w:rPr>
          <w:rFonts w:ascii="Times New Roman" w:hAnsi="Times New Roman" w:cs="Times New Roman"/>
          <w:bCs/>
          <w:color w:val="000000"/>
          <w:sz w:val="24"/>
          <w:szCs w:val="24"/>
          <w:vertAlign w:val="subscript"/>
          <w:lang w:val="ru-RU"/>
        </w:rPr>
        <w:t>120</w:t>
      </w:r>
      <w:r w:rsidRPr="00A5689B">
        <w:rPr>
          <w:rFonts w:ascii="Times New Roman" w:hAnsi="Times New Roman" w:cs="Times New Roman"/>
          <w:bCs/>
          <w:color w:val="000000"/>
          <w:sz w:val="24"/>
          <w:szCs w:val="24"/>
          <w:vertAlign w:val="subscript"/>
        </w:rPr>
        <w:t>)</w:t>
      </w:r>
      <w:r w:rsidRPr="00A5689B">
        <w:rPr>
          <w:rFonts w:ascii="Times New Roman" w:hAnsi="Times New Roman" w:cs="Times New Roman"/>
          <w:bCs/>
          <w:color w:val="000000"/>
          <w:sz w:val="24"/>
          <w:szCs w:val="24"/>
        </w:rPr>
        <w:t>=0,</w:t>
      </w:r>
      <w:r w:rsidRPr="00A926CA">
        <w:rPr>
          <w:rFonts w:ascii="Times New Roman" w:hAnsi="Times New Roman" w:cs="Times New Roman"/>
          <w:bCs/>
          <w:color w:val="000000"/>
          <w:sz w:val="24"/>
          <w:szCs w:val="24"/>
          <w:lang w:val="ru-RU"/>
        </w:rPr>
        <w:t>0</w:t>
      </w:r>
      <w:r>
        <w:rPr>
          <w:rFonts w:ascii="Times New Roman" w:hAnsi="Times New Roman" w:cs="Times New Roman"/>
          <w:bCs/>
          <w:color w:val="000000"/>
          <w:sz w:val="24"/>
          <w:szCs w:val="24"/>
        </w:rPr>
        <w:t>18</w:t>
      </w:r>
      <w:r w:rsidRPr="00A5689B">
        <w:rPr>
          <w:rFonts w:ascii="Times New Roman" w:hAnsi="Times New Roman" w:cs="Times New Roman"/>
          <w:bCs/>
          <w:color w:val="000000"/>
          <w:sz w:val="24"/>
          <w:szCs w:val="24"/>
        </w:rPr>
        <w:t>; p=0,</w:t>
      </w:r>
      <w:r>
        <w:rPr>
          <w:rFonts w:ascii="Times New Roman" w:hAnsi="Times New Roman" w:cs="Times New Roman"/>
          <w:bCs/>
          <w:color w:val="000000"/>
          <w:sz w:val="24"/>
          <w:szCs w:val="24"/>
        </w:rPr>
        <w:t>193</w:t>
      </w:r>
      <w:r w:rsidRPr="00A5689B">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A5689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Вредностите на </w:t>
      </w:r>
      <w:r w:rsidRPr="00A5689B">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Pr>
          <w:rFonts w:ascii="Times New Roman" w:hAnsi="Times New Roman" w:cs="Times New Roman"/>
          <w:color w:val="000000"/>
          <w:sz w:val="24"/>
          <w:szCs w:val="24"/>
        </w:rPr>
        <w:t>салива</w:t>
      </w:r>
      <w:r w:rsidRPr="00A5689B">
        <w:rPr>
          <w:rFonts w:ascii="Times New Roman" w:hAnsi="Times New Roman" w:cs="Times New Roman"/>
          <w:color w:val="000000"/>
          <w:sz w:val="24"/>
          <w:szCs w:val="24"/>
        </w:rPr>
        <w:t xml:space="preserve"> </w:t>
      </w:r>
      <w:r w:rsidRPr="00A5689B">
        <w:rPr>
          <w:rFonts w:ascii="Times New Roman" w:hAnsi="Times New Roman" w:cs="Times New Roman"/>
          <w:bCs/>
          <w:color w:val="000000"/>
          <w:sz w:val="24"/>
          <w:szCs w:val="24"/>
        </w:rPr>
        <w:t>несигнификантно расте</w:t>
      </w:r>
      <w:r>
        <w:rPr>
          <w:rFonts w:ascii="Times New Roman" w:hAnsi="Times New Roman" w:cs="Times New Roman"/>
          <w:bCs/>
          <w:color w:val="000000"/>
          <w:sz w:val="24"/>
          <w:szCs w:val="24"/>
        </w:rPr>
        <w:t>а</w:t>
      </w:r>
      <w:r w:rsidRPr="00A5689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од здравите </w:t>
      </w:r>
      <w:r w:rsidR="00D93F07">
        <w:rPr>
          <w:rFonts w:ascii="Times New Roman" w:hAnsi="Times New Roman" w:cs="Times New Roman"/>
          <w:bCs/>
          <w:color w:val="000000"/>
          <w:sz w:val="24"/>
          <w:szCs w:val="24"/>
        </w:rPr>
        <w:t>лица</w:t>
      </w:r>
      <w:r>
        <w:rPr>
          <w:rFonts w:ascii="Times New Roman" w:hAnsi="Times New Roman" w:cs="Times New Roman"/>
          <w:bCs/>
          <w:color w:val="000000"/>
          <w:sz w:val="24"/>
          <w:szCs w:val="24"/>
        </w:rPr>
        <w:t xml:space="preserve"> → бениген тумор → малиген тумор на паротидните жлезди, односно беа несигнификантно повисоки кај лицата со малиген тумор </w:t>
      </w:r>
      <w:r w:rsidRPr="00A5689B">
        <w:rPr>
          <w:rFonts w:ascii="Times New Roman" w:hAnsi="Times New Roman" w:cs="Times New Roman"/>
          <w:color w:val="000000"/>
          <w:sz w:val="24"/>
          <w:szCs w:val="24"/>
        </w:rPr>
        <w:t>(Табела 14 и График 2</w:t>
      </w:r>
      <w:r>
        <w:rPr>
          <w:rFonts w:ascii="Times New Roman" w:hAnsi="Times New Roman" w:cs="Times New Roman"/>
          <w:color w:val="000000"/>
          <w:sz w:val="24"/>
          <w:szCs w:val="24"/>
        </w:rPr>
        <w:t>6</w:t>
      </w:r>
      <w:r w:rsidRPr="00A5689B">
        <w:rPr>
          <w:rFonts w:ascii="Times New Roman" w:hAnsi="Times New Roman" w:cs="Times New Roman"/>
          <w:color w:val="000000"/>
          <w:sz w:val="24"/>
          <w:szCs w:val="24"/>
        </w:rPr>
        <w:t>).</w:t>
      </w:r>
    </w:p>
    <w:p w:rsidR="000B4811" w:rsidRPr="000B4811" w:rsidRDefault="000B4811" w:rsidP="000B4811">
      <w:pPr>
        <w:spacing w:after="200"/>
        <w:ind w:left="284"/>
        <w:jc w:val="both"/>
        <w:rPr>
          <w:rFonts w:ascii="Times New Roman" w:hAnsi="Times New Roman" w:cs="Times New Roman"/>
          <w:bCs/>
          <w:color w:val="000000"/>
          <w:sz w:val="24"/>
          <w:szCs w:val="24"/>
        </w:rPr>
      </w:pPr>
    </w:p>
    <w:p w:rsidR="002B2D67" w:rsidRPr="002B2D67" w:rsidRDefault="002155B3" w:rsidP="002B2D67">
      <w:pPr>
        <w:numPr>
          <w:ilvl w:val="0"/>
          <w:numId w:val="20"/>
        </w:numPr>
        <w:spacing w:after="200"/>
        <w:ind w:left="284" w:hanging="284"/>
        <w:jc w:val="both"/>
        <w:rPr>
          <w:rFonts w:ascii="Times New Roman" w:hAnsi="Times New Roman" w:cs="Times New Roman"/>
          <w:bCs/>
          <w:color w:val="000000"/>
          <w:sz w:val="24"/>
          <w:szCs w:val="24"/>
        </w:rPr>
      </w:pPr>
      <w:r w:rsidRPr="00AB1D09">
        <w:rPr>
          <w:rFonts w:ascii="Times New Roman" w:hAnsi="Times New Roman" w:cs="Times New Roman"/>
          <w:b/>
          <w:color w:val="000000"/>
          <w:sz w:val="24"/>
          <w:szCs w:val="24"/>
          <w:lang w:val="en-US"/>
        </w:rPr>
        <w:t>IL</w:t>
      </w:r>
      <w:r w:rsidRPr="00A926CA">
        <w:rPr>
          <w:rFonts w:ascii="Times New Roman" w:hAnsi="Times New Roman" w:cs="Times New Roman"/>
          <w:b/>
          <w:color w:val="000000"/>
          <w:sz w:val="24"/>
          <w:szCs w:val="24"/>
          <w:lang w:val="ru-RU"/>
        </w:rPr>
        <w:t>-33</w:t>
      </w:r>
      <w:r w:rsidRPr="00AB1D09">
        <w:rPr>
          <w:rFonts w:ascii="Times New Roman" w:hAnsi="Times New Roman" w:cs="Times New Roman"/>
          <w:b/>
          <w:color w:val="000000"/>
          <w:sz w:val="24"/>
          <w:szCs w:val="24"/>
        </w:rPr>
        <w:t xml:space="preserve"> во салива / локација на тумор </w:t>
      </w:r>
      <w:r w:rsidRPr="00AB1D09">
        <w:rPr>
          <w:rFonts w:ascii="Times New Roman" w:hAnsi="Times New Roman" w:cs="Times New Roman"/>
          <w:color w:val="000000"/>
          <w:sz w:val="24"/>
          <w:szCs w:val="24"/>
        </w:rPr>
        <w:t>–</w:t>
      </w:r>
      <w:r w:rsidRPr="000A75E1">
        <w:rPr>
          <w:rFonts w:ascii="Times New Roman" w:hAnsi="Times New Roman" w:cs="Times New Roman"/>
          <w:color w:val="000000"/>
          <w:sz w:val="24"/>
          <w:szCs w:val="24"/>
        </w:rPr>
        <w:t xml:space="preserve"> анализата на меѓусебната поврзаност на </w:t>
      </w:r>
      <w:r w:rsidRPr="000A75E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Pr="00A926CA">
        <w:rPr>
          <w:rFonts w:ascii="Times New Roman" w:hAnsi="Times New Roman" w:cs="Times New Roman"/>
          <w:color w:val="000000"/>
          <w:sz w:val="24"/>
          <w:szCs w:val="24"/>
          <w:lang w:val="ru-RU"/>
        </w:rPr>
        <w:t xml:space="preserve">во </w:t>
      </w:r>
      <w:r>
        <w:rPr>
          <w:rFonts w:ascii="Times New Roman" w:hAnsi="Times New Roman" w:cs="Times New Roman"/>
          <w:color w:val="000000"/>
          <w:sz w:val="24"/>
          <w:szCs w:val="24"/>
        </w:rPr>
        <w:t>салива</w:t>
      </w:r>
      <w:r w:rsidRPr="00A926CA">
        <w:rPr>
          <w:rFonts w:ascii="Times New Roman" w:hAnsi="Times New Roman" w:cs="Times New Roman"/>
          <w:color w:val="000000"/>
          <w:sz w:val="24"/>
          <w:szCs w:val="24"/>
          <w:lang w:val="ru-RU"/>
        </w:rPr>
        <w:t xml:space="preserve"> </w:t>
      </w:r>
      <w:r w:rsidRPr="000A75E1">
        <w:rPr>
          <w:rFonts w:ascii="Times New Roman" w:hAnsi="Times New Roman" w:cs="Times New Roman"/>
          <w:color w:val="000000"/>
          <w:sz w:val="24"/>
          <w:szCs w:val="24"/>
        </w:rPr>
        <w:t xml:space="preserve">со локација на тумор беше направена кај испитуваната група (лево/десно). За </w:t>
      </w:r>
      <w:r w:rsidRPr="000A75E1">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0A75E1">
        <w:rPr>
          <w:rFonts w:ascii="Times New Roman" w:hAnsi="Times New Roman" w:cs="Times New Roman"/>
          <w:bCs/>
          <w:color w:val="000000"/>
          <w:sz w:val="24"/>
          <w:szCs w:val="24"/>
        </w:rPr>
        <w:t xml:space="preserve">0,05, помеѓу </w:t>
      </w:r>
      <w:r w:rsidRPr="000A75E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Pr>
          <w:rFonts w:ascii="Times New Roman" w:hAnsi="Times New Roman" w:cs="Times New Roman"/>
          <w:color w:val="000000"/>
          <w:sz w:val="24"/>
          <w:szCs w:val="24"/>
        </w:rPr>
        <w:t>салива</w:t>
      </w:r>
      <w:r w:rsidRPr="00A926CA">
        <w:rPr>
          <w:rFonts w:ascii="Times New Roman" w:hAnsi="Times New Roman" w:cs="Times New Roman"/>
          <w:color w:val="000000"/>
          <w:sz w:val="24"/>
          <w:szCs w:val="24"/>
          <w:lang w:val="ru-RU"/>
        </w:rPr>
        <w:t xml:space="preserve"> </w:t>
      </w:r>
      <w:r w:rsidRPr="000A75E1">
        <w:rPr>
          <w:rFonts w:ascii="Times New Roman" w:hAnsi="Times New Roman" w:cs="Times New Roman"/>
          <w:color w:val="000000"/>
          <w:sz w:val="24"/>
          <w:szCs w:val="24"/>
        </w:rPr>
        <w:t xml:space="preserve">и локација на тумор </w:t>
      </w:r>
      <w:r w:rsidRPr="000A75E1">
        <w:rPr>
          <w:rFonts w:ascii="Times New Roman" w:hAnsi="Times New Roman" w:cs="Times New Roman"/>
          <w:bCs/>
          <w:color w:val="000000"/>
          <w:sz w:val="24"/>
          <w:szCs w:val="24"/>
        </w:rPr>
        <w:t xml:space="preserve">утврдено беше постоење на несигнификантна </w:t>
      </w:r>
      <w:r>
        <w:rPr>
          <w:rFonts w:ascii="Times New Roman" w:hAnsi="Times New Roman" w:cs="Times New Roman"/>
          <w:bCs/>
          <w:color w:val="000000"/>
          <w:sz w:val="24"/>
          <w:szCs w:val="24"/>
        </w:rPr>
        <w:t>позитивна</w:t>
      </w:r>
      <w:r w:rsidRPr="000A75E1">
        <w:rPr>
          <w:rFonts w:ascii="Times New Roman" w:hAnsi="Times New Roman" w:cs="Times New Roman"/>
          <w:bCs/>
          <w:color w:val="000000"/>
          <w:sz w:val="24"/>
          <w:szCs w:val="24"/>
        </w:rPr>
        <w:t xml:space="preserve"> </w:t>
      </w:r>
      <w:r w:rsidR="00730A97" w:rsidRPr="000A75E1">
        <w:rPr>
          <w:rFonts w:ascii="Times New Roman" w:hAnsi="Times New Roman" w:cs="Times New Roman"/>
          <w:bCs/>
          <w:color w:val="000000"/>
          <w:sz w:val="24"/>
          <w:szCs w:val="24"/>
        </w:rPr>
        <w:t xml:space="preserve">линеарна </w:t>
      </w:r>
      <w:r w:rsidRPr="000A75E1">
        <w:rPr>
          <w:rFonts w:ascii="Times New Roman" w:hAnsi="Times New Roman" w:cs="Times New Roman"/>
          <w:bCs/>
          <w:color w:val="000000"/>
          <w:sz w:val="24"/>
          <w:szCs w:val="24"/>
        </w:rPr>
        <w:t>корелација (R</w:t>
      </w:r>
      <w:r w:rsidRPr="000A75E1">
        <w:rPr>
          <w:rFonts w:ascii="Times New Roman" w:hAnsi="Times New Roman" w:cs="Times New Roman"/>
          <w:bCs/>
          <w:color w:val="000000"/>
          <w:sz w:val="24"/>
          <w:szCs w:val="24"/>
          <w:vertAlign w:val="subscript"/>
        </w:rPr>
        <w:t>(</w:t>
      </w:r>
      <w:r w:rsidRPr="00A926CA">
        <w:rPr>
          <w:rFonts w:ascii="Times New Roman" w:hAnsi="Times New Roman" w:cs="Times New Roman"/>
          <w:bCs/>
          <w:color w:val="000000"/>
          <w:sz w:val="24"/>
          <w:szCs w:val="24"/>
          <w:vertAlign w:val="subscript"/>
          <w:lang w:val="ru-RU"/>
        </w:rPr>
        <w:t>61</w:t>
      </w:r>
      <w:r w:rsidRPr="000A75E1">
        <w:rPr>
          <w:rFonts w:ascii="Times New Roman" w:hAnsi="Times New Roman" w:cs="Times New Roman"/>
          <w:bCs/>
          <w:color w:val="000000"/>
          <w:sz w:val="24"/>
          <w:szCs w:val="24"/>
          <w:vertAlign w:val="subscript"/>
        </w:rPr>
        <w:t>)</w:t>
      </w:r>
      <w:r w:rsidRPr="000A75E1">
        <w:rPr>
          <w:rFonts w:ascii="Times New Roman" w:hAnsi="Times New Roman" w:cs="Times New Roman"/>
          <w:bCs/>
          <w:color w:val="000000"/>
          <w:sz w:val="24"/>
          <w:szCs w:val="24"/>
        </w:rPr>
        <w:t>=0,</w:t>
      </w:r>
      <w:r>
        <w:rPr>
          <w:rFonts w:ascii="Times New Roman" w:hAnsi="Times New Roman" w:cs="Times New Roman"/>
          <w:bCs/>
          <w:color w:val="000000"/>
          <w:sz w:val="24"/>
          <w:szCs w:val="24"/>
        </w:rPr>
        <w:t>195</w:t>
      </w:r>
      <w:r w:rsidRPr="000A75E1">
        <w:rPr>
          <w:rFonts w:ascii="Times New Roman" w:hAnsi="Times New Roman" w:cs="Times New Roman"/>
          <w:bCs/>
          <w:color w:val="000000"/>
          <w:sz w:val="24"/>
          <w:szCs w:val="24"/>
        </w:rPr>
        <w:t>; p=0,</w:t>
      </w:r>
      <w:r>
        <w:rPr>
          <w:rFonts w:ascii="Times New Roman" w:hAnsi="Times New Roman" w:cs="Times New Roman"/>
          <w:bCs/>
          <w:color w:val="000000"/>
          <w:sz w:val="24"/>
          <w:szCs w:val="24"/>
        </w:rPr>
        <w:t>131</w:t>
      </w:r>
      <w:r w:rsidRPr="000A75E1">
        <w:rPr>
          <w:rFonts w:ascii="Times New Roman" w:hAnsi="Times New Roman" w:cs="Times New Roman"/>
          <w:bCs/>
          <w:color w:val="000000"/>
          <w:sz w:val="24"/>
          <w:szCs w:val="24"/>
        </w:rPr>
        <w:t xml:space="preserve">).  </w:t>
      </w:r>
      <w:r w:rsidRPr="000A75E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во </w:t>
      </w:r>
      <w:r>
        <w:rPr>
          <w:rFonts w:ascii="Times New Roman" w:hAnsi="Times New Roman" w:cs="Times New Roman"/>
          <w:color w:val="000000"/>
          <w:sz w:val="24"/>
          <w:szCs w:val="24"/>
        </w:rPr>
        <w:t>салива</w:t>
      </w:r>
      <w:r w:rsidRPr="000A75E1">
        <w:rPr>
          <w:rFonts w:ascii="Times New Roman" w:hAnsi="Times New Roman" w:cs="Times New Roman"/>
          <w:color w:val="000000"/>
          <w:sz w:val="24"/>
          <w:szCs w:val="24"/>
        </w:rPr>
        <w:t xml:space="preserve"> </w:t>
      </w:r>
      <w:r w:rsidRPr="000A75E1">
        <w:rPr>
          <w:rFonts w:ascii="Times New Roman" w:hAnsi="Times New Roman" w:cs="Times New Roman"/>
          <w:bCs/>
          <w:color w:val="000000"/>
          <w:sz w:val="24"/>
          <w:szCs w:val="24"/>
        </w:rPr>
        <w:t xml:space="preserve">несигнификантно </w:t>
      </w:r>
      <w:r>
        <w:rPr>
          <w:rFonts w:ascii="Times New Roman" w:hAnsi="Times New Roman" w:cs="Times New Roman"/>
          <w:bCs/>
          <w:color w:val="000000"/>
          <w:sz w:val="24"/>
          <w:szCs w:val="24"/>
        </w:rPr>
        <w:t xml:space="preserve">растеше кај </w:t>
      </w:r>
      <w:r w:rsidRPr="000A75E1">
        <w:rPr>
          <w:rFonts w:ascii="Times New Roman" w:hAnsi="Times New Roman" w:cs="Times New Roman"/>
          <w:bCs/>
          <w:color w:val="000000"/>
          <w:sz w:val="24"/>
          <w:szCs w:val="24"/>
        </w:rPr>
        <w:t>тумор</w:t>
      </w:r>
      <w:r>
        <w:rPr>
          <w:rFonts w:ascii="Times New Roman" w:hAnsi="Times New Roman" w:cs="Times New Roman"/>
          <w:bCs/>
          <w:color w:val="000000"/>
          <w:sz w:val="24"/>
          <w:szCs w:val="24"/>
        </w:rPr>
        <w:t>ите</w:t>
      </w:r>
      <w:r w:rsidRPr="000A75E1">
        <w:rPr>
          <w:rFonts w:ascii="Times New Roman" w:hAnsi="Times New Roman" w:cs="Times New Roman"/>
          <w:bCs/>
          <w:color w:val="000000"/>
          <w:sz w:val="24"/>
          <w:szCs w:val="24"/>
        </w:rPr>
        <w:t xml:space="preserve"> на паротидните жлезди </w:t>
      </w:r>
      <w:r>
        <w:rPr>
          <w:rFonts w:ascii="Times New Roman" w:hAnsi="Times New Roman" w:cs="Times New Roman"/>
          <w:bCs/>
          <w:color w:val="000000"/>
          <w:sz w:val="24"/>
          <w:szCs w:val="24"/>
        </w:rPr>
        <w:t xml:space="preserve">со локација на десна страна </w:t>
      </w:r>
      <w:r w:rsidRPr="000A75E1">
        <w:rPr>
          <w:rFonts w:ascii="Times New Roman" w:hAnsi="Times New Roman" w:cs="Times New Roman"/>
          <w:color w:val="000000"/>
          <w:sz w:val="24"/>
          <w:szCs w:val="24"/>
        </w:rPr>
        <w:t>(Табела 14 и График 2</w:t>
      </w:r>
      <w:r>
        <w:rPr>
          <w:rFonts w:ascii="Times New Roman" w:hAnsi="Times New Roman" w:cs="Times New Roman"/>
          <w:color w:val="000000"/>
          <w:sz w:val="24"/>
          <w:szCs w:val="24"/>
        </w:rPr>
        <w:t>6</w:t>
      </w:r>
      <w:r w:rsidRPr="000A75E1">
        <w:rPr>
          <w:rFonts w:ascii="Times New Roman" w:hAnsi="Times New Roman" w:cs="Times New Roman"/>
          <w:color w:val="000000"/>
          <w:sz w:val="24"/>
          <w:szCs w:val="24"/>
        </w:rPr>
        <w:t>).</w:t>
      </w:r>
    </w:p>
    <w:p w:rsidR="002B2D67" w:rsidRDefault="002B2D67" w:rsidP="002B2D67">
      <w:pPr>
        <w:spacing w:after="200"/>
        <w:jc w:val="both"/>
        <w:rPr>
          <w:rFonts w:ascii="Times New Roman" w:hAnsi="Times New Roman" w:cs="Times New Roman"/>
          <w:bCs/>
          <w:color w:val="000000"/>
          <w:sz w:val="24"/>
          <w:szCs w:val="24"/>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0B4811" w:rsidRDefault="000B4811" w:rsidP="000B4811">
      <w:pPr>
        <w:pStyle w:val="ListParagraph"/>
        <w:rPr>
          <w:rFonts w:ascii="Times New Roman" w:hAnsi="Times New Roman" w:cs="Times New Roman"/>
          <w:b/>
          <w:color w:val="000000"/>
          <w:sz w:val="24"/>
          <w:szCs w:val="24"/>
          <w:lang w:val="en-US"/>
        </w:rPr>
      </w:pPr>
    </w:p>
    <w:p w:rsidR="000B4811" w:rsidRPr="000B4811" w:rsidRDefault="000B4811" w:rsidP="000B4811">
      <w:pPr>
        <w:spacing w:after="200"/>
        <w:ind w:left="284"/>
        <w:jc w:val="both"/>
        <w:rPr>
          <w:rFonts w:ascii="Times New Roman" w:hAnsi="Times New Roman" w:cs="Times New Roman"/>
          <w:bCs/>
          <w:color w:val="000000"/>
          <w:sz w:val="24"/>
          <w:szCs w:val="24"/>
        </w:rPr>
      </w:pPr>
    </w:p>
    <w:p w:rsidR="00F85692" w:rsidRPr="002B2D67" w:rsidRDefault="002155B3" w:rsidP="002B2D67">
      <w:pPr>
        <w:numPr>
          <w:ilvl w:val="0"/>
          <w:numId w:val="20"/>
        </w:numPr>
        <w:spacing w:after="200"/>
        <w:ind w:left="284" w:hanging="284"/>
        <w:jc w:val="both"/>
        <w:rPr>
          <w:rFonts w:ascii="Times New Roman" w:hAnsi="Times New Roman" w:cs="Times New Roman"/>
          <w:bCs/>
          <w:color w:val="000000"/>
          <w:sz w:val="24"/>
          <w:szCs w:val="24"/>
        </w:rPr>
      </w:pPr>
      <w:r w:rsidRPr="002B2D67">
        <w:rPr>
          <w:rFonts w:ascii="Times New Roman" w:hAnsi="Times New Roman" w:cs="Times New Roman"/>
          <w:b/>
          <w:color w:val="000000"/>
          <w:sz w:val="24"/>
          <w:szCs w:val="24"/>
          <w:lang w:val="en-US"/>
        </w:rPr>
        <w:t>IL</w:t>
      </w:r>
      <w:r w:rsidRPr="002B2D67">
        <w:rPr>
          <w:rFonts w:ascii="Times New Roman" w:hAnsi="Times New Roman" w:cs="Times New Roman"/>
          <w:b/>
          <w:color w:val="000000"/>
          <w:sz w:val="24"/>
          <w:szCs w:val="24"/>
          <w:lang w:val="ru-RU"/>
        </w:rPr>
        <w:t>-33</w:t>
      </w:r>
      <w:r w:rsidRPr="002B2D67">
        <w:rPr>
          <w:rFonts w:ascii="Times New Roman" w:hAnsi="Times New Roman" w:cs="Times New Roman"/>
          <w:b/>
          <w:color w:val="000000"/>
          <w:sz w:val="24"/>
          <w:szCs w:val="24"/>
        </w:rPr>
        <w:t xml:space="preserve"> во </w:t>
      </w:r>
      <w:r w:rsidR="007238B0" w:rsidRPr="002B2D67">
        <w:rPr>
          <w:rFonts w:ascii="Times New Roman" w:hAnsi="Times New Roman" w:cs="Times New Roman"/>
          <w:b/>
          <w:color w:val="000000"/>
          <w:sz w:val="24"/>
          <w:szCs w:val="24"/>
        </w:rPr>
        <w:t>салива</w:t>
      </w:r>
      <w:r w:rsidRPr="002B2D67">
        <w:rPr>
          <w:rFonts w:ascii="Times New Roman" w:hAnsi="Times New Roman" w:cs="Times New Roman"/>
          <w:b/>
          <w:color w:val="000000"/>
          <w:sz w:val="24"/>
          <w:szCs w:val="24"/>
        </w:rPr>
        <w:t xml:space="preserve"> / димензија на тумор </w:t>
      </w:r>
      <w:r w:rsidRPr="002B2D67">
        <w:rPr>
          <w:rFonts w:ascii="Times New Roman" w:hAnsi="Times New Roman" w:cs="Times New Roman"/>
          <w:color w:val="000000"/>
          <w:sz w:val="24"/>
          <w:szCs w:val="24"/>
        </w:rPr>
        <w:t xml:space="preserve">– анализата на меѓусебната поврзаност на </w:t>
      </w:r>
      <w:r w:rsidRPr="002B2D67">
        <w:rPr>
          <w:rFonts w:ascii="Times New Roman" w:hAnsi="Times New Roman" w:cs="Times New Roman"/>
          <w:color w:val="000000"/>
          <w:sz w:val="24"/>
          <w:szCs w:val="24"/>
          <w:lang w:val="en-US"/>
        </w:rPr>
        <w:t>IL</w:t>
      </w:r>
      <w:r w:rsidRPr="002B2D67">
        <w:rPr>
          <w:rFonts w:ascii="Times New Roman" w:hAnsi="Times New Roman" w:cs="Times New Roman"/>
          <w:color w:val="000000"/>
          <w:sz w:val="24"/>
          <w:szCs w:val="24"/>
          <w:lang w:val="ru-RU"/>
        </w:rPr>
        <w:t xml:space="preserve">-33 </w:t>
      </w:r>
      <w:r w:rsidR="0022737D" w:rsidRPr="002B2D67">
        <w:rPr>
          <w:rFonts w:ascii="Times New Roman" w:hAnsi="Times New Roman" w:cs="Times New Roman"/>
          <w:color w:val="000000"/>
          <w:sz w:val="24"/>
          <w:szCs w:val="24"/>
          <w:lang w:val="en-US"/>
        </w:rPr>
        <w:t>pg</w:t>
      </w:r>
      <w:r w:rsidR="0022737D" w:rsidRPr="002B2D67">
        <w:rPr>
          <w:rFonts w:ascii="Times New Roman" w:hAnsi="Times New Roman" w:cs="Times New Roman"/>
          <w:color w:val="000000"/>
          <w:sz w:val="24"/>
          <w:szCs w:val="24"/>
          <w:lang w:val="ru-RU"/>
        </w:rPr>
        <w:t>/</w:t>
      </w:r>
      <w:r w:rsidR="0022737D" w:rsidRPr="002B2D67">
        <w:rPr>
          <w:rFonts w:ascii="Times New Roman" w:hAnsi="Times New Roman" w:cs="Times New Roman"/>
          <w:color w:val="000000"/>
          <w:sz w:val="24"/>
          <w:szCs w:val="24"/>
          <w:lang w:val="en-US"/>
        </w:rPr>
        <w:t>mL</w:t>
      </w:r>
      <w:r w:rsidR="0022737D" w:rsidRPr="002B2D67">
        <w:rPr>
          <w:rFonts w:ascii="Times New Roman" w:hAnsi="Times New Roman" w:cs="Times New Roman"/>
          <w:color w:val="000000"/>
          <w:sz w:val="24"/>
          <w:szCs w:val="24"/>
          <w:lang w:val="ru-RU"/>
        </w:rPr>
        <w:t xml:space="preserve"> </w:t>
      </w:r>
      <w:r w:rsidRPr="002B2D67">
        <w:rPr>
          <w:rFonts w:ascii="Times New Roman" w:hAnsi="Times New Roman" w:cs="Times New Roman"/>
          <w:color w:val="000000"/>
          <w:sz w:val="24"/>
          <w:szCs w:val="24"/>
          <w:lang w:val="ru-RU"/>
        </w:rPr>
        <w:t xml:space="preserve">во </w:t>
      </w:r>
      <w:r w:rsidR="007238B0" w:rsidRPr="002B2D67">
        <w:rPr>
          <w:rFonts w:ascii="Times New Roman" w:hAnsi="Times New Roman" w:cs="Times New Roman"/>
          <w:color w:val="000000"/>
          <w:sz w:val="24"/>
          <w:szCs w:val="24"/>
        </w:rPr>
        <w:t>салива</w:t>
      </w:r>
      <w:r w:rsidRPr="002B2D67">
        <w:rPr>
          <w:rFonts w:ascii="Times New Roman" w:hAnsi="Times New Roman" w:cs="Times New Roman"/>
          <w:color w:val="000000"/>
          <w:sz w:val="24"/>
          <w:szCs w:val="24"/>
          <w:lang w:val="ru-RU"/>
        </w:rPr>
        <w:t xml:space="preserve"> </w:t>
      </w:r>
      <w:r w:rsidRPr="002B2D67">
        <w:rPr>
          <w:rFonts w:ascii="Times New Roman" w:hAnsi="Times New Roman" w:cs="Times New Roman"/>
          <w:color w:val="000000"/>
          <w:sz w:val="24"/>
          <w:szCs w:val="24"/>
        </w:rPr>
        <w:t xml:space="preserve">со димензијата на тумор (мм) беше направена кај испитуваната група. За </w:t>
      </w:r>
      <w:r w:rsidRPr="002B2D67">
        <w:rPr>
          <w:rFonts w:ascii="Times New Roman" w:hAnsi="Times New Roman" w:cs="Times New Roman"/>
          <w:bCs/>
          <w:color w:val="000000"/>
          <w:sz w:val="24"/>
          <w:szCs w:val="24"/>
        </w:rPr>
        <w:t>p</w:t>
      </w:r>
      <w:r w:rsidRPr="002B2D67">
        <w:rPr>
          <w:rFonts w:ascii="Times New Roman" w:hAnsi="Times New Roman" w:cs="Times New Roman"/>
          <w:bCs/>
          <w:color w:val="000000"/>
          <w:sz w:val="24"/>
          <w:szCs w:val="24"/>
          <w:lang w:val="ru-RU"/>
        </w:rPr>
        <w:t>&gt;</w:t>
      </w:r>
      <w:r w:rsidRPr="002B2D67">
        <w:rPr>
          <w:rFonts w:ascii="Times New Roman" w:hAnsi="Times New Roman" w:cs="Times New Roman"/>
          <w:bCs/>
          <w:color w:val="000000"/>
          <w:sz w:val="24"/>
          <w:szCs w:val="24"/>
        </w:rPr>
        <w:t xml:space="preserve">0,05, помеѓу </w:t>
      </w:r>
      <w:r w:rsidRPr="002B2D67">
        <w:rPr>
          <w:rFonts w:ascii="Times New Roman" w:hAnsi="Times New Roman" w:cs="Times New Roman"/>
          <w:color w:val="000000"/>
          <w:sz w:val="24"/>
          <w:szCs w:val="24"/>
          <w:lang w:val="en-US"/>
        </w:rPr>
        <w:t>IL</w:t>
      </w:r>
      <w:r w:rsidRPr="002B2D67">
        <w:rPr>
          <w:rFonts w:ascii="Times New Roman" w:hAnsi="Times New Roman" w:cs="Times New Roman"/>
          <w:color w:val="000000"/>
          <w:sz w:val="24"/>
          <w:szCs w:val="24"/>
          <w:lang w:val="ru-RU"/>
        </w:rPr>
        <w:t xml:space="preserve">-33 во </w:t>
      </w:r>
      <w:r w:rsidR="007238B0" w:rsidRPr="002B2D67">
        <w:rPr>
          <w:rFonts w:ascii="Times New Roman" w:hAnsi="Times New Roman" w:cs="Times New Roman"/>
          <w:color w:val="000000"/>
          <w:sz w:val="24"/>
          <w:szCs w:val="24"/>
        </w:rPr>
        <w:t>салива</w:t>
      </w:r>
      <w:r w:rsidRPr="002B2D67">
        <w:rPr>
          <w:rFonts w:ascii="Times New Roman" w:hAnsi="Times New Roman" w:cs="Times New Roman"/>
          <w:color w:val="000000"/>
          <w:sz w:val="24"/>
          <w:szCs w:val="24"/>
          <w:lang w:val="ru-RU"/>
        </w:rPr>
        <w:t xml:space="preserve"> </w:t>
      </w:r>
      <w:r w:rsidRPr="002B2D67">
        <w:rPr>
          <w:rFonts w:ascii="Times New Roman" w:hAnsi="Times New Roman" w:cs="Times New Roman"/>
          <w:color w:val="000000"/>
          <w:sz w:val="24"/>
          <w:szCs w:val="24"/>
        </w:rPr>
        <w:t xml:space="preserve">и димензијата на тумор </w:t>
      </w:r>
      <w:r w:rsidR="007238B0" w:rsidRPr="002B2D67">
        <w:rPr>
          <w:rFonts w:ascii="Times New Roman" w:hAnsi="Times New Roman" w:cs="Times New Roman"/>
          <w:bCs/>
          <w:color w:val="000000"/>
          <w:sz w:val="24"/>
          <w:szCs w:val="24"/>
        </w:rPr>
        <w:t>имаше</w:t>
      </w:r>
      <w:r w:rsidRPr="002B2D67">
        <w:rPr>
          <w:rFonts w:ascii="Times New Roman" w:hAnsi="Times New Roman" w:cs="Times New Roman"/>
          <w:bCs/>
          <w:color w:val="000000"/>
          <w:sz w:val="24"/>
          <w:szCs w:val="24"/>
        </w:rPr>
        <w:t xml:space="preserve"> несигнификантна позитивна </w:t>
      </w:r>
      <w:r w:rsidR="00730A97" w:rsidRPr="002B2D67">
        <w:rPr>
          <w:rFonts w:ascii="Times New Roman" w:hAnsi="Times New Roman" w:cs="Times New Roman"/>
          <w:bCs/>
          <w:color w:val="000000"/>
          <w:sz w:val="24"/>
          <w:szCs w:val="24"/>
        </w:rPr>
        <w:t xml:space="preserve">линеарна </w:t>
      </w:r>
      <w:r w:rsidRPr="002B2D67">
        <w:rPr>
          <w:rFonts w:ascii="Times New Roman" w:hAnsi="Times New Roman" w:cs="Times New Roman"/>
          <w:bCs/>
          <w:color w:val="000000"/>
          <w:sz w:val="24"/>
          <w:szCs w:val="24"/>
        </w:rPr>
        <w:t>корелација (R</w:t>
      </w:r>
      <w:r w:rsidRPr="002B2D67">
        <w:rPr>
          <w:rFonts w:ascii="Times New Roman" w:hAnsi="Times New Roman" w:cs="Times New Roman"/>
          <w:bCs/>
          <w:color w:val="000000"/>
          <w:sz w:val="24"/>
          <w:szCs w:val="24"/>
          <w:vertAlign w:val="subscript"/>
        </w:rPr>
        <w:t>(39)</w:t>
      </w:r>
      <w:r w:rsidRPr="002B2D67">
        <w:rPr>
          <w:rFonts w:ascii="Times New Roman" w:hAnsi="Times New Roman" w:cs="Times New Roman"/>
          <w:bCs/>
          <w:color w:val="000000"/>
          <w:sz w:val="24"/>
          <w:szCs w:val="24"/>
        </w:rPr>
        <w:t>=0,</w:t>
      </w:r>
      <w:r w:rsidR="007238B0" w:rsidRPr="002B2D67">
        <w:rPr>
          <w:rFonts w:ascii="Times New Roman" w:hAnsi="Times New Roman" w:cs="Times New Roman"/>
          <w:bCs/>
          <w:color w:val="000000"/>
          <w:sz w:val="24"/>
          <w:szCs w:val="24"/>
        </w:rPr>
        <w:t>228</w:t>
      </w:r>
      <w:r w:rsidRPr="002B2D67">
        <w:rPr>
          <w:rFonts w:ascii="Times New Roman" w:hAnsi="Times New Roman" w:cs="Times New Roman"/>
          <w:bCs/>
          <w:color w:val="000000"/>
          <w:sz w:val="24"/>
          <w:szCs w:val="24"/>
        </w:rPr>
        <w:t>; p=0,</w:t>
      </w:r>
      <w:r w:rsidR="007238B0" w:rsidRPr="002B2D67">
        <w:rPr>
          <w:rFonts w:ascii="Times New Roman" w:hAnsi="Times New Roman" w:cs="Times New Roman"/>
          <w:bCs/>
          <w:color w:val="000000"/>
          <w:sz w:val="24"/>
          <w:szCs w:val="24"/>
        </w:rPr>
        <w:t>162</w:t>
      </w:r>
      <w:r w:rsidRPr="002B2D67">
        <w:rPr>
          <w:rFonts w:ascii="Times New Roman" w:hAnsi="Times New Roman" w:cs="Times New Roman"/>
          <w:bCs/>
          <w:color w:val="000000"/>
          <w:sz w:val="24"/>
          <w:szCs w:val="24"/>
        </w:rPr>
        <w:t xml:space="preserve">). </w:t>
      </w:r>
      <w:r w:rsidRPr="002B2D67">
        <w:rPr>
          <w:rFonts w:ascii="Times New Roman" w:hAnsi="Times New Roman" w:cs="Times New Roman"/>
          <w:color w:val="000000"/>
          <w:sz w:val="24"/>
          <w:szCs w:val="24"/>
          <w:lang w:val="en-US"/>
        </w:rPr>
        <w:t>IL</w:t>
      </w:r>
      <w:r w:rsidRPr="002B2D67">
        <w:rPr>
          <w:rFonts w:ascii="Times New Roman" w:hAnsi="Times New Roman" w:cs="Times New Roman"/>
          <w:color w:val="000000"/>
          <w:sz w:val="24"/>
          <w:szCs w:val="24"/>
          <w:lang w:val="ru-RU"/>
        </w:rPr>
        <w:t xml:space="preserve">-33 во </w:t>
      </w:r>
      <w:r w:rsidR="007238B0" w:rsidRPr="002B2D67">
        <w:rPr>
          <w:rFonts w:ascii="Times New Roman" w:hAnsi="Times New Roman" w:cs="Times New Roman"/>
          <w:color w:val="000000"/>
          <w:sz w:val="24"/>
          <w:szCs w:val="24"/>
        </w:rPr>
        <w:t>салива</w:t>
      </w:r>
      <w:r w:rsidRPr="002B2D67">
        <w:rPr>
          <w:rFonts w:ascii="Times New Roman" w:hAnsi="Times New Roman" w:cs="Times New Roman"/>
          <w:color w:val="000000"/>
          <w:sz w:val="24"/>
          <w:szCs w:val="24"/>
        </w:rPr>
        <w:t xml:space="preserve"> </w:t>
      </w:r>
      <w:r w:rsidRPr="002B2D67">
        <w:rPr>
          <w:rFonts w:ascii="Times New Roman" w:hAnsi="Times New Roman" w:cs="Times New Roman"/>
          <w:bCs/>
          <w:color w:val="000000"/>
          <w:sz w:val="24"/>
          <w:szCs w:val="24"/>
        </w:rPr>
        <w:t xml:space="preserve">несигнификантно </w:t>
      </w:r>
      <w:r w:rsidR="007238B0" w:rsidRPr="002B2D67">
        <w:rPr>
          <w:rFonts w:ascii="Times New Roman" w:hAnsi="Times New Roman" w:cs="Times New Roman"/>
          <w:bCs/>
          <w:color w:val="000000"/>
          <w:sz w:val="24"/>
          <w:szCs w:val="24"/>
        </w:rPr>
        <w:t>растеше со растење на димензиите на туморите</w:t>
      </w:r>
      <w:r w:rsidRPr="002B2D67">
        <w:rPr>
          <w:rFonts w:ascii="Times New Roman" w:hAnsi="Times New Roman" w:cs="Times New Roman"/>
          <w:bCs/>
          <w:color w:val="000000"/>
          <w:sz w:val="24"/>
          <w:szCs w:val="24"/>
        </w:rPr>
        <w:t xml:space="preserve"> на паротидните жлезди </w:t>
      </w:r>
      <w:r w:rsidRPr="002B2D67">
        <w:rPr>
          <w:rFonts w:ascii="Times New Roman" w:hAnsi="Times New Roman" w:cs="Times New Roman"/>
          <w:color w:val="000000"/>
          <w:sz w:val="24"/>
          <w:szCs w:val="24"/>
        </w:rPr>
        <w:t xml:space="preserve">(Табела 14 и График </w:t>
      </w:r>
      <w:r w:rsidR="00422777" w:rsidRPr="002B2D67">
        <w:rPr>
          <w:rFonts w:ascii="Times New Roman" w:hAnsi="Times New Roman" w:cs="Times New Roman"/>
          <w:color w:val="000000"/>
          <w:sz w:val="24"/>
          <w:szCs w:val="24"/>
        </w:rPr>
        <w:t>26</w:t>
      </w:r>
      <w:r w:rsidRPr="002B2D67">
        <w:rPr>
          <w:rFonts w:ascii="Times New Roman" w:hAnsi="Times New Roman" w:cs="Times New Roman"/>
          <w:color w:val="000000"/>
          <w:sz w:val="24"/>
          <w:szCs w:val="24"/>
        </w:rPr>
        <w:t>).</w:t>
      </w:r>
    </w:p>
    <w:p w:rsidR="00020DAA" w:rsidRPr="002B2D67" w:rsidRDefault="007868F9" w:rsidP="007868F9">
      <w:pPr>
        <w:pStyle w:val="Heading1"/>
        <w:spacing w:before="0" w:beforeAutospacing="0" w:after="0" w:afterAutospacing="0" w:line="360" w:lineRule="auto"/>
        <w:jc w:val="center"/>
        <w:rPr>
          <w:rFonts w:ascii="Times New Roman" w:hAnsi="Times New Roman" w:cs="Times New Roman"/>
          <w:color w:val="000000"/>
          <w:sz w:val="20"/>
          <w:szCs w:val="20"/>
          <w:lang w:val="ru-RU"/>
        </w:rPr>
      </w:pPr>
      <w:r>
        <w:rPr>
          <w:rFonts w:ascii="Times New Roman" w:hAnsi="Times New Roman" w:cs="Times New Roman"/>
          <w:noProof/>
          <w:color w:val="000000"/>
          <w:sz w:val="20"/>
          <w:szCs w:val="20"/>
        </w:rPr>
        <w:drawing>
          <wp:anchor distT="0" distB="0" distL="114300" distR="114300" simplePos="0" relativeHeight="251670016" behindDoc="1" locked="0" layoutInCell="1" allowOverlap="1">
            <wp:simplePos x="0" y="0"/>
            <wp:positionH relativeFrom="column">
              <wp:posOffset>171450</wp:posOffset>
            </wp:positionH>
            <wp:positionV relativeFrom="paragraph">
              <wp:posOffset>-1270</wp:posOffset>
            </wp:positionV>
            <wp:extent cx="5492750" cy="4127500"/>
            <wp:effectExtent l="19050" t="0" r="0" b="0"/>
            <wp:wrapTight wrapText="bothSides">
              <wp:wrapPolygon edited="0">
                <wp:start x="-75" y="0"/>
                <wp:lineTo x="-75" y="21434"/>
                <wp:lineTo x="21575" y="21434"/>
                <wp:lineTo x="21575" y="0"/>
                <wp:lineTo x="-75" y="0"/>
              </wp:wrapPolygon>
            </wp:wrapTight>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2"/>
                    <a:srcRect/>
                    <a:stretch>
                      <a:fillRect/>
                    </a:stretch>
                  </pic:blipFill>
                  <pic:spPr bwMode="auto">
                    <a:xfrm>
                      <a:off x="0" y="0"/>
                      <a:ext cx="5492750" cy="4127500"/>
                    </a:xfrm>
                    <a:prstGeom prst="rect">
                      <a:avLst/>
                    </a:prstGeom>
                    <a:noFill/>
                    <a:ln w="9525">
                      <a:noFill/>
                      <a:miter lim="800000"/>
                      <a:headEnd/>
                      <a:tailEnd/>
                    </a:ln>
                  </pic:spPr>
                </pic:pic>
              </a:graphicData>
            </a:graphic>
          </wp:anchor>
        </w:drawing>
      </w:r>
      <w:r w:rsidR="002B2D67">
        <w:rPr>
          <w:rFonts w:ascii="Times New Roman" w:hAnsi="Times New Roman" w:cs="Times New Roman"/>
          <w:color w:val="000000"/>
          <w:sz w:val="20"/>
          <w:szCs w:val="20"/>
          <w:lang w:val="ru-RU"/>
        </w:rPr>
        <w:t xml:space="preserve"> </w:t>
      </w:r>
      <w:r w:rsidR="00020DAA" w:rsidRPr="00A926CA">
        <w:rPr>
          <w:rFonts w:ascii="Times New Roman" w:hAnsi="Times New Roman" w:cs="Times New Roman"/>
          <w:color w:val="000000"/>
          <w:sz w:val="20"/>
          <w:szCs w:val="20"/>
          <w:lang w:val="ru-RU"/>
        </w:rPr>
        <w:t>График 2</w:t>
      </w:r>
      <w:r w:rsidR="00020DAA" w:rsidRPr="00F85692">
        <w:rPr>
          <w:rFonts w:ascii="Times New Roman" w:hAnsi="Times New Roman" w:cs="Times New Roman"/>
          <w:color w:val="000000"/>
          <w:sz w:val="20"/>
          <w:szCs w:val="20"/>
          <w:lang w:val="mk-MK"/>
        </w:rPr>
        <w:t>6</w:t>
      </w:r>
      <w:r w:rsidR="00020DAA" w:rsidRPr="00F85692">
        <w:rPr>
          <w:rFonts w:ascii="Times New Roman" w:hAnsi="Times New Roman" w:cs="Times New Roman"/>
          <w:color w:val="000000"/>
          <w:sz w:val="20"/>
          <w:szCs w:val="20"/>
          <w:lang w:val="ru-RU"/>
        </w:rPr>
        <w:t xml:space="preserve">. </w:t>
      </w:r>
      <w:r w:rsidR="00020DAA" w:rsidRPr="00F85692">
        <w:rPr>
          <w:rFonts w:ascii="Times New Roman" w:hAnsi="Times New Roman" w:cs="Times New Roman"/>
          <w:color w:val="000000"/>
          <w:sz w:val="20"/>
          <w:szCs w:val="20"/>
          <w:lang w:val="mk-MK"/>
        </w:rPr>
        <w:t xml:space="preserve">Корелација на </w:t>
      </w:r>
      <w:r w:rsidR="00020DAA" w:rsidRPr="00F85692">
        <w:rPr>
          <w:rFonts w:ascii="Times New Roman" w:hAnsi="Times New Roman" w:cs="Times New Roman"/>
          <w:color w:val="000000"/>
          <w:sz w:val="20"/>
          <w:szCs w:val="20"/>
        </w:rPr>
        <w:t>IL</w:t>
      </w:r>
      <w:r w:rsidR="00020DAA" w:rsidRPr="00A926CA">
        <w:rPr>
          <w:rFonts w:ascii="Times New Roman" w:hAnsi="Times New Roman" w:cs="Times New Roman"/>
          <w:color w:val="000000"/>
          <w:sz w:val="20"/>
          <w:szCs w:val="20"/>
          <w:lang w:val="ru-RU"/>
        </w:rPr>
        <w:t xml:space="preserve">-33 </w:t>
      </w:r>
      <w:r w:rsidR="0022737D" w:rsidRPr="0022737D">
        <w:rPr>
          <w:rFonts w:ascii="Times New Roman" w:hAnsi="Times New Roman" w:cs="Times New Roman"/>
          <w:color w:val="000000"/>
          <w:sz w:val="20"/>
          <w:szCs w:val="20"/>
        </w:rPr>
        <w:t>pg</w:t>
      </w:r>
      <w:r w:rsidR="0022737D" w:rsidRPr="00A926CA">
        <w:rPr>
          <w:rFonts w:ascii="Times New Roman" w:hAnsi="Times New Roman" w:cs="Times New Roman"/>
          <w:color w:val="000000"/>
          <w:sz w:val="20"/>
          <w:szCs w:val="20"/>
          <w:lang w:val="ru-RU"/>
        </w:rPr>
        <w:t>/</w:t>
      </w:r>
      <w:r w:rsidR="0022737D" w:rsidRPr="0022737D">
        <w:rPr>
          <w:rFonts w:ascii="Times New Roman" w:hAnsi="Times New Roman" w:cs="Times New Roman"/>
          <w:color w:val="000000"/>
          <w:sz w:val="20"/>
          <w:szCs w:val="20"/>
        </w:rPr>
        <w:t>mL</w:t>
      </w:r>
      <w:r w:rsidR="0022737D" w:rsidRPr="00A926CA">
        <w:rPr>
          <w:rFonts w:ascii="Times New Roman" w:hAnsi="Times New Roman" w:cs="Times New Roman"/>
          <w:color w:val="000000"/>
          <w:sz w:val="24"/>
          <w:szCs w:val="24"/>
          <w:lang w:val="ru-RU"/>
        </w:rPr>
        <w:t xml:space="preserve"> </w:t>
      </w:r>
      <w:r w:rsidR="00020DAA" w:rsidRPr="00A926CA">
        <w:rPr>
          <w:rFonts w:ascii="Times New Roman" w:hAnsi="Times New Roman" w:cs="Times New Roman"/>
          <w:color w:val="000000"/>
          <w:sz w:val="20"/>
          <w:szCs w:val="20"/>
          <w:lang w:val="ru-RU"/>
        </w:rPr>
        <w:t xml:space="preserve">во </w:t>
      </w:r>
      <w:r w:rsidR="00020DAA" w:rsidRPr="00F85692">
        <w:rPr>
          <w:rFonts w:ascii="Times New Roman" w:hAnsi="Times New Roman" w:cs="Times New Roman"/>
          <w:color w:val="000000"/>
          <w:sz w:val="20"/>
          <w:szCs w:val="20"/>
          <w:lang w:val="mk-MK"/>
        </w:rPr>
        <w:t>салива</w:t>
      </w:r>
      <w:r w:rsidR="00020DAA" w:rsidRPr="00A926CA">
        <w:rPr>
          <w:rFonts w:ascii="Times New Roman" w:hAnsi="Times New Roman" w:cs="Times New Roman"/>
          <w:color w:val="000000"/>
          <w:sz w:val="20"/>
          <w:szCs w:val="20"/>
          <w:lang w:val="ru-RU"/>
        </w:rPr>
        <w:t xml:space="preserve"> </w:t>
      </w:r>
      <w:r w:rsidR="00020DAA" w:rsidRPr="00F85692">
        <w:rPr>
          <w:rFonts w:ascii="Times New Roman" w:hAnsi="Times New Roman" w:cs="Times New Roman"/>
          <w:color w:val="000000"/>
          <w:sz w:val="20"/>
          <w:szCs w:val="20"/>
          <w:lang w:val="mk-MK"/>
        </w:rPr>
        <w:t>и</w:t>
      </w:r>
      <w:r w:rsidR="00020DAA" w:rsidRPr="00A926CA">
        <w:rPr>
          <w:rFonts w:ascii="Times New Roman" w:hAnsi="Times New Roman" w:cs="Times New Roman"/>
          <w:color w:val="000000"/>
          <w:sz w:val="20"/>
          <w:szCs w:val="20"/>
          <w:lang w:val="ru-RU"/>
        </w:rPr>
        <w:t xml:space="preserve"> селектирани параметри</w:t>
      </w:r>
    </w:p>
    <w:p w:rsidR="00167A89" w:rsidRDefault="00167A89" w:rsidP="000A75E1">
      <w:pPr>
        <w:spacing w:after="120" w:line="360" w:lineRule="auto"/>
        <w:ind w:firstLine="720"/>
        <w:jc w:val="both"/>
        <w:rPr>
          <w:rFonts w:ascii="Times New Roman" w:hAnsi="Times New Roman" w:cs="Times New Roman"/>
          <w:bCs/>
          <w:color w:val="000000"/>
          <w:sz w:val="18"/>
          <w:szCs w:val="18"/>
        </w:rPr>
      </w:pPr>
    </w:p>
    <w:p w:rsidR="007868F9" w:rsidRDefault="00730A97" w:rsidP="002B2D67">
      <w:pPr>
        <w:spacing w:after="20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F85692" w:rsidRPr="00F85692">
        <w:rPr>
          <w:rFonts w:ascii="Times New Roman" w:hAnsi="Times New Roman" w:cs="Times New Roman"/>
          <w:color w:val="000000"/>
          <w:sz w:val="24"/>
          <w:szCs w:val="24"/>
        </w:rPr>
        <w:t>о цел за согледување на евентуални разлики во степенот на поврзаност</w:t>
      </w:r>
      <w:r w:rsidR="00F85692">
        <w:rPr>
          <w:rFonts w:ascii="Times New Roman" w:hAnsi="Times New Roman" w:cs="Times New Roman"/>
          <w:color w:val="000000"/>
          <w:sz w:val="24"/>
          <w:szCs w:val="24"/>
        </w:rPr>
        <w:t>,</w:t>
      </w:r>
      <w:r w:rsidR="00F85692" w:rsidRPr="00F85692">
        <w:rPr>
          <w:rFonts w:ascii="Times New Roman" w:hAnsi="Times New Roman" w:cs="Times New Roman"/>
          <w:color w:val="000000"/>
          <w:sz w:val="24"/>
          <w:szCs w:val="24"/>
        </w:rPr>
        <w:t xml:space="preserve"> </w:t>
      </w:r>
      <w:r w:rsidR="00A006E8" w:rsidRPr="00F85692">
        <w:rPr>
          <w:rFonts w:ascii="Times New Roman" w:hAnsi="Times New Roman" w:cs="Times New Roman"/>
          <w:color w:val="000000"/>
          <w:sz w:val="24"/>
          <w:szCs w:val="24"/>
        </w:rPr>
        <w:t xml:space="preserve">направена беше споредба на добиените вредности за </w:t>
      </w:r>
      <w:r w:rsidR="00F85692">
        <w:rPr>
          <w:rFonts w:ascii="Times New Roman" w:hAnsi="Times New Roman" w:cs="Times New Roman"/>
          <w:color w:val="000000"/>
          <w:sz w:val="24"/>
          <w:szCs w:val="24"/>
        </w:rPr>
        <w:t xml:space="preserve">коефициентот на </w:t>
      </w:r>
      <w:r w:rsidR="00A006E8" w:rsidRPr="00F85692">
        <w:rPr>
          <w:rFonts w:ascii="Times New Roman" w:hAnsi="Times New Roman" w:cs="Times New Roman"/>
          <w:color w:val="000000"/>
          <w:sz w:val="24"/>
          <w:szCs w:val="24"/>
        </w:rPr>
        <w:t xml:space="preserve">корелацијата на </w:t>
      </w:r>
      <w:r w:rsidR="00A006E8" w:rsidRPr="00F85692">
        <w:rPr>
          <w:rFonts w:ascii="Times New Roman" w:hAnsi="Times New Roman" w:cs="Times New Roman"/>
          <w:color w:val="000000"/>
          <w:sz w:val="24"/>
          <w:szCs w:val="24"/>
          <w:lang w:val="en-US"/>
        </w:rPr>
        <w:t>IL</w:t>
      </w:r>
      <w:r w:rsidR="00A006E8"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00A006E8" w:rsidRPr="00A926CA">
        <w:rPr>
          <w:rFonts w:ascii="Times New Roman" w:hAnsi="Times New Roman" w:cs="Times New Roman"/>
          <w:color w:val="000000"/>
          <w:sz w:val="24"/>
          <w:szCs w:val="24"/>
          <w:lang w:val="ru-RU"/>
        </w:rPr>
        <w:t xml:space="preserve">во серум </w:t>
      </w:r>
      <w:r w:rsidR="00A006E8" w:rsidRPr="00F85692">
        <w:rPr>
          <w:rFonts w:ascii="Times New Roman" w:hAnsi="Times New Roman" w:cs="Times New Roman"/>
          <w:color w:val="000000"/>
          <w:sz w:val="24"/>
          <w:szCs w:val="24"/>
        </w:rPr>
        <w:t xml:space="preserve">односно </w:t>
      </w:r>
      <w:r w:rsidR="00A006E8" w:rsidRPr="00F85692">
        <w:rPr>
          <w:rFonts w:ascii="Times New Roman" w:hAnsi="Times New Roman" w:cs="Times New Roman"/>
          <w:color w:val="000000"/>
          <w:sz w:val="24"/>
          <w:szCs w:val="24"/>
          <w:lang w:val="en-US"/>
        </w:rPr>
        <w:t>IL</w:t>
      </w:r>
      <w:r w:rsidR="00A006E8" w:rsidRPr="00A926CA">
        <w:rPr>
          <w:rFonts w:ascii="Times New Roman" w:hAnsi="Times New Roman" w:cs="Times New Roman"/>
          <w:color w:val="000000"/>
          <w:sz w:val="24"/>
          <w:szCs w:val="24"/>
          <w:lang w:val="ru-RU"/>
        </w:rPr>
        <w:t xml:space="preserve">-33 </w:t>
      </w:r>
      <w:r w:rsidR="0022737D">
        <w:rPr>
          <w:rFonts w:ascii="Times New Roman" w:hAnsi="Times New Roman" w:cs="Times New Roman"/>
          <w:color w:val="000000"/>
          <w:sz w:val="24"/>
          <w:szCs w:val="24"/>
          <w:lang w:val="en-US"/>
        </w:rPr>
        <w:t>pg</w:t>
      </w:r>
      <w:r w:rsidR="0022737D" w:rsidRPr="00A926CA">
        <w:rPr>
          <w:rFonts w:ascii="Times New Roman" w:hAnsi="Times New Roman" w:cs="Times New Roman"/>
          <w:color w:val="000000"/>
          <w:sz w:val="24"/>
          <w:szCs w:val="24"/>
          <w:lang w:val="ru-RU"/>
        </w:rPr>
        <w:t>/</w:t>
      </w:r>
      <w:r w:rsidR="0022737D">
        <w:rPr>
          <w:rFonts w:ascii="Times New Roman" w:hAnsi="Times New Roman" w:cs="Times New Roman"/>
          <w:color w:val="000000"/>
          <w:sz w:val="24"/>
          <w:szCs w:val="24"/>
          <w:lang w:val="en-US"/>
        </w:rPr>
        <w:t>mL</w:t>
      </w:r>
      <w:r w:rsidR="0022737D" w:rsidRPr="00A926CA">
        <w:rPr>
          <w:rFonts w:ascii="Times New Roman" w:hAnsi="Times New Roman" w:cs="Times New Roman"/>
          <w:color w:val="000000"/>
          <w:sz w:val="24"/>
          <w:szCs w:val="24"/>
          <w:lang w:val="ru-RU"/>
        </w:rPr>
        <w:t xml:space="preserve"> </w:t>
      </w:r>
      <w:r w:rsidR="00A006E8" w:rsidRPr="00A926CA">
        <w:rPr>
          <w:rFonts w:ascii="Times New Roman" w:hAnsi="Times New Roman" w:cs="Times New Roman"/>
          <w:color w:val="000000"/>
          <w:sz w:val="24"/>
          <w:szCs w:val="24"/>
          <w:lang w:val="ru-RU"/>
        </w:rPr>
        <w:t>во салива</w:t>
      </w:r>
      <w:r w:rsidR="00A006E8" w:rsidRPr="00F85692">
        <w:rPr>
          <w:rFonts w:ascii="Times New Roman" w:hAnsi="Times New Roman" w:cs="Times New Roman"/>
          <w:color w:val="000000"/>
          <w:sz w:val="24"/>
          <w:szCs w:val="24"/>
        </w:rPr>
        <w:t xml:space="preserve"> со секој од </w:t>
      </w:r>
      <w:r w:rsidR="00F85692">
        <w:rPr>
          <w:rFonts w:ascii="Times New Roman" w:hAnsi="Times New Roman" w:cs="Times New Roman"/>
          <w:color w:val="000000"/>
          <w:sz w:val="24"/>
          <w:szCs w:val="24"/>
        </w:rPr>
        <w:t xml:space="preserve">петте </w:t>
      </w:r>
      <w:r w:rsidR="00A006E8" w:rsidRPr="00F85692">
        <w:rPr>
          <w:rFonts w:ascii="Times New Roman" w:hAnsi="Times New Roman" w:cs="Times New Roman"/>
          <w:color w:val="000000"/>
          <w:sz w:val="24"/>
          <w:szCs w:val="24"/>
        </w:rPr>
        <w:t>селектирани параметри.</w:t>
      </w:r>
      <w:r w:rsidR="00F85692" w:rsidRPr="00F85692">
        <w:rPr>
          <w:rFonts w:ascii="Times New Roman" w:hAnsi="Times New Roman" w:cs="Times New Roman"/>
          <w:color w:val="000000"/>
          <w:sz w:val="24"/>
          <w:szCs w:val="24"/>
        </w:rPr>
        <w:t xml:space="preserve"> </w:t>
      </w:r>
    </w:p>
    <w:p w:rsidR="00A006E8" w:rsidRPr="00F85692" w:rsidRDefault="00A006E8" w:rsidP="000B4811">
      <w:pPr>
        <w:spacing w:after="200"/>
        <w:jc w:val="both"/>
        <w:rPr>
          <w:rFonts w:ascii="Times New Roman" w:hAnsi="Times New Roman" w:cs="Times New Roman"/>
          <w:bCs/>
          <w:color w:val="000000"/>
          <w:sz w:val="24"/>
          <w:szCs w:val="24"/>
        </w:rPr>
      </w:pPr>
      <w:r w:rsidRPr="00F85692">
        <w:rPr>
          <w:rFonts w:ascii="Times New Roman" w:hAnsi="Times New Roman" w:cs="Times New Roman"/>
          <w:color w:val="000000"/>
          <w:sz w:val="24"/>
          <w:szCs w:val="24"/>
        </w:rPr>
        <w:t xml:space="preserve">За p&gt;0,05, </w:t>
      </w:r>
      <w:r w:rsidR="0066146A">
        <w:rPr>
          <w:rFonts w:ascii="Times New Roman" w:hAnsi="Times New Roman" w:cs="Times New Roman"/>
          <w:bCs/>
          <w:color w:val="000000"/>
          <w:sz w:val="24"/>
          <w:szCs w:val="24"/>
        </w:rPr>
        <w:t>немаше</w:t>
      </w:r>
      <w:r w:rsidRPr="00F85692">
        <w:rPr>
          <w:rFonts w:ascii="Times New Roman" w:hAnsi="Times New Roman" w:cs="Times New Roman"/>
          <w:bCs/>
          <w:color w:val="000000"/>
          <w:sz w:val="24"/>
          <w:szCs w:val="24"/>
        </w:rPr>
        <w:t xml:space="preserve"> сигнификантна разлика </w:t>
      </w:r>
      <w:r w:rsidR="00F85692">
        <w:rPr>
          <w:rFonts w:ascii="Times New Roman" w:hAnsi="Times New Roman" w:cs="Times New Roman"/>
          <w:bCs/>
          <w:color w:val="000000"/>
          <w:sz w:val="24"/>
          <w:szCs w:val="24"/>
        </w:rPr>
        <w:t xml:space="preserve">кај ниедна од направените споредби </w:t>
      </w:r>
      <w:r w:rsidRPr="00F85692">
        <w:rPr>
          <w:rFonts w:ascii="Times New Roman" w:hAnsi="Times New Roman" w:cs="Times New Roman"/>
          <w:bCs/>
          <w:color w:val="000000"/>
          <w:sz w:val="24"/>
          <w:szCs w:val="24"/>
        </w:rPr>
        <w:t xml:space="preserve">помеѓу корелацијата </w:t>
      </w:r>
      <w:r w:rsidR="00F85692" w:rsidRPr="00F85692">
        <w:rPr>
          <w:rFonts w:ascii="Times New Roman" w:hAnsi="Times New Roman" w:cs="Times New Roman"/>
          <w:color w:val="000000"/>
          <w:sz w:val="24"/>
          <w:szCs w:val="24"/>
        </w:rPr>
        <w:t xml:space="preserve">на </w:t>
      </w:r>
      <w:r w:rsidR="00F85692" w:rsidRPr="00F85692">
        <w:rPr>
          <w:rFonts w:ascii="Times New Roman" w:hAnsi="Times New Roman" w:cs="Times New Roman"/>
          <w:color w:val="000000"/>
          <w:sz w:val="24"/>
          <w:szCs w:val="24"/>
          <w:lang w:val="en-US"/>
        </w:rPr>
        <w:t>IL</w:t>
      </w:r>
      <w:r w:rsidR="00F85692" w:rsidRPr="00A926CA">
        <w:rPr>
          <w:rFonts w:ascii="Times New Roman" w:hAnsi="Times New Roman" w:cs="Times New Roman"/>
          <w:color w:val="000000"/>
          <w:sz w:val="24"/>
          <w:szCs w:val="24"/>
          <w:lang w:val="ru-RU"/>
        </w:rPr>
        <w:t xml:space="preserve">-33 во серум </w:t>
      </w:r>
      <w:r w:rsidR="00F85692" w:rsidRPr="00F85692">
        <w:rPr>
          <w:rFonts w:ascii="Times New Roman" w:hAnsi="Times New Roman" w:cs="Times New Roman"/>
          <w:color w:val="000000"/>
          <w:sz w:val="24"/>
          <w:szCs w:val="24"/>
        </w:rPr>
        <w:t xml:space="preserve">односно </w:t>
      </w:r>
      <w:r w:rsidR="00F85692" w:rsidRPr="00F85692">
        <w:rPr>
          <w:rFonts w:ascii="Times New Roman" w:hAnsi="Times New Roman" w:cs="Times New Roman"/>
          <w:color w:val="000000"/>
          <w:sz w:val="24"/>
          <w:szCs w:val="24"/>
          <w:lang w:val="en-US"/>
        </w:rPr>
        <w:t>IL</w:t>
      </w:r>
      <w:r w:rsidR="00F85692" w:rsidRPr="00A926CA">
        <w:rPr>
          <w:rFonts w:ascii="Times New Roman" w:hAnsi="Times New Roman" w:cs="Times New Roman"/>
          <w:color w:val="000000"/>
          <w:sz w:val="24"/>
          <w:szCs w:val="24"/>
          <w:lang w:val="ru-RU"/>
        </w:rPr>
        <w:t>-33 во салива</w:t>
      </w:r>
      <w:r w:rsidR="00F85692" w:rsidRPr="00F85692">
        <w:rPr>
          <w:rFonts w:ascii="Times New Roman" w:hAnsi="Times New Roman" w:cs="Times New Roman"/>
          <w:color w:val="000000"/>
          <w:sz w:val="24"/>
          <w:szCs w:val="24"/>
        </w:rPr>
        <w:t xml:space="preserve"> </w:t>
      </w:r>
      <w:r w:rsidRPr="00F85692">
        <w:rPr>
          <w:rFonts w:ascii="Times New Roman" w:hAnsi="Times New Roman" w:cs="Times New Roman"/>
          <w:bCs/>
          <w:color w:val="000000"/>
          <w:sz w:val="24"/>
          <w:szCs w:val="24"/>
        </w:rPr>
        <w:t xml:space="preserve">со </w:t>
      </w:r>
      <w:r w:rsidR="00F85692" w:rsidRPr="00F85692">
        <w:rPr>
          <w:rFonts w:ascii="Times New Roman" w:hAnsi="Times New Roman" w:cs="Times New Roman"/>
          <w:bCs/>
          <w:color w:val="000000"/>
          <w:sz w:val="24"/>
          <w:szCs w:val="24"/>
        </w:rPr>
        <w:t>параметри</w:t>
      </w:r>
      <w:r w:rsidR="0066146A">
        <w:rPr>
          <w:rFonts w:ascii="Times New Roman" w:hAnsi="Times New Roman" w:cs="Times New Roman"/>
          <w:bCs/>
          <w:color w:val="000000"/>
          <w:sz w:val="24"/>
          <w:szCs w:val="24"/>
        </w:rPr>
        <w:t>те</w:t>
      </w:r>
      <w:r w:rsidR="00F85692" w:rsidRPr="00F85692">
        <w:rPr>
          <w:rFonts w:ascii="Times New Roman" w:hAnsi="Times New Roman" w:cs="Times New Roman"/>
          <w:bCs/>
          <w:color w:val="000000"/>
          <w:sz w:val="24"/>
          <w:szCs w:val="24"/>
        </w:rPr>
        <w:t xml:space="preserve"> и тоа </w:t>
      </w:r>
      <w:r w:rsidR="00F85692">
        <w:rPr>
          <w:rFonts w:ascii="Times New Roman" w:hAnsi="Times New Roman" w:cs="Times New Roman"/>
          <w:bCs/>
          <w:color w:val="000000"/>
          <w:sz w:val="24"/>
          <w:szCs w:val="24"/>
        </w:rPr>
        <w:t xml:space="preserve">за: а) </w:t>
      </w:r>
      <w:r w:rsidR="00F85692" w:rsidRPr="00F85692">
        <w:rPr>
          <w:rFonts w:ascii="Times New Roman" w:hAnsi="Times New Roman" w:cs="Times New Roman"/>
          <w:bCs/>
          <w:color w:val="000000"/>
          <w:sz w:val="24"/>
          <w:szCs w:val="24"/>
        </w:rPr>
        <w:t xml:space="preserve">пол - </w:t>
      </w:r>
      <w:r w:rsidR="00F85692" w:rsidRPr="00F85692">
        <w:rPr>
          <w:rFonts w:ascii="Times New Roman" w:hAnsi="Times New Roman" w:cs="Times New Roman"/>
          <w:color w:val="000000"/>
          <w:sz w:val="24"/>
          <w:szCs w:val="24"/>
        </w:rPr>
        <w:t xml:space="preserve">z-Score=0,453; p=0,6505; </w:t>
      </w:r>
      <w:r w:rsidR="00F85692">
        <w:rPr>
          <w:rFonts w:ascii="Times New Roman" w:hAnsi="Times New Roman" w:cs="Times New Roman"/>
          <w:color w:val="000000"/>
          <w:sz w:val="24"/>
          <w:szCs w:val="24"/>
        </w:rPr>
        <w:t xml:space="preserve">б) </w:t>
      </w:r>
      <w:r w:rsidR="00F85692" w:rsidRPr="00F85692">
        <w:rPr>
          <w:rFonts w:ascii="Times New Roman" w:hAnsi="Times New Roman" w:cs="Times New Roman"/>
          <w:color w:val="000000"/>
          <w:sz w:val="24"/>
          <w:szCs w:val="24"/>
        </w:rPr>
        <w:t xml:space="preserve">возраст - z=-0,378; p=0,7054; </w:t>
      </w:r>
      <w:r w:rsidR="00F85692">
        <w:rPr>
          <w:rFonts w:ascii="Times New Roman" w:hAnsi="Times New Roman" w:cs="Times New Roman"/>
          <w:color w:val="000000"/>
          <w:sz w:val="24"/>
          <w:szCs w:val="24"/>
        </w:rPr>
        <w:t xml:space="preserve">в) </w:t>
      </w:r>
      <w:r w:rsidR="00F85692" w:rsidRPr="00F85692">
        <w:rPr>
          <w:rFonts w:ascii="Times New Roman" w:hAnsi="Times New Roman" w:cs="Times New Roman"/>
          <w:color w:val="000000"/>
          <w:sz w:val="24"/>
          <w:szCs w:val="24"/>
        </w:rPr>
        <w:t xml:space="preserve">вид на тумор - z=0,038; p=0,9695; </w:t>
      </w:r>
      <w:r w:rsidR="00F85692">
        <w:rPr>
          <w:rFonts w:ascii="Times New Roman" w:hAnsi="Times New Roman" w:cs="Times New Roman"/>
          <w:color w:val="000000"/>
          <w:sz w:val="24"/>
          <w:szCs w:val="24"/>
        </w:rPr>
        <w:t xml:space="preserve">г) </w:t>
      </w:r>
      <w:r w:rsidR="00F85692" w:rsidRPr="00F85692">
        <w:rPr>
          <w:rFonts w:ascii="Times New Roman" w:hAnsi="Times New Roman" w:cs="Times New Roman"/>
          <w:color w:val="000000"/>
          <w:sz w:val="24"/>
          <w:szCs w:val="24"/>
        </w:rPr>
        <w:t>локација - z=-0,669; p=0,5029</w:t>
      </w:r>
      <w:r w:rsidR="00F85692">
        <w:rPr>
          <w:rFonts w:ascii="Times New Roman" w:hAnsi="Times New Roman" w:cs="Times New Roman"/>
          <w:color w:val="000000"/>
          <w:sz w:val="24"/>
          <w:szCs w:val="24"/>
        </w:rPr>
        <w:t>;</w:t>
      </w:r>
      <w:r w:rsidR="00F85692" w:rsidRPr="00F85692">
        <w:rPr>
          <w:rFonts w:ascii="Times New Roman" w:hAnsi="Times New Roman" w:cs="Times New Roman"/>
          <w:color w:val="000000"/>
          <w:sz w:val="24"/>
          <w:szCs w:val="24"/>
        </w:rPr>
        <w:t xml:space="preserve"> и </w:t>
      </w:r>
      <w:r w:rsidR="00F85692">
        <w:rPr>
          <w:rFonts w:ascii="Times New Roman" w:hAnsi="Times New Roman" w:cs="Times New Roman"/>
          <w:color w:val="000000"/>
          <w:sz w:val="24"/>
          <w:szCs w:val="24"/>
        </w:rPr>
        <w:t xml:space="preserve">д) </w:t>
      </w:r>
      <w:r w:rsidR="00F85692" w:rsidRPr="00F85692">
        <w:rPr>
          <w:rFonts w:ascii="Times New Roman" w:hAnsi="Times New Roman" w:cs="Times New Roman"/>
          <w:color w:val="000000"/>
          <w:sz w:val="24"/>
          <w:szCs w:val="24"/>
        </w:rPr>
        <w:t xml:space="preserve">димензии на тумор - z=-0,247; p=0,8044 </w:t>
      </w:r>
      <w:r w:rsidRPr="00F85692">
        <w:rPr>
          <w:rFonts w:ascii="Times New Roman" w:hAnsi="Times New Roman" w:cs="Times New Roman"/>
          <w:color w:val="000000"/>
          <w:sz w:val="24"/>
          <w:szCs w:val="24"/>
        </w:rPr>
        <w:t xml:space="preserve">(Табела </w:t>
      </w:r>
      <w:r w:rsidR="00F85692">
        <w:rPr>
          <w:rFonts w:ascii="Times New Roman" w:hAnsi="Times New Roman" w:cs="Times New Roman"/>
          <w:color w:val="000000"/>
          <w:sz w:val="24"/>
          <w:szCs w:val="24"/>
        </w:rPr>
        <w:t>14</w:t>
      </w:r>
      <w:r w:rsidRPr="00F85692">
        <w:rPr>
          <w:rFonts w:ascii="Times New Roman" w:hAnsi="Times New Roman" w:cs="Times New Roman"/>
          <w:color w:val="000000"/>
          <w:sz w:val="24"/>
          <w:szCs w:val="24"/>
        </w:rPr>
        <w:t>)</w:t>
      </w:r>
      <w:r w:rsidR="00F85692">
        <w:rPr>
          <w:rFonts w:ascii="Times New Roman" w:hAnsi="Times New Roman" w:cs="Times New Roman"/>
          <w:bCs/>
          <w:color w:val="000000"/>
          <w:sz w:val="24"/>
          <w:szCs w:val="24"/>
        </w:rPr>
        <w:t>.</w:t>
      </w:r>
    </w:p>
    <w:p w:rsidR="000B4811" w:rsidRDefault="000B4811" w:rsidP="002B2D67">
      <w:pPr>
        <w:spacing w:after="120"/>
        <w:ind w:firstLine="720"/>
        <w:jc w:val="both"/>
        <w:rPr>
          <w:rFonts w:ascii="Times New Roman" w:hAnsi="Times New Roman" w:cs="Times New Roman"/>
          <w:bCs/>
          <w:color w:val="000000"/>
          <w:sz w:val="24"/>
          <w:szCs w:val="24"/>
        </w:rPr>
      </w:pPr>
    </w:p>
    <w:p w:rsidR="000B4811" w:rsidRDefault="000B4811" w:rsidP="002B2D67">
      <w:pPr>
        <w:spacing w:after="120"/>
        <w:ind w:firstLine="720"/>
        <w:jc w:val="both"/>
        <w:rPr>
          <w:rFonts w:ascii="Times New Roman" w:hAnsi="Times New Roman" w:cs="Times New Roman"/>
          <w:bCs/>
          <w:color w:val="000000"/>
          <w:sz w:val="24"/>
          <w:szCs w:val="24"/>
        </w:rPr>
      </w:pPr>
    </w:p>
    <w:p w:rsidR="000B4811" w:rsidRDefault="000B4811" w:rsidP="002B2D67">
      <w:pPr>
        <w:spacing w:after="120"/>
        <w:ind w:firstLine="720"/>
        <w:jc w:val="both"/>
        <w:rPr>
          <w:rFonts w:ascii="Times New Roman" w:hAnsi="Times New Roman" w:cs="Times New Roman"/>
          <w:bCs/>
          <w:color w:val="000000"/>
          <w:sz w:val="24"/>
          <w:szCs w:val="24"/>
        </w:rPr>
      </w:pPr>
    </w:p>
    <w:p w:rsidR="00167A89" w:rsidRDefault="00730A97" w:rsidP="002B2D67">
      <w:pPr>
        <w:spacing w:after="120"/>
        <w:ind w:firstLine="7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Дополнително, за целиот примерок на испитаници, за </w:t>
      </w:r>
      <w:r w:rsidRPr="007C59E7">
        <w:rPr>
          <w:rFonts w:ascii="Times New Roman" w:hAnsi="Times New Roman" w:cs="Times New Roman"/>
          <w:bCs/>
          <w:color w:val="000000"/>
          <w:sz w:val="24"/>
          <w:szCs w:val="24"/>
        </w:rPr>
        <w:t>p</w:t>
      </w:r>
      <w:r w:rsidRPr="00A926CA">
        <w:rPr>
          <w:rFonts w:ascii="Times New Roman" w:hAnsi="Times New Roman" w:cs="Times New Roman"/>
          <w:bCs/>
          <w:color w:val="000000"/>
          <w:sz w:val="24"/>
          <w:szCs w:val="24"/>
          <w:lang w:val="ru-RU"/>
        </w:rPr>
        <w:t>&gt;</w:t>
      </w:r>
      <w:r w:rsidRPr="007C59E7">
        <w:rPr>
          <w:rFonts w:ascii="Times New Roman" w:hAnsi="Times New Roman" w:cs="Times New Roman"/>
          <w:bCs/>
          <w:color w:val="000000"/>
          <w:sz w:val="24"/>
          <w:szCs w:val="24"/>
        </w:rPr>
        <w:t xml:space="preserve">0,05, </w:t>
      </w:r>
      <w:r>
        <w:rPr>
          <w:rFonts w:ascii="Times New Roman" w:hAnsi="Times New Roman" w:cs="Times New Roman"/>
          <w:bCs/>
          <w:color w:val="000000"/>
          <w:sz w:val="24"/>
          <w:szCs w:val="24"/>
        </w:rPr>
        <w:t xml:space="preserve">утврдена беше несигнификантна позитивна линеарна корелација </w:t>
      </w:r>
      <w:r w:rsidRPr="007C59E7">
        <w:rPr>
          <w:rFonts w:ascii="Times New Roman" w:hAnsi="Times New Roman" w:cs="Times New Roman"/>
          <w:bCs/>
          <w:color w:val="000000"/>
          <w:sz w:val="24"/>
          <w:szCs w:val="24"/>
        </w:rPr>
        <w:t xml:space="preserve">помеѓу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 во</w:t>
      </w:r>
      <w:r>
        <w:rPr>
          <w:rFonts w:ascii="Times New Roman" w:hAnsi="Times New Roman" w:cs="Times New Roman"/>
          <w:color w:val="000000"/>
          <w:sz w:val="24"/>
          <w:szCs w:val="24"/>
        </w:rPr>
        <w:t xml:space="preserve"> серу</w:t>
      </w:r>
      <w:r w:rsidR="009325B4">
        <w:rPr>
          <w:rFonts w:ascii="Times New Roman" w:hAnsi="Times New Roman" w:cs="Times New Roman"/>
          <w:color w:val="000000"/>
          <w:sz w:val="24"/>
          <w:szCs w:val="24"/>
        </w:rPr>
        <w:t>м</w:t>
      </w:r>
      <w:r>
        <w:rPr>
          <w:rFonts w:ascii="Times New Roman" w:hAnsi="Times New Roman" w:cs="Times New Roman"/>
          <w:color w:val="000000"/>
          <w:sz w:val="24"/>
          <w:szCs w:val="24"/>
        </w:rPr>
        <w:t xml:space="preserve"> и </w:t>
      </w:r>
      <w:r w:rsidRPr="007C59E7">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 xml:space="preserve">-33 </w:t>
      </w:r>
      <w:r>
        <w:rPr>
          <w:rFonts w:ascii="Times New Roman" w:hAnsi="Times New Roman" w:cs="Times New Roman"/>
          <w:color w:val="000000"/>
          <w:sz w:val="24"/>
          <w:szCs w:val="24"/>
        </w:rPr>
        <w:t xml:space="preserve">во салива </w:t>
      </w:r>
      <w:r w:rsidRPr="000A75E1">
        <w:rPr>
          <w:rFonts w:ascii="Times New Roman" w:hAnsi="Times New Roman" w:cs="Times New Roman"/>
          <w:bCs/>
          <w:color w:val="000000"/>
          <w:sz w:val="24"/>
          <w:szCs w:val="24"/>
        </w:rPr>
        <w:t>(R</w:t>
      </w:r>
      <w:r w:rsidRPr="000A75E1">
        <w:rPr>
          <w:rFonts w:ascii="Times New Roman" w:hAnsi="Times New Roman" w:cs="Times New Roman"/>
          <w:bCs/>
          <w:color w:val="000000"/>
          <w:sz w:val="24"/>
          <w:szCs w:val="24"/>
          <w:vertAlign w:val="subscript"/>
        </w:rPr>
        <w:t>(</w:t>
      </w:r>
      <w:r>
        <w:rPr>
          <w:rFonts w:ascii="Times New Roman" w:hAnsi="Times New Roman" w:cs="Times New Roman"/>
          <w:bCs/>
          <w:color w:val="000000"/>
          <w:sz w:val="24"/>
          <w:szCs w:val="24"/>
          <w:vertAlign w:val="subscript"/>
        </w:rPr>
        <w:t>120</w:t>
      </w:r>
      <w:r w:rsidRPr="000A75E1">
        <w:rPr>
          <w:rFonts w:ascii="Times New Roman" w:hAnsi="Times New Roman" w:cs="Times New Roman"/>
          <w:bCs/>
          <w:color w:val="000000"/>
          <w:sz w:val="24"/>
          <w:szCs w:val="24"/>
          <w:vertAlign w:val="subscript"/>
        </w:rPr>
        <w:t>)</w:t>
      </w:r>
      <w:r w:rsidRPr="000A75E1">
        <w:rPr>
          <w:rFonts w:ascii="Times New Roman" w:hAnsi="Times New Roman" w:cs="Times New Roman"/>
          <w:bCs/>
          <w:color w:val="000000"/>
          <w:sz w:val="24"/>
          <w:szCs w:val="24"/>
        </w:rPr>
        <w:t>=0,</w:t>
      </w:r>
      <w:r>
        <w:rPr>
          <w:rFonts w:ascii="Times New Roman" w:hAnsi="Times New Roman" w:cs="Times New Roman"/>
          <w:bCs/>
          <w:color w:val="000000"/>
          <w:sz w:val="24"/>
          <w:szCs w:val="24"/>
        </w:rPr>
        <w:t>046</w:t>
      </w:r>
      <w:r w:rsidRPr="000A75E1">
        <w:rPr>
          <w:rFonts w:ascii="Times New Roman" w:hAnsi="Times New Roman" w:cs="Times New Roman"/>
          <w:bCs/>
          <w:color w:val="000000"/>
          <w:sz w:val="24"/>
          <w:szCs w:val="24"/>
        </w:rPr>
        <w:t>; p=0,</w:t>
      </w:r>
      <w:r>
        <w:rPr>
          <w:rFonts w:ascii="Times New Roman" w:hAnsi="Times New Roman" w:cs="Times New Roman"/>
          <w:bCs/>
          <w:color w:val="000000"/>
          <w:sz w:val="24"/>
          <w:szCs w:val="24"/>
        </w:rPr>
        <w:t>618</w:t>
      </w:r>
      <w:r w:rsidRPr="000A75E1">
        <w:rPr>
          <w:rFonts w:ascii="Times New Roman" w:hAnsi="Times New Roman" w:cs="Times New Roman"/>
          <w:bCs/>
          <w:color w:val="000000"/>
          <w:sz w:val="24"/>
          <w:szCs w:val="24"/>
        </w:rPr>
        <w:t>)</w:t>
      </w:r>
      <w:r w:rsidR="009325B4">
        <w:rPr>
          <w:rFonts w:ascii="Times New Roman" w:hAnsi="Times New Roman" w:cs="Times New Roman"/>
          <w:bCs/>
          <w:color w:val="000000"/>
          <w:sz w:val="24"/>
          <w:szCs w:val="24"/>
        </w:rPr>
        <w:t xml:space="preserve">. Со растење на нивото на </w:t>
      </w:r>
      <w:r w:rsidR="009325B4" w:rsidRPr="007C59E7">
        <w:rPr>
          <w:rFonts w:ascii="Times New Roman" w:hAnsi="Times New Roman" w:cs="Times New Roman"/>
          <w:color w:val="000000"/>
          <w:sz w:val="24"/>
          <w:szCs w:val="24"/>
          <w:lang w:val="en-US"/>
        </w:rPr>
        <w:t>IL</w:t>
      </w:r>
      <w:r w:rsidR="009325B4" w:rsidRPr="00A926CA">
        <w:rPr>
          <w:rFonts w:ascii="Times New Roman" w:hAnsi="Times New Roman" w:cs="Times New Roman"/>
          <w:color w:val="000000"/>
          <w:sz w:val="24"/>
          <w:szCs w:val="24"/>
          <w:lang w:val="ru-RU"/>
        </w:rPr>
        <w:t>-33 во</w:t>
      </w:r>
      <w:r w:rsidR="009325B4">
        <w:rPr>
          <w:rFonts w:ascii="Times New Roman" w:hAnsi="Times New Roman" w:cs="Times New Roman"/>
          <w:color w:val="000000"/>
          <w:sz w:val="24"/>
          <w:szCs w:val="24"/>
        </w:rPr>
        <w:t xml:space="preserve"> серум несигнификантно растеше и </w:t>
      </w:r>
      <w:r w:rsidR="008556A4">
        <w:rPr>
          <w:rFonts w:ascii="Times New Roman" w:hAnsi="Times New Roman" w:cs="Times New Roman"/>
          <w:color w:val="000000"/>
          <w:sz w:val="24"/>
          <w:szCs w:val="24"/>
        </w:rPr>
        <w:t xml:space="preserve">нивото на </w:t>
      </w:r>
      <w:r w:rsidR="009325B4" w:rsidRPr="007C59E7">
        <w:rPr>
          <w:rFonts w:ascii="Times New Roman" w:hAnsi="Times New Roman" w:cs="Times New Roman"/>
          <w:color w:val="000000"/>
          <w:sz w:val="24"/>
          <w:szCs w:val="24"/>
          <w:lang w:val="en-US"/>
        </w:rPr>
        <w:t>IL</w:t>
      </w:r>
      <w:r w:rsidR="009325B4" w:rsidRPr="00A926CA">
        <w:rPr>
          <w:rFonts w:ascii="Times New Roman" w:hAnsi="Times New Roman" w:cs="Times New Roman"/>
          <w:color w:val="000000"/>
          <w:sz w:val="24"/>
          <w:szCs w:val="24"/>
          <w:lang w:val="ru-RU"/>
        </w:rPr>
        <w:t xml:space="preserve">-33 </w:t>
      </w:r>
      <w:r w:rsidR="009325B4">
        <w:rPr>
          <w:rFonts w:ascii="Times New Roman" w:hAnsi="Times New Roman" w:cs="Times New Roman"/>
          <w:color w:val="000000"/>
          <w:sz w:val="24"/>
          <w:szCs w:val="24"/>
        </w:rPr>
        <w:t>во салива</w:t>
      </w:r>
      <w:r w:rsidR="009325B4">
        <w:rPr>
          <w:rFonts w:ascii="Times New Roman" w:hAnsi="Times New Roman" w:cs="Times New Roman"/>
          <w:bCs/>
          <w:color w:val="000000"/>
          <w:sz w:val="24"/>
          <w:szCs w:val="24"/>
        </w:rPr>
        <w:t xml:space="preserve"> </w:t>
      </w:r>
      <w:r w:rsidR="00EB6A9C">
        <w:rPr>
          <w:rFonts w:ascii="Times New Roman" w:hAnsi="Times New Roman" w:cs="Times New Roman"/>
          <w:bCs/>
          <w:color w:val="000000"/>
          <w:sz w:val="24"/>
          <w:szCs w:val="24"/>
        </w:rPr>
        <w:t>(График 27).</w:t>
      </w:r>
    </w:p>
    <w:p w:rsidR="008556A4" w:rsidRPr="00730A97" w:rsidRDefault="00446A60" w:rsidP="000A75E1">
      <w:pPr>
        <w:spacing w:after="120" w:line="360" w:lineRule="auto"/>
        <w:ind w:firstLine="720"/>
        <w:jc w:val="both"/>
        <w:rPr>
          <w:rFonts w:ascii="Times New Roman" w:hAnsi="Times New Roman" w:cs="Times New Roman"/>
          <w:bCs/>
          <w:color w:val="000000"/>
          <w:sz w:val="24"/>
          <w:szCs w:val="24"/>
        </w:rPr>
      </w:pPr>
      <w:r>
        <w:rPr>
          <w:noProof/>
          <w:lang w:val="en-US"/>
        </w:rPr>
        <w:drawing>
          <wp:anchor distT="0" distB="0" distL="114300" distR="114300" simplePos="0" relativeHeight="251671040" behindDoc="1" locked="0" layoutInCell="1" allowOverlap="1">
            <wp:simplePos x="0" y="0"/>
            <wp:positionH relativeFrom="column">
              <wp:posOffset>520700</wp:posOffset>
            </wp:positionH>
            <wp:positionV relativeFrom="paragraph">
              <wp:posOffset>189865</wp:posOffset>
            </wp:positionV>
            <wp:extent cx="4965700" cy="3734435"/>
            <wp:effectExtent l="19050" t="0" r="6350" b="0"/>
            <wp:wrapTight wrapText="bothSides">
              <wp:wrapPolygon edited="0">
                <wp:start x="-83" y="0"/>
                <wp:lineTo x="-83" y="21376"/>
                <wp:lineTo x="21628" y="21376"/>
                <wp:lineTo x="21628" y="0"/>
                <wp:lineTo x="-83" y="0"/>
              </wp:wrapPolygon>
            </wp:wrapTight>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3"/>
                    <a:srcRect/>
                    <a:stretch>
                      <a:fillRect/>
                    </a:stretch>
                  </pic:blipFill>
                  <pic:spPr bwMode="auto">
                    <a:xfrm>
                      <a:off x="0" y="0"/>
                      <a:ext cx="4965700" cy="3734435"/>
                    </a:xfrm>
                    <a:prstGeom prst="rect">
                      <a:avLst/>
                    </a:prstGeom>
                    <a:noFill/>
                    <a:ln w="9525">
                      <a:noFill/>
                      <a:miter lim="800000"/>
                      <a:headEnd/>
                      <a:tailEnd/>
                    </a:ln>
                  </pic:spPr>
                </pic:pic>
              </a:graphicData>
            </a:graphic>
          </wp:anchor>
        </w:drawing>
      </w:r>
    </w:p>
    <w:p w:rsidR="009325B4" w:rsidRDefault="009325B4" w:rsidP="00746FC4">
      <w:pPr>
        <w:pStyle w:val="Heading1"/>
        <w:spacing w:before="0" w:beforeAutospacing="0" w:after="0" w:afterAutospacing="0" w:line="360" w:lineRule="auto"/>
        <w:jc w:val="center"/>
        <w:rPr>
          <w:rFonts w:ascii="Times New Roman" w:hAnsi="Times New Roman" w:cs="Times New Roman"/>
          <w:color w:val="000000"/>
          <w:sz w:val="20"/>
          <w:szCs w:val="20"/>
          <w:lang w:val="mk-MK"/>
        </w:rPr>
      </w:pPr>
    </w:p>
    <w:p w:rsidR="006335DB" w:rsidRDefault="006335DB" w:rsidP="00746FC4">
      <w:pPr>
        <w:pStyle w:val="Heading1"/>
        <w:spacing w:before="0" w:beforeAutospacing="0" w:after="0" w:afterAutospacing="0" w:line="360" w:lineRule="auto"/>
        <w:jc w:val="center"/>
        <w:rPr>
          <w:rFonts w:ascii="Times New Roman" w:hAnsi="Times New Roman" w:cs="Times New Roman"/>
          <w:color w:val="000000"/>
          <w:sz w:val="20"/>
          <w:szCs w:val="20"/>
          <w:lang w:val="mk-MK"/>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2B2D67" w:rsidRDefault="002B2D67" w:rsidP="00746FC4">
      <w:pPr>
        <w:pStyle w:val="Heading1"/>
        <w:spacing w:before="0" w:beforeAutospacing="0" w:after="0" w:afterAutospacing="0" w:line="360" w:lineRule="auto"/>
        <w:jc w:val="center"/>
        <w:rPr>
          <w:rFonts w:ascii="Times New Roman" w:hAnsi="Times New Roman" w:cs="Times New Roman"/>
          <w:color w:val="000000"/>
          <w:sz w:val="20"/>
          <w:szCs w:val="20"/>
          <w:lang w:val="ru-RU"/>
        </w:rPr>
      </w:pPr>
    </w:p>
    <w:p w:rsidR="00746FC4" w:rsidRPr="00F85692" w:rsidRDefault="002B2D67" w:rsidP="002B2D67">
      <w:pPr>
        <w:pStyle w:val="Heading1"/>
        <w:spacing w:before="0" w:beforeAutospacing="0" w:after="0" w:afterAutospacing="0" w:line="360" w:lineRule="auto"/>
        <w:rPr>
          <w:rFonts w:ascii="Times New Roman" w:hAnsi="Times New Roman" w:cs="Times New Roman"/>
          <w:color w:val="000000"/>
          <w:sz w:val="20"/>
          <w:szCs w:val="20"/>
          <w:lang w:val="mk-MK"/>
        </w:rPr>
      </w:pPr>
      <w:r>
        <w:rPr>
          <w:rFonts w:ascii="Times New Roman" w:hAnsi="Times New Roman" w:cs="Times New Roman"/>
          <w:color w:val="000000"/>
          <w:sz w:val="20"/>
          <w:szCs w:val="20"/>
          <w:lang w:val="ru-RU"/>
        </w:rPr>
        <w:t xml:space="preserve">                                      </w:t>
      </w:r>
      <w:r w:rsidR="00746FC4" w:rsidRPr="00A926CA">
        <w:rPr>
          <w:rFonts w:ascii="Times New Roman" w:hAnsi="Times New Roman" w:cs="Times New Roman"/>
          <w:color w:val="000000"/>
          <w:sz w:val="20"/>
          <w:szCs w:val="20"/>
          <w:lang w:val="ru-RU"/>
        </w:rPr>
        <w:t>График 2</w:t>
      </w:r>
      <w:r w:rsidR="00746FC4">
        <w:rPr>
          <w:rFonts w:ascii="Times New Roman" w:hAnsi="Times New Roman" w:cs="Times New Roman"/>
          <w:color w:val="000000"/>
          <w:sz w:val="20"/>
          <w:szCs w:val="20"/>
          <w:lang w:val="mk-MK"/>
        </w:rPr>
        <w:t>7</w:t>
      </w:r>
      <w:r w:rsidR="00746FC4" w:rsidRPr="00F85692">
        <w:rPr>
          <w:rFonts w:ascii="Times New Roman" w:hAnsi="Times New Roman" w:cs="Times New Roman"/>
          <w:color w:val="000000"/>
          <w:sz w:val="20"/>
          <w:szCs w:val="20"/>
          <w:lang w:val="ru-RU"/>
        </w:rPr>
        <w:t xml:space="preserve">. </w:t>
      </w:r>
      <w:r w:rsidR="00746FC4" w:rsidRPr="0022737D">
        <w:rPr>
          <w:rFonts w:ascii="Times New Roman" w:hAnsi="Times New Roman" w:cs="Times New Roman"/>
          <w:color w:val="000000"/>
          <w:sz w:val="20"/>
          <w:szCs w:val="20"/>
          <w:lang w:val="mk-MK"/>
        </w:rPr>
        <w:t xml:space="preserve">Корелација на </w:t>
      </w:r>
      <w:r w:rsidR="00746FC4" w:rsidRPr="0022737D">
        <w:rPr>
          <w:rFonts w:ascii="Times New Roman" w:hAnsi="Times New Roman" w:cs="Times New Roman"/>
          <w:color w:val="000000"/>
          <w:sz w:val="20"/>
          <w:szCs w:val="20"/>
        </w:rPr>
        <w:t>IL</w:t>
      </w:r>
      <w:r w:rsidR="00746FC4" w:rsidRPr="00A926CA">
        <w:rPr>
          <w:rFonts w:ascii="Times New Roman" w:hAnsi="Times New Roman" w:cs="Times New Roman"/>
          <w:color w:val="000000"/>
          <w:sz w:val="20"/>
          <w:szCs w:val="20"/>
          <w:lang w:val="ru-RU"/>
        </w:rPr>
        <w:t xml:space="preserve">-33 </w:t>
      </w:r>
      <w:r w:rsidR="0022737D" w:rsidRPr="0022737D">
        <w:rPr>
          <w:rFonts w:ascii="Times New Roman" w:hAnsi="Times New Roman" w:cs="Times New Roman"/>
          <w:color w:val="000000"/>
          <w:sz w:val="20"/>
          <w:szCs w:val="20"/>
        </w:rPr>
        <w:t>pg</w:t>
      </w:r>
      <w:r w:rsidR="0022737D" w:rsidRPr="00A926CA">
        <w:rPr>
          <w:rFonts w:ascii="Times New Roman" w:hAnsi="Times New Roman" w:cs="Times New Roman"/>
          <w:color w:val="000000"/>
          <w:sz w:val="20"/>
          <w:szCs w:val="20"/>
          <w:lang w:val="ru-RU"/>
        </w:rPr>
        <w:t>/</w:t>
      </w:r>
      <w:r w:rsidR="0022737D" w:rsidRPr="0022737D">
        <w:rPr>
          <w:rFonts w:ascii="Times New Roman" w:hAnsi="Times New Roman" w:cs="Times New Roman"/>
          <w:color w:val="000000"/>
          <w:sz w:val="20"/>
          <w:szCs w:val="20"/>
        </w:rPr>
        <w:t>mL</w:t>
      </w:r>
      <w:r w:rsidR="0022737D" w:rsidRPr="00A926CA">
        <w:rPr>
          <w:rFonts w:ascii="Times New Roman" w:hAnsi="Times New Roman" w:cs="Times New Roman"/>
          <w:color w:val="000000"/>
          <w:sz w:val="20"/>
          <w:szCs w:val="20"/>
          <w:lang w:val="ru-RU"/>
        </w:rPr>
        <w:t xml:space="preserve"> </w:t>
      </w:r>
      <w:r w:rsidR="00746FC4" w:rsidRPr="00A926CA">
        <w:rPr>
          <w:rFonts w:ascii="Times New Roman" w:hAnsi="Times New Roman" w:cs="Times New Roman"/>
          <w:color w:val="000000"/>
          <w:sz w:val="20"/>
          <w:szCs w:val="20"/>
          <w:lang w:val="ru-RU"/>
        </w:rPr>
        <w:t xml:space="preserve">во </w:t>
      </w:r>
      <w:r w:rsidR="00746FC4" w:rsidRPr="0022737D">
        <w:rPr>
          <w:rFonts w:ascii="Times New Roman" w:hAnsi="Times New Roman" w:cs="Times New Roman"/>
          <w:color w:val="000000"/>
          <w:sz w:val="20"/>
          <w:szCs w:val="20"/>
          <w:lang w:val="mk-MK"/>
        </w:rPr>
        <w:t>серум и</w:t>
      </w:r>
      <w:r w:rsidR="00746FC4">
        <w:rPr>
          <w:rFonts w:ascii="Times New Roman" w:hAnsi="Times New Roman" w:cs="Times New Roman"/>
          <w:color w:val="000000"/>
          <w:sz w:val="20"/>
          <w:szCs w:val="20"/>
          <w:lang w:val="mk-MK"/>
        </w:rPr>
        <w:t xml:space="preserve"> </w:t>
      </w:r>
      <w:r w:rsidR="00746FC4" w:rsidRPr="00A926CA">
        <w:rPr>
          <w:rFonts w:ascii="Times New Roman" w:hAnsi="Times New Roman" w:cs="Times New Roman"/>
          <w:color w:val="000000"/>
          <w:sz w:val="20"/>
          <w:szCs w:val="20"/>
          <w:lang w:val="ru-RU"/>
        </w:rPr>
        <w:t xml:space="preserve"> </w:t>
      </w:r>
      <w:r w:rsidR="00746FC4" w:rsidRPr="00F85692">
        <w:rPr>
          <w:rFonts w:ascii="Times New Roman" w:hAnsi="Times New Roman" w:cs="Times New Roman"/>
          <w:color w:val="000000"/>
          <w:sz w:val="20"/>
          <w:szCs w:val="20"/>
        </w:rPr>
        <w:t>IL</w:t>
      </w:r>
      <w:r w:rsidR="00746FC4" w:rsidRPr="00A926CA">
        <w:rPr>
          <w:rFonts w:ascii="Times New Roman" w:hAnsi="Times New Roman" w:cs="Times New Roman"/>
          <w:color w:val="000000"/>
          <w:sz w:val="20"/>
          <w:szCs w:val="20"/>
          <w:lang w:val="ru-RU"/>
        </w:rPr>
        <w:t xml:space="preserve">-33 во </w:t>
      </w:r>
      <w:r w:rsidR="00746FC4" w:rsidRPr="00F85692">
        <w:rPr>
          <w:rFonts w:ascii="Times New Roman" w:hAnsi="Times New Roman" w:cs="Times New Roman"/>
          <w:color w:val="000000"/>
          <w:sz w:val="20"/>
          <w:szCs w:val="20"/>
          <w:lang w:val="mk-MK"/>
        </w:rPr>
        <w:t>салива</w:t>
      </w:r>
    </w:p>
    <w:p w:rsidR="00167A89" w:rsidRPr="00A006E8" w:rsidRDefault="00167A89" w:rsidP="000A75E1">
      <w:pPr>
        <w:spacing w:after="120" w:line="360" w:lineRule="auto"/>
        <w:ind w:firstLine="720"/>
        <w:jc w:val="both"/>
        <w:rPr>
          <w:rFonts w:ascii="Times New Roman" w:hAnsi="Times New Roman" w:cs="Times New Roman"/>
          <w:bCs/>
          <w:color w:val="000000"/>
          <w:sz w:val="24"/>
          <w:szCs w:val="24"/>
        </w:rPr>
      </w:pPr>
    </w:p>
    <w:p w:rsidR="002242CF" w:rsidRDefault="002242CF" w:rsidP="0099443C">
      <w:pPr>
        <w:spacing w:after="360" w:line="360" w:lineRule="auto"/>
        <w:jc w:val="both"/>
        <w:rPr>
          <w:rFonts w:ascii="Times New Roman" w:hAnsi="Times New Roman"/>
          <w:b/>
          <w:color w:val="000000"/>
          <w:sz w:val="26"/>
          <w:szCs w:val="26"/>
          <w:highlight w:val="yellow"/>
        </w:rPr>
      </w:pPr>
    </w:p>
    <w:p w:rsidR="00823B44" w:rsidRDefault="002B2D67" w:rsidP="001C6F6A">
      <w:pPr>
        <w:pStyle w:val="ListParagraph"/>
        <w:spacing w:after="480" w:line="360" w:lineRule="auto"/>
        <w:ind w:left="0"/>
        <w:contextualSpacing/>
        <w:jc w:val="both"/>
        <w:rPr>
          <w:rFonts w:ascii="Times New Roman" w:hAnsi="Times New Roman" w:cs="Times New Roman"/>
          <w:b/>
          <w:color w:val="000000"/>
          <w:sz w:val="24"/>
          <w:szCs w:val="24"/>
        </w:rPr>
      </w:pPr>
      <w:r>
        <w:rPr>
          <w:rFonts w:ascii="Times New Roman" w:hAnsi="Times New Roman" w:cs="Times New Roman"/>
          <w:b/>
          <w:color w:val="943634"/>
          <w:sz w:val="28"/>
          <w:szCs w:val="28"/>
        </w:rPr>
        <w:t xml:space="preserve">   </w:t>
      </w:r>
      <w:r w:rsidR="006335DB">
        <w:rPr>
          <w:rFonts w:ascii="Times New Roman" w:hAnsi="Times New Roman" w:cs="Times New Roman"/>
          <w:b/>
          <w:color w:val="943634"/>
          <w:sz w:val="28"/>
          <w:szCs w:val="28"/>
        </w:rPr>
        <w:br w:type="page"/>
      </w:r>
      <w:r w:rsidR="00FD674A" w:rsidRPr="00AB1D09">
        <w:rPr>
          <w:rFonts w:ascii="Times New Roman" w:hAnsi="Times New Roman" w:cs="Times New Roman"/>
          <w:b/>
          <w:color w:val="000000"/>
          <w:sz w:val="24"/>
          <w:szCs w:val="24"/>
        </w:rPr>
        <w:lastRenderedPageBreak/>
        <w:t xml:space="preserve"> </w:t>
      </w:r>
    </w:p>
    <w:p w:rsidR="00FD674A" w:rsidRPr="00AB1D09" w:rsidRDefault="00823B44" w:rsidP="002B2D67">
      <w:pPr>
        <w:pStyle w:val="ListParagraph"/>
        <w:spacing w:after="480"/>
        <w:ind w:left="0"/>
        <w:contextualSpacing/>
        <w:jc w:val="both"/>
        <w:rPr>
          <w:rFonts w:ascii="Times New Roman" w:hAnsi="Times New Roman" w:cs="Times New Roman"/>
          <w:b/>
          <w:color w:val="000000"/>
          <w:sz w:val="24"/>
          <w:szCs w:val="24"/>
        </w:rPr>
      </w:pPr>
      <w:r>
        <w:rPr>
          <w:rFonts w:ascii="Times New Roman" w:hAnsi="Times New Roman" w:cs="Times New Roman"/>
          <w:b/>
          <w:color w:val="000000"/>
          <w:sz w:val="24"/>
          <w:szCs w:val="24"/>
        </w:rPr>
        <w:t>7</w:t>
      </w:r>
      <w:r w:rsidR="00521B40">
        <w:rPr>
          <w:rFonts w:ascii="Times New Roman" w:hAnsi="Times New Roman" w:cs="Times New Roman"/>
          <w:b/>
          <w:color w:val="000000"/>
          <w:sz w:val="24"/>
          <w:szCs w:val="24"/>
        </w:rPr>
        <w:t>.4</w:t>
      </w:r>
      <w:r w:rsidR="00FD1D61">
        <w:rPr>
          <w:rFonts w:ascii="Times New Roman" w:hAnsi="Times New Roman" w:cs="Times New Roman"/>
          <w:b/>
          <w:color w:val="000000"/>
          <w:sz w:val="24"/>
          <w:szCs w:val="24"/>
        </w:rPr>
        <w:t xml:space="preserve">. </w:t>
      </w:r>
      <w:r w:rsidR="001C6F6A" w:rsidRPr="00AB1D09">
        <w:rPr>
          <w:rFonts w:ascii="Times New Roman" w:hAnsi="Times New Roman" w:cs="Times New Roman"/>
          <w:b/>
          <w:color w:val="000000"/>
          <w:sz w:val="24"/>
          <w:szCs w:val="24"/>
        </w:rPr>
        <w:t xml:space="preserve">Дијагностичка ефикасност </w:t>
      </w:r>
      <w:r w:rsidR="00FD674A" w:rsidRPr="00AB1D09">
        <w:rPr>
          <w:rFonts w:ascii="Times New Roman" w:hAnsi="Times New Roman" w:cs="Times New Roman"/>
          <w:b/>
          <w:color w:val="000000"/>
          <w:sz w:val="24"/>
          <w:szCs w:val="24"/>
        </w:rPr>
        <w:t xml:space="preserve">на </w:t>
      </w:r>
      <w:r w:rsidR="00CE0001" w:rsidRPr="00AB1D09">
        <w:rPr>
          <w:rFonts w:ascii="Times New Roman" w:hAnsi="Times New Roman" w:cs="Times New Roman"/>
          <w:b/>
          <w:color w:val="000000"/>
          <w:sz w:val="24"/>
          <w:szCs w:val="24"/>
          <w:lang w:val="en-US"/>
        </w:rPr>
        <w:t>IL</w:t>
      </w:r>
      <w:r w:rsidR="00CE0001" w:rsidRPr="00A926CA">
        <w:rPr>
          <w:rFonts w:ascii="Times New Roman" w:hAnsi="Times New Roman" w:cs="Times New Roman"/>
          <w:b/>
          <w:color w:val="000000"/>
          <w:sz w:val="24"/>
          <w:szCs w:val="24"/>
          <w:lang w:val="ru-RU"/>
        </w:rPr>
        <w:t xml:space="preserve">-33 </w:t>
      </w:r>
      <w:r w:rsidR="00CE0001" w:rsidRPr="00AB1D09">
        <w:rPr>
          <w:rFonts w:ascii="Times New Roman" w:hAnsi="Times New Roman" w:cs="Times New Roman"/>
          <w:b/>
          <w:color w:val="000000"/>
          <w:sz w:val="24"/>
          <w:szCs w:val="24"/>
        </w:rPr>
        <w:t>во серум и салива</w:t>
      </w:r>
      <w:r w:rsidR="00FD674A" w:rsidRPr="00AB1D09">
        <w:rPr>
          <w:rFonts w:ascii="Times New Roman" w:hAnsi="Times New Roman" w:cs="Times New Roman"/>
          <w:b/>
          <w:color w:val="000000"/>
          <w:sz w:val="24"/>
          <w:szCs w:val="24"/>
        </w:rPr>
        <w:t xml:space="preserve">      </w:t>
      </w:r>
    </w:p>
    <w:p w:rsidR="009E3282" w:rsidRDefault="008449CC" w:rsidP="002B2D67">
      <w:pPr>
        <w:jc w:val="both"/>
        <w:rPr>
          <w:rFonts w:ascii="Times New Roman" w:hAnsi="Times New Roman"/>
          <w:sz w:val="24"/>
          <w:szCs w:val="24"/>
        </w:rPr>
      </w:pPr>
      <w:r>
        <w:rPr>
          <w:rFonts w:ascii="Times New Roman" w:hAnsi="Times New Roman"/>
          <w:sz w:val="24"/>
          <w:szCs w:val="24"/>
        </w:rPr>
        <w:t xml:space="preserve">Направената </w:t>
      </w:r>
      <w:r w:rsidR="00CD0937" w:rsidRPr="00CD0937">
        <w:rPr>
          <w:rFonts w:ascii="Times New Roman" w:hAnsi="Times New Roman"/>
          <w:sz w:val="24"/>
          <w:szCs w:val="24"/>
        </w:rPr>
        <w:t xml:space="preserve">ROC анализа и добиените AUC вредности </w:t>
      </w:r>
      <w:r>
        <w:rPr>
          <w:rFonts w:ascii="Times New Roman" w:hAnsi="Times New Roman"/>
          <w:sz w:val="24"/>
          <w:szCs w:val="24"/>
        </w:rPr>
        <w:t xml:space="preserve">за </w:t>
      </w:r>
      <w:r w:rsidRPr="00CD0937">
        <w:rPr>
          <w:rFonts w:ascii="Times New Roman" w:hAnsi="Times New Roman"/>
          <w:sz w:val="24"/>
          <w:szCs w:val="24"/>
        </w:rPr>
        <w:t xml:space="preserve">дијагностичка ефикасност </w:t>
      </w:r>
      <w:r w:rsidR="00E66DED">
        <w:rPr>
          <w:rFonts w:ascii="Times New Roman" w:hAnsi="Times New Roman"/>
          <w:sz w:val="24"/>
          <w:szCs w:val="24"/>
        </w:rPr>
        <w:t xml:space="preserve">на </w:t>
      </w:r>
      <w:r w:rsidR="00E66DED" w:rsidRPr="007C59E7">
        <w:rPr>
          <w:rFonts w:ascii="Times New Roman" w:hAnsi="Times New Roman" w:cs="Times New Roman"/>
          <w:color w:val="000000"/>
          <w:sz w:val="24"/>
          <w:szCs w:val="24"/>
          <w:lang w:val="en-US"/>
        </w:rPr>
        <w:t>IL</w:t>
      </w:r>
      <w:r w:rsidR="00E66DED" w:rsidRPr="00A926CA">
        <w:rPr>
          <w:rFonts w:ascii="Times New Roman" w:hAnsi="Times New Roman" w:cs="Times New Roman"/>
          <w:color w:val="000000"/>
          <w:sz w:val="24"/>
          <w:szCs w:val="24"/>
          <w:lang w:val="ru-RU"/>
        </w:rPr>
        <w:t>-33 во</w:t>
      </w:r>
      <w:r w:rsidR="00E66DED">
        <w:rPr>
          <w:rFonts w:ascii="Times New Roman" w:hAnsi="Times New Roman" w:cs="Times New Roman"/>
          <w:color w:val="000000"/>
          <w:sz w:val="24"/>
          <w:szCs w:val="24"/>
        </w:rPr>
        <w:t xml:space="preserve"> серум </w:t>
      </w:r>
      <w:r w:rsidR="00625BF3">
        <w:rPr>
          <w:rFonts w:ascii="Times New Roman" w:hAnsi="Times New Roman" w:cs="Times New Roman"/>
          <w:color w:val="000000"/>
          <w:sz w:val="24"/>
          <w:szCs w:val="24"/>
        </w:rPr>
        <w:t xml:space="preserve">односно </w:t>
      </w:r>
      <w:r w:rsidR="00625BF3" w:rsidRPr="007C59E7">
        <w:rPr>
          <w:rFonts w:ascii="Times New Roman" w:hAnsi="Times New Roman" w:cs="Times New Roman"/>
          <w:color w:val="000000"/>
          <w:sz w:val="24"/>
          <w:szCs w:val="24"/>
          <w:lang w:val="en-US"/>
        </w:rPr>
        <w:t>IL</w:t>
      </w:r>
      <w:r w:rsidR="00625BF3" w:rsidRPr="00A926CA">
        <w:rPr>
          <w:rFonts w:ascii="Times New Roman" w:hAnsi="Times New Roman" w:cs="Times New Roman"/>
          <w:color w:val="000000"/>
          <w:sz w:val="24"/>
          <w:szCs w:val="24"/>
          <w:lang w:val="ru-RU"/>
        </w:rPr>
        <w:t>-33 во</w:t>
      </w:r>
      <w:r w:rsidR="00625BF3">
        <w:rPr>
          <w:rFonts w:ascii="Times New Roman" w:hAnsi="Times New Roman" w:cs="Times New Roman"/>
          <w:color w:val="000000"/>
          <w:sz w:val="24"/>
          <w:szCs w:val="24"/>
        </w:rPr>
        <w:t xml:space="preserve"> салива </w:t>
      </w:r>
      <w:r w:rsidR="00E66DED">
        <w:rPr>
          <w:rFonts w:ascii="Times New Roman" w:hAnsi="Times New Roman"/>
          <w:sz w:val="24"/>
          <w:szCs w:val="24"/>
        </w:rPr>
        <w:t xml:space="preserve">за тумори на паротидните жлезди </w:t>
      </w:r>
      <w:r w:rsidR="002D43E1">
        <w:rPr>
          <w:rFonts w:ascii="Times New Roman" w:hAnsi="Times New Roman"/>
          <w:sz w:val="24"/>
          <w:szCs w:val="24"/>
        </w:rPr>
        <w:t>(TGP), бенигни тумори на паротидните жлезди (B</w:t>
      </w:r>
      <w:r w:rsidR="002D43E1">
        <w:rPr>
          <w:rFonts w:ascii="Times New Roman" w:hAnsi="Times New Roman"/>
          <w:sz w:val="24"/>
          <w:szCs w:val="24"/>
          <w:lang w:val="en-US"/>
        </w:rPr>
        <w:t>TGP</w:t>
      </w:r>
      <w:r w:rsidR="002D43E1">
        <w:rPr>
          <w:rFonts w:ascii="Times New Roman" w:hAnsi="Times New Roman"/>
          <w:sz w:val="24"/>
          <w:szCs w:val="24"/>
        </w:rPr>
        <w:t>)</w:t>
      </w:r>
      <w:r w:rsidR="002D43E1" w:rsidRPr="00A926CA">
        <w:rPr>
          <w:rFonts w:ascii="Times New Roman" w:hAnsi="Times New Roman"/>
          <w:sz w:val="24"/>
          <w:szCs w:val="24"/>
          <w:lang w:val="ru-RU"/>
        </w:rPr>
        <w:t xml:space="preserve"> </w:t>
      </w:r>
      <w:r w:rsidR="002D43E1">
        <w:rPr>
          <w:rFonts w:ascii="Times New Roman" w:hAnsi="Times New Roman"/>
          <w:sz w:val="24"/>
          <w:szCs w:val="24"/>
        </w:rPr>
        <w:t>и малигни тумори на паротидните жлезди (</w:t>
      </w:r>
      <w:r w:rsidR="002D43E1">
        <w:rPr>
          <w:rFonts w:ascii="Times New Roman" w:hAnsi="Times New Roman"/>
          <w:sz w:val="24"/>
          <w:szCs w:val="24"/>
          <w:lang w:val="en-US"/>
        </w:rPr>
        <w:t>MTGP</w:t>
      </w:r>
      <w:r w:rsidR="002D43E1">
        <w:rPr>
          <w:rFonts w:ascii="Times New Roman" w:hAnsi="Times New Roman"/>
          <w:sz w:val="24"/>
          <w:szCs w:val="24"/>
        </w:rPr>
        <w:t>)</w:t>
      </w:r>
      <w:r w:rsidR="009E3282">
        <w:rPr>
          <w:rFonts w:ascii="Times New Roman" w:hAnsi="Times New Roman"/>
          <w:sz w:val="24"/>
          <w:szCs w:val="24"/>
        </w:rPr>
        <w:t xml:space="preserve"> (Табела 15)</w:t>
      </w:r>
      <w:r w:rsidR="00E60157">
        <w:rPr>
          <w:rFonts w:ascii="Times New Roman" w:hAnsi="Times New Roman"/>
          <w:sz w:val="24"/>
          <w:szCs w:val="24"/>
        </w:rPr>
        <w:t xml:space="preserve">. </w:t>
      </w:r>
      <w:r w:rsidR="002D43E1" w:rsidRPr="00A926CA">
        <w:rPr>
          <w:rFonts w:ascii="Times New Roman" w:hAnsi="Times New Roman"/>
          <w:sz w:val="24"/>
          <w:szCs w:val="24"/>
          <w:lang w:val="ru-RU"/>
        </w:rPr>
        <w:t xml:space="preserve"> </w:t>
      </w:r>
    </w:p>
    <w:p w:rsidR="009E3282" w:rsidRPr="009E3282" w:rsidRDefault="009E3282" w:rsidP="009E3282">
      <w:pPr>
        <w:spacing w:line="360" w:lineRule="auto"/>
        <w:ind w:firstLine="720"/>
        <w:jc w:val="both"/>
        <w:rPr>
          <w:rFonts w:ascii="Times New Roman" w:hAnsi="Times New Roman"/>
          <w:sz w:val="24"/>
          <w:szCs w:val="24"/>
        </w:rPr>
      </w:pPr>
    </w:p>
    <w:p w:rsidR="008449CC" w:rsidRDefault="00DA37C9" w:rsidP="008449CC">
      <w:pPr>
        <w:autoSpaceDE w:val="0"/>
        <w:autoSpaceDN w:val="0"/>
        <w:adjustRightInd w:val="0"/>
        <w:rPr>
          <w:rFonts w:ascii="Times New Roman" w:hAnsi="Times New Roman"/>
          <w:b/>
          <w:color w:val="000000"/>
          <w:sz w:val="20"/>
          <w:szCs w:val="20"/>
        </w:rPr>
      </w:pPr>
      <w:r w:rsidRPr="00BE7EEE">
        <w:rPr>
          <w:rFonts w:ascii="Times New Roman" w:hAnsi="Times New Roman"/>
          <w:b/>
          <w:color w:val="000000"/>
          <w:sz w:val="20"/>
          <w:szCs w:val="20"/>
        </w:rPr>
        <w:t xml:space="preserve">Табела </w:t>
      </w:r>
      <w:r w:rsidR="008449CC">
        <w:rPr>
          <w:rFonts w:ascii="Times New Roman" w:hAnsi="Times New Roman"/>
          <w:b/>
          <w:color w:val="000000"/>
          <w:sz w:val="20"/>
          <w:szCs w:val="20"/>
        </w:rPr>
        <w:t>15</w:t>
      </w:r>
      <w:r w:rsidRPr="00BE7EEE">
        <w:rPr>
          <w:rFonts w:ascii="Times New Roman" w:hAnsi="Times New Roman"/>
          <w:b/>
          <w:color w:val="000000"/>
          <w:sz w:val="20"/>
          <w:szCs w:val="20"/>
        </w:rPr>
        <w:t xml:space="preserve">. ROC анализа на AUC вредности за дијагностичка ефикасност на </w:t>
      </w:r>
      <w:r w:rsidR="008449CC">
        <w:rPr>
          <w:rFonts w:ascii="Times New Roman" w:hAnsi="Times New Roman"/>
          <w:b/>
          <w:color w:val="000000"/>
          <w:sz w:val="20"/>
          <w:szCs w:val="20"/>
          <w:lang w:val="en-US"/>
        </w:rPr>
        <w:t>IL</w:t>
      </w:r>
      <w:r w:rsidR="008449CC" w:rsidRPr="00A926CA">
        <w:rPr>
          <w:rFonts w:ascii="Times New Roman" w:hAnsi="Times New Roman"/>
          <w:b/>
          <w:color w:val="000000"/>
          <w:sz w:val="20"/>
          <w:szCs w:val="20"/>
          <w:lang w:val="ru-RU"/>
        </w:rPr>
        <w:t xml:space="preserve">-33 во серум/салива </w:t>
      </w:r>
    </w:p>
    <w:p w:rsidR="00DA37C9" w:rsidRPr="00BE7EEE" w:rsidRDefault="008449CC" w:rsidP="008449CC">
      <w:pPr>
        <w:autoSpaceDE w:val="0"/>
        <w:autoSpaceDN w:val="0"/>
        <w:adjustRightInd w:val="0"/>
        <w:spacing w:line="360" w:lineRule="auto"/>
        <w:ind w:left="720"/>
        <w:rPr>
          <w:rFonts w:ascii="Times New Roman" w:hAnsi="Times New Roman"/>
          <w:b/>
          <w:color w:val="000000"/>
          <w:sz w:val="20"/>
          <w:szCs w:val="20"/>
        </w:rPr>
      </w:pPr>
      <w:r>
        <w:rPr>
          <w:rFonts w:ascii="Times New Roman" w:hAnsi="Times New Roman"/>
          <w:b/>
          <w:color w:val="000000"/>
          <w:sz w:val="20"/>
          <w:szCs w:val="20"/>
        </w:rPr>
        <w:t xml:space="preserve">     </w:t>
      </w:r>
      <w:r w:rsidR="00EE1A04">
        <w:rPr>
          <w:rFonts w:ascii="Times New Roman" w:hAnsi="Times New Roman"/>
          <w:b/>
          <w:color w:val="000000"/>
          <w:sz w:val="20"/>
          <w:szCs w:val="20"/>
        </w:rPr>
        <w:t xml:space="preserve">за </w:t>
      </w:r>
      <w:r>
        <w:rPr>
          <w:rFonts w:ascii="Times New Roman" w:hAnsi="Times New Roman"/>
          <w:b/>
          <w:color w:val="000000"/>
          <w:sz w:val="20"/>
          <w:szCs w:val="20"/>
        </w:rPr>
        <w:t>тумоти на паротидни жлезди</w:t>
      </w:r>
    </w:p>
    <w:tbl>
      <w:tblPr>
        <w:tblW w:w="879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2410"/>
        <w:gridCol w:w="1000"/>
        <w:gridCol w:w="1137"/>
        <w:gridCol w:w="1455"/>
        <w:gridCol w:w="1396"/>
        <w:gridCol w:w="1396"/>
      </w:tblGrid>
      <w:tr w:rsidR="00DA37C9" w:rsidRPr="00B47EBD" w:rsidTr="00904BE5">
        <w:trPr>
          <w:cantSplit/>
          <w:trHeight w:val="281"/>
        </w:trPr>
        <w:tc>
          <w:tcPr>
            <w:tcW w:w="8794" w:type="dxa"/>
            <w:gridSpan w:val="6"/>
            <w:shd w:val="clear" w:color="auto" w:fill="31849B"/>
            <w:vAlign w:val="center"/>
          </w:tcPr>
          <w:p w:rsidR="00DA37C9" w:rsidRPr="00B47EBD" w:rsidRDefault="00DA37C9" w:rsidP="009A4A0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bCs/>
                <w:color w:val="FFFFFF"/>
                <w:sz w:val="18"/>
                <w:szCs w:val="18"/>
              </w:rPr>
              <w:t>Area Under the Curve</w:t>
            </w:r>
          </w:p>
        </w:tc>
      </w:tr>
      <w:tr w:rsidR="00DA37C9" w:rsidRPr="00B47EBD" w:rsidTr="00904BE5">
        <w:trPr>
          <w:cantSplit/>
          <w:trHeight w:val="257"/>
        </w:trPr>
        <w:tc>
          <w:tcPr>
            <w:tcW w:w="2410" w:type="dxa"/>
            <w:vMerge w:val="restart"/>
            <w:shd w:val="clear" w:color="auto" w:fill="31849B"/>
            <w:vAlign w:val="center"/>
          </w:tcPr>
          <w:p w:rsidR="00DA37C9" w:rsidRPr="00B47EBD" w:rsidRDefault="00DA37C9" w:rsidP="009A4A0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Варијабли</w:t>
            </w:r>
          </w:p>
        </w:tc>
        <w:tc>
          <w:tcPr>
            <w:tcW w:w="1000" w:type="dxa"/>
            <w:vMerge w:val="restart"/>
            <w:shd w:val="clear" w:color="auto" w:fill="31849B"/>
            <w:vAlign w:val="center"/>
          </w:tcPr>
          <w:p w:rsidR="00DA37C9" w:rsidRPr="00B47EBD" w:rsidRDefault="00DA37C9" w:rsidP="009A4A0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Area</w:t>
            </w:r>
          </w:p>
        </w:tc>
        <w:tc>
          <w:tcPr>
            <w:tcW w:w="1137" w:type="dxa"/>
            <w:vMerge w:val="restart"/>
            <w:shd w:val="clear" w:color="auto" w:fill="31849B"/>
            <w:vAlign w:val="center"/>
          </w:tcPr>
          <w:p w:rsidR="00DA37C9" w:rsidRPr="00B47EBD" w:rsidRDefault="00DA37C9" w:rsidP="009A4A0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Std. Error</w:t>
            </w:r>
            <w:r w:rsidRPr="00B47EBD">
              <w:rPr>
                <w:rFonts w:ascii="Times New Roman" w:hAnsi="Times New Roman" w:cs="Times New Roman"/>
                <w:b/>
                <w:color w:val="FFFFFF"/>
                <w:sz w:val="18"/>
                <w:szCs w:val="18"/>
                <w:vertAlign w:val="superscript"/>
              </w:rPr>
              <w:t>a</w:t>
            </w:r>
          </w:p>
        </w:tc>
        <w:tc>
          <w:tcPr>
            <w:tcW w:w="1455" w:type="dxa"/>
            <w:vMerge w:val="restart"/>
            <w:shd w:val="clear" w:color="auto" w:fill="31849B"/>
            <w:vAlign w:val="center"/>
          </w:tcPr>
          <w:p w:rsidR="00DA37C9" w:rsidRPr="00B47EBD" w:rsidRDefault="00DA37C9" w:rsidP="009A4A0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Asymptotic Sig.</w:t>
            </w:r>
          </w:p>
        </w:tc>
        <w:tc>
          <w:tcPr>
            <w:tcW w:w="2792" w:type="dxa"/>
            <w:gridSpan w:val="2"/>
            <w:shd w:val="clear" w:color="auto" w:fill="31849B"/>
            <w:vAlign w:val="center"/>
          </w:tcPr>
          <w:p w:rsidR="00DA37C9" w:rsidRPr="00B47EBD" w:rsidRDefault="00DA37C9" w:rsidP="00C1601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Asymptotic 95% C.I.</w:t>
            </w:r>
          </w:p>
        </w:tc>
      </w:tr>
      <w:tr w:rsidR="00DA37C9" w:rsidRPr="00B47EBD" w:rsidTr="00904BE5">
        <w:trPr>
          <w:cantSplit/>
          <w:trHeight w:val="317"/>
        </w:trPr>
        <w:tc>
          <w:tcPr>
            <w:tcW w:w="2410" w:type="dxa"/>
            <w:vMerge/>
            <w:shd w:val="clear" w:color="auto" w:fill="31849B"/>
          </w:tcPr>
          <w:p w:rsidR="00DA37C9" w:rsidRPr="00B47EBD" w:rsidRDefault="00DA37C9" w:rsidP="009A4A07">
            <w:pPr>
              <w:autoSpaceDE w:val="0"/>
              <w:autoSpaceDN w:val="0"/>
              <w:adjustRightInd w:val="0"/>
              <w:rPr>
                <w:rFonts w:ascii="Times New Roman" w:hAnsi="Times New Roman" w:cs="Times New Roman"/>
                <w:b/>
                <w:color w:val="FFFFFF"/>
                <w:sz w:val="18"/>
                <w:szCs w:val="18"/>
              </w:rPr>
            </w:pPr>
          </w:p>
        </w:tc>
        <w:tc>
          <w:tcPr>
            <w:tcW w:w="1000" w:type="dxa"/>
            <w:vMerge/>
            <w:shd w:val="clear" w:color="auto" w:fill="31849B"/>
          </w:tcPr>
          <w:p w:rsidR="00DA37C9" w:rsidRPr="00B47EBD" w:rsidRDefault="00DA37C9" w:rsidP="009A4A07">
            <w:pPr>
              <w:autoSpaceDE w:val="0"/>
              <w:autoSpaceDN w:val="0"/>
              <w:adjustRightInd w:val="0"/>
              <w:rPr>
                <w:rFonts w:ascii="Times New Roman" w:hAnsi="Times New Roman" w:cs="Times New Roman"/>
                <w:b/>
                <w:color w:val="FFFFFF"/>
                <w:sz w:val="18"/>
                <w:szCs w:val="18"/>
              </w:rPr>
            </w:pPr>
          </w:p>
        </w:tc>
        <w:tc>
          <w:tcPr>
            <w:tcW w:w="1137" w:type="dxa"/>
            <w:vMerge/>
            <w:shd w:val="clear" w:color="auto" w:fill="31849B"/>
          </w:tcPr>
          <w:p w:rsidR="00DA37C9" w:rsidRPr="00B47EBD" w:rsidRDefault="00DA37C9" w:rsidP="009A4A07">
            <w:pPr>
              <w:autoSpaceDE w:val="0"/>
              <w:autoSpaceDN w:val="0"/>
              <w:adjustRightInd w:val="0"/>
              <w:rPr>
                <w:rFonts w:ascii="Times New Roman" w:hAnsi="Times New Roman" w:cs="Times New Roman"/>
                <w:b/>
                <w:color w:val="FFFFFF"/>
                <w:sz w:val="18"/>
                <w:szCs w:val="18"/>
              </w:rPr>
            </w:pPr>
          </w:p>
        </w:tc>
        <w:tc>
          <w:tcPr>
            <w:tcW w:w="1455" w:type="dxa"/>
            <w:vMerge/>
            <w:shd w:val="clear" w:color="auto" w:fill="31849B"/>
          </w:tcPr>
          <w:p w:rsidR="00DA37C9" w:rsidRPr="00B47EBD" w:rsidRDefault="00DA37C9" w:rsidP="009A4A07">
            <w:pPr>
              <w:autoSpaceDE w:val="0"/>
              <w:autoSpaceDN w:val="0"/>
              <w:adjustRightInd w:val="0"/>
              <w:rPr>
                <w:rFonts w:ascii="Times New Roman" w:hAnsi="Times New Roman" w:cs="Times New Roman"/>
                <w:b/>
                <w:color w:val="FFFFFF"/>
                <w:sz w:val="18"/>
                <w:szCs w:val="18"/>
              </w:rPr>
            </w:pPr>
          </w:p>
        </w:tc>
        <w:tc>
          <w:tcPr>
            <w:tcW w:w="1396" w:type="dxa"/>
            <w:shd w:val="clear" w:color="auto" w:fill="31849B"/>
            <w:vAlign w:val="center"/>
          </w:tcPr>
          <w:p w:rsidR="00DA37C9" w:rsidRPr="00B47EBD" w:rsidRDefault="00DA37C9" w:rsidP="00C1601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Lower Bound</w:t>
            </w:r>
          </w:p>
        </w:tc>
        <w:tc>
          <w:tcPr>
            <w:tcW w:w="1396" w:type="dxa"/>
            <w:shd w:val="clear" w:color="auto" w:fill="31849B"/>
            <w:vAlign w:val="center"/>
          </w:tcPr>
          <w:p w:rsidR="00DA37C9" w:rsidRPr="00B47EBD" w:rsidRDefault="00DA37C9" w:rsidP="00C16017">
            <w:pPr>
              <w:autoSpaceDE w:val="0"/>
              <w:autoSpaceDN w:val="0"/>
              <w:adjustRightInd w:val="0"/>
              <w:ind w:left="60" w:right="60"/>
              <w:jc w:val="center"/>
              <w:rPr>
                <w:rFonts w:ascii="Times New Roman" w:hAnsi="Times New Roman" w:cs="Times New Roman"/>
                <w:b/>
                <w:color w:val="FFFFFF"/>
                <w:sz w:val="18"/>
                <w:szCs w:val="18"/>
              </w:rPr>
            </w:pPr>
            <w:r w:rsidRPr="00B47EBD">
              <w:rPr>
                <w:rFonts w:ascii="Times New Roman" w:hAnsi="Times New Roman" w:cs="Times New Roman"/>
                <w:b/>
                <w:color w:val="FFFFFF"/>
                <w:sz w:val="18"/>
                <w:szCs w:val="18"/>
              </w:rPr>
              <w:t>Upper Bound</w:t>
            </w:r>
          </w:p>
        </w:tc>
      </w:tr>
      <w:tr w:rsidR="00E66DED" w:rsidRPr="00B47EBD" w:rsidTr="00904BE5">
        <w:trPr>
          <w:cantSplit/>
          <w:trHeight w:val="257"/>
        </w:trPr>
        <w:tc>
          <w:tcPr>
            <w:tcW w:w="8794" w:type="dxa"/>
            <w:gridSpan w:val="6"/>
            <w:shd w:val="clear" w:color="auto" w:fill="B6DDE8"/>
            <w:vAlign w:val="center"/>
          </w:tcPr>
          <w:p w:rsidR="00E66DED" w:rsidRPr="00B47EBD" w:rsidRDefault="00E66DED" w:rsidP="00E66DED">
            <w:pPr>
              <w:autoSpaceDE w:val="0"/>
              <w:autoSpaceDN w:val="0"/>
              <w:adjustRightInd w:val="0"/>
              <w:ind w:left="60" w:right="60"/>
              <w:rPr>
                <w:rFonts w:ascii="Times New Roman" w:hAnsi="Times New Roman" w:cs="Times New Roman"/>
                <w:b/>
                <w:color w:val="000000"/>
                <w:sz w:val="18"/>
                <w:szCs w:val="18"/>
              </w:rPr>
            </w:pPr>
            <w:r w:rsidRPr="00B47EBD">
              <w:rPr>
                <w:rFonts w:ascii="Times New Roman" w:hAnsi="Times New Roman" w:cs="Times New Roman"/>
                <w:b/>
                <w:color w:val="000000"/>
                <w:sz w:val="18"/>
                <w:szCs w:val="18"/>
                <w:lang w:val="en-US"/>
              </w:rPr>
              <w:t>IL – 33 серум</w:t>
            </w:r>
          </w:p>
        </w:tc>
      </w:tr>
      <w:tr w:rsidR="00527D7D" w:rsidRPr="00B47EBD" w:rsidTr="00904BE5">
        <w:trPr>
          <w:cantSplit/>
          <w:trHeight w:val="323"/>
        </w:trPr>
        <w:tc>
          <w:tcPr>
            <w:tcW w:w="2410" w:type="dxa"/>
            <w:shd w:val="clear" w:color="auto" w:fill="31849B"/>
            <w:vAlign w:val="center"/>
          </w:tcPr>
          <w:p w:rsidR="00527D7D" w:rsidRPr="00B47EBD" w:rsidRDefault="00197951" w:rsidP="008449CC">
            <w:pPr>
              <w:autoSpaceDE w:val="0"/>
              <w:autoSpaceDN w:val="0"/>
              <w:adjustRightInd w:val="0"/>
              <w:ind w:left="137" w:right="60"/>
              <w:rPr>
                <w:rFonts w:ascii="Times New Roman" w:hAnsi="Times New Roman" w:cs="Times New Roman"/>
                <w:b/>
                <w:bCs/>
                <w:color w:val="FFFFFF"/>
                <w:sz w:val="18"/>
                <w:szCs w:val="18"/>
                <w:lang w:val="en-US"/>
              </w:rPr>
            </w:pPr>
            <w:r w:rsidRPr="00B47EBD">
              <w:rPr>
                <w:rFonts w:ascii="Times New Roman" w:hAnsi="Times New Roman" w:cs="Times New Roman"/>
                <w:b/>
                <w:bCs/>
                <w:color w:val="FFFFFF"/>
                <w:sz w:val="18"/>
                <w:szCs w:val="18"/>
              </w:rPr>
              <w:t xml:space="preserve">Контрола - </w:t>
            </w:r>
            <w:r w:rsidR="008449CC" w:rsidRPr="00B47EBD">
              <w:rPr>
                <w:rFonts w:ascii="Times New Roman" w:hAnsi="Times New Roman" w:cs="Times New Roman"/>
                <w:b/>
                <w:bCs/>
                <w:color w:val="FFFFFF"/>
                <w:sz w:val="18"/>
                <w:szCs w:val="18"/>
              </w:rPr>
              <w:t>T</w:t>
            </w:r>
            <w:r w:rsidR="008449CC" w:rsidRPr="00B47EBD">
              <w:rPr>
                <w:rFonts w:ascii="Times New Roman" w:hAnsi="Times New Roman" w:cs="Times New Roman"/>
                <w:b/>
                <w:bCs/>
                <w:color w:val="FFFFFF"/>
                <w:sz w:val="18"/>
                <w:szCs w:val="18"/>
                <w:lang w:val="en-US"/>
              </w:rPr>
              <w:t>GP</w:t>
            </w:r>
          </w:p>
        </w:tc>
        <w:tc>
          <w:tcPr>
            <w:tcW w:w="1000" w:type="dxa"/>
            <w:shd w:val="clear" w:color="auto" w:fill="DAEEF3"/>
            <w:vAlign w:val="bottom"/>
          </w:tcPr>
          <w:p w:rsidR="00527D7D" w:rsidRPr="00B47EBD" w:rsidRDefault="00E66DED" w:rsidP="00E66DED">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eastAsia="mk-MK"/>
              </w:rPr>
              <w:t>0,485</w:t>
            </w:r>
          </w:p>
        </w:tc>
        <w:tc>
          <w:tcPr>
            <w:tcW w:w="1137" w:type="dxa"/>
            <w:shd w:val="clear" w:color="auto" w:fill="DAEEF3"/>
            <w:vAlign w:val="bottom"/>
          </w:tcPr>
          <w:p w:rsidR="00527D7D" w:rsidRPr="00B47EBD" w:rsidRDefault="00E66DED" w:rsidP="00E66DED">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eastAsia="mk-MK"/>
              </w:rPr>
              <w:t>0,054</w:t>
            </w:r>
          </w:p>
        </w:tc>
        <w:tc>
          <w:tcPr>
            <w:tcW w:w="1455" w:type="dxa"/>
            <w:shd w:val="clear" w:color="auto" w:fill="DAEEF3"/>
            <w:vAlign w:val="bottom"/>
          </w:tcPr>
          <w:p w:rsidR="00527D7D" w:rsidRPr="00B47EBD" w:rsidRDefault="00E66DED" w:rsidP="00E66DED">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eastAsia="mk-MK"/>
              </w:rPr>
              <w:t>0,783</w:t>
            </w:r>
          </w:p>
        </w:tc>
        <w:tc>
          <w:tcPr>
            <w:tcW w:w="1396" w:type="dxa"/>
            <w:shd w:val="clear" w:color="auto" w:fill="DAEEF3"/>
            <w:vAlign w:val="bottom"/>
          </w:tcPr>
          <w:p w:rsidR="00527D7D" w:rsidRPr="00B47EBD" w:rsidRDefault="00E66DED" w:rsidP="00E66DED">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eastAsia="mk-MK"/>
              </w:rPr>
              <w:t>0,380</w:t>
            </w:r>
          </w:p>
        </w:tc>
        <w:tc>
          <w:tcPr>
            <w:tcW w:w="1396" w:type="dxa"/>
            <w:shd w:val="clear" w:color="auto" w:fill="DAEEF3"/>
            <w:vAlign w:val="bottom"/>
          </w:tcPr>
          <w:p w:rsidR="00527D7D" w:rsidRPr="00B47EBD" w:rsidRDefault="00E66DED" w:rsidP="00E66DED">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eastAsia="mk-MK"/>
              </w:rPr>
              <w:t>0,590</w:t>
            </w:r>
          </w:p>
        </w:tc>
      </w:tr>
      <w:tr w:rsidR="00096E03" w:rsidRPr="00B47EBD" w:rsidTr="00904BE5">
        <w:trPr>
          <w:cantSplit/>
          <w:trHeight w:val="323"/>
        </w:trPr>
        <w:tc>
          <w:tcPr>
            <w:tcW w:w="2410" w:type="dxa"/>
            <w:shd w:val="clear" w:color="auto" w:fill="31849B"/>
            <w:vAlign w:val="center"/>
          </w:tcPr>
          <w:p w:rsidR="00096E03" w:rsidRPr="00B47EBD" w:rsidRDefault="00096E03" w:rsidP="008449CC">
            <w:pPr>
              <w:autoSpaceDE w:val="0"/>
              <w:autoSpaceDN w:val="0"/>
              <w:adjustRightInd w:val="0"/>
              <w:ind w:left="137" w:right="60"/>
              <w:rPr>
                <w:rFonts w:ascii="Times New Roman" w:hAnsi="Times New Roman" w:cs="Times New Roman"/>
                <w:b/>
                <w:bCs/>
                <w:color w:val="FFFFFF"/>
                <w:sz w:val="18"/>
                <w:szCs w:val="18"/>
                <w:highlight w:val="yellow"/>
                <w:lang w:val="en-US"/>
              </w:rPr>
            </w:pPr>
            <w:r w:rsidRPr="00B47EBD">
              <w:rPr>
                <w:rFonts w:ascii="Times New Roman" w:hAnsi="Times New Roman" w:cs="Times New Roman"/>
                <w:b/>
                <w:bCs/>
                <w:color w:val="FFFFFF"/>
                <w:sz w:val="18"/>
                <w:szCs w:val="18"/>
              </w:rPr>
              <w:t xml:space="preserve">Контрола - </w:t>
            </w:r>
            <w:r w:rsidRPr="00B47EBD">
              <w:rPr>
                <w:rFonts w:ascii="Times New Roman" w:hAnsi="Times New Roman" w:cs="Times New Roman"/>
                <w:b/>
                <w:bCs/>
                <w:color w:val="FFFFFF"/>
                <w:sz w:val="18"/>
                <w:szCs w:val="18"/>
                <w:lang w:val="en-US"/>
              </w:rPr>
              <w:t>BTGP</w:t>
            </w:r>
          </w:p>
        </w:tc>
        <w:tc>
          <w:tcPr>
            <w:tcW w:w="1000" w:type="dxa"/>
            <w:shd w:val="clear" w:color="auto" w:fill="DAEEF3"/>
            <w:vAlign w:val="center"/>
          </w:tcPr>
          <w:p w:rsidR="00096E03" w:rsidRPr="00096E03" w:rsidRDefault="00096E03" w:rsidP="001047DE">
            <w:pPr>
              <w:autoSpaceDE w:val="0"/>
              <w:autoSpaceDN w:val="0"/>
              <w:adjustRightInd w:val="0"/>
              <w:spacing w:line="320" w:lineRule="atLeast"/>
              <w:ind w:left="60" w:right="60"/>
              <w:jc w:val="right"/>
              <w:rPr>
                <w:rFonts w:ascii="Times New Roman" w:hAnsi="Times New Roman" w:cs="Times New Roman"/>
                <w:color w:val="000000"/>
                <w:sz w:val="18"/>
                <w:szCs w:val="18"/>
                <w:lang w:val="en-US"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,48</w:t>
            </w:r>
            <w:r w:rsidR="001047DE">
              <w:rPr>
                <w:rFonts w:ascii="Times New Roman" w:hAnsi="Times New Roman" w:cs="Times New Roman"/>
                <w:color w:val="000000"/>
                <w:sz w:val="18"/>
                <w:szCs w:val="18"/>
                <w:lang w:val="en-US" w:eastAsia="mk-MK"/>
              </w:rPr>
              <w:t>4</w:t>
            </w:r>
          </w:p>
        </w:tc>
        <w:tc>
          <w:tcPr>
            <w:tcW w:w="1137"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,056</w:t>
            </w:r>
          </w:p>
        </w:tc>
        <w:tc>
          <w:tcPr>
            <w:tcW w:w="1455" w:type="dxa"/>
            <w:shd w:val="clear" w:color="auto" w:fill="DAEEF3"/>
            <w:vAlign w:val="center"/>
          </w:tcPr>
          <w:p w:rsidR="00096E03" w:rsidRPr="00096E03" w:rsidRDefault="00096E03" w:rsidP="001047DE">
            <w:pPr>
              <w:autoSpaceDE w:val="0"/>
              <w:autoSpaceDN w:val="0"/>
              <w:adjustRightInd w:val="0"/>
              <w:spacing w:line="320" w:lineRule="atLeast"/>
              <w:ind w:left="60" w:right="60"/>
              <w:jc w:val="right"/>
              <w:rPr>
                <w:rFonts w:ascii="Times New Roman" w:hAnsi="Times New Roman" w:cs="Times New Roman"/>
                <w:color w:val="000000"/>
                <w:sz w:val="18"/>
                <w:szCs w:val="18"/>
                <w:lang w:val="en-US"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,78</w:t>
            </w:r>
            <w:r w:rsidR="001047DE">
              <w:rPr>
                <w:rFonts w:ascii="Times New Roman" w:hAnsi="Times New Roman" w:cs="Times New Roman"/>
                <w:color w:val="000000"/>
                <w:sz w:val="18"/>
                <w:szCs w:val="18"/>
                <w:lang w:val="en-US" w:eastAsia="mk-MK"/>
              </w:rPr>
              <w:t>1</w:t>
            </w:r>
          </w:p>
        </w:tc>
        <w:tc>
          <w:tcPr>
            <w:tcW w:w="1396"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,375</w:t>
            </w:r>
          </w:p>
        </w:tc>
        <w:tc>
          <w:tcPr>
            <w:tcW w:w="1396"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,594</w:t>
            </w:r>
          </w:p>
        </w:tc>
      </w:tr>
      <w:tr w:rsidR="00096E03" w:rsidRPr="00B47EBD" w:rsidTr="00904BE5">
        <w:trPr>
          <w:cantSplit/>
        </w:trPr>
        <w:tc>
          <w:tcPr>
            <w:tcW w:w="2410" w:type="dxa"/>
            <w:shd w:val="clear" w:color="auto" w:fill="31849B"/>
            <w:vAlign w:val="center"/>
          </w:tcPr>
          <w:p w:rsidR="00096E03" w:rsidRPr="00B47EBD" w:rsidRDefault="00096E03" w:rsidP="008449CC">
            <w:pPr>
              <w:autoSpaceDE w:val="0"/>
              <w:autoSpaceDN w:val="0"/>
              <w:adjustRightInd w:val="0"/>
              <w:ind w:left="137" w:right="60"/>
              <w:rPr>
                <w:rFonts w:ascii="Times New Roman" w:hAnsi="Times New Roman" w:cs="Times New Roman"/>
                <w:b/>
                <w:bCs/>
                <w:color w:val="FFFFFF"/>
                <w:sz w:val="18"/>
                <w:szCs w:val="18"/>
                <w:highlight w:val="yellow"/>
                <w:lang w:val="en-US"/>
              </w:rPr>
            </w:pPr>
            <w:r w:rsidRPr="00B47EBD">
              <w:rPr>
                <w:rFonts w:ascii="Times New Roman" w:hAnsi="Times New Roman" w:cs="Times New Roman"/>
                <w:b/>
                <w:bCs/>
                <w:color w:val="FFFFFF"/>
                <w:sz w:val="18"/>
                <w:szCs w:val="18"/>
              </w:rPr>
              <w:t xml:space="preserve">Контрола - </w:t>
            </w:r>
            <w:r w:rsidRPr="00B47EBD">
              <w:rPr>
                <w:rFonts w:ascii="Times New Roman" w:hAnsi="Times New Roman" w:cs="Times New Roman"/>
                <w:b/>
                <w:bCs/>
                <w:color w:val="FFFFFF"/>
                <w:sz w:val="18"/>
                <w:szCs w:val="18"/>
                <w:lang w:val="en-US"/>
              </w:rPr>
              <w:t>MTGP</w:t>
            </w:r>
          </w:p>
        </w:tc>
        <w:tc>
          <w:tcPr>
            <w:tcW w:w="1000"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,489</w:t>
            </w:r>
          </w:p>
        </w:tc>
        <w:tc>
          <w:tcPr>
            <w:tcW w:w="1137"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,087</w:t>
            </w:r>
          </w:p>
        </w:tc>
        <w:tc>
          <w:tcPr>
            <w:tcW w:w="1455"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,899</w:t>
            </w:r>
          </w:p>
        </w:tc>
        <w:tc>
          <w:tcPr>
            <w:tcW w:w="1396"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,317</w:t>
            </w:r>
          </w:p>
        </w:tc>
        <w:tc>
          <w:tcPr>
            <w:tcW w:w="1396"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,660</w:t>
            </w:r>
          </w:p>
        </w:tc>
      </w:tr>
      <w:tr w:rsidR="00096E03" w:rsidRPr="00B47EBD" w:rsidTr="00904BE5">
        <w:trPr>
          <w:cantSplit/>
          <w:trHeight w:val="257"/>
        </w:trPr>
        <w:tc>
          <w:tcPr>
            <w:tcW w:w="8794" w:type="dxa"/>
            <w:gridSpan w:val="6"/>
            <w:shd w:val="clear" w:color="auto" w:fill="B6DDE8"/>
            <w:vAlign w:val="center"/>
          </w:tcPr>
          <w:p w:rsidR="00096E03" w:rsidRPr="00B47EBD" w:rsidRDefault="00096E03" w:rsidP="00197951">
            <w:pPr>
              <w:autoSpaceDE w:val="0"/>
              <w:autoSpaceDN w:val="0"/>
              <w:adjustRightInd w:val="0"/>
              <w:ind w:left="60" w:right="60"/>
              <w:rPr>
                <w:rFonts w:ascii="Times New Roman" w:hAnsi="Times New Roman" w:cs="Times New Roman"/>
                <w:b/>
                <w:color w:val="000000"/>
                <w:sz w:val="18"/>
                <w:szCs w:val="18"/>
              </w:rPr>
            </w:pPr>
            <w:r w:rsidRPr="00B47EBD">
              <w:rPr>
                <w:rFonts w:ascii="Times New Roman" w:hAnsi="Times New Roman" w:cs="Times New Roman"/>
                <w:b/>
                <w:color w:val="000000"/>
                <w:sz w:val="18"/>
                <w:szCs w:val="18"/>
                <w:lang w:val="en-US"/>
              </w:rPr>
              <w:t xml:space="preserve">IL – 33 </w:t>
            </w:r>
            <w:r w:rsidRPr="00B47EBD">
              <w:rPr>
                <w:rFonts w:ascii="Times New Roman" w:hAnsi="Times New Roman" w:cs="Times New Roman"/>
                <w:b/>
                <w:color w:val="000000"/>
                <w:sz w:val="18"/>
                <w:szCs w:val="18"/>
              </w:rPr>
              <w:t>салива</w:t>
            </w:r>
          </w:p>
        </w:tc>
      </w:tr>
      <w:tr w:rsidR="00096E03" w:rsidRPr="00B47EBD" w:rsidTr="00904BE5">
        <w:trPr>
          <w:cantSplit/>
          <w:trHeight w:val="323"/>
        </w:trPr>
        <w:tc>
          <w:tcPr>
            <w:tcW w:w="2410" w:type="dxa"/>
            <w:shd w:val="clear" w:color="auto" w:fill="31849B"/>
            <w:vAlign w:val="center"/>
          </w:tcPr>
          <w:p w:rsidR="00096E03" w:rsidRPr="00B47EBD" w:rsidRDefault="00096E03" w:rsidP="00595159">
            <w:pPr>
              <w:autoSpaceDE w:val="0"/>
              <w:autoSpaceDN w:val="0"/>
              <w:adjustRightInd w:val="0"/>
              <w:ind w:left="137" w:right="60"/>
              <w:rPr>
                <w:rFonts w:ascii="Times New Roman" w:hAnsi="Times New Roman" w:cs="Times New Roman"/>
                <w:b/>
                <w:bCs/>
                <w:color w:val="FFFFFF"/>
                <w:sz w:val="18"/>
                <w:szCs w:val="18"/>
                <w:lang w:val="en-US"/>
              </w:rPr>
            </w:pPr>
            <w:r w:rsidRPr="00B47EBD">
              <w:rPr>
                <w:rFonts w:ascii="Times New Roman" w:hAnsi="Times New Roman" w:cs="Times New Roman"/>
                <w:b/>
                <w:bCs/>
                <w:color w:val="FFFFFF"/>
                <w:sz w:val="18"/>
                <w:szCs w:val="18"/>
              </w:rPr>
              <w:t>Контрола - T</w:t>
            </w:r>
            <w:r w:rsidRPr="00B47EBD">
              <w:rPr>
                <w:rFonts w:ascii="Times New Roman" w:hAnsi="Times New Roman" w:cs="Times New Roman"/>
                <w:b/>
                <w:bCs/>
                <w:color w:val="FFFFFF"/>
                <w:sz w:val="18"/>
                <w:szCs w:val="18"/>
                <w:lang w:val="en-US"/>
              </w:rPr>
              <w:t>GP</w:t>
            </w:r>
          </w:p>
        </w:tc>
        <w:tc>
          <w:tcPr>
            <w:tcW w:w="1000" w:type="dxa"/>
            <w:shd w:val="clear" w:color="auto" w:fill="DAEEF3"/>
            <w:vAlign w:val="center"/>
          </w:tcPr>
          <w:p w:rsidR="00096E03" w:rsidRPr="002D43E1"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2D43E1">
              <w:rPr>
                <w:rFonts w:ascii="Times New Roman" w:hAnsi="Times New Roman" w:cs="Times New Roman"/>
                <w:color w:val="000000"/>
                <w:sz w:val="18"/>
                <w:szCs w:val="18"/>
                <w:lang w:eastAsia="mk-MK"/>
              </w:rPr>
              <w:t>,512</w:t>
            </w:r>
          </w:p>
        </w:tc>
        <w:tc>
          <w:tcPr>
            <w:tcW w:w="1137" w:type="dxa"/>
            <w:shd w:val="clear" w:color="auto" w:fill="DAEEF3"/>
            <w:vAlign w:val="center"/>
          </w:tcPr>
          <w:p w:rsidR="00096E03" w:rsidRPr="002D43E1"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2D43E1">
              <w:rPr>
                <w:rFonts w:ascii="Times New Roman" w:hAnsi="Times New Roman" w:cs="Times New Roman"/>
                <w:color w:val="000000"/>
                <w:sz w:val="18"/>
                <w:szCs w:val="18"/>
                <w:lang w:eastAsia="mk-MK"/>
              </w:rPr>
              <w:t>,053</w:t>
            </w:r>
          </w:p>
        </w:tc>
        <w:tc>
          <w:tcPr>
            <w:tcW w:w="1455" w:type="dxa"/>
            <w:shd w:val="clear" w:color="auto" w:fill="DAEEF3"/>
            <w:vAlign w:val="center"/>
          </w:tcPr>
          <w:p w:rsidR="00096E03" w:rsidRPr="002D43E1"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2D43E1">
              <w:rPr>
                <w:rFonts w:ascii="Times New Roman" w:hAnsi="Times New Roman" w:cs="Times New Roman"/>
                <w:color w:val="000000"/>
                <w:sz w:val="18"/>
                <w:szCs w:val="18"/>
                <w:lang w:eastAsia="mk-MK"/>
              </w:rPr>
              <w:t>,819</w:t>
            </w:r>
          </w:p>
        </w:tc>
        <w:tc>
          <w:tcPr>
            <w:tcW w:w="1396" w:type="dxa"/>
            <w:shd w:val="clear" w:color="auto" w:fill="DAEEF3"/>
            <w:vAlign w:val="center"/>
          </w:tcPr>
          <w:p w:rsidR="00096E03" w:rsidRPr="002D43E1"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2D43E1">
              <w:rPr>
                <w:rFonts w:ascii="Times New Roman" w:hAnsi="Times New Roman" w:cs="Times New Roman"/>
                <w:color w:val="000000"/>
                <w:sz w:val="18"/>
                <w:szCs w:val="18"/>
                <w:lang w:eastAsia="mk-MK"/>
              </w:rPr>
              <w:t>,408</w:t>
            </w:r>
          </w:p>
        </w:tc>
        <w:tc>
          <w:tcPr>
            <w:tcW w:w="1396" w:type="dxa"/>
            <w:shd w:val="clear" w:color="auto" w:fill="DAEEF3"/>
            <w:vAlign w:val="center"/>
          </w:tcPr>
          <w:p w:rsidR="00096E03" w:rsidRPr="002D43E1"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2D43E1">
              <w:rPr>
                <w:rFonts w:ascii="Times New Roman" w:hAnsi="Times New Roman" w:cs="Times New Roman"/>
                <w:color w:val="000000"/>
                <w:sz w:val="18"/>
                <w:szCs w:val="18"/>
                <w:lang w:eastAsia="mk-MK"/>
              </w:rPr>
              <w:t>,616</w:t>
            </w:r>
          </w:p>
        </w:tc>
      </w:tr>
      <w:tr w:rsidR="00096E03" w:rsidRPr="00B47EBD" w:rsidTr="00904BE5">
        <w:trPr>
          <w:cantSplit/>
          <w:trHeight w:val="323"/>
        </w:trPr>
        <w:tc>
          <w:tcPr>
            <w:tcW w:w="2410" w:type="dxa"/>
            <w:shd w:val="clear" w:color="auto" w:fill="31849B"/>
            <w:vAlign w:val="center"/>
          </w:tcPr>
          <w:p w:rsidR="00096E03" w:rsidRPr="00B47EBD" w:rsidRDefault="00096E03" w:rsidP="00595159">
            <w:pPr>
              <w:autoSpaceDE w:val="0"/>
              <w:autoSpaceDN w:val="0"/>
              <w:adjustRightInd w:val="0"/>
              <w:ind w:left="137" w:right="60"/>
              <w:rPr>
                <w:rFonts w:ascii="Times New Roman" w:hAnsi="Times New Roman" w:cs="Times New Roman"/>
                <w:b/>
                <w:bCs/>
                <w:color w:val="FFFFFF"/>
                <w:sz w:val="18"/>
                <w:szCs w:val="18"/>
                <w:highlight w:val="yellow"/>
                <w:lang w:val="en-US"/>
              </w:rPr>
            </w:pPr>
            <w:r w:rsidRPr="00B47EBD">
              <w:rPr>
                <w:rFonts w:ascii="Times New Roman" w:hAnsi="Times New Roman" w:cs="Times New Roman"/>
                <w:b/>
                <w:bCs/>
                <w:color w:val="FFFFFF"/>
                <w:sz w:val="18"/>
                <w:szCs w:val="18"/>
              </w:rPr>
              <w:t xml:space="preserve">Контрола - </w:t>
            </w:r>
            <w:r w:rsidRPr="00B47EBD">
              <w:rPr>
                <w:rFonts w:ascii="Times New Roman" w:hAnsi="Times New Roman" w:cs="Times New Roman"/>
                <w:b/>
                <w:bCs/>
                <w:color w:val="FFFFFF"/>
                <w:sz w:val="18"/>
                <w:szCs w:val="18"/>
                <w:lang w:val="en-US"/>
              </w:rPr>
              <w:t>BTGP</w:t>
            </w:r>
          </w:p>
        </w:tc>
        <w:tc>
          <w:tcPr>
            <w:tcW w:w="1000"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,515</w:t>
            </w:r>
          </w:p>
        </w:tc>
        <w:tc>
          <w:tcPr>
            <w:tcW w:w="1137"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,056</w:t>
            </w:r>
          </w:p>
        </w:tc>
        <w:tc>
          <w:tcPr>
            <w:tcW w:w="1455"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,793</w:t>
            </w:r>
          </w:p>
        </w:tc>
        <w:tc>
          <w:tcPr>
            <w:tcW w:w="1396"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,404</w:t>
            </w:r>
          </w:p>
        </w:tc>
        <w:tc>
          <w:tcPr>
            <w:tcW w:w="1396" w:type="dxa"/>
            <w:shd w:val="clear" w:color="auto" w:fill="DAEEF3"/>
            <w:vAlign w:val="center"/>
          </w:tcPr>
          <w:p w:rsidR="00096E03" w:rsidRPr="00096E03"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096E03">
              <w:rPr>
                <w:rFonts w:ascii="Times New Roman" w:hAnsi="Times New Roman" w:cs="Times New Roman"/>
                <w:color w:val="000000"/>
                <w:sz w:val="18"/>
                <w:szCs w:val="18"/>
                <w:lang w:eastAsia="mk-MK"/>
              </w:rPr>
              <w:t>,625</w:t>
            </w:r>
          </w:p>
        </w:tc>
      </w:tr>
      <w:tr w:rsidR="00096E03" w:rsidRPr="00B47EBD" w:rsidTr="00904BE5">
        <w:trPr>
          <w:cantSplit/>
        </w:trPr>
        <w:tc>
          <w:tcPr>
            <w:tcW w:w="2410" w:type="dxa"/>
            <w:shd w:val="clear" w:color="auto" w:fill="31849B"/>
            <w:vAlign w:val="center"/>
          </w:tcPr>
          <w:p w:rsidR="00096E03" w:rsidRPr="00B47EBD" w:rsidRDefault="00096E03" w:rsidP="00595159">
            <w:pPr>
              <w:autoSpaceDE w:val="0"/>
              <w:autoSpaceDN w:val="0"/>
              <w:adjustRightInd w:val="0"/>
              <w:ind w:left="137" w:right="60"/>
              <w:rPr>
                <w:rFonts w:ascii="Times New Roman" w:hAnsi="Times New Roman" w:cs="Times New Roman"/>
                <w:b/>
                <w:bCs/>
                <w:color w:val="FFFFFF"/>
                <w:sz w:val="18"/>
                <w:szCs w:val="18"/>
                <w:highlight w:val="yellow"/>
                <w:lang w:val="en-US"/>
              </w:rPr>
            </w:pPr>
            <w:r w:rsidRPr="00B47EBD">
              <w:rPr>
                <w:rFonts w:ascii="Times New Roman" w:hAnsi="Times New Roman" w:cs="Times New Roman"/>
                <w:b/>
                <w:bCs/>
                <w:color w:val="FFFFFF"/>
                <w:sz w:val="18"/>
                <w:szCs w:val="18"/>
              </w:rPr>
              <w:t xml:space="preserve">Контрола - </w:t>
            </w:r>
            <w:r w:rsidRPr="00B47EBD">
              <w:rPr>
                <w:rFonts w:ascii="Times New Roman" w:hAnsi="Times New Roman" w:cs="Times New Roman"/>
                <w:b/>
                <w:bCs/>
                <w:color w:val="FFFFFF"/>
                <w:sz w:val="18"/>
                <w:szCs w:val="18"/>
                <w:lang w:val="en-US"/>
              </w:rPr>
              <w:t>MTGP</w:t>
            </w:r>
          </w:p>
        </w:tc>
        <w:tc>
          <w:tcPr>
            <w:tcW w:w="1000"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,502</w:t>
            </w:r>
          </w:p>
        </w:tc>
        <w:tc>
          <w:tcPr>
            <w:tcW w:w="1137"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,087</w:t>
            </w:r>
          </w:p>
        </w:tc>
        <w:tc>
          <w:tcPr>
            <w:tcW w:w="1455"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,982</w:t>
            </w:r>
          </w:p>
        </w:tc>
        <w:tc>
          <w:tcPr>
            <w:tcW w:w="1396"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,332</w:t>
            </w:r>
          </w:p>
        </w:tc>
        <w:tc>
          <w:tcPr>
            <w:tcW w:w="1396" w:type="dxa"/>
            <w:shd w:val="clear" w:color="auto" w:fill="DAEEF3"/>
            <w:vAlign w:val="center"/>
          </w:tcPr>
          <w:p w:rsidR="00096E03" w:rsidRPr="004E15AE" w:rsidRDefault="00096E03" w:rsidP="00595159">
            <w:pPr>
              <w:autoSpaceDE w:val="0"/>
              <w:autoSpaceDN w:val="0"/>
              <w:adjustRightInd w:val="0"/>
              <w:spacing w:line="320" w:lineRule="atLeast"/>
              <w:ind w:left="60" w:right="60"/>
              <w:jc w:val="right"/>
              <w:rPr>
                <w:rFonts w:ascii="Times New Roman" w:hAnsi="Times New Roman" w:cs="Times New Roman"/>
                <w:color w:val="000000"/>
                <w:sz w:val="18"/>
                <w:szCs w:val="18"/>
                <w:lang w:eastAsia="mk-MK"/>
              </w:rPr>
            </w:pPr>
            <w:r w:rsidRPr="00B47EBD">
              <w:rPr>
                <w:rFonts w:ascii="Times New Roman" w:hAnsi="Times New Roman" w:cs="Times New Roman"/>
                <w:color w:val="000000"/>
                <w:sz w:val="18"/>
                <w:szCs w:val="18"/>
                <w:lang w:val="en-US" w:eastAsia="mk-MK"/>
              </w:rPr>
              <w:t>0</w:t>
            </w:r>
            <w:r w:rsidRPr="004E15AE">
              <w:rPr>
                <w:rFonts w:ascii="Times New Roman" w:hAnsi="Times New Roman" w:cs="Times New Roman"/>
                <w:color w:val="000000"/>
                <w:sz w:val="18"/>
                <w:szCs w:val="18"/>
                <w:lang w:eastAsia="mk-MK"/>
              </w:rPr>
              <w:t>,672</w:t>
            </w:r>
          </w:p>
        </w:tc>
      </w:tr>
      <w:tr w:rsidR="00096E03" w:rsidRPr="00B47EBD" w:rsidTr="00904BE5">
        <w:trPr>
          <w:cantSplit/>
          <w:trHeight w:val="635"/>
        </w:trPr>
        <w:tc>
          <w:tcPr>
            <w:tcW w:w="8794" w:type="dxa"/>
            <w:gridSpan w:val="6"/>
            <w:shd w:val="clear" w:color="auto" w:fill="31849B"/>
            <w:vAlign w:val="center"/>
          </w:tcPr>
          <w:p w:rsidR="00096E03" w:rsidRPr="00A926CA" w:rsidRDefault="00096E03" w:rsidP="00197951">
            <w:pPr>
              <w:autoSpaceDE w:val="0"/>
              <w:autoSpaceDN w:val="0"/>
              <w:adjustRightInd w:val="0"/>
              <w:jc w:val="center"/>
              <w:rPr>
                <w:rFonts w:ascii="Times New Roman" w:hAnsi="Times New Roman" w:cs="Times New Roman"/>
                <w:color w:val="FFFFFF"/>
                <w:sz w:val="18"/>
                <w:szCs w:val="18"/>
                <w:lang w:val="ru-RU"/>
              </w:rPr>
            </w:pPr>
            <w:r w:rsidRPr="00B47EBD">
              <w:rPr>
                <w:rFonts w:ascii="Times New Roman" w:hAnsi="Times New Roman" w:cs="Times New Roman"/>
                <w:bCs/>
                <w:color w:val="FFFFFF"/>
                <w:sz w:val="18"/>
                <w:szCs w:val="18"/>
              </w:rPr>
              <w:t>T</w:t>
            </w:r>
            <w:r w:rsidRPr="00B47EBD">
              <w:rPr>
                <w:rFonts w:ascii="Times New Roman" w:hAnsi="Times New Roman" w:cs="Times New Roman"/>
                <w:bCs/>
                <w:color w:val="FFFFFF"/>
                <w:sz w:val="18"/>
                <w:szCs w:val="18"/>
                <w:lang w:val="en-US"/>
              </w:rPr>
              <w:t>GP</w:t>
            </w:r>
            <w:r w:rsidRPr="00B47EBD">
              <w:rPr>
                <w:rFonts w:ascii="Times New Roman" w:hAnsi="Times New Roman" w:cs="Times New Roman"/>
                <w:color w:val="FFFFFF"/>
                <w:sz w:val="18"/>
                <w:szCs w:val="18"/>
              </w:rPr>
              <w:t xml:space="preserve"> </w:t>
            </w:r>
            <w:r w:rsidRPr="00A926CA">
              <w:rPr>
                <w:rFonts w:ascii="Times New Roman" w:hAnsi="Times New Roman" w:cs="Times New Roman"/>
                <w:color w:val="FFFFFF"/>
                <w:sz w:val="18"/>
                <w:szCs w:val="18"/>
                <w:lang w:val="ru-RU"/>
              </w:rPr>
              <w:t xml:space="preserve"> - </w:t>
            </w:r>
            <w:r w:rsidRPr="00B47EBD">
              <w:rPr>
                <w:rFonts w:ascii="Times New Roman" w:hAnsi="Times New Roman" w:cs="Times New Roman"/>
                <w:color w:val="FFFFFF"/>
                <w:sz w:val="18"/>
                <w:szCs w:val="18"/>
              </w:rPr>
              <w:t xml:space="preserve">тумор на паротидна жлезда; </w:t>
            </w:r>
            <w:r w:rsidRPr="00A926CA">
              <w:rPr>
                <w:rFonts w:ascii="Times New Roman" w:hAnsi="Times New Roman" w:cs="Times New Roman"/>
                <w:color w:val="FFFFFF"/>
                <w:sz w:val="18"/>
                <w:szCs w:val="18"/>
                <w:lang w:val="ru-RU"/>
              </w:rPr>
              <w:t xml:space="preserve"> </w:t>
            </w:r>
            <w:r w:rsidRPr="00B47EBD">
              <w:rPr>
                <w:rFonts w:ascii="Times New Roman" w:hAnsi="Times New Roman" w:cs="Times New Roman"/>
                <w:color w:val="FFFFFF"/>
                <w:sz w:val="18"/>
                <w:szCs w:val="18"/>
                <w:lang w:val="en-US"/>
              </w:rPr>
              <w:t>BTGP</w:t>
            </w:r>
            <w:r w:rsidRPr="00A926CA">
              <w:rPr>
                <w:rFonts w:ascii="Times New Roman" w:hAnsi="Times New Roman" w:cs="Times New Roman"/>
                <w:color w:val="FFFFFF"/>
                <w:sz w:val="18"/>
                <w:szCs w:val="18"/>
                <w:lang w:val="ru-RU"/>
              </w:rPr>
              <w:t xml:space="preserve"> - </w:t>
            </w:r>
            <w:r w:rsidR="00B47EBD" w:rsidRPr="00B47EBD">
              <w:rPr>
                <w:rFonts w:ascii="Times New Roman" w:hAnsi="Times New Roman" w:cs="Times New Roman"/>
                <w:color w:val="FFFFFF"/>
                <w:sz w:val="18"/>
                <w:szCs w:val="18"/>
              </w:rPr>
              <w:t>б</w:t>
            </w:r>
            <w:r w:rsidRPr="00B47EBD">
              <w:rPr>
                <w:rFonts w:ascii="Times New Roman" w:hAnsi="Times New Roman" w:cs="Times New Roman"/>
                <w:color w:val="FFFFFF"/>
                <w:sz w:val="18"/>
                <w:szCs w:val="18"/>
              </w:rPr>
              <w:t>ениген тумор на паротидна жлезда</w:t>
            </w:r>
            <w:r w:rsidRPr="00A926CA">
              <w:rPr>
                <w:rFonts w:ascii="Times New Roman" w:hAnsi="Times New Roman" w:cs="Times New Roman"/>
                <w:color w:val="FFFFFF"/>
                <w:sz w:val="18"/>
                <w:szCs w:val="18"/>
                <w:lang w:val="ru-RU"/>
              </w:rPr>
              <w:t>;</w:t>
            </w:r>
          </w:p>
          <w:p w:rsidR="00096E03" w:rsidRPr="00A926CA" w:rsidRDefault="00096E03" w:rsidP="00B47EBD">
            <w:pPr>
              <w:autoSpaceDE w:val="0"/>
              <w:autoSpaceDN w:val="0"/>
              <w:adjustRightInd w:val="0"/>
              <w:jc w:val="center"/>
              <w:rPr>
                <w:rFonts w:ascii="Times New Roman" w:hAnsi="Times New Roman" w:cs="Times New Roman"/>
                <w:color w:val="FFFFFF"/>
                <w:sz w:val="18"/>
                <w:szCs w:val="18"/>
                <w:lang w:val="ru-RU"/>
              </w:rPr>
            </w:pPr>
            <w:r w:rsidRPr="00B47EBD">
              <w:rPr>
                <w:rFonts w:ascii="Times New Roman" w:hAnsi="Times New Roman" w:cs="Times New Roman"/>
                <w:color w:val="FFFFFF"/>
                <w:sz w:val="18"/>
                <w:szCs w:val="18"/>
                <w:lang w:val="en-US"/>
              </w:rPr>
              <w:t>MTGP</w:t>
            </w:r>
            <w:r w:rsidRPr="00A926CA">
              <w:rPr>
                <w:rFonts w:ascii="Times New Roman" w:hAnsi="Times New Roman" w:cs="Times New Roman"/>
                <w:color w:val="FFFFFF"/>
                <w:sz w:val="18"/>
                <w:szCs w:val="18"/>
                <w:lang w:val="ru-RU"/>
              </w:rPr>
              <w:t xml:space="preserve"> - </w:t>
            </w:r>
            <w:r w:rsidR="00B47EBD" w:rsidRPr="00B47EBD">
              <w:rPr>
                <w:rFonts w:ascii="Times New Roman" w:hAnsi="Times New Roman" w:cs="Times New Roman"/>
                <w:color w:val="FFFFFF"/>
                <w:sz w:val="18"/>
                <w:szCs w:val="18"/>
              </w:rPr>
              <w:t>м</w:t>
            </w:r>
            <w:r w:rsidRPr="00B47EBD">
              <w:rPr>
                <w:rFonts w:ascii="Times New Roman" w:hAnsi="Times New Roman" w:cs="Times New Roman"/>
                <w:color w:val="FFFFFF"/>
                <w:sz w:val="18"/>
                <w:szCs w:val="18"/>
              </w:rPr>
              <w:t>алиген тумор на паротидна злезда</w:t>
            </w:r>
          </w:p>
        </w:tc>
      </w:tr>
    </w:tbl>
    <w:p w:rsidR="00DA37C9" w:rsidRDefault="00DA37C9" w:rsidP="00DA37C9">
      <w:pPr>
        <w:jc w:val="both"/>
        <w:rPr>
          <w:rFonts w:ascii="Times New Roman" w:hAnsi="Times New Roman"/>
          <w:color w:val="000000"/>
          <w:sz w:val="24"/>
          <w:szCs w:val="24"/>
          <w:highlight w:val="yellow"/>
        </w:rPr>
      </w:pPr>
    </w:p>
    <w:p w:rsidR="009E3282" w:rsidRDefault="009E3282" w:rsidP="00DA37C9">
      <w:pPr>
        <w:jc w:val="both"/>
        <w:rPr>
          <w:rFonts w:ascii="Times New Roman" w:hAnsi="Times New Roman"/>
          <w:color w:val="000000"/>
          <w:sz w:val="24"/>
          <w:szCs w:val="24"/>
          <w:highlight w:val="yellow"/>
        </w:rPr>
      </w:pPr>
    </w:p>
    <w:p w:rsidR="004F7572" w:rsidRDefault="004F7572" w:rsidP="001D5CFB">
      <w:pPr>
        <w:ind w:firstLine="720"/>
        <w:jc w:val="both"/>
        <w:rPr>
          <w:rFonts w:ascii="Times New Roman" w:hAnsi="Times New Roman" w:cs="Times New Roman"/>
          <w:color w:val="000000"/>
          <w:sz w:val="24"/>
          <w:szCs w:val="24"/>
        </w:rPr>
      </w:pPr>
      <w:r>
        <w:rPr>
          <w:rFonts w:ascii="Times New Roman" w:hAnsi="Times New Roman"/>
          <w:sz w:val="24"/>
          <w:szCs w:val="24"/>
        </w:rPr>
        <w:t xml:space="preserve">Добиените </w:t>
      </w:r>
      <w:r w:rsidR="009E3282" w:rsidRPr="00CD0937">
        <w:rPr>
          <w:rFonts w:ascii="Times New Roman" w:hAnsi="Times New Roman"/>
          <w:sz w:val="24"/>
          <w:szCs w:val="24"/>
        </w:rPr>
        <w:t xml:space="preserve">AUC вредности </w:t>
      </w:r>
      <w:r w:rsidR="009E3282">
        <w:rPr>
          <w:rFonts w:ascii="Times New Roman" w:hAnsi="Times New Roman"/>
          <w:sz w:val="24"/>
          <w:szCs w:val="24"/>
        </w:rPr>
        <w:t xml:space="preserve">за </w:t>
      </w:r>
      <w:r w:rsidR="009E3282" w:rsidRPr="00CD0937">
        <w:rPr>
          <w:rFonts w:ascii="Times New Roman" w:hAnsi="Times New Roman"/>
          <w:sz w:val="24"/>
          <w:szCs w:val="24"/>
        </w:rPr>
        <w:t xml:space="preserve">дијагностичка ефикасност </w:t>
      </w:r>
      <w:r w:rsidR="009E3282">
        <w:rPr>
          <w:rFonts w:ascii="Times New Roman" w:hAnsi="Times New Roman"/>
          <w:sz w:val="24"/>
          <w:szCs w:val="24"/>
        </w:rPr>
        <w:t xml:space="preserve">на </w:t>
      </w:r>
      <w:r w:rsidR="009E3282" w:rsidRPr="007C59E7">
        <w:rPr>
          <w:rFonts w:ascii="Times New Roman" w:hAnsi="Times New Roman" w:cs="Times New Roman"/>
          <w:color w:val="000000"/>
          <w:sz w:val="24"/>
          <w:szCs w:val="24"/>
          <w:lang w:val="en-US"/>
        </w:rPr>
        <w:t>IL</w:t>
      </w:r>
      <w:r w:rsidR="009E3282" w:rsidRPr="00A926CA">
        <w:rPr>
          <w:rFonts w:ascii="Times New Roman" w:hAnsi="Times New Roman" w:cs="Times New Roman"/>
          <w:color w:val="000000"/>
          <w:sz w:val="24"/>
          <w:szCs w:val="24"/>
          <w:lang w:val="ru-RU"/>
        </w:rPr>
        <w:t>-33 во</w:t>
      </w:r>
      <w:r w:rsidR="009E3282">
        <w:rPr>
          <w:rFonts w:ascii="Times New Roman" w:hAnsi="Times New Roman" w:cs="Times New Roman"/>
          <w:color w:val="000000"/>
          <w:sz w:val="24"/>
          <w:szCs w:val="24"/>
        </w:rPr>
        <w:t xml:space="preserve"> серум </w:t>
      </w:r>
      <w:r w:rsidR="001F038A">
        <w:rPr>
          <w:rFonts w:ascii="Times New Roman" w:hAnsi="Times New Roman" w:cs="Times New Roman"/>
          <w:color w:val="000000"/>
          <w:sz w:val="24"/>
          <w:szCs w:val="24"/>
        </w:rPr>
        <w:t>изнесуваа за (Табела 15)</w:t>
      </w:r>
      <w:r w:rsidR="009E3282">
        <w:rPr>
          <w:rFonts w:ascii="Times New Roman" w:hAnsi="Times New Roman" w:cs="Times New Roman"/>
          <w:color w:val="000000"/>
          <w:sz w:val="24"/>
          <w:szCs w:val="24"/>
        </w:rPr>
        <w:t xml:space="preserve">: </w:t>
      </w:r>
    </w:p>
    <w:p w:rsidR="000B4811" w:rsidRPr="000B4811" w:rsidRDefault="000B4811" w:rsidP="000B4811">
      <w:pPr>
        <w:ind w:left="284"/>
        <w:jc w:val="both"/>
        <w:rPr>
          <w:rFonts w:ascii="Times New Roman" w:hAnsi="Times New Roman"/>
          <w:color w:val="000000"/>
          <w:sz w:val="24"/>
          <w:szCs w:val="24"/>
        </w:rPr>
      </w:pPr>
    </w:p>
    <w:p w:rsidR="004F7572" w:rsidRDefault="009E3282" w:rsidP="001D5CFB">
      <w:pPr>
        <w:numPr>
          <w:ilvl w:val="0"/>
          <w:numId w:val="22"/>
        </w:numPr>
        <w:ind w:left="284" w:hanging="284"/>
        <w:jc w:val="both"/>
        <w:rPr>
          <w:rFonts w:ascii="Times New Roman" w:hAnsi="Times New Roman"/>
          <w:color w:val="000000"/>
          <w:sz w:val="24"/>
          <w:szCs w:val="24"/>
        </w:rPr>
      </w:pPr>
      <w:r w:rsidRPr="00E60157">
        <w:rPr>
          <w:rFonts w:ascii="Times New Roman" w:hAnsi="Times New Roman"/>
          <w:bCs/>
          <w:color w:val="000000"/>
          <w:sz w:val="24"/>
          <w:szCs w:val="24"/>
          <w:lang w:val="en-US"/>
        </w:rPr>
        <w:t>TGP</w:t>
      </w:r>
      <w:r>
        <w:rPr>
          <w:rFonts w:ascii="Times New Roman" w:hAnsi="Times New Roman"/>
          <w:bCs/>
          <w:color w:val="000000"/>
          <w:sz w:val="24"/>
          <w:szCs w:val="24"/>
        </w:rPr>
        <w:t xml:space="preserve"> </w:t>
      </w:r>
      <w:r w:rsidRPr="00E60157">
        <w:rPr>
          <w:rFonts w:ascii="Times New Roman" w:hAnsi="Times New Roman"/>
          <w:color w:val="000000"/>
          <w:sz w:val="24"/>
          <w:szCs w:val="24"/>
        </w:rPr>
        <w:t>- [AUC=</w:t>
      </w:r>
      <w:r w:rsidRPr="00E60157">
        <w:rPr>
          <w:rFonts w:ascii="Times New Roman" w:hAnsi="Times New Roman" w:cs="Times New Roman"/>
          <w:color w:val="000000"/>
          <w:sz w:val="24"/>
          <w:szCs w:val="24"/>
          <w:lang w:eastAsia="mk-MK"/>
        </w:rPr>
        <w:t>0,485</w:t>
      </w:r>
      <w:r w:rsidRPr="00A926CA">
        <w:rPr>
          <w:rFonts w:ascii="Times New Roman" w:hAnsi="Times New Roman"/>
          <w:color w:val="000000"/>
          <w:sz w:val="24"/>
          <w:szCs w:val="24"/>
          <w:lang w:val="ru-RU"/>
        </w:rPr>
        <w:t xml:space="preserve"> (</w:t>
      </w:r>
      <w:r w:rsidRPr="00E60157">
        <w:rPr>
          <w:rFonts w:ascii="Times New Roman" w:hAnsi="Times New Roman" w:cs="Times New Roman"/>
          <w:color w:val="000000"/>
          <w:sz w:val="24"/>
          <w:szCs w:val="24"/>
          <w:lang w:eastAsia="mk-MK"/>
        </w:rPr>
        <w:t>0,380</w:t>
      </w:r>
      <w:r w:rsidRPr="00A926CA">
        <w:rPr>
          <w:rFonts w:ascii="Times New Roman" w:hAnsi="Times New Roman"/>
          <w:color w:val="000000"/>
          <w:sz w:val="24"/>
          <w:szCs w:val="24"/>
          <w:lang w:val="ru-RU"/>
        </w:rPr>
        <w:t>-</w:t>
      </w:r>
      <w:r w:rsidRPr="00E60157">
        <w:rPr>
          <w:rFonts w:ascii="Times New Roman" w:hAnsi="Times New Roman" w:cs="Times New Roman"/>
          <w:color w:val="000000"/>
          <w:sz w:val="24"/>
          <w:szCs w:val="24"/>
          <w:lang w:eastAsia="mk-MK"/>
        </w:rPr>
        <w:t>0,590</w:t>
      </w:r>
      <w:r w:rsidRPr="00A926CA">
        <w:rPr>
          <w:rFonts w:ascii="Times New Roman" w:hAnsi="Times New Roman"/>
          <w:color w:val="000000"/>
          <w:sz w:val="24"/>
          <w:szCs w:val="24"/>
          <w:lang w:val="ru-RU"/>
        </w:rPr>
        <w:t>)</w:t>
      </w:r>
      <w:r w:rsidRPr="00E60157">
        <w:rPr>
          <w:rFonts w:ascii="Times New Roman" w:hAnsi="Times New Roman"/>
          <w:color w:val="000000"/>
          <w:sz w:val="24"/>
          <w:szCs w:val="24"/>
        </w:rPr>
        <w:t xml:space="preserve"> CI 95%, p=</w:t>
      </w:r>
      <w:r w:rsidRPr="00E60157">
        <w:rPr>
          <w:rFonts w:ascii="Times New Roman" w:hAnsi="Times New Roman" w:cs="Times New Roman"/>
          <w:color w:val="000000"/>
          <w:sz w:val="24"/>
          <w:szCs w:val="24"/>
          <w:lang w:eastAsia="mk-MK"/>
        </w:rPr>
        <w:t>0,783</w:t>
      </w:r>
      <w:r w:rsidRPr="00E60157">
        <w:rPr>
          <w:rFonts w:ascii="Times New Roman" w:hAnsi="Times New Roman"/>
          <w:color w:val="000000"/>
          <w:sz w:val="24"/>
          <w:szCs w:val="24"/>
        </w:rPr>
        <w:t>] – недоволна ефикасност</w:t>
      </w:r>
    </w:p>
    <w:p w:rsidR="004F7572" w:rsidRDefault="009E3282" w:rsidP="001D5CFB">
      <w:pPr>
        <w:numPr>
          <w:ilvl w:val="0"/>
          <w:numId w:val="22"/>
        </w:numPr>
        <w:ind w:left="284" w:hanging="284"/>
        <w:jc w:val="both"/>
        <w:rPr>
          <w:rFonts w:ascii="Times New Roman" w:hAnsi="Times New Roman"/>
          <w:color w:val="000000"/>
          <w:sz w:val="24"/>
          <w:szCs w:val="24"/>
        </w:rPr>
      </w:pPr>
      <w:r w:rsidRPr="00E60157">
        <w:rPr>
          <w:rFonts w:ascii="Times New Roman" w:hAnsi="Times New Roman"/>
          <w:color w:val="000000"/>
          <w:sz w:val="24"/>
          <w:szCs w:val="24"/>
          <w:lang w:val="en-US" w:eastAsia="en-GB"/>
        </w:rPr>
        <w:t>BTGP</w:t>
      </w:r>
      <w:r w:rsidRPr="00E60157">
        <w:rPr>
          <w:rFonts w:ascii="Times New Roman" w:hAnsi="Times New Roman"/>
          <w:bCs/>
          <w:color w:val="000000"/>
          <w:sz w:val="24"/>
          <w:szCs w:val="24"/>
        </w:rPr>
        <w:t xml:space="preserve"> </w:t>
      </w:r>
      <w:r w:rsidRPr="00E60157">
        <w:rPr>
          <w:rFonts w:ascii="Times New Roman" w:hAnsi="Times New Roman"/>
          <w:color w:val="000000"/>
          <w:sz w:val="24"/>
          <w:szCs w:val="24"/>
        </w:rPr>
        <w:t>- [AUC=0,</w:t>
      </w:r>
      <w:r w:rsidRPr="00A926CA">
        <w:rPr>
          <w:rFonts w:ascii="Times New Roman" w:hAnsi="Times New Roman"/>
          <w:color w:val="000000"/>
          <w:sz w:val="24"/>
          <w:szCs w:val="24"/>
          <w:lang w:val="ru-RU"/>
        </w:rPr>
        <w:t>48</w:t>
      </w:r>
      <w:r w:rsidR="001047DE" w:rsidRPr="00A926CA">
        <w:rPr>
          <w:rFonts w:ascii="Times New Roman" w:hAnsi="Times New Roman"/>
          <w:color w:val="000000"/>
          <w:sz w:val="24"/>
          <w:szCs w:val="24"/>
          <w:lang w:val="ru-RU"/>
        </w:rPr>
        <w:t>4</w:t>
      </w:r>
      <w:r w:rsidRPr="00A926CA">
        <w:rPr>
          <w:rFonts w:ascii="Times New Roman" w:hAnsi="Times New Roman"/>
          <w:color w:val="000000"/>
          <w:sz w:val="24"/>
          <w:szCs w:val="24"/>
          <w:lang w:val="ru-RU"/>
        </w:rPr>
        <w:t>(0,375-0,594)</w:t>
      </w:r>
      <w:r w:rsidRPr="00E60157">
        <w:rPr>
          <w:rFonts w:ascii="Times New Roman" w:hAnsi="Times New Roman"/>
          <w:color w:val="000000"/>
          <w:sz w:val="24"/>
          <w:szCs w:val="24"/>
        </w:rPr>
        <w:t xml:space="preserve"> CI 95%, p=0,</w:t>
      </w:r>
      <w:r w:rsidRPr="00A926CA">
        <w:rPr>
          <w:rFonts w:ascii="Times New Roman" w:hAnsi="Times New Roman"/>
          <w:color w:val="000000"/>
          <w:sz w:val="24"/>
          <w:szCs w:val="24"/>
          <w:lang w:val="ru-RU"/>
        </w:rPr>
        <w:t>78</w:t>
      </w:r>
      <w:r w:rsidR="001047DE" w:rsidRPr="00A926CA">
        <w:rPr>
          <w:rFonts w:ascii="Times New Roman" w:hAnsi="Times New Roman"/>
          <w:color w:val="000000"/>
          <w:sz w:val="24"/>
          <w:szCs w:val="24"/>
          <w:lang w:val="ru-RU"/>
        </w:rPr>
        <w:t>1</w:t>
      </w:r>
      <w:r w:rsidRPr="00E60157">
        <w:rPr>
          <w:rFonts w:ascii="Times New Roman" w:hAnsi="Times New Roman"/>
          <w:color w:val="000000"/>
          <w:sz w:val="24"/>
          <w:szCs w:val="24"/>
        </w:rPr>
        <w:t>] – недоволна ефикасност</w:t>
      </w:r>
    </w:p>
    <w:p w:rsidR="009E3282" w:rsidRDefault="009E3282" w:rsidP="001D5CFB">
      <w:pPr>
        <w:numPr>
          <w:ilvl w:val="0"/>
          <w:numId w:val="22"/>
        </w:numPr>
        <w:ind w:left="284" w:hanging="284"/>
        <w:jc w:val="both"/>
        <w:rPr>
          <w:rFonts w:ascii="Times New Roman" w:hAnsi="Times New Roman"/>
          <w:color w:val="000000"/>
          <w:sz w:val="24"/>
          <w:szCs w:val="24"/>
        </w:rPr>
      </w:pPr>
      <w:r w:rsidRPr="00E60157">
        <w:rPr>
          <w:rFonts w:ascii="Times New Roman" w:hAnsi="Times New Roman"/>
          <w:color w:val="000000"/>
          <w:sz w:val="24"/>
          <w:szCs w:val="24"/>
          <w:lang w:val="en-US" w:eastAsia="en-GB"/>
        </w:rPr>
        <w:t>MTGP</w:t>
      </w:r>
      <w:r w:rsidRPr="00E60157">
        <w:rPr>
          <w:rFonts w:ascii="Times New Roman" w:hAnsi="Times New Roman"/>
          <w:bCs/>
          <w:color w:val="000000"/>
          <w:sz w:val="24"/>
          <w:szCs w:val="24"/>
        </w:rPr>
        <w:t xml:space="preserve"> -</w:t>
      </w:r>
      <w:r w:rsidRPr="00A926CA">
        <w:rPr>
          <w:rFonts w:ascii="Times New Roman" w:hAnsi="Times New Roman"/>
          <w:bCs/>
          <w:color w:val="000000"/>
          <w:sz w:val="24"/>
          <w:szCs w:val="24"/>
          <w:lang w:val="ru-RU"/>
        </w:rPr>
        <w:t xml:space="preserve"> </w:t>
      </w:r>
      <w:r w:rsidRPr="00E60157">
        <w:rPr>
          <w:rFonts w:ascii="Times New Roman" w:hAnsi="Times New Roman"/>
          <w:color w:val="000000"/>
          <w:sz w:val="24"/>
          <w:szCs w:val="24"/>
        </w:rPr>
        <w:t>[AUC=</w:t>
      </w:r>
      <w:r w:rsidRPr="00A926CA">
        <w:rPr>
          <w:rFonts w:ascii="Times New Roman" w:hAnsi="Times New Roman"/>
          <w:color w:val="000000"/>
          <w:sz w:val="24"/>
          <w:szCs w:val="24"/>
          <w:lang w:val="ru-RU"/>
        </w:rPr>
        <w:t>0,489 (0,317-0,660)</w:t>
      </w:r>
      <w:r w:rsidRPr="00E60157">
        <w:rPr>
          <w:rFonts w:ascii="Times New Roman" w:hAnsi="Times New Roman"/>
          <w:color w:val="000000"/>
          <w:sz w:val="24"/>
          <w:szCs w:val="24"/>
        </w:rPr>
        <w:t xml:space="preserve"> CI 95%, p=0,</w:t>
      </w:r>
      <w:r w:rsidRPr="00A926CA">
        <w:rPr>
          <w:rFonts w:ascii="Times New Roman" w:hAnsi="Times New Roman"/>
          <w:color w:val="000000"/>
          <w:sz w:val="24"/>
          <w:szCs w:val="24"/>
          <w:lang w:val="ru-RU"/>
        </w:rPr>
        <w:t>899</w:t>
      </w:r>
      <w:r w:rsidRPr="00E60157">
        <w:rPr>
          <w:rFonts w:ascii="Times New Roman" w:hAnsi="Times New Roman"/>
          <w:color w:val="000000"/>
          <w:sz w:val="24"/>
          <w:szCs w:val="24"/>
        </w:rPr>
        <w:t>]  – недоволна ефикасност</w:t>
      </w:r>
    </w:p>
    <w:p w:rsidR="009E3282" w:rsidRPr="00DA37C9" w:rsidRDefault="009E3282" w:rsidP="001D5CFB">
      <w:pPr>
        <w:jc w:val="both"/>
        <w:rPr>
          <w:rFonts w:ascii="Times New Roman" w:hAnsi="Times New Roman"/>
          <w:color w:val="000000"/>
          <w:sz w:val="24"/>
          <w:szCs w:val="24"/>
          <w:highlight w:val="yellow"/>
        </w:rPr>
      </w:pPr>
    </w:p>
    <w:p w:rsidR="000B4811" w:rsidRDefault="000B4811" w:rsidP="001D5CFB">
      <w:pPr>
        <w:ind w:firstLine="720"/>
        <w:jc w:val="both"/>
        <w:rPr>
          <w:rFonts w:ascii="Times New Roman" w:hAnsi="Times New Roman"/>
          <w:sz w:val="24"/>
          <w:szCs w:val="24"/>
        </w:rPr>
      </w:pPr>
    </w:p>
    <w:p w:rsidR="000B4811" w:rsidRDefault="000B4811" w:rsidP="001D5CFB">
      <w:pPr>
        <w:ind w:firstLine="720"/>
        <w:jc w:val="both"/>
        <w:rPr>
          <w:rFonts w:ascii="Times New Roman" w:hAnsi="Times New Roman"/>
          <w:sz w:val="24"/>
          <w:szCs w:val="24"/>
        </w:rPr>
      </w:pPr>
    </w:p>
    <w:p w:rsidR="004F7572" w:rsidRDefault="001F038A" w:rsidP="001D5CFB">
      <w:pPr>
        <w:ind w:firstLine="720"/>
        <w:jc w:val="both"/>
        <w:rPr>
          <w:rFonts w:ascii="Times New Roman" w:hAnsi="Times New Roman" w:cs="Times New Roman"/>
          <w:color w:val="000000"/>
          <w:sz w:val="24"/>
          <w:szCs w:val="24"/>
        </w:rPr>
      </w:pPr>
      <w:r>
        <w:rPr>
          <w:rFonts w:ascii="Times New Roman" w:hAnsi="Times New Roman"/>
          <w:sz w:val="24"/>
          <w:szCs w:val="24"/>
        </w:rPr>
        <w:t xml:space="preserve">Добиените </w:t>
      </w:r>
      <w:r w:rsidRPr="00CD0937">
        <w:rPr>
          <w:rFonts w:ascii="Times New Roman" w:hAnsi="Times New Roman"/>
          <w:sz w:val="24"/>
          <w:szCs w:val="24"/>
        </w:rPr>
        <w:t xml:space="preserve">AUC вредности </w:t>
      </w:r>
      <w:r>
        <w:rPr>
          <w:rFonts w:ascii="Times New Roman" w:hAnsi="Times New Roman"/>
          <w:sz w:val="24"/>
          <w:szCs w:val="24"/>
        </w:rPr>
        <w:t xml:space="preserve">за </w:t>
      </w:r>
      <w:r w:rsidRPr="00CD0937">
        <w:rPr>
          <w:rFonts w:ascii="Times New Roman" w:hAnsi="Times New Roman"/>
          <w:sz w:val="24"/>
          <w:szCs w:val="24"/>
        </w:rPr>
        <w:t xml:space="preserve">дијагностичка ефикасност </w:t>
      </w:r>
      <w:r>
        <w:rPr>
          <w:rFonts w:ascii="Times New Roman" w:hAnsi="Times New Roman"/>
          <w:sz w:val="24"/>
          <w:szCs w:val="24"/>
        </w:rPr>
        <w:t xml:space="preserve">на </w:t>
      </w:r>
      <w:r w:rsidR="009E3282" w:rsidRPr="007C59E7">
        <w:rPr>
          <w:rFonts w:ascii="Times New Roman" w:hAnsi="Times New Roman" w:cs="Times New Roman"/>
          <w:color w:val="000000"/>
          <w:sz w:val="24"/>
          <w:szCs w:val="24"/>
          <w:lang w:val="en-US"/>
        </w:rPr>
        <w:t>IL</w:t>
      </w:r>
      <w:r w:rsidR="009E3282" w:rsidRPr="00A926CA">
        <w:rPr>
          <w:rFonts w:ascii="Times New Roman" w:hAnsi="Times New Roman" w:cs="Times New Roman"/>
          <w:color w:val="000000"/>
          <w:sz w:val="24"/>
          <w:szCs w:val="24"/>
          <w:lang w:val="ru-RU"/>
        </w:rPr>
        <w:t>-33</w:t>
      </w:r>
      <w:r w:rsidR="005B6712">
        <w:rPr>
          <w:rFonts w:ascii="Times New Roman" w:hAnsi="Times New Roman" w:cs="Times New Roman"/>
          <w:color w:val="000000"/>
          <w:sz w:val="24"/>
          <w:szCs w:val="24"/>
        </w:rPr>
        <w:t xml:space="preserve"> </w:t>
      </w:r>
      <w:r w:rsidR="009E3282" w:rsidRPr="00A926CA">
        <w:rPr>
          <w:rFonts w:ascii="Times New Roman" w:hAnsi="Times New Roman" w:cs="Times New Roman"/>
          <w:color w:val="000000"/>
          <w:sz w:val="24"/>
          <w:szCs w:val="24"/>
          <w:lang w:val="ru-RU"/>
        </w:rPr>
        <w:t>во</w:t>
      </w:r>
      <w:r w:rsidR="009E3282">
        <w:rPr>
          <w:rFonts w:ascii="Times New Roman" w:hAnsi="Times New Roman" w:cs="Times New Roman"/>
          <w:color w:val="000000"/>
          <w:sz w:val="24"/>
          <w:szCs w:val="24"/>
        </w:rPr>
        <w:t xml:space="preserve"> салива </w:t>
      </w:r>
      <w:r>
        <w:rPr>
          <w:rFonts w:ascii="Times New Roman" w:hAnsi="Times New Roman" w:cs="Times New Roman"/>
          <w:color w:val="000000"/>
          <w:sz w:val="24"/>
          <w:szCs w:val="24"/>
        </w:rPr>
        <w:t>изнесуваа за (Табела 15)</w:t>
      </w:r>
      <w:r w:rsidR="009E3282">
        <w:rPr>
          <w:rFonts w:ascii="Times New Roman" w:hAnsi="Times New Roman" w:cs="Times New Roman"/>
          <w:color w:val="000000"/>
          <w:sz w:val="24"/>
          <w:szCs w:val="24"/>
        </w:rPr>
        <w:t xml:space="preserve">: </w:t>
      </w:r>
    </w:p>
    <w:p w:rsidR="000B4811" w:rsidRPr="000B4811" w:rsidRDefault="000B4811" w:rsidP="000B4811">
      <w:pPr>
        <w:ind w:left="284"/>
        <w:jc w:val="both"/>
        <w:rPr>
          <w:rFonts w:ascii="Times New Roman" w:hAnsi="Times New Roman"/>
          <w:color w:val="000000"/>
          <w:sz w:val="24"/>
          <w:szCs w:val="24"/>
        </w:rPr>
      </w:pPr>
    </w:p>
    <w:p w:rsidR="004F7572" w:rsidRDefault="009E3282" w:rsidP="001D5CFB">
      <w:pPr>
        <w:numPr>
          <w:ilvl w:val="0"/>
          <w:numId w:val="21"/>
        </w:numPr>
        <w:ind w:left="284" w:hanging="284"/>
        <w:jc w:val="both"/>
        <w:rPr>
          <w:rFonts w:ascii="Times New Roman" w:hAnsi="Times New Roman"/>
          <w:color w:val="000000"/>
          <w:sz w:val="24"/>
          <w:szCs w:val="24"/>
        </w:rPr>
      </w:pPr>
      <w:r w:rsidRPr="00A926CA">
        <w:rPr>
          <w:rFonts w:ascii="Times New Roman" w:hAnsi="Times New Roman"/>
          <w:bCs/>
          <w:color w:val="000000"/>
          <w:sz w:val="24"/>
          <w:szCs w:val="24"/>
        </w:rPr>
        <w:t>TGP</w:t>
      </w:r>
      <w:r>
        <w:rPr>
          <w:rFonts w:ascii="Times New Roman" w:hAnsi="Times New Roman"/>
          <w:bCs/>
          <w:color w:val="000000"/>
          <w:sz w:val="24"/>
          <w:szCs w:val="24"/>
        </w:rPr>
        <w:t xml:space="preserve"> </w:t>
      </w:r>
      <w:r w:rsidRPr="00E60157">
        <w:rPr>
          <w:rFonts w:ascii="Times New Roman" w:hAnsi="Times New Roman"/>
          <w:color w:val="000000"/>
          <w:sz w:val="24"/>
          <w:szCs w:val="24"/>
        </w:rPr>
        <w:t>- [AUC=</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512</w:t>
      </w:r>
      <w:r w:rsidRPr="00A926CA">
        <w:rPr>
          <w:rFonts w:ascii="Times New Roman" w:hAnsi="Times New Roman"/>
          <w:color w:val="000000"/>
          <w:sz w:val="24"/>
          <w:szCs w:val="24"/>
        </w:rPr>
        <w:t xml:space="preserve"> (</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408</w:t>
      </w:r>
      <w:r w:rsidRPr="00A926CA">
        <w:rPr>
          <w:rFonts w:ascii="Times New Roman" w:hAnsi="Times New Roman"/>
          <w:color w:val="000000"/>
          <w:sz w:val="24"/>
          <w:szCs w:val="24"/>
        </w:rPr>
        <w:t>-</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616</w:t>
      </w:r>
      <w:r w:rsidRPr="00A926CA">
        <w:rPr>
          <w:rFonts w:ascii="Times New Roman" w:hAnsi="Times New Roman"/>
          <w:color w:val="000000"/>
          <w:sz w:val="24"/>
          <w:szCs w:val="24"/>
        </w:rPr>
        <w:t>)</w:t>
      </w:r>
      <w:r w:rsidRPr="00E60157">
        <w:rPr>
          <w:rFonts w:ascii="Times New Roman" w:hAnsi="Times New Roman"/>
          <w:color w:val="000000"/>
          <w:sz w:val="24"/>
          <w:szCs w:val="24"/>
        </w:rPr>
        <w:t xml:space="preserve"> CI 95%, p=</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819</w:t>
      </w:r>
      <w:r w:rsidRPr="00E60157">
        <w:rPr>
          <w:rFonts w:ascii="Times New Roman" w:hAnsi="Times New Roman"/>
          <w:color w:val="000000"/>
          <w:sz w:val="24"/>
          <w:szCs w:val="24"/>
        </w:rPr>
        <w:t xml:space="preserve">] – </w:t>
      </w:r>
      <w:r>
        <w:rPr>
          <w:rFonts w:ascii="Times New Roman" w:hAnsi="Times New Roman"/>
          <w:color w:val="000000"/>
          <w:sz w:val="24"/>
          <w:szCs w:val="24"/>
        </w:rPr>
        <w:t>слаба</w:t>
      </w:r>
      <w:r w:rsidRPr="00E60157">
        <w:rPr>
          <w:rFonts w:ascii="Times New Roman" w:hAnsi="Times New Roman"/>
          <w:color w:val="000000"/>
          <w:sz w:val="24"/>
          <w:szCs w:val="24"/>
        </w:rPr>
        <w:t xml:space="preserve"> ефикасност</w:t>
      </w:r>
    </w:p>
    <w:p w:rsidR="004F7572" w:rsidRDefault="009E3282" w:rsidP="001D5CFB">
      <w:pPr>
        <w:numPr>
          <w:ilvl w:val="0"/>
          <w:numId w:val="21"/>
        </w:numPr>
        <w:ind w:left="284" w:hanging="284"/>
        <w:jc w:val="both"/>
        <w:rPr>
          <w:rFonts w:ascii="Times New Roman" w:hAnsi="Times New Roman"/>
          <w:color w:val="000000"/>
          <w:sz w:val="24"/>
          <w:szCs w:val="24"/>
        </w:rPr>
      </w:pPr>
      <w:r w:rsidRPr="00A926CA">
        <w:rPr>
          <w:rFonts w:ascii="Times New Roman" w:hAnsi="Times New Roman"/>
          <w:color w:val="000000"/>
          <w:sz w:val="24"/>
          <w:szCs w:val="24"/>
          <w:lang w:eastAsia="en-GB"/>
        </w:rPr>
        <w:t>BTGP</w:t>
      </w:r>
      <w:r w:rsidRPr="00E60157">
        <w:rPr>
          <w:rFonts w:ascii="Times New Roman" w:hAnsi="Times New Roman"/>
          <w:bCs/>
          <w:color w:val="000000"/>
          <w:sz w:val="24"/>
          <w:szCs w:val="24"/>
        </w:rPr>
        <w:t xml:space="preserve"> </w:t>
      </w:r>
      <w:r w:rsidRPr="00E60157">
        <w:rPr>
          <w:rFonts w:ascii="Times New Roman" w:hAnsi="Times New Roman"/>
          <w:color w:val="000000"/>
          <w:sz w:val="24"/>
          <w:szCs w:val="24"/>
        </w:rPr>
        <w:t>- [AUC=0,</w:t>
      </w:r>
      <w:r>
        <w:rPr>
          <w:rFonts w:ascii="Times New Roman" w:hAnsi="Times New Roman"/>
          <w:color w:val="000000"/>
          <w:sz w:val="24"/>
          <w:szCs w:val="24"/>
        </w:rPr>
        <w:t>515</w:t>
      </w:r>
      <w:r w:rsidRPr="00A926CA">
        <w:rPr>
          <w:rFonts w:ascii="Times New Roman" w:hAnsi="Times New Roman"/>
          <w:color w:val="000000"/>
          <w:sz w:val="24"/>
          <w:szCs w:val="24"/>
        </w:rPr>
        <w:t xml:space="preserve"> (0,</w:t>
      </w:r>
      <w:r>
        <w:rPr>
          <w:rFonts w:ascii="Times New Roman" w:hAnsi="Times New Roman"/>
          <w:color w:val="000000"/>
          <w:sz w:val="24"/>
          <w:szCs w:val="24"/>
        </w:rPr>
        <w:t>404</w:t>
      </w:r>
      <w:r w:rsidRPr="00A926CA">
        <w:rPr>
          <w:rFonts w:ascii="Times New Roman" w:hAnsi="Times New Roman"/>
          <w:color w:val="000000"/>
          <w:sz w:val="24"/>
          <w:szCs w:val="24"/>
        </w:rPr>
        <w:t>-0,</w:t>
      </w:r>
      <w:r>
        <w:rPr>
          <w:rFonts w:ascii="Times New Roman" w:hAnsi="Times New Roman"/>
          <w:color w:val="000000"/>
          <w:sz w:val="24"/>
          <w:szCs w:val="24"/>
        </w:rPr>
        <w:t>625</w:t>
      </w:r>
      <w:r w:rsidRPr="00A926CA">
        <w:rPr>
          <w:rFonts w:ascii="Times New Roman" w:hAnsi="Times New Roman"/>
          <w:color w:val="000000"/>
          <w:sz w:val="24"/>
          <w:szCs w:val="24"/>
        </w:rPr>
        <w:t>)</w:t>
      </w:r>
      <w:r w:rsidRPr="00E60157">
        <w:rPr>
          <w:rFonts w:ascii="Times New Roman" w:hAnsi="Times New Roman"/>
          <w:color w:val="000000"/>
          <w:sz w:val="24"/>
          <w:szCs w:val="24"/>
        </w:rPr>
        <w:t xml:space="preserve"> CI 95%, p=0,</w:t>
      </w:r>
      <w:r w:rsidRPr="00A926CA">
        <w:rPr>
          <w:rFonts w:ascii="Times New Roman" w:hAnsi="Times New Roman"/>
          <w:color w:val="000000"/>
          <w:sz w:val="24"/>
          <w:szCs w:val="24"/>
        </w:rPr>
        <w:t>7</w:t>
      </w:r>
      <w:r>
        <w:rPr>
          <w:rFonts w:ascii="Times New Roman" w:hAnsi="Times New Roman"/>
          <w:color w:val="000000"/>
          <w:sz w:val="24"/>
          <w:szCs w:val="24"/>
        </w:rPr>
        <w:t>9</w:t>
      </w:r>
      <w:r w:rsidRPr="00A926CA">
        <w:rPr>
          <w:rFonts w:ascii="Times New Roman" w:hAnsi="Times New Roman"/>
          <w:color w:val="000000"/>
          <w:sz w:val="24"/>
          <w:szCs w:val="24"/>
        </w:rPr>
        <w:t>3</w:t>
      </w:r>
      <w:r w:rsidRPr="00E60157">
        <w:rPr>
          <w:rFonts w:ascii="Times New Roman" w:hAnsi="Times New Roman"/>
          <w:color w:val="000000"/>
          <w:sz w:val="24"/>
          <w:szCs w:val="24"/>
        </w:rPr>
        <w:t xml:space="preserve">] – </w:t>
      </w:r>
      <w:r>
        <w:rPr>
          <w:rFonts w:ascii="Times New Roman" w:hAnsi="Times New Roman"/>
          <w:color w:val="000000"/>
          <w:sz w:val="24"/>
          <w:szCs w:val="24"/>
        </w:rPr>
        <w:t>слаба</w:t>
      </w:r>
      <w:r w:rsidRPr="00E60157">
        <w:rPr>
          <w:rFonts w:ascii="Times New Roman" w:hAnsi="Times New Roman"/>
          <w:color w:val="000000"/>
          <w:sz w:val="24"/>
          <w:szCs w:val="24"/>
        </w:rPr>
        <w:t xml:space="preserve"> ефикасност</w:t>
      </w:r>
      <w:r>
        <w:rPr>
          <w:rFonts w:ascii="Times New Roman" w:hAnsi="Times New Roman"/>
          <w:color w:val="000000"/>
          <w:sz w:val="24"/>
          <w:szCs w:val="24"/>
        </w:rPr>
        <w:t xml:space="preserve"> </w:t>
      </w:r>
    </w:p>
    <w:p w:rsidR="009E3282" w:rsidRPr="00E60157" w:rsidRDefault="009E3282" w:rsidP="001D5CFB">
      <w:pPr>
        <w:numPr>
          <w:ilvl w:val="0"/>
          <w:numId w:val="21"/>
        </w:numPr>
        <w:ind w:left="284" w:hanging="284"/>
        <w:jc w:val="both"/>
        <w:rPr>
          <w:rFonts w:ascii="Times New Roman" w:hAnsi="Times New Roman"/>
          <w:sz w:val="24"/>
          <w:szCs w:val="24"/>
        </w:rPr>
      </w:pPr>
      <w:r w:rsidRPr="00A926CA">
        <w:rPr>
          <w:rFonts w:ascii="Times New Roman" w:hAnsi="Times New Roman"/>
          <w:color w:val="000000"/>
          <w:sz w:val="24"/>
          <w:szCs w:val="24"/>
          <w:lang w:eastAsia="en-GB"/>
        </w:rPr>
        <w:t>MTGP</w:t>
      </w:r>
      <w:r w:rsidRPr="00E60157">
        <w:rPr>
          <w:rFonts w:ascii="Times New Roman" w:hAnsi="Times New Roman"/>
          <w:bCs/>
          <w:color w:val="000000"/>
          <w:sz w:val="24"/>
          <w:szCs w:val="24"/>
        </w:rPr>
        <w:t xml:space="preserve"> -</w:t>
      </w:r>
      <w:r w:rsidRPr="00A926CA">
        <w:rPr>
          <w:rFonts w:ascii="Times New Roman" w:hAnsi="Times New Roman"/>
          <w:bCs/>
          <w:color w:val="000000"/>
          <w:sz w:val="24"/>
          <w:szCs w:val="24"/>
        </w:rPr>
        <w:t xml:space="preserve"> </w:t>
      </w:r>
      <w:r w:rsidRPr="00E60157">
        <w:rPr>
          <w:rFonts w:ascii="Times New Roman" w:hAnsi="Times New Roman"/>
          <w:color w:val="000000"/>
          <w:sz w:val="24"/>
          <w:szCs w:val="24"/>
        </w:rPr>
        <w:t>[AUC=</w:t>
      </w:r>
      <w:r w:rsidRPr="00A926CA">
        <w:rPr>
          <w:rFonts w:ascii="Times New Roman" w:hAnsi="Times New Roman"/>
          <w:color w:val="000000"/>
          <w:sz w:val="24"/>
          <w:szCs w:val="24"/>
        </w:rPr>
        <w:t>0,</w:t>
      </w:r>
      <w:r>
        <w:rPr>
          <w:rFonts w:ascii="Times New Roman" w:hAnsi="Times New Roman"/>
          <w:color w:val="000000"/>
          <w:sz w:val="24"/>
          <w:szCs w:val="24"/>
        </w:rPr>
        <w:t>502</w:t>
      </w:r>
      <w:r w:rsidRPr="00A926CA">
        <w:rPr>
          <w:rFonts w:ascii="Times New Roman" w:hAnsi="Times New Roman"/>
          <w:color w:val="000000"/>
          <w:sz w:val="24"/>
          <w:szCs w:val="24"/>
        </w:rPr>
        <w:t xml:space="preserve"> (0,3</w:t>
      </w:r>
      <w:r>
        <w:rPr>
          <w:rFonts w:ascii="Times New Roman" w:hAnsi="Times New Roman"/>
          <w:color w:val="000000"/>
          <w:sz w:val="24"/>
          <w:szCs w:val="24"/>
        </w:rPr>
        <w:t>32</w:t>
      </w:r>
      <w:r w:rsidRPr="00A926CA">
        <w:rPr>
          <w:rFonts w:ascii="Times New Roman" w:hAnsi="Times New Roman"/>
          <w:color w:val="000000"/>
          <w:sz w:val="24"/>
          <w:szCs w:val="24"/>
        </w:rPr>
        <w:t>-0,6</w:t>
      </w:r>
      <w:r>
        <w:rPr>
          <w:rFonts w:ascii="Times New Roman" w:hAnsi="Times New Roman"/>
          <w:color w:val="000000"/>
          <w:sz w:val="24"/>
          <w:szCs w:val="24"/>
        </w:rPr>
        <w:t>72</w:t>
      </w:r>
      <w:r w:rsidRPr="00A926CA">
        <w:rPr>
          <w:rFonts w:ascii="Times New Roman" w:hAnsi="Times New Roman"/>
          <w:color w:val="000000"/>
          <w:sz w:val="24"/>
          <w:szCs w:val="24"/>
        </w:rPr>
        <w:t>)</w:t>
      </w:r>
      <w:r w:rsidRPr="00E60157">
        <w:rPr>
          <w:rFonts w:ascii="Times New Roman" w:hAnsi="Times New Roman"/>
          <w:color w:val="000000"/>
          <w:sz w:val="24"/>
          <w:szCs w:val="24"/>
        </w:rPr>
        <w:t xml:space="preserve"> CI 95%, p=0,</w:t>
      </w:r>
      <w:r>
        <w:rPr>
          <w:rFonts w:ascii="Times New Roman" w:hAnsi="Times New Roman"/>
          <w:color w:val="000000"/>
          <w:sz w:val="24"/>
          <w:szCs w:val="24"/>
        </w:rPr>
        <w:t>982</w:t>
      </w:r>
      <w:r w:rsidRPr="00E60157">
        <w:rPr>
          <w:rFonts w:ascii="Times New Roman" w:hAnsi="Times New Roman"/>
          <w:color w:val="000000"/>
          <w:sz w:val="24"/>
          <w:szCs w:val="24"/>
        </w:rPr>
        <w:t xml:space="preserve">] – </w:t>
      </w:r>
      <w:r>
        <w:rPr>
          <w:rFonts w:ascii="Times New Roman" w:hAnsi="Times New Roman"/>
          <w:color w:val="000000"/>
          <w:sz w:val="24"/>
          <w:szCs w:val="24"/>
        </w:rPr>
        <w:t>слаба</w:t>
      </w:r>
      <w:r w:rsidRPr="00E60157">
        <w:rPr>
          <w:rFonts w:ascii="Times New Roman" w:hAnsi="Times New Roman"/>
          <w:color w:val="000000"/>
          <w:sz w:val="24"/>
          <w:szCs w:val="24"/>
        </w:rPr>
        <w:t xml:space="preserve"> ефикасност</w:t>
      </w:r>
    </w:p>
    <w:p w:rsidR="00E60157" w:rsidRDefault="00E60157" w:rsidP="002D43E1">
      <w:pPr>
        <w:spacing w:line="360" w:lineRule="auto"/>
        <w:ind w:firstLine="720"/>
        <w:jc w:val="both"/>
        <w:rPr>
          <w:rFonts w:ascii="Times New Roman" w:hAnsi="Times New Roman"/>
          <w:sz w:val="24"/>
          <w:szCs w:val="24"/>
        </w:rPr>
      </w:pPr>
    </w:p>
    <w:p w:rsidR="00EB5078" w:rsidRPr="00A926CA" w:rsidRDefault="00EB5078" w:rsidP="00EB5078">
      <w:pPr>
        <w:autoSpaceDE w:val="0"/>
        <w:autoSpaceDN w:val="0"/>
        <w:adjustRightInd w:val="0"/>
        <w:rPr>
          <w:rFonts w:ascii="Times New Roman" w:hAnsi="Times New Roman" w:cs="Times New Roman"/>
          <w:sz w:val="24"/>
          <w:szCs w:val="24"/>
          <w:lang w:eastAsia="mk-MK"/>
        </w:rPr>
      </w:pP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D825B4" w:rsidRPr="00A926CA" w:rsidRDefault="00446A60" w:rsidP="00EB5078">
      <w:pPr>
        <w:autoSpaceDE w:val="0"/>
        <w:autoSpaceDN w:val="0"/>
        <w:adjustRightInd w:val="0"/>
        <w:rPr>
          <w:rFonts w:ascii="Times New Roman" w:hAnsi="Times New Roman" w:cs="Times New Roman"/>
          <w:sz w:val="24"/>
          <w:szCs w:val="24"/>
          <w:lang w:eastAsia="mk-MK"/>
        </w:rPr>
      </w:pPr>
      <w:r>
        <w:rPr>
          <w:rFonts w:ascii="Times New Roman" w:hAnsi="Times New Roman" w:cs="Times New Roman"/>
          <w:noProof/>
          <w:sz w:val="24"/>
          <w:szCs w:val="24"/>
          <w:lang w:val="en-US"/>
        </w:rPr>
        <w:lastRenderedPageBreak/>
        <w:drawing>
          <wp:anchor distT="0" distB="0" distL="114300" distR="114300" simplePos="0" relativeHeight="251672064" behindDoc="1" locked="0" layoutInCell="1" allowOverlap="1">
            <wp:simplePos x="0" y="0"/>
            <wp:positionH relativeFrom="column">
              <wp:posOffset>750570</wp:posOffset>
            </wp:positionH>
            <wp:positionV relativeFrom="paragraph">
              <wp:posOffset>55245</wp:posOffset>
            </wp:positionV>
            <wp:extent cx="4115435" cy="3223895"/>
            <wp:effectExtent l="19050" t="0" r="0" b="0"/>
            <wp:wrapTight wrapText="bothSides">
              <wp:wrapPolygon edited="0">
                <wp:start x="-100" y="0"/>
                <wp:lineTo x="-100" y="21443"/>
                <wp:lineTo x="21597" y="21443"/>
                <wp:lineTo x="21597" y="0"/>
                <wp:lineTo x="-100" y="0"/>
              </wp:wrapPolygon>
            </wp:wrapTight>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44"/>
                    <a:srcRect t="2704" r="6499" b="5859"/>
                    <a:stretch>
                      <a:fillRect/>
                    </a:stretch>
                  </pic:blipFill>
                  <pic:spPr bwMode="auto">
                    <a:xfrm>
                      <a:off x="0" y="0"/>
                      <a:ext cx="4115435" cy="3223895"/>
                    </a:xfrm>
                    <a:prstGeom prst="rect">
                      <a:avLst/>
                    </a:prstGeom>
                    <a:noFill/>
                  </pic:spPr>
                </pic:pic>
              </a:graphicData>
            </a:graphic>
          </wp:anchor>
        </w:drawing>
      </w: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D825B4" w:rsidRPr="00A926CA" w:rsidRDefault="00D825B4"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E72A21" w:rsidRDefault="00E72A21" w:rsidP="00E72A21">
      <w:pPr>
        <w:autoSpaceDE w:val="0"/>
        <w:autoSpaceDN w:val="0"/>
        <w:adjustRightInd w:val="0"/>
        <w:rPr>
          <w:rFonts w:ascii="Times New Roman" w:hAnsi="Times New Roman" w:cs="Times New Roman"/>
          <w:sz w:val="24"/>
          <w:szCs w:val="24"/>
          <w:lang w:eastAsia="mk-MK"/>
        </w:rPr>
      </w:pPr>
    </w:p>
    <w:p w:rsidR="00E72A21" w:rsidRDefault="00E72A21" w:rsidP="00E72A21">
      <w:pPr>
        <w:autoSpaceDE w:val="0"/>
        <w:autoSpaceDN w:val="0"/>
        <w:adjustRightInd w:val="0"/>
        <w:rPr>
          <w:rFonts w:ascii="Times New Roman" w:hAnsi="Times New Roman" w:cs="Times New Roman"/>
          <w:sz w:val="24"/>
          <w:szCs w:val="24"/>
          <w:lang w:eastAsia="mk-MK"/>
        </w:rPr>
      </w:pPr>
    </w:p>
    <w:p w:rsidR="00E72A21" w:rsidRDefault="00E72A21" w:rsidP="00E72A21">
      <w:pPr>
        <w:autoSpaceDE w:val="0"/>
        <w:autoSpaceDN w:val="0"/>
        <w:adjustRightInd w:val="0"/>
        <w:spacing w:line="400" w:lineRule="atLeast"/>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E72A21" w:rsidRPr="005B6712" w:rsidRDefault="00E72A21" w:rsidP="005B6712">
      <w:pPr>
        <w:rPr>
          <w:rFonts w:ascii="Times New Roman" w:hAnsi="Times New Roman"/>
          <w:b/>
          <w:color w:val="000000"/>
          <w:sz w:val="20"/>
          <w:szCs w:val="20"/>
        </w:rPr>
      </w:pPr>
    </w:p>
    <w:p w:rsidR="00D35718" w:rsidRPr="00A926CA" w:rsidRDefault="00D35718" w:rsidP="00AD0B72">
      <w:pPr>
        <w:rPr>
          <w:rFonts w:ascii="Times New Roman" w:hAnsi="Times New Roman"/>
          <w:b/>
          <w:color w:val="000000"/>
          <w:sz w:val="20"/>
          <w:szCs w:val="20"/>
        </w:rPr>
      </w:pPr>
    </w:p>
    <w:p w:rsidR="00AB6C25" w:rsidRPr="00A926CA" w:rsidRDefault="00AB6C25" w:rsidP="00AB6C25">
      <w:pPr>
        <w:jc w:val="center"/>
        <w:rPr>
          <w:rFonts w:ascii="Times New Roman" w:hAnsi="Times New Roman"/>
          <w:b/>
          <w:color w:val="000000"/>
          <w:sz w:val="20"/>
          <w:szCs w:val="20"/>
          <w:lang w:val="ru-RU"/>
        </w:rPr>
      </w:pPr>
      <w:r w:rsidRPr="00675580">
        <w:rPr>
          <w:rFonts w:ascii="Times New Roman" w:hAnsi="Times New Roman"/>
          <w:b/>
          <w:color w:val="000000"/>
          <w:sz w:val="20"/>
          <w:szCs w:val="20"/>
        </w:rPr>
        <w:t xml:space="preserve">График </w:t>
      </w:r>
      <w:r w:rsidRPr="00A926CA">
        <w:rPr>
          <w:rFonts w:ascii="Times New Roman" w:hAnsi="Times New Roman"/>
          <w:b/>
          <w:color w:val="000000"/>
          <w:sz w:val="20"/>
          <w:szCs w:val="20"/>
          <w:lang w:val="ru-RU"/>
        </w:rPr>
        <w:t>28</w:t>
      </w:r>
      <w:r w:rsidRPr="00675580">
        <w:rPr>
          <w:rFonts w:ascii="Times New Roman" w:hAnsi="Times New Roman"/>
          <w:b/>
          <w:color w:val="000000"/>
          <w:sz w:val="20"/>
          <w:szCs w:val="20"/>
        </w:rPr>
        <w:t xml:space="preserve">. ROC крива на дијагностичка ефикасност на </w:t>
      </w:r>
      <w:r>
        <w:rPr>
          <w:rFonts w:ascii="Times New Roman" w:hAnsi="Times New Roman"/>
          <w:b/>
          <w:color w:val="000000"/>
          <w:sz w:val="20"/>
          <w:szCs w:val="20"/>
          <w:lang w:val="en-US"/>
        </w:rPr>
        <w:t>IL</w:t>
      </w:r>
      <w:r w:rsidRPr="00A926CA">
        <w:rPr>
          <w:rFonts w:ascii="Times New Roman" w:hAnsi="Times New Roman"/>
          <w:b/>
          <w:color w:val="000000"/>
          <w:sz w:val="20"/>
          <w:szCs w:val="20"/>
          <w:lang w:val="ru-RU"/>
        </w:rPr>
        <w:t>-33 во</w:t>
      </w:r>
    </w:p>
    <w:p w:rsidR="00AB6C25" w:rsidRPr="009A0278" w:rsidRDefault="00AB6C25" w:rsidP="00AB6C25">
      <w:pPr>
        <w:jc w:val="center"/>
        <w:rPr>
          <w:rFonts w:ascii="Times New Roman" w:hAnsi="Times New Roman"/>
          <w:b/>
          <w:color w:val="000000"/>
          <w:sz w:val="20"/>
          <w:szCs w:val="20"/>
        </w:rPr>
      </w:pPr>
      <w:r w:rsidRPr="00A926CA">
        <w:rPr>
          <w:rFonts w:ascii="Times New Roman" w:hAnsi="Times New Roman"/>
          <w:b/>
          <w:color w:val="000000"/>
          <w:sz w:val="20"/>
          <w:szCs w:val="20"/>
          <w:lang w:val="ru-RU"/>
        </w:rPr>
        <w:t>серум/</w:t>
      </w:r>
      <w:r w:rsidR="00E72A21" w:rsidRPr="00A926CA">
        <w:rPr>
          <w:rFonts w:ascii="Times New Roman" w:hAnsi="Times New Roman"/>
          <w:b/>
          <w:color w:val="000000"/>
          <w:sz w:val="20"/>
          <w:szCs w:val="20"/>
          <w:lang w:val="ru-RU"/>
        </w:rPr>
        <w:t xml:space="preserve"> </w:t>
      </w:r>
      <w:r w:rsidRPr="00A926CA">
        <w:rPr>
          <w:rFonts w:ascii="Times New Roman" w:hAnsi="Times New Roman"/>
          <w:b/>
          <w:color w:val="000000"/>
          <w:sz w:val="20"/>
          <w:szCs w:val="20"/>
          <w:lang w:val="ru-RU"/>
        </w:rPr>
        <w:t xml:space="preserve">салива </w:t>
      </w:r>
      <w:r w:rsidRPr="00675580">
        <w:rPr>
          <w:rFonts w:ascii="Times New Roman" w:hAnsi="Times New Roman"/>
          <w:b/>
          <w:color w:val="000000"/>
          <w:sz w:val="20"/>
          <w:szCs w:val="20"/>
        </w:rPr>
        <w:t xml:space="preserve">за </w:t>
      </w:r>
      <w:r>
        <w:rPr>
          <w:rFonts w:ascii="Times New Roman" w:hAnsi="Times New Roman"/>
          <w:b/>
          <w:color w:val="000000"/>
          <w:sz w:val="20"/>
          <w:szCs w:val="20"/>
        </w:rPr>
        <w:t>тумоти на паротидни жлезди</w:t>
      </w:r>
    </w:p>
    <w:p w:rsidR="007868F9" w:rsidRDefault="007868F9" w:rsidP="007868F9">
      <w:pPr>
        <w:jc w:val="both"/>
        <w:rPr>
          <w:rFonts w:ascii="Times New Roman" w:hAnsi="Times New Roman" w:cs="Times New Roman"/>
          <w:color w:val="000000"/>
          <w:sz w:val="24"/>
          <w:szCs w:val="24"/>
        </w:rPr>
      </w:pPr>
    </w:p>
    <w:p w:rsidR="00E72A21" w:rsidRPr="00E72A21" w:rsidRDefault="00E72A21" w:rsidP="007868F9">
      <w:pPr>
        <w:jc w:val="both"/>
        <w:rPr>
          <w:rFonts w:ascii="Times New Roman" w:hAnsi="Times New Roman" w:cs="Times New Roman"/>
          <w:color w:val="000000"/>
          <w:sz w:val="24"/>
          <w:szCs w:val="24"/>
        </w:rPr>
      </w:pPr>
      <w:r w:rsidRPr="00E72A21">
        <w:rPr>
          <w:rFonts w:ascii="Times New Roman" w:hAnsi="Times New Roman" w:cs="Times New Roman"/>
          <w:color w:val="000000"/>
          <w:sz w:val="24"/>
          <w:szCs w:val="24"/>
        </w:rPr>
        <w:t>ROC анализата и добиен</w:t>
      </w:r>
      <w:r w:rsidRPr="00A926CA">
        <w:rPr>
          <w:rFonts w:ascii="Times New Roman" w:hAnsi="Times New Roman" w:cs="Times New Roman"/>
          <w:color w:val="000000"/>
          <w:sz w:val="24"/>
          <w:szCs w:val="24"/>
        </w:rPr>
        <w:t xml:space="preserve">aта </w:t>
      </w:r>
      <w:r w:rsidRPr="00E72A21">
        <w:rPr>
          <w:rFonts w:ascii="Times New Roman" w:hAnsi="Times New Roman" w:cs="Times New Roman"/>
          <w:color w:val="000000"/>
          <w:sz w:val="24"/>
          <w:szCs w:val="24"/>
        </w:rPr>
        <w:t xml:space="preserve">AUC вредност за дијагностичката ефикасност </w:t>
      </w:r>
      <w:r w:rsidRPr="00A926CA">
        <w:rPr>
          <w:rFonts w:ascii="Times New Roman" w:hAnsi="Times New Roman" w:cs="Times New Roman"/>
          <w:color w:val="000000"/>
          <w:sz w:val="24"/>
          <w:szCs w:val="24"/>
        </w:rPr>
        <w:t xml:space="preserve">за </w:t>
      </w:r>
      <w:r w:rsidRPr="00E72A21">
        <w:rPr>
          <w:rFonts w:ascii="Times New Roman" w:hAnsi="Times New Roman"/>
          <w:sz w:val="24"/>
          <w:szCs w:val="24"/>
        </w:rPr>
        <w:t xml:space="preserve">тумори на паротидните жлезди </w:t>
      </w:r>
      <w:r w:rsidRPr="00E72A21">
        <w:rPr>
          <w:rFonts w:ascii="Times New Roman" w:hAnsi="Times New Roman" w:cs="Times New Roman"/>
          <w:color w:val="000000"/>
          <w:sz w:val="24"/>
          <w:szCs w:val="24"/>
        </w:rPr>
        <w:t xml:space="preserve">на: а) </w:t>
      </w:r>
      <w:r w:rsidRPr="00A926CA">
        <w:rPr>
          <w:rFonts w:ascii="Times New Roman" w:hAnsi="Times New Roman" w:cs="Times New Roman"/>
          <w:color w:val="000000"/>
          <w:sz w:val="24"/>
          <w:szCs w:val="24"/>
        </w:rPr>
        <w:t>IL-33 во</w:t>
      </w:r>
      <w:r w:rsidRPr="00E72A21">
        <w:rPr>
          <w:rFonts w:ascii="Times New Roman" w:hAnsi="Times New Roman" w:cs="Times New Roman"/>
          <w:color w:val="000000"/>
          <w:sz w:val="24"/>
          <w:szCs w:val="24"/>
        </w:rPr>
        <w:t xml:space="preserve"> серум укажа на </w:t>
      </w:r>
      <w:r>
        <w:rPr>
          <w:rFonts w:ascii="Times New Roman" w:hAnsi="Times New Roman" w:cs="Times New Roman"/>
          <w:color w:val="000000"/>
          <w:sz w:val="24"/>
          <w:szCs w:val="24"/>
        </w:rPr>
        <w:t xml:space="preserve">недоволно ефикасна </w:t>
      </w:r>
      <w:r w:rsidRPr="00CD0937">
        <w:rPr>
          <w:rFonts w:ascii="Times New Roman" w:hAnsi="Times New Roman"/>
          <w:sz w:val="24"/>
          <w:szCs w:val="24"/>
        </w:rPr>
        <w:t>AUC</w:t>
      </w:r>
      <w:r>
        <w:rPr>
          <w:rFonts w:ascii="Times New Roman" w:hAnsi="Times New Roman" w:cs="Times New Roman"/>
          <w:bCs/>
          <w:color w:val="000000"/>
          <w:sz w:val="24"/>
          <w:szCs w:val="24"/>
        </w:rPr>
        <w:t>=0,485</w:t>
      </w:r>
      <w:r w:rsidR="00A916E2">
        <w:rPr>
          <w:rFonts w:ascii="Times New Roman" w:hAnsi="Times New Roman" w:cs="Times New Roman"/>
          <w:bCs/>
          <w:color w:val="000000"/>
          <w:sz w:val="24"/>
          <w:szCs w:val="24"/>
        </w:rPr>
        <w:t xml:space="preserve">; </w:t>
      </w:r>
      <w:r w:rsidR="00A916E2" w:rsidRPr="00E60157">
        <w:rPr>
          <w:rFonts w:ascii="Times New Roman" w:hAnsi="Times New Roman"/>
          <w:color w:val="000000"/>
          <w:sz w:val="24"/>
          <w:szCs w:val="24"/>
        </w:rPr>
        <w:t>p=</w:t>
      </w:r>
      <w:r w:rsidR="00A916E2" w:rsidRPr="00E60157">
        <w:rPr>
          <w:rFonts w:ascii="Times New Roman" w:hAnsi="Times New Roman" w:cs="Times New Roman"/>
          <w:color w:val="000000"/>
          <w:sz w:val="24"/>
          <w:szCs w:val="24"/>
          <w:lang w:eastAsia="mk-MK"/>
        </w:rPr>
        <w:t>0,783</w:t>
      </w:r>
      <w:r w:rsidR="00A916E2" w:rsidRPr="00A926CA">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sidRPr="00A926CA">
        <w:rPr>
          <w:rFonts w:ascii="Times New Roman" w:hAnsi="Times New Roman" w:cs="Times New Roman"/>
          <w:bCs/>
          <w:color w:val="000000"/>
          <w:sz w:val="24"/>
          <w:szCs w:val="24"/>
        </w:rPr>
        <w:t>8</w:t>
      </w:r>
      <w:r w:rsidR="005B6712">
        <w:rPr>
          <w:rFonts w:ascii="Times New Roman" w:hAnsi="Times New Roman" w:cs="Times New Roman"/>
          <w:bCs/>
          <w:color w:val="000000"/>
          <w:sz w:val="24"/>
          <w:szCs w:val="24"/>
        </w:rPr>
        <w:t>04</w:t>
      </w:r>
      <w:r w:rsidR="005B6712" w:rsidRPr="00A926CA">
        <w:rPr>
          <w:rFonts w:ascii="Times New Roman" w:hAnsi="Times New Roman" w:cs="Times New Roman"/>
          <w:color w:val="000000"/>
          <w:sz w:val="24"/>
          <w:szCs w:val="24"/>
        </w:rPr>
        <w:t xml:space="preserve"> pg/mL</w:t>
      </w:r>
      <w:r w:rsidRPr="00E72A21">
        <w:rPr>
          <w:rFonts w:ascii="Times New Roman" w:hAnsi="Times New Roman" w:cs="Times New Roman"/>
          <w:bCs/>
          <w:color w:val="000000"/>
          <w:sz w:val="24"/>
          <w:szCs w:val="24"/>
        </w:rPr>
        <w:t>; Sensitivity=</w:t>
      </w:r>
      <w:r w:rsidR="005B6712">
        <w:rPr>
          <w:rFonts w:ascii="Times New Roman" w:hAnsi="Times New Roman" w:cs="Times New Roman"/>
          <w:bCs/>
          <w:color w:val="000000"/>
          <w:sz w:val="24"/>
          <w:szCs w:val="24"/>
        </w:rPr>
        <w:t>75,8</w:t>
      </w:r>
      <w:r w:rsidRPr="00E72A21">
        <w:rPr>
          <w:rFonts w:ascii="Times New Roman" w:hAnsi="Times New Roman" w:cs="Times New Roman"/>
          <w:bCs/>
          <w:color w:val="000000"/>
          <w:sz w:val="24"/>
          <w:szCs w:val="24"/>
        </w:rPr>
        <w:t>;</w:t>
      </w:r>
      <w:r w:rsidR="001047DE">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Specificity=</w:t>
      </w:r>
      <w:r w:rsidR="005B6712">
        <w:rPr>
          <w:rFonts w:ascii="Times New Roman" w:hAnsi="Times New Roman" w:cs="Times New Roman"/>
          <w:bCs/>
          <w:color w:val="000000"/>
          <w:sz w:val="24"/>
          <w:szCs w:val="24"/>
        </w:rPr>
        <w:t>29,3</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б)</w:t>
      </w:r>
      <w:r w:rsidRPr="00E72A21">
        <w:rPr>
          <w:rFonts w:ascii="Times New Roman" w:hAnsi="Times New Roman" w:cs="Times New Roman"/>
          <w:color w:val="000000"/>
          <w:sz w:val="24"/>
          <w:szCs w:val="24"/>
        </w:rPr>
        <w:t xml:space="preserve"> </w:t>
      </w:r>
      <w:r w:rsidRPr="00A926CA">
        <w:rPr>
          <w:rFonts w:ascii="Times New Roman" w:hAnsi="Times New Roman" w:cs="Times New Roman"/>
          <w:color w:val="000000"/>
          <w:sz w:val="24"/>
          <w:szCs w:val="24"/>
        </w:rPr>
        <w:t>IL-33 во</w:t>
      </w:r>
      <w:r w:rsidRPr="00E72A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салива</w:t>
      </w:r>
      <w:r w:rsidRPr="00E72A21">
        <w:rPr>
          <w:rFonts w:ascii="Times New Roman" w:hAnsi="Times New Roman" w:cs="Times New Roman"/>
          <w:color w:val="000000"/>
          <w:sz w:val="24"/>
          <w:szCs w:val="24"/>
        </w:rPr>
        <w:t xml:space="preserve"> укажа на </w:t>
      </w:r>
      <w:r w:rsidR="00670D01">
        <w:rPr>
          <w:rFonts w:ascii="Times New Roman" w:hAnsi="Times New Roman" w:cs="Times New Roman"/>
          <w:color w:val="000000"/>
          <w:sz w:val="24"/>
          <w:szCs w:val="24"/>
        </w:rPr>
        <w:t xml:space="preserve">слабо </w:t>
      </w:r>
      <w:r>
        <w:rPr>
          <w:rFonts w:ascii="Times New Roman" w:hAnsi="Times New Roman" w:cs="Times New Roman"/>
          <w:color w:val="000000"/>
          <w:sz w:val="24"/>
          <w:szCs w:val="24"/>
        </w:rPr>
        <w:t xml:space="preserve">ефикасна </w:t>
      </w:r>
      <w:r w:rsidRPr="00CD0937">
        <w:rPr>
          <w:rFonts w:ascii="Times New Roman" w:hAnsi="Times New Roman"/>
          <w:sz w:val="24"/>
          <w:szCs w:val="24"/>
        </w:rPr>
        <w:t>AUC</w:t>
      </w:r>
      <w:r>
        <w:rPr>
          <w:rFonts w:ascii="Times New Roman" w:hAnsi="Times New Roman" w:cs="Times New Roman"/>
          <w:bCs/>
          <w:color w:val="000000"/>
          <w:sz w:val="24"/>
          <w:szCs w:val="24"/>
        </w:rPr>
        <w:t>=0,512</w:t>
      </w:r>
      <w:r w:rsidR="00A916E2" w:rsidRPr="00A926CA">
        <w:rPr>
          <w:rFonts w:ascii="Times New Roman" w:hAnsi="Times New Roman" w:cs="Times New Roman"/>
          <w:bCs/>
          <w:color w:val="000000"/>
          <w:sz w:val="24"/>
          <w:szCs w:val="24"/>
        </w:rPr>
        <w:t xml:space="preserve">; </w:t>
      </w:r>
      <w:r w:rsidR="00A916E2" w:rsidRPr="00E60157">
        <w:rPr>
          <w:rFonts w:ascii="Times New Roman" w:hAnsi="Times New Roman"/>
          <w:color w:val="000000"/>
          <w:sz w:val="24"/>
          <w:szCs w:val="24"/>
        </w:rPr>
        <w:t>p=</w:t>
      </w:r>
      <w:r w:rsidR="00A916E2" w:rsidRPr="00E60157">
        <w:rPr>
          <w:rFonts w:ascii="Times New Roman" w:hAnsi="Times New Roman" w:cs="Times New Roman"/>
          <w:color w:val="000000"/>
          <w:sz w:val="24"/>
          <w:szCs w:val="24"/>
          <w:lang w:eastAsia="mk-MK"/>
        </w:rPr>
        <w:t>0,</w:t>
      </w:r>
      <w:r w:rsidR="00A916E2">
        <w:rPr>
          <w:rFonts w:ascii="Times New Roman" w:hAnsi="Times New Roman" w:cs="Times New Roman"/>
          <w:color w:val="000000"/>
          <w:sz w:val="24"/>
          <w:szCs w:val="24"/>
          <w:lang w:eastAsia="mk-MK"/>
        </w:rPr>
        <w:t>819</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sidR="005B6712">
        <w:rPr>
          <w:rFonts w:ascii="Times New Roman" w:hAnsi="Times New Roman" w:cs="Times New Roman"/>
          <w:bCs/>
          <w:color w:val="000000"/>
          <w:sz w:val="24"/>
          <w:szCs w:val="24"/>
        </w:rPr>
        <w:t>71</w:t>
      </w:r>
      <w:r w:rsidRPr="00A926CA">
        <w:rPr>
          <w:rFonts w:ascii="Times New Roman" w:hAnsi="Times New Roman" w:cs="Times New Roman"/>
          <w:bCs/>
          <w:color w:val="000000"/>
          <w:sz w:val="24"/>
          <w:szCs w:val="24"/>
        </w:rPr>
        <w:t>9</w:t>
      </w:r>
      <w:r w:rsidR="005B6712">
        <w:rPr>
          <w:rFonts w:ascii="Times New Roman" w:hAnsi="Times New Roman" w:cs="Times New Roman"/>
          <w:bCs/>
          <w:color w:val="000000"/>
          <w:sz w:val="24"/>
          <w:szCs w:val="24"/>
        </w:rPr>
        <w:t xml:space="preserve"> </w:t>
      </w:r>
      <w:r w:rsidR="005B6712" w:rsidRPr="00A926CA">
        <w:rPr>
          <w:rFonts w:ascii="Times New Roman" w:hAnsi="Times New Roman" w:cs="Times New Roman"/>
          <w:color w:val="000000"/>
          <w:sz w:val="24"/>
          <w:szCs w:val="24"/>
        </w:rPr>
        <w:t>pg/mL</w:t>
      </w:r>
      <w:r w:rsidRPr="00E72A21">
        <w:rPr>
          <w:rFonts w:ascii="Times New Roman" w:hAnsi="Times New Roman" w:cs="Times New Roman"/>
          <w:bCs/>
          <w:color w:val="000000"/>
          <w:sz w:val="24"/>
          <w:szCs w:val="24"/>
        </w:rPr>
        <w:t>; Sensitivity=</w:t>
      </w:r>
      <w:r w:rsidR="005B6712">
        <w:rPr>
          <w:rFonts w:ascii="Times New Roman" w:hAnsi="Times New Roman" w:cs="Times New Roman"/>
          <w:bCs/>
          <w:color w:val="000000"/>
          <w:sz w:val="24"/>
          <w:szCs w:val="24"/>
        </w:rPr>
        <w:t>66,1</w:t>
      </w:r>
      <w:r>
        <w:rPr>
          <w:rFonts w:ascii="Times New Roman" w:hAnsi="Times New Roman" w:cs="Times New Roman"/>
          <w:bCs/>
          <w:color w:val="000000"/>
          <w:sz w:val="24"/>
          <w:szCs w:val="24"/>
        </w:rPr>
        <w:t>%</w:t>
      </w:r>
      <w:r w:rsidRPr="00E72A21">
        <w:rPr>
          <w:rFonts w:ascii="Times New Roman" w:hAnsi="Times New Roman" w:cs="Times New Roman"/>
          <w:bCs/>
          <w:color w:val="000000"/>
          <w:sz w:val="24"/>
          <w:szCs w:val="24"/>
        </w:rPr>
        <w:t>; Specificity=</w:t>
      </w:r>
      <w:r w:rsidR="005B6712">
        <w:rPr>
          <w:rFonts w:ascii="Times New Roman" w:hAnsi="Times New Roman" w:cs="Times New Roman"/>
          <w:bCs/>
          <w:color w:val="000000"/>
          <w:sz w:val="24"/>
          <w:szCs w:val="24"/>
        </w:rPr>
        <w:t>34,5</w:t>
      </w:r>
      <w:r w:rsidRPr="00E72A21">
        <w:rPr>
          <w:rFonts w:ascii="Times New Roman" w:hAnsi="Times New Roman" w:cs="Times New Roman"/>
          <w:bCs/>
          <w:color w:val="000000"/>
          <w:sz w:val="24"/>
          <w:szCs w:val="24"/>
        </w:rPr>
        <w:t>%</w:t>
      </w:r>
      <w:r w:rsidRPr="00E72A21">
        <w:rPr>
          <w:rFonts w:ascii="Times New Roman" w:hAnsi="Times New Roman" w:cs="Times New Roman"/>
          <w:color w:val="000000"/>
          <w:sz w:val="24"/>
          <w:szCs w:val="24"/>
        </w:rPr>
        <w:t xml:space="preserve"> </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Табела 15 и </w:t>
      </w:r>
      <w:r w:rsidRPr="00E72A21">
        <w:rPr>
          <w:rFonts w:ascii="Times New Roman" w:hAnsi="Times New Roman" w:cs="Times New Roman"/>
          <w:bCs/>
          <w:color w:val="000000"/>
          <w:sz w:val="24"/>
          <w:szCs w:val="24"/>
        </w:rPr>
        <w:t xml:space="preserve">График </w:t>
      </w:r>
      <w:r>
        <w:rPr>
          <w:rFonts w:ascii="Times New Roman" w:hAnsi="Times New Roman" w:cs="Times New Roman"/>
          <w:bCs/>
          <w:color w:val="000000"/>
          <w:sz w:val="24"/>
          <w:szCs w:val="24"/>
        </w:rPr>
        <w:t>28)</w:t>
      </w:r>
      <w:r w:rsidRPr="00E72A21">
        <w:rPr>
          <w:rFonts w:ascii="Times New Roman" w:hAnsi="Times New Roman" w:cs="Times New Roman"/>
          <w:bCs/>
          <w:color w:val="000000"/>
          <w:sz w:val="24"/>
          <w:szCs w:val="24"/>
        </w:rPr>
        <w:t>.</w:t>
      </w:r>
    </w:p>
    <w:p w:rsidR="00F05305" w:rsidRPr="00A926CA" w:rsidRDefault="007868F9" w:rsidP="00EB5078">
      <w:pPr>
        <w:autoSpaceDE w:val="0"/>
        <w:autoSpaceDN w:val="0"/>
        <w:adjustRightInd w:val="0"/>
        <w:rPr>
          <w:rFonts w:ascii="Times New Roman" w:hAnsi="Times New Roman" w:cs="Times New Roman"/>
          <w:sz w:val="24"/>
          <w:szCs w:val="24"/>
          <w:lang w:eastAsia="mk-MK"/>
        </w:rPr>
      </w:pPr>
      <w:r>
        <w:rPr>
          <w:rFonts w:ascii="Times New Roman" w:hAnsi="Times New Roman" w:cs="Times New Roman"/>
          <w:noProof/>
          <w:sz w:val="24"/>
          <w:szCs w:val="24"/>
          <w:lang w:val="en-US"/>
        </w:rPr>
        <w:drawing>
          <wp:anchor distT="0" distB="0" distL="114300" distR="114300" simplePos="0" relativeHeight="251673088" behindDoc="1" locked="0" layoutInCell="1" allowOverlap="1">
            <wp:simplePos x="0" y="0"/>
            <wp:positionH relativeFrom="column">
              <wp:posOffset>711200</wp:posOffset>
            </wp:positionH>
            <wp:positionV relativeFrom="paragraph">
              <wp:posOffset>45085</wp:posOffset>
            </wp:positionV>
            <wp:extent cx="4152900" cy="3168650"/>
            <wp:effectExtent l="19050" t="0" r="0" b="0"/>
            <wp:wrapTight wrapText="bothSides">
              <wp:wrapPolygon edited="0">
                <wp:start x="-99" y="0"/>
                <wp:lineTo x="-99" y="21427"/>
                <wp:lineTo x="21600" y="21427"/>
                <wp:lineTo x="21600" y="0"/>
                <wp:lineTo x="-99" y="0"/>
              </wp:wrapPolygon>
            </wp:wrapTight>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5"/>
                    <a:srcRect t="2399" r="4616" b="6792"/>
                    <a:stretch>
                      <a:fillRect/>
                    </a:stretch>
                  </pic:blipFill>
                  <pic:spPr bwMode="auto">
                    <a:xfrm>
                      <a:off x="0" y="0"/>
                      <a:ext cx="4152900" cy="3168650"/>
                    </a:xfrm>
                    <a:prstGeom prst="rect">
                      <a:avLst/>
                    </a:prstGeom>
                    <a:noFill/>
                  </pic:spPr>
                </pic:pic>
              </a:graphicData>
            </a:graphic>
          </wp:anchor>
        </w:drawing>
      </w: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823B44" w:rsidRDefault="00823B44" w:rsidP="00823B44">
      <w:pPr>
        <w:jc w:val="center"/>
        <w:rPr>
          <w:rFonts w:ascii="Times New Roman" w:hAnsi="Times New Roman"/>
          <w:b/>
          <w:color w:val="000000"/>
          <w:sz w:val="20"/>
          <w:szCs w:val="20"/>
        </w:rPr>
      </w:pPr>
    </w:p>
    <w:p w:rsidR="001047DE" w:rsidRPr="00823B44" w:rsidRDefault="001047DE" w:rsidP="00823B44">
      <w:pPr>
        <w:rPr>
          <w:rFonts w:ascii="Times New Roman" w:hAnsi="Times New Roman"/>
          <w:b/>
          <w:color w:val="000000"/>
          <w:sz w:val="20"/>
          <w:szCs w:val="20"/>
          <w:lang w:val="ru-RU"/>
        </w:rPr>
      </w:pPr>
      <w:r w:rsidRPr="00675580">
        <w:rPr>
          <w:rFonts w:ascii="Times New Roman" w:hAnsi="Times New Roman"/>
          <w:b/>
          <w:color w:val="000000"/>
          <w:sz w:val="20"/>
          <w:szCs w:val="20"/>
        </w:rPr>
        <w:t xml:space="preserve">График </w:t>
      </w:r>
      <w:r w:rsidRPr="00A926CA">
        <w:rPr>
          <w:rFonts w:ascii="Times New Roman" w:hAnsi="Times New Roman"/>
          <w:b/>
          <w:color w:val="000000"/>
          <w:sz w:val="20"/>
          <w:szCs w:val="20"/>
          <w:lang w:val="ru-RU"/>
        </w:rPr>
        <w:t>2</w:t>
      </w:r>
      <w:r>
        <w:rPr>
          <w:rFonts w:ascii="Times New Roman" w:hAnsi="Times New Roman"/>
          <w:b/>
          <w:color w:val="000000"/>
          <w:sz w:val="20"/>
          <w:szCs w:val="20"/>
        </w:rPr>
        <w:t>9</w:t>
      </w:r>
      <w:r w:rsidRPr="00675580">
        <w:rPr>
          <w:rFonts w:ascii="Times New Roman" w:hAnsi="Times New Roman"/>
          <w:b/>
          <w:color w:val="000000"/>
          <w:sz w:val="20"/>
          <w:szCs w:val="20"/>
        </w:rPr>
        <w:t xml:space="preserve">. ROC крива на дијагностичка ефикасност на </w:t>
      </w:r>
      <w:r>
        <w:rPr>
          <w:rFonts w:ascii="Times New Roman" w:hAnsi="Times New Roman"/>
          <w:b/>
          <w:color w:val="000000"/>
          <w:sz w:val="20"/>
          <w:szCs w:val="20"/>
          <w:lang w:val="en-US"/>
        </w:rPr>
        <w:t>IL</w:t>
      </w:r>
      <w:r w:rsidRPr="00A926CA">
        <w:rPr>
          <w:rFonts w:ascii="Times New Roman" w:hAnsi="Times New Roman"/>
          <w:b/>
          <w:color w:val="000000"/>
          <w:sz w:val="20"/>
          <w:szCs w:val="20"/>
          <w:lang w:val="ru-RU"/>
        </w:rPr>
        <w:t>-33 во</w:t>
      </w:r>
      <w:r w:rsidR="00823B44">
        <w:rPr>
          <w:rFonts w:ascii="Times New Roman" w:hAnsi="Times New Roman"/>
          <w:b/>
          <w:color w:val="000000"/>
          <w:sz w:val="20"/>
          <w:szCs w:val="20"/>
          <w:lang w:val="ru-RU"/>
        </w:rPr>
        <w:t xml:space="preserve"> </w:t>
      </w:r>
      <w:r w:rsidRPr="00A926CA">
        <w:rPr>
          <w:rFonts w:ascii="Times New Roman" w:hAnsi="Times New Roman"/>
          <w:b/>
          <w:color w:val="000000"/>
          <w:sz w:val="20"/>
          <w:szCs w:val="20"/>
          <w:lang w:val="ru-RU"/>
        </w:rPr>
        <w:t xml:space="preserve">серум/ салива </w:t>
      </w:r>
      <w:r w:rsidRPr="00675580">
        <w:rPr>
          <w:rFonts w:ascii="Times New Roman" w:hAnsi="Times New Roman"/>
          <w:b/>
          <w:color w:val="000000"/>
          <w:sz w:val="20"/>
          <w:szCs w:val="20"/>
        </w:rPr>
        <w:t xml:space="preserve">за </w:t>
      </w:r>
      <w:r>
        <w:rPr>
          <w:rFonts w:ascii="Times New Roman" w:hAnsi="Times New Roman"/>
          <w:b/>
          <w:color w:val="000000"/>
          <w:sz w:val="20"/>
          <w:szCs w:val="20"/>
        </w:rPr>
        <w:t>бенигни тумоти на паротидни жлезди</w:t>
      </w:r>
    </w:p>
    <w:p w:rsidR="00823B44" w:rsidRDefault="00823B44" w:rsidP="001047DE">
      <w:pPr>
        <w:spacing w:line="360" w:lineRule="auto"/>
        <w:ind w:firstLine="720"/>
        <w:jc w:val="both"/>
        <w:rPr>
          <w:rFonts w:ascii="Times New Roman" w:hAnsi="Times New Roman" w:cs="Times New Roman"/>
          <w:color w:val="000000"/>
          <w:sz w:val="24"/>
          <w:szCs w:val="24"/>
        </w:rPr>
      </w:pPr>
    </w:p>
    <w:p w:rsidR="007868F9" w:rsidRDefault="007868F9" w:rsidP="007868F9">
      <w:pPr>
        <w:ind w:firstLine="720"/>
        <w:jc w:val="both"/>
        <w:rPr>
          <w:rFonts w:ascii="Times New Roman" w:hAnsi="Times New Roman" w:cs="Times New Roman"/>
          <w:color w:val="000000"/>
          <w:sz w:val="24"/>
          <w:szCs w:val="24"/>
        </w:rPr>
      </w:pPr>
    </w:p>
    <w:p w:rsidR="007868F9" w:rsidRDefault="007868F9" w:rsidP="007868F9">
      <w:pPr>
        <w:ind w:firstLine="720"/>
        <w:jc w:val="both"/>
        <w:rPr>
          <w:rFonts w:ascii="Times New Roman" w:hAnsi="Times New Roman" w:cs="Times New Roman"/>
          <w:color w:val="000000"/>
          <w:sz w:val="24"/>
          <w:szCs w:val="24"/>
        </w:rPr>
      </w:pPr>
    </w:p>
    <w:p w:rsidR="007868F9" w:rsidRDefault="007868F9" w:rsidP="007868F9">
      <w:pPr>
        <w:ind w:firstLine="720"/>
        <w:jc w:val="both"/>
        <w:rPr>
          <w:rFonts w:ascii="Times New Roman" w:hAnsi="Times New Roman" w:cs="Times New Roman"/>
          <w:color w:val="000000"/>
          <w:sz w:val="24"/>
          <w:szCs w:val="24"/>
        </w:rPr>
      </w:pPr>
    </w:p>
    <w:p w:rsidR="001047DE" w:rsidRPr="00E72A21" w:rsidRDefault="001047DE" w:rsidP="007868F9">
      <w:pPr>
        <w:ind w:firstLine="720"/>
        <w:jc w:val="both"/>
        <w:rPr>
          <w:rFonts w:ascii="Times New Roman" w:hAnsi="Times New Roman" w:cs="Times New Roman"/>
          <w:color w:val="000000"/>
          <w:sz w:val="24"/>
          <w:szCs w:val="24"/>
        </w:rPr>
      </w:pPr>
      <w:r w:rsidRPr="00E72A21">
        <w:rPr>
          <w:rFonts w:ascii="Times New Roman" w:hAnsi="Times New Roman" w:cs="Times New Roman"/>
          <w:color w:val="000000"/>
          <w:sz w:val="24"/>
          <w:szCs w:val="24"/>
        </w:rPr>
        <w:t>ROC анализата и AUC вредност</w:t>
      </w:r>
      <w:r w:rsidR="006906A2" w:rsidRPr="00A926CA">
        <w:rPr>
          <w:rFonts w:ascii="Times New Roman" w:hAnsi="Times New Roman" w:cs="Times New Roman"/>
          <w:color w:val="000000"/>
          <w:sz w:val="24"/>
          <w:szCs w:val="24"/>
        </w:rPr>
        <w:t>a</w:t>
      </w:r>
      <w:r w:rsidRPr="00E72A21">
        <w:rPr>
          <w:rFonts w:ascii="Times New Roman" w:hAnsi="Times New Roman" w:cs="Times New Roman"/>
          <w:color w:val="000000"/>
          <w:sz w:val="24"/>
          <w:szCs w:val="24"/>
        </w:rPr>
        <w:t xml:space="preserve"> за дијагностичката ефикасност </w:t>
      </w:r>
      <w:r w:rsidRPr="00A926CA">
        <w:rPr>
          <w:rFonts w:ascii="Times New Roman" w:hAnsi="Times New Roman" w:cs="Times New Roman"/>
          <w:color w:val="000000"/>
          <w:sz w:val="24"/>
          <w:szCs w:val="24"/>
        </w:rPr>
        <w:t xml:space="preserve">за </w:t>
      </w:r>
      <w:r>
        <w:rPr>
          <w:rFonts w:ascii="Times New Roman" w:hAnsi="Times New Roman" w:cs="Times New Roman"/>
          <w:color w:val="000000"/>
          <w:sz w:val="24"/>
          <w:szCs w:val="24"/>
        </w:rPr>
        <w:t xml:space="preserve">бенигни </w:t>
      </w:r>
      <w:r w:rsidRPr="00E72A21">
        <w:rPr>
          <w:rFonts w:ascii="Times New Roman" w:hAnsi="Times New Roman"/>
          <w:sz w:val="24"/>
          <w:szCs w:val="24"/>
        </w:rPr>
        <w:t xml:space="preserve">тумори на паротидните жлезди </w:t>
      </w:r>
      <w:r w:rsidRPr="00E72A21">
        <w:rPr>
          <w:rFonts w:ascii="Times New Roman" w:hAnsi="Times New Roman" w:cs="Times New Roman"/>
          <w:color w:val="000000"/>
          <w:sz w:val="24"/>
          <w:szCs w:val="24"/>
        </w:rPr>
        <w:t xml:space="preserve">на: а) </w:t>
      </w:r>
      <w:r w:rsidRPr="00A926CA">
        <w:rPr>
          <w:rFonts w:ascii="Times New Roman" w:hAnsi="Times New Roman" w:cs="Times New Roman"/>
          <w:color w:val="000000"/>
          <w:sz w:val="24"/>
          <w:szCs w:val="24"/>
        </w:rPr>
        <w:t>IL-33 во</w:t>
      </w:r>
      <w:r w:rsidRPr="00E72A21">
        <w:rPr>
          <w:rFonts w:ascii="Times New Roman" w:hAnsi="Times New Roman" w:cs="Times New Roman"/>
          <w:color w:val="000000"/>
          <w:sz w:val="24"/>
          <w:szCs w:val="24"/>
        </w:rPr>
        <w:t xml:space="preserve"> серум укажа на </w:t>
      </w:r>
      <w:r>
        <w:rPr>
          <w:rFonts w:ascii="Times New Roman" w:hAnsi="Times New Roman" w:cs="Times New Roman"/>
          <w:color w:val="000000"/>
          <w:sz w:val="24"/>
          <w:szCs w:val="24"/>
        </w:rPr>
        <w:t xml:space="preserve">недоволно ефикасна </w:t>
      </w:r>
      <w:r w:rsidRPr="00CD0937">
        <w:rPr>
          <w:rFonts w:ascii="Times New Roman" w:hAnsi="Times New Roman"/>
          <w:sz w:val="24"/>
          <w:szCs w:val="24"/>
        </w:rPr>
        <w:t>AUC</w:t>
      </w:r>
      <w:r>
        <w:rPr>
          <w:rFonts w:ascii="Times New Roman" w:hAnsi="Times New Roman" w:cs="Times New Roman"/>
          <w:bCs/>
          <w:color w:val="000000"/>
          <w:sz w:val="24"/>
          <w:szCs w:val="24"/>
        </w:rPr>
        <w:t>=0,48</w:t>
      </w:r>
      <w:r w:rsidRPr="00A926CA">
        <w:rPr>
          <w:rFonts w:ascii="Times New Roman" w:hAnsi="Times New Roman" w:cs="Times New Roman"/>
          <w:bCs/>
          <w:color w:val="000000"/>
          <w:sz w:val="24"/>
          <w:szCs w:val="24"/>
        </w:rPr>
        <w:t>4</w:t>
      </w:r>
      <w:r>
        <w:rPr>
          <w:rFonts w:ascii="Times New Roman" w:hAnsi="Times New Roman" w:cs="Times New Roman"/>
          <w:bCs/>
          <w:color w:val="000000"/>
          <w:sz w:val="24"/>
          <w:szCs w:val="24"/>
        </w:rPr>
        <w:t xml:space="preserve">; </w:t>
      </w:r>
      <w:r w:rsidRPr="00E60157">
        <w:rPr>
          <w:rFonts w:ascii="Times New Roman" w:hAnsi="Times New Roman"/>
          <w:color w:val="000000"/>
          <w:sz w:val="24"/>
          <w:szCs w:val="24"/>
        </w:rPr>
        <w:t>p=</w:t>
      </w:r>
      <w:r w:rsidRPr="00E60157">
        <w:rPr>
          <w:rFonts w:ascii="Times New Roman" w:hAnsi="Times New Roman" w:cs="Times New Roman"/>
          <w:color w:val="000000"/>
          <w:sz w:val="24"/>
          <w:szCs w:val="24"/>
          <w:lang w:eastAsia="mk-MK"/>
        </w:rPr>
        <w:t>0,78</w:t>
      </w:r>
      <w:r w:rsidRPr="00A926CA">
        <w:rPr>
          <w:rFonts w:ascii="Times New Roman" w:hAnsi="Times New Roman" w:cs="Times New Roman"/>
          <w:color w:val="000000"/>
          <w:sz w:val="24"/>
          <w:szCs w:val="24"/>
          <w:lang w:eastAsia="mk-MK"/>
        </w:rPr>
        <w:t>1</w:t>
      </w:r>
      <w:r w:rsidRPr="00A926CA">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sidRPr="00A926CA">
        <w:rPr>
          <w:rFonts w:ascii="Times New Roman" w:hAnsi="Times New Roman" w:cs="Times New Roman"/>
          <w:bCs/>
          <w:color w:val="000000"/>
          <w:sz w:val="24"/>
          <w:szCs w:val="24"/>
        </w:rPr>
        <w:t>8</w:t>
      </w:r>
      <w:r>
        <w:rPr>
          <w:rFonts w:ascii="Times New Roman" w:hAnsi="Times New Roman" w:cs="Times New Roman"/>
          <w:bCs/>
          <w:color w:val="000000"/>
          <w:sz w:val="24"/>
          <w:szCs w:val="24"/>
        </w:rPr>
        <w:t>04</w:t>
      </w:r>
      <w:r w:rsidRPr="00A926CA">
        <w:rPr>
          <w:rFonts w:ascii="Times New Roman" w:hAnsi="Times New Roman" w:cs="Times New Roman"/>
          <w:color w:val="000000"/>
          <w:sz w:val="24"/>
          <w:szCs w:val="24"/>
        </w:rPr>
        <w:t xml:space="preserve"> pg/mL</w:t>
      </w:r>
      <w:r w:rsidRPr="00E72A21">
        <w:rPr>
          <w:rFonts w:ascii="Times New Roman" w:hAnsi="Times New Roman" w:cs="Times New Roman"/>
          <w:bCs/>
          <w:color w:val="000000"/>
          <w:sz w:val="24"/>
          <w:szCs w:val="24"/>
        </w:rPr>
        <w:t>; Sensitivity=</w:t>
      </w:r>
      <w:r w:rsidRPr="00A926CA">
        <w:rPr>
          <w:rFonts w:ascii="Times New Roman" w:hAnsi="Times New Roman" w:cs="Times New Roman"/>
          <w:bCs/>
          <w:color w:val="000000"/>
          <w:sz w:val="24"/>
          <w:szCs w:val="24"/>
        </w:rPr>
        <w:t>77,6</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Specificity=</w:t>
      </w:r>
      <w:r>
        <w:rPr>
          <w:rFonts w:ascii="Times New Roman" w:hAnsi="Times New Roman" w:cs="Times New Roman"/>
          <w:bCs/>
          <w:color w:val="000000"/>
          <w:sz w:val="24"/>
          <w:szCs w:val="24"/>
        </w:rPr>
        <w:t>29,3</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б)</w:t>
      </w:r>
      <w:r w:rsidRPr="00E72A21">
        <w:rPr>
          <w:rFonts w:ascii="Times New Roman" w:hAnsi="Times New Roman" w:cs="Times New Roman"/>
          <w:color w:val="000000"/>
          <w:sz w:val="24"/>
          <w:szCs w:val="24"/>
        </w:rPr>
        <w:t xml:space="preserve"> </w:t>
      </w:r>
      <w:r w:rsidRPr="00A926CA">
        <w:rPr>
          <w:rFonts w:ascii="Times New Roman" w:hAnsi="Times New Roman" w:cs="Times New Roman"/>
          <w:color w:val="000000"/>
          <w:sz w:val="24"/>
          <w:szCs w:val="24"/>
        </w:rPr>
        <w:t>IL-33 во</w:t>
      </w:r>
      <w:r w:rsidRPr="00E72A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салива</w:t>
      </w:r>
      <w:r w:rsidRPr="00E72A21">
        <w:rPr>
          <w:rFonts w:ascii="Times New Roman" w:hAnsi="Times New Roman" w:cs="Times New Roman"/>
          <w:color w:val="000000"/>
          <w:sz w:val="24"/>
          <w:szCs w:val="24"/>
        </w:rPr>
        <w:t xml:space="preserve"> укажа на </w:t>
      </w:r>
      <w:r>
        <w:rPr>
          <w:rFonts w:ascii="Times New Roman" w:hAnsi="Times New Roman" w:cs="Times New Roman"/>
          <w:color w:val="000000"/>
          <w:sz w:val="24"/>
          <w:szCs w:val="24"/>
        </w:rPr>
        <w:t xml:space="preserve">слабо ефикасна </w:t>
      </w:r>
      <w:r w:rsidRPr="00CD0937">
        <w:rPr>
          <w:rFonts w:ascii="Times New Roman" w:hAnsi="Times New Roman"/>
          <w:sz w:val="24"/>
          <w:szCs w:val="24"/>
        </w:rPr>
        <w:t>AUC</w:t>
      </w:r>
      <w:r>
        <w:rPr>
          <w:rFonts w:ascii="Times New Roman" w:hAnsi="Times New Roman" w:cs="Times New Roman"/>
          <w:bCs/>
          <w:color w:val="000000"/>
          <w:sz w:val="24"/>
          <w:szCs w:val="24"/>
        </w:rPr>
        <w:t>=0,51</w:t>
      </w:r>
      <w:r w:rsidRPr="00A926CA">
        <w:rPr>
          <w:rFonts w:ascii="Times New Roman" w:hAnsi="Times New Roman" w:cs="Times New Roman"/>
          <w:bCs/>
          <w:color w:val="000000"/>
          <w:sz w:val="24"/>
          <w:szCs w:val="24"/>
        </w:rPr>
        <w:t xml:space="preserve">5; </w:t>
      </w:r>
      <w:r w:rsidRPr="00E60157">
        <w:rPr>
          <w:rFonts w:ascii="Times New Roman" w:hAnsi="Times New Roman"/>
          <w:color w:val="000000"/>
          <w:sz w:val="24"/>
          <w:szCs w:val="24"/>
        </w:rPr>
        <w:t>p=</w:t>
      </w:r>
      <w:r w:rsidRPr="00E60157">
        <w:rPr>
          <w:rFonts w:ascii="Times New Roman" w:hAnsi="Times New Roman" w:cs="Times New Roman"/>
          <w:color w:val="000000"/>
          <w:sz w:val="24"/>
          <w:szCs w:val="24"/>
          <w:lang w:eastAsia="mk-MK"/>
        </w:rPr>
        <w:t>0,</w:t>
      </w:r>
      <w:r w:rsidRPr="00A926CA">
        <w:rPr>
          <w:rFonts w:ascii="Times New Roman" w:hAnsi="Times New Roman" w:cs="Times New Roman"/>
          <w:color w:val="000000"/>
          <w:sz w:val="24"/>
          <w:szCs w:val="24"/>
          <w:lang w:eastAsia="mk-MK"/>
        </w:rPr>
        <w:t>793</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Pr>
          <w:rFonts w:ascii="Times New Roman" w:hAnsi="Times New Roman" w:cs="Times New Roman"/>
          <w:bCs/>
          <w:color w:val="000000"/>
          <w:sz w:val="24"/>
          <w:szCs w:val="24"/>
        </w:rPr>
        <w:t>71</w:t>
      </w:r>
      <w:r w:rsidRPr="00A926CA">
        <w:rPr>
          <w:rFonts w:ascii="Times New Roman" w:hAnsi="Times New Roman" w:cs="Times New Roman"/>
          <w:bCs/>
          <w:color w:val="000000"/>
          <w:sz w:val="24"/>
          <w:szCs w:val="24"/>
        </w:rPr>
        <w:t>9</w:t>
      </w:r>
      <w:r>
        <w:rPr>
          <w:rFonts w:ascii="Times New Roman" w:hAnsi="Times New Roman" w:cs="Times New Roman"/>
          <w:bCs/>
          <w:color w:val="000000"/>
          <w:sz w:val="24"/>
          <w:szCs w:val="24"/>
        </w:rPr>
        <w:t xml:space="preserve"> </w:t>
      </w:r>
      <w:r w:rsidRPr="00A926CA">
        <w:rPr>
          <w:rFonts w:ascii="Times New Roman" w:hAnsi="Times New Roman" w:cs="Times New Roman"/>
          <w:color w:val="000000"/>
          <w:sz w:val="24"/>
          <w:szCs w:val="24"/>
        </w:rPr>
        <w:t>pg/mL</w:t>
      </w:r>
      <w:r w:rsidRPr="00E72A21">
        <w:rPr>
          <w:rFonts w:ascii="Times New Roman" w:hAnsi="Times New Roman" w:cs="Times New Roman"/>
          <w:bCs/>
          <w:color w:val="000000"/>
          <w:sz w:val="24"/>
          <w:szCs w:val="24"/>
        </w:rPr>
        <w:t>; Sensitivity=</w:t>
      </w:r>
      <w:r w:rsidRPr="00A926CA">
        <w:rPr>
          <w:rFonts w:ascii="Times New Roman" w:hAnsi="Times New Roman" w:cs="Times New Roman"/>
          <w:bCs/>
          <w:color w:val="000000"/>
          <w:sz w:val="24"/>
          <w:szCs w:val="24"/>
        </w:rPr>
        <w:t>65,3</w:t>
      </w:r>
      <w:r>
        <w:rPr>
          <w:rFonts w:ascii="Times New Roman" w:hAnsi="Times New Roman" w:cs="Times New Roman"/>
          <w:bCs/>
          <w:color w:val="000000"/>
          <w:sz w:val="24"/>
          <w:szCs w:val="24"/>
        </w:rPr>
        <w:t>%</w:t>
      </w:r>
      <w:r w:rsidRPr="00E72A21">
        <w:rPr>
          <w:rFonts w:ascii="Times New Roman" w:hAnsi="Times New Roman" w:cs="Times New Roman"/>
          <w:bCs/>
          <w:color w:val="000000"/>
          <w:sz w:val="24"/>
          <w:szCs w:val="24"/>
        </w:rPr>
        <w:t>; Specificity=</w:t>
      </w:r>
      <w:r>
        <w:rPr>
          <w:rFonts w:ascii="Times New Roman" w:hAnsi="Times New Roman" w:cs="Times New Roman"/>
          <w:bCs/>
          <w:color w:val="000000"/>
          <w:sz w:val="24"/>
          <w:szCs w:val="24"/>
        </w:rPr>
        <w:t>34,5</w:t>
      </w:r>
      <w:r w:rsidRPr="00E72A21">
        <w:rPr>
          <w:rFonts w:ascii="Times New Roman" w:hAnsi="Times New Roman" w:cs="Times New Roman"/>
          <w:bCs/>
          <w:color w:val="000000"/>
          <w:sz w:val="24"/>
          <w:szCs w:val="24"/>
        </w:rPr>
        <w:t>%</w:t>
      </w:r>
      <w:r w:rsidRPr="00E72A21">
        <w:rPr>
          <w:rFonts w:ascii="Times New Roman" w:hAnsi="Times New Roman" w:cs="Times New Roman"/>
          <w:color w:val="000000"/>
          <w:sz w:val="24"/>
          <w:szCs w:val="24"/>
        </w:rPr>
        <w:t xml:space="preserve"> </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Табела 15 и </w:t>
      </w:r>
      <w:r w:rsidRPr="00E72A21">
        <w:rPr>
          <w:rFonts w:ascii="Times New Roman" w:hAnsi="Times New Roman" w:cs="Times New Roman"/>
          <w:bCs/>
          <w:color w:val="000000"/>
          <w:sz w:val="24"/>
          <w:szCs w:val="24"/>
        </w:rPr>
        <w:t xml:space="preserve">График </w:t>
      </w:r>
      <w:r w:rsidRPr="00A926CA">
        <w:rPr>
          <w:rFonts w:ascii="Times New Roman" w:hAnsi="Times New Roman" w:cs="Times New Roman"/>
          <w:bCs/>
          <w:color w:val="000000"/>
          <w:sz w:val="24"/>
          <w:szCs w:val="24"/>
        </w:rPr>
        <w:t>2</w:t>
      </w:r>
      <w:r w:rsidR="008F55D5" w:rsidRPr="00A926CA">
        <w:rPr>
          <w:rFonts w:ascii="Times New Roman" w:hAnsi="Times New Roman" w:cs="Times New Roman"/>
          <w:bCs/>
          <w:color w:val="000000"/>
          <w:sz w:val="24"/>
          <w:szCs w:val="24"/>
        </w:rPr>
        <w:t>9</w:t>
      </w:r>
      <w:r>
        <w:rPr>
          <w:rFonts w:ascii="Times New Roman" w:hAnsi="Times New Roman" w:cs="Times New Roman"/>
          <w:bCs/>
          <w:color w:val="000000"/>
          <w:sz w:val="24"/>
          <w:szCs w:val="24"/>
        </w:rPr>
        <w:t>)</w:t>
      </w:r>
      <w:r w:rsidRPr="00E72A21">
        <w:rPr>
          <w:rFonts w:ascii="Times New Roman" w:hAnsi="Times New Roman" w:cs="Times New Roman"/>
          <w:bCs/>
          <w:color w:val="000000"/>
          <w:sz w:val="24"/>
          <w:szCs w:val="24"/>
        </w:rPr>
        <w:t>.</w:t>
      </w:r>
    </w:p>
    <w:p w:rsidR="00B3305D" w:rsidRPr="00A926CA" w:rsidRDefault="00446A60" w:rsidP="00EB5078">
      <w:pPr>
        <w:autoSpaceDE w:val="0"/>
        <w:autoSpaceDN w:val="0"/>
        <w:adjustRightInd w:val="0"/>
        <w:rPr>
          <w:rFonts w:ascii="Times New Roman" w:hAnsi="Times New Roman" w:cs="Times New Roman"/>
          <w:sz w:val="24"/>
          <w:szCs w:val="24"/>
          <w:lang w:eastAsia="mk-MK"/>
        </w:rPr>
      </w:pPr>
      <w:r>
        <w:rPr>
          <w:rFonts w:ascii="Times New Roman" w:hAnsi="Times New Roman" w:cs="Times New Roman"/>
          <w:noProof/>
          <w:sz w:val="24"/>
          <w:szCs w:val="24"/>
          <w:lang w:val="en-US"/>
        </w:rPr>
        <w:drawing>
          <wp:anchor distT="0" distB="0" distL="114300" distR="114300" simplePos="0" relativeHeight="251674112" behindDoc="1" locked="0" layoutInCell="1" allowOverlap="1">
            <wp:simplePos x="0" y="0"/>
            <wp:positionH relativeFrom="column">
              <wp:posOffset>859155</wp:posOffset>
            </wp:positionH>
            <wp:positionV relativeFrom="paragraph">
              <wp:posOffset>138430</wp:posOffset>
            </wp:positionV>
            <wp:extent cx="4026535" cy="3395345"/>
            <wp:effectExtent l="19050" t="0" r="0" b="0"/>
            <wp:wrapTight wrapText="bothSides">
              <wp:wrapPolygon edited="0">
                <wp:start x="-102" y="0"/>
                <wp:lineTo x="-102" y="21451"/>
                <wp:lineTo x="21563" y="21451"/>
                <wp:lineTo x="21563" y="0"/>
                <wp:lineTo x="-102" y="0"/>
              </wp:wrapPolygon>
            </wp:wrapTight>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6"/>
                    <a:srcRect l="1802" t="1500" r="6549" b="2025"/>
                    <a:stretch>
                      <a:fillRect/>
                    </a:stretch>
                  </pic:blipFill>
                  <pic:spPr bwMode="auto">
                    <a:xfrm>
                      <a:off x="0" y="0"/>
                      <a:ext cx="4026535" cy="3395345"/>
                    </a:xfrm>
                    <a:prstGeom prst="rect">
                      <a:avLst/>
                    </a:prstGeom>
                    <a:noFill/>
                  </pic:spPr>
                </pic:pic>
              </a:graphicData>
            </a:graphic>
          </wp:anchor>
        </w:drawing>
      </w: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B3305D" w:rsidRPr="00A926CA" w:rsidRDefault="00B3305D"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F05305" w:rsidRPr="00A926CA" w:rsidRDefault="00F05305"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CF679C" w:rsidRPr="00A926CA" w:rsidRDefault="00CF679C" w:rsidP="00EB5078">
      <w:pPr>
        <w:autoSpaceDE w:val="0"/>
        <w:autoSpaceDN w:val="0"/>
        <w:adjustRightInd w:val="0"/>
        <w:rPr>
          <w:rFonts w:ascii="Times New Roman" w:hAnsi="Times New Roman" w:cs="Times New Roman"/>
          <w:sz w:val="24"/>
          <w:szCs w:val="24"/>
          <w:lang w:eastAsia="mk-MK"/>
        </w:rPr>
      </w:pPr>
    </w:p>
    <w:p w:rsidR="008D7E49" w:rsidRPr="00A926CA" w:rsidRDefault="008D7E49" w:rsidP="008D7E49">
      <w:pPr>
        <w:jc w:val="center"/>
        <w:rPr>
          <w:rFonts w:ascii="Times New Roman" w:hAnsi="Times New Roman"/>
          <w:b/>
          <w:color w:val="000000"/>
          <w:sz w:val="20"/>
          <w:szCs w:val="20"/>
        </w:rPr>
      </w:pPr>
    </w:p>
    <w:p w:rsidR="00CF679C" w:rsidRPr="00A926CA" w:rsidRDefault="00CF679C" w:rsidP="008D7E49">
      <w:pPr>
        <w:jc w:val="center"/>
        <w:rPr>
          <w:rFonts w:ascii="Times New Roman" w:hAnsi="Times New Roman"/>
          <w:b/>
          <w:color w:val="000000"/>
          <w:sz w:val="20"/>
          <w:szCs w:val="20"/>
          <w:lang w:val="ru-RU"/>
        </w:rPr>
      </w:pPr>
      <w:r w:rsidRPr="00675580">
        <w:rPr>
          <w:rFonts w:ascii="Times New Roman" w:hAnsi="Times New Roman"/>
          <w:b/>
          <w:color w:val="000000"/>
          <w:sz w:val="20"/>
          <w:szCs w:val="20"/>
        </w:rPr>
        <w:t xml:space="preserve">График </w:t>
      </w:r>
      <w:r w:rsidRPr="00A926CA">
        <w:rPr>
          <w:rFonts w:ascii="Times New Roman" w:hAnsi="Times New Roman"/>
          <w:b/>
          <w:color w:val="000000"/>
          <w:sz w:val="20"/>
          <w:szCs w:val="20"/>
          <w:lang w:val="ru-RU"/>
        </w:rPr>
        <w:t>30</w:t>
      </w:r>
      <w:r w:rsidRPr="00675580">
        <w:rPr>
          <w:rFonts w:ascii="Times New Roman" w:hAnsi="Times New Roman"/>
          <w:b/>
          <w:color w:val="000000"/>
          <w:sz w:val="20"/>
          <w:szCs w:val="20"/>
        </w:rPr>
        <w:t xml:space="preserve">. ROC крива на дијагностичка ефикасност на </w:t>
      </w:r>
      <w:r>
        <w:rPr>
          <w:rFonts w:ascii="Times New Roman" w:hAnsi="Times New Roman"/>
          <w:b/>
          <w:color w:val="000000"/>
          <w:sz w:val="20"/>
          <w:szCs w:val="20"/>
          <w:lang w:val="en-US"/>
        </w:rPr>
        <w:t>IL</w:t>
      </w:r>
      <w:r w:rsidRPr="00A926CA">
        <w:rPr>
          <w:rFonts w:ascii="Times New Roman" w:hAnsi="Times New Roman"/>
          <w:b/>
          <w:color w:val="000000"/>
          <w:sz w:val="20"/>
          <w:szCs w:val="20"/>
          <w:lang w:val="ru-RU"/>
        </w:rPr>
        <w:t>-33 во</w:t>
      </w:r>
    </w:p>
    <w:p w:rsidR="00CF679C" w:rsidRPr="009A0278" w:rsidRDefault="00CF679C" w:rsidP="00CF679C">
      <w:pPr>
        <w:jc w:val="center"/>
        <w:rPr>
          <w:rFonts w:ascii="Times New Roman" w:hAnsi="Times New Roman"/>
          <w:b/>
          <w:color w:val="000000"/>
          <w:sz w:val="20"/>
          <w:szCs w:val="20"/>
        </w:rPr>
      </w:pPr>
      <w:r w:rsidRPr="00A926CA">
        <w:rPr>
          <w:rFonts w:ascii="Times New Roman" w:hAnsi="Times New Roman"/>
          <w:b/>
          <w:color w:val="000000"/>
          <w:sz w:val="20"/>
          <w:szCs w:val="20"/>
          <w:lang w:val="ru-RU"/>
        </w:rPr>
        <w:t xml:space="preserve">серум/ салива </w:t>
      </w:r>
      <w:r w:rsidRPr="00675580">
        <w:rPr>
          <w:rFonts w:ascii="Times New Roman" w:hAnsi="Times New Roman"/>
          <w:b/>
          <w:color w:val="000000"/>
          <w:sz w:val="20"/>
          <w:szCs w:val="20"/>
        </w:rPr>
        <w:t xml:space="preserve">за </w:t>
      </w:r>
      <w:r w:rsidRPr="00A926CA">
        <w:rPr>
          <w:rFonts w:ascii="Times New Roman" w:hAnsi="Times New Roman"/>
          <w:b/>
          <w:color w:val="000000"/>
          <w:sz w:val="20"/>
          <w:szCs w:val="20"/>
          <w:lang w:val="ru-RU"/>
        </w:rPr>
        <w:t>малигни</w:t>
      </w:r>
      <w:r>
        <w:rPr>
          <w:rFonts w:ascii="Times New Roman" w:hAnsi="Times New Roman"/>
          <w:b/>
          <w:color w:val="000000"/>
          <w:sz w:val="20"/>
          <w:szCs w:val="20"/>
        </w:rPr>
        <w:t xml:space="preserve"> тумоти на паротидни жлезди</w:t>
      </w:r>
    </w:p>
    <w:p w:rsidR="00CF679C" w:rsidRPr="00A926CA" w:rsidRDefault="00CF679C" w:rsidP="00EB5078">
      <w:pPr>
        <w:autoSpaceDE w:val="0"/>
        <w:autoSpaceDN w:val="0"/>
        <w:adjustRightInd w:val="0"/>
        <w:rPr>
          <w:rFonts w:ascii="Times New Roman" w:hAnsi="Times New Roman" w:cs="Times New Roman"/>
          <w:sz w:val="24"/>
          <w:szCs w:val="24"/>
          <w:lang w:val="ru-RU" w:eastAsia="mk-MK"/>
        </w:rPr>
      </w:pPr>
    </w:p>
    <w:p w:rsidR="00CF679C" w:rsidRPr="00A926CA" w:rsidRDefault="00CF679C" w:rsidP="00EB5078">
      <w:pPr>
        <w:autoSpaceDE w:val="0"/>
        <w:autoSpaceDN w:val="0"/>
        <w:adjustRightInd w:val="0"/>
        <w:rPr>
          <w:rFonts w:ascii="Times New Roman" w:hAnsi="Times New Roman" w:cs="Times New Roman"/>
          <w:sz w:val="24"/>
          <w:szCs w:val="24"/>
          <w:lang w:val="ru-RU" w:eastAsia="mk-MK"/>
        </w:rPr>
      </w:pPr>
    </w:p>
    <w:p w:rsidR="00707CB9" w:rsidRPr="00E72A21" w:rsidRDefault="00707CB9" w:rsidP="007868F9">
      <w:pPr>
        <w:ind w:firstLine="720"/>
        <w:jc w:val="both"/>
        <w:rPr>
          <w:rFonts w:ascii="Times New Roman" w:hAnsi="Times New Roman" w:cs="Times New Roman"/>
          <w:color w:val="000000"/>
          <w:sz w:val="24"/>
          <w:szCs w:val="24"/>
        </w:rPr>
      </w:pPr>
      <w:r w:rsidRPr="00E72A21">
        <w:rPr>
          <w:rFonts w:ascii="Times New Roman" w:hAnsi="Times New Roman" w:cs="Times New Roman"/>
          <w:color w:val="000000"/>
          <w:sz w:val="24"/>
          <w:szCs w:val="24"/>
        </w:rPr>
        <w:t xml:space="preserve">ROC анализата и </w:t>
      </w:r>
      <w:r>
        <w:rPr>
          <w:rFonts w:ascii="Times New Roman" w:hAnsi="Times New Roman" w:cs="Times New Roman"/>
          <w:color w:val="000000"/>
          <w:sz w:val="24"/>
          <w:szCs w:val="24"/>
        </w:rPr>
        <w:t xml:space="preserve">вредноста </w:t>
      </w:r>
      <w:r w:rsidRPr="00E72A21">
        <w:rPr>
          <w:rFonts w:ascii="Times New Roman" w:hAnsi="Times New Roman" w:cs="Times New Roman"/>
          <w:color w:val="000000"/>
          <w:sz w:val="24"/>
          <w:szCs w:val="24"/>
        </w:rPr>
        <w:t>добиен</w:t>
      </w:r>
      <w:r w:rsidRPr="00E72A21">
        <w:rPr>
          <w:rFonts w:ascii="Times New Roman" w:hAnsi="Times New Roman" w:cs="Times New Roman"/>
          <w:color w:val="000000"/>
          <w:sz w:val="24"/>
          <w:szCs w:val="24"/>
          <w:lang w:val="en-US"/>
        </w:rPr>
        <w:t>a</w:t>
      </w:r>
      <w:r>
        <w:rPr>
          <w:rFonts w:ascii="Times New Roman" w:hAnsi="Times New Roman" w:cs="Times New Roman"/>
          <w:color w:val="000000"/>
          <w:sz w:val="24"/>
          <w:szCs w:val="24"/>
        </w:rPr>
        <w:t xml:space="preserve"> за</w:t>
      </w:r>
      <w:r w:rsidRPr="00A926CA">
        <w:rPr>
          <w:rFonts w:ascii="Times New Roman" w:hAnsi="Times New Roman" w:cs="Times New Roman"/>
          <w:color w:val="000000"/>
          <w:sz w:val="24"/>
          <w:szCs w:val="24"/>
          <w:lang w:val="ru-RU"/>
        </w:rPr>
        <w:t xml:space="preserve"> </w:t>
      </w:r>
      <w:r w:rsidRPr="00E72A21">
        <w:rPr>
          <w:rFonts w:ascii="Times New Roman" w:hAnsi="Times New Roman" w:cs="Times New Roman"/>
          <w:color w:val="000000"/>
          <w:sz w:val="24"/>
          <w:szCs w:val="24"/>
        </w:rPr>
        <w:t xml:space="preserve">AUC </w:t>
      </w:r>
      <w:r>
        <w:rPr>
          <w:rFonts w:ascii="Times New Roman" w:hAnsi="Times New Roman" w:cs="Times New Roman"/>
          <w:color w:val="000000"/>
          <w:sz w:val="24"/>
          <w:szCs w:val="24"/>
        </w:rPr>
        <w:t>вооднос на</w:t>
      </w:r>
      <w:r w:rsidRPr="00E72A21">
        <w:rPr>
          <w:rFonts w:ascii="Times New Roman" w:hAnsi="Times New Roman" w:cs="Times New Roman"/>
          <w:color w:val="000000"/>
          <w:sz w:val="24"/>
          <w:szCs w:val="24"/>
        </w:rPr>
        <w:t xml:space="preserve"> дијагностичката ефикасност </w:t>
      </w:r>
      <w:r w:rsidRPr="00A926CA">
        <w:rPr>
          <w:rFonts w:ascii="Times New Roman" w:hAnsi="Times New Roman" w:cs="Times New Roman"/>
          <w:color w:val="000000"/>
          <w:sz w:val="24"/>
          <w:szCs w:val="24"/>
          <w:lang w:val="ru-RU"/>
        </w:rPr>
        <w:t xml:space="preserve">за </w:t>
      </w:r>
      <w:r>
        <w:rPr>
          <w:rFonts w:ascii="Times New Roman" w:hAnsi="Times New Roman" w:cs="Times New Roman"/>
          <w:color w:val="000000"/>
          <w:sz w:val="24"/>
          <w:szCs w:val="24"/>
        </w:rPr>
        <w:t xml:space="preserve">малигни </w:t>
      </w:r>
      <w:r w:rsidRPr="00E72A21">
        <w:rPr>
          <w:rFonts w:ascii="Times New Roman" w:hAnsi="Times New Roman"/>
          <w:sz w:val="24"/>
          <w:szCs w:val="24"/>
        </w:rPr>
        <w:t xml:space="preserve">тумори на паротидните жлезди </w:t>
      </w:r>
      <w:r w:rsidRPr="00E72A21">
        <w:rPr>
          <w:rFonts w:ascii="Times New Roman" w:hAnsi="Times New Roman" w:cs="Times New Roman"/>
          <w:color w:val="000000"/>
          <w:sz w:val="24"/>
          <w:szCs w:val="24"/>
        </w:rPr>
        <w:t xml:space="preserve">на: а) </w:t>
      </w:r>
      <w:r w:rsidRPr="00E72A2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 во</w:t>
      </w:r>
      <w:r w:rsidRPr="00E72A21">
        <w:rPr>
          <w:rFonts w:ascii="Times New Roman" w:hAnsi="Times New Roman" w:cs="Times New Roman"/>
          <w:color w:val="000000"/>
          <w:sz w:val="24"/>
          <w:szCs w:val="24"/>
        </w:rPr>
        <w:t xml:space="preserve"> серум укажа на </w:t>
      </w:r>
      <w:r>
        <w:rPr>
          <w:rFonts w:ascii="Times New Roman" w:hAnsi="Times New Roman" w:cs="Times New Roman"/>
          <w:color w:val="000000"/>
          <w:sz w:val="24"/>
          <w:szCs w:val="24"/>
        </w:rPr>
        <w:t xml:space="preserve">недоволно </w:t>
      </w:r>
      <w:r w:rsidR="00231839" w:rsidRPr="00231839">
        <w:rPr>
          <w:rFonts w:ascii="Times New Roman" w:hAnsi="Times New Roman" w:cs="Times New Roman"/>
          <w:color w:val="000000" w:themeColor="text1"/>
          <w:sz w:val="24"/>
          <w:szCs w:val="24"/>
        </w:rPr>
        <w:t>сигнификантна</w:t>
      </w:r>
      <w:r w:rsidR="001B07E1" w:rsidRPr="001B07E1">
        <w:rPr>
          <w:rFonts w:ascii="Times New Roman" w:hAnsi="Times New Roman" w:cs="Times New Roman"/>
          <w:b/>
          <w:color w:val="FF0000"/>
          <w:sz w:val="24"/>
          <w:szCs w:val="24"/>
        </w:rPr>
        <w:t xml:space="preserve"> </w:t>
      </w:r>
      <w:r w:rsidRPr="00CD0937">
        <w:rPr>
          <w:rFonts w:ascii="Times New Roman" w:hAnsi="Times New Roman"/>
          <w:sz w:val="24"/>
          <w:szCs w:val="24"/>
        </w:rPr>
        <w:t>AUC</w:t>
      </w:r>
      <w:r>
        <w:rPr>
          <w:rFonts w:ascii="Times New Roman" w:hAnsi="Times New Roman" w:cs="Times New Roman"/>
          <w:bCs/>
          <w:color w:val="000000"/>
          <w:sz w:val="24"/>
          <w:szCs w:val="24"/>
        </w:rPr>
        <w:t xml:space="preserve">=0,489; </w:t>
      </w:r>
      <w:r w:rsidRPr="00E60157">
        <w:rPr>
          <w:rFonts w:ascii="Times New Roman" w:hAnsi="Times New Roman"/>
          <w:color w:val="000000"/>
          <w:sz w:val="24"/>
          <w:szCs w:val="24"/>
        </w:rPr>
        <w:t>p=</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899</w:t>
      </w:r>
      <w:r w:rsidRPr="00A926CA">
        <w:rPr>
          <w:rFonts w:ascii="Times New Roman" w:hAnsi="Times New Roman" w:cs="Times New Roman"/>
          <w:bCs/>
          <w:color w:val="000000"/>
          <w:sz w:val="24"/>
          <w:szCs w:val="24"/>
          <w:lang w:val="ru-RU"/>
        </w:rPr>
        <w:t>,</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sidRPr="00A926CA">
        <w:rPr>
          <w:rFonts w:ascii="Times New Roman" w:hAnsi="Times New Roman" w:cs="Times New Roman"/>
          <w:bCs/>
          <w:color w:val="000000"/>
          <w:sz w:val="24"/>
          <w:szCs w:val="24"/>
          <w:lang w:val="ru-RU"/>
        </w:rPr>
        <w:t>8</w:t>
      </w:r>
      <w:r>
        <w:rPr>
          <w:rFonts w:ascii="Times New Roman" w:hAnsi="Times New Roman" w:cs="Times New Roman"/>
          <w:bCs/>
          <w:color w:val="000000"/>
          <w:sz w:val="24"/>
          <w:szCs w:val="24"/>
        </w:rPr>
        <w:t>03</w:t>
      </w:r>
      <w:r w:rsidRPr="00A926CA">
        <w:rPr>
          <w:rFonts w:ascii="Times New Roman" w:hAnsi="Times New Roman" w:cs="Times New Roman"/>
          <w:color w:val="000000"/>
          <w:sz w:val="24"/>
          <w:szCs w:val="24"/>
          <w:lang w:val="ru-RU"/>
        </w:rPr>
        <w:t xml:space="preserve"> </w:t>
      </w:r>
      <w:r w:rsidRPr="005B6712">
        <w:rPr>
          <w:rFonts w:ascii="Times New Roman" w:hAnsi="Times New Roman" w:cs="Times New Roman"/>
          <w:color w:val="000000"/>
          <w:sz w:val="24"/>
          <w:szCs w:val="24"/>
          <w:lang w:val="en-US"/>
        </w:rPr>
        <w:t>pg</w:t>
      </w:r>
      <w:r w:rsidRPr="00A926CA">
        <w:rPr>
          <w:rFonts w:ascii="Times New Roman" w:hAnsi="Times New Roman" w:cs="Times New Roman"/>
          <w:color w:val="000000"/>
          <w:sz w:val="24"/>
          <w:szCs w:val="24"/>
          <w:lang w:val="ru-RU"/>
        </w:rPr>
        <w:t>/</w:t>
      </w:r>
      <w:r w:rsidRPr="005B6712">
        <w:rPr>
          <w:rFonts w:ascii="Times New Roman" w:hAnsi="Times New Roman" w:cs="Times New Roman"/>
          <w:color w:val="000000"/>
          <w:sz w:val="24"/>
          <w:szCs w:val="24"/>
          <w:lang w:val="en-US"/>
        </w:rPr>
        <w:t>mL</w:t>
      </w:r>
      <w:r w:rsidRPr="00E72A21">
        <w:rPr>
          <w:rFonts w:ascii="Times New Roman" w:hAnsi="Times New Roman" w:cs="Times New Roman"/>
          <w:bCs/>
          <w:color w:val="000000"/>
          <w:sz w:val="24"/>
          <w:szCs w:val="24"/>
        </w:rPr>
        <w:t>; Sensitivity=</w:t>
      </w:r>
      <w:r>
        <w:rPr>
          <w:rFonts w:ascii="Times New Roman" w:hAnsi="Times New Roman" w:cs="Times New Roman"/>
          <w:bCs/>
          <w:color w:val="000000"/>
          <w:sz w:val="24"/>
          <w:szCs w:val="24"/>
        </w:rPr>
        <w:t>69,2</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Specificity=</w:t>
      </w:r>
      <w:r>
        <w:rPr>
          <w:rFonts w:ascii="Times New Roman" w:hAnsi="Times New Roman" w:cs="Times New Roman"/>
          <w:bCs/>
          <w:color w:val="000000"/>
          <w:sz w:val="24"/>
          <w:szCs w:val="24"/>
        </w:rPr>
        <w:t>29,3</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б)</w:t>
      </w:r>
      <w:r w:rsidRPr="00E72A21">
        <w:rPr>
          <w:rFonts w:ascii="Times New Roman" w:hAnsi="Times New Roman" w:cs="Times New Roman"/>
          <w:color w:val="000000"/>
          <w:sz w:val="24"/>
          <w:szCs w:val="24"/>
        </w:rPr>
        <w:t xml:space="preserve"> </w:t>
      </w:r>
      <w:r w:rsidRPr="00E72A21">
        <w:rPr>
          <w:rFonts w:ascii="Times New Roman" w:hAnsi="Times New Roman" w:cs="Times New Roman"/>
          <w:color w:val="000000"/>
          <w:sz w:val="24"/>
          <w:szCs w:val="24"/>
          <w:lang w:val="en-US"/>
        </w:rPr>
        <w:t>IL</w:t>
      </w:r>
      <w:r w:rsidRPr="00A926CA">
        <w:rPr>
          <w:rFonts w:ascii="Times New Roman" w:hAnsi="Times New Roman" w:cs="Times New Roman"/>
          <w:color w:val="000000"/>
          <w:sz w:val="24"/>
          <w:szCs w:val="24"/>
          <w:lang w:val="ru-RU"/>
        </w:rPr>
        <w:t>-33 во</w:t>
      </w:r>
      <w:r w:rsidRPr="00E72A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салива</w:t>
      </w:r>
      <w:r w:rsidRPr="00E72A21">
        <w:rPr>
          <w:rFonts w:ascii="Times New Roman" w:hAnsi="Times New Roman" w:cs="Times New Roman"/>
          <w:color w:val="000000"/>
          <w:sz w:val="24"/>
          <w:szCs w:val="24"/>
        </w:rPr>
        <w:t xml:space="preserve"> укажа на </w:t>
      </w:r>
      <w:r>
        <w:rPr>
          <w:rFonts w:ascii="Times New Roman" w:hAnsi="Times New Roman" w:cs="Times New Roman"/>
          <w:color w:val="000000"/>
          <w:sz w:val="24"/>
          <w:szCs w:val="24"/>
        </w:rPr>
        <w:t xml:space="preserve">слабо ефикасна </w:t>
      </w:r>
      <w:r w:rsidRPr="00CD0937">
        <w:rPr>
          <w:rFonts w:ascii="Times New Roman" w:hAnsi="Times New Roman"/>
          <w:sz w:val="24"/>
          <w:szCs w:val="24"/>
        </w:rPr>
        <w:t>AUC</w:t>
      </w:r>
      <w:r>
        <w:rPr>
          <w:rFonts w:ascii="Times New Roman" w:hAnsi="Times New Roman" w:cs="Times New Roman"/>
          <w:bCs/>
          <w:color w:val="000000"/>
          <w:sz w:val="24"/>
          <w:szCs w:val="24"/>
        </w:rPr>
        <w:t>=0,502</w:t>
      </w:r>
      <w:r w:rsidRPr="00A926CA">
        <w:rPr>
          <w:rFonts w:ascii="Times New Roman" w:hAnsi="Times New Roman" w:cs="Times New Roman"/>
          <w:bCs/>
          <w:color w:val="000000"/>
          <w:sz w:val="24"/>
          <w:szCs w:val="24"/>
          <w:lang w:val="ru-RU"/>
        </w:rPr>
        <w:t xml:space="preserve">; </w:t>
      </w:r>
      <w:r w:rsidRPr="00E60157">
        <w:rPr>
          <w:rFonts w:ascii="Times New Roman" w:hAnsi="Times New Roman"/>
          <w:color w:val="000000"/>
          <w:sz w:val="24"/>
          <w:szCs w:val="24"/>
        </w:rPr>
        <w:t>p=</w:t>
      </w:r>
      <w:r w:rsidRPr="00E60157">
        <w:rPr>
          <w:rFonts w:ascii="Times New Roman" w:hAnsi="Times New Roman" w:cs="Times New Roman"/>
          <w:color w:val="000000"/>
          <w:sz w:val="24"/>
          <w:szCs w:val="24"/>
          <w:lang w:eastAsia="mk-MK"/>
        </w:rPr>
        <w:t>0,</w:t>
      </w:r>
      <w:r>
        <w:rPr>
          <w:rFonts w:ascii="Times New Roman" w:hAnsi="Times New Roman" w:cs="Times New Roman"/>
          <w:color w:val="000000"/>
          <w:sz w:val="24"/>
          <w:szCs w:val="24"/>
          <w:lang w:eastAsia="mk-MK"/>
        </w:rPr>
        <w:t>982</w:t>
      </w:r>
      <w:r>
        <w:rPr>
          <w:rFonts w:ascii="Times New Roman" w:hAnsi="Times New Roman" w:cs="Times New Roman"/>
          <w:bCs/>
          <w:color w:val="000000"/>
          <w:sz w:val="24"/>
          <w:szCs w:val="24"/>
        </w:rPr>
        <w:t xml:space="preserve">, </w:t>
      </w:r>
      <w:r w:rsidRPr="00E72A21">
        <w:rPr>
          <w:rFonts w:ascii="Times New Roman" w:hAnsi="Times New Roman" w:cs="Times New Roman"/>
          <w:bCs/>
          <w:color w:val="000000"/>
          <w:sz w:val="24"/>
          <w:szCs w:val="24"/>
        </w:rPr>
        <w:t>Cut off вредност=4,</w:t>
      </w:r>
      <w:r>
        <w:rPr>
          <w:rFonts w:ascii="Times New Roman" w:hAnsi="Times New Roman" w:cs="Times New Roman"/>
          <w:bCs/>
          <w:color w:val="000000"/>
          <w:sz w:val="24"/>
          <w:szCs w:val="24"/>
        </w:rPr>
        <w:t>718</w:t>
      </w:r>
      <w:r w:rsidR="007F3B83" w:rsidRPr="00A926CA">
        <w:rPr>
          <w:rFonts w:ascii="Times New Roman" w:hAnsi="Times New Roman" w:cs="Times New Roman"/>
          <w:bCs/>
          <w:color w:val="000000"/>
          <w:sz w:val="24"/>
          <w:szCs w:val="24"/>
          <w:lang w:val="ru-RU"/>
        </w:rPr>
        <w:t xml:space="preserve"> </w:t>
      </w:r>
      <w:r w:rsidRPr="005B6712">
        <w:rPr>
          <w:rFonts w:ascii="Times New Roman" w:hAnsi="Times New Roman" w:cs="Times New Roman"/>
          <w:color w:val="000000"/>
          <w:sz w:val="24"/>
          <w:szCs w:val="24"/>
          <w:lang w:val="en-US"/>
        </w:rPr>
        <w:t>pg</w:t>
      </w:r>
      <w:r w:rsidRPr="00A926CA">
        <w:rPr>
          <w:rFonts w:ascii="Times New Roman" w:hAnsi="Times New Roman" w:cs="Times New Roman"/>
          <w:color w:val="000000"/>
          <w:sz w:val="24"/>
          <w:szCs w:val="24"/>
          <w:lang w:val="ru-RU"/>
        </w:rPr>
        <w:t>/</w:t>
      </w:r>
      <w:r w:rsidRPr="005B6712">
        <w:rPr>
          <w:rFonts w:ascii="Times New Roman" w:hAnsi="Times New Roman" w:cs="Times New Roman"/>
          <w:color w:val="000000"/>
          <w:sz w:val="24"/>
          <w:szCs w:val="24"/>
          <w:lang w:val="en-US"/>
        </w:rPr>
        <w:t>mL</w:t>
      </w:r>
      <w:r w:rsidRPr="00E72A21">
        <w:rPr>
          <w:rFonts w:ascii="Times New Roman" w:hAnsi="Times New Roman" w:cs="Times New Roman"/>
          <w:bCs/>
          <w:color w:val="000000"/>
          <w:sz w:val="24"/>
          <w:szCs w:val="24"/>
        </w:rPr>
        <w:t>; Sensitivity=</w:t>
      </w:r>
      <w:r>
        <w:rPr>
          <w:rFonts w:ascii="Times New Roman" w:hAnsi="Times New Roman" w:cs="Times New Roman"/>
          <w:bCs/>
          <w:color w:val="000000"/>
          <w:sz w:val="24"/>
          <w:szCs w:val="24"/>
        </w:rPr>
        <w:t>69,2%</w:t>
      </w:r>
      <w:r w:rsidRPr="00E72A21">
        <w:rPr>
          <w:rFonts w:ascii="Times New Roman" w:hAnsi="Times New Roman" w:cs="Times New Roman"/>
          <w:bCs/>
          <w:color w:val="000000"/>
          <w:sz w:val="24"/>
          <w:szCs w:val="24"/>
        </w:rPr>
        <w:t>; Specificity=</w:t>
      </w:r>
      <w:r>
        <w:rPr>
          <w:rFonts w:ascii="Times New Roman" w:hAnsi="Times New Roman" w:cs="Times New Roman"/>
          <w:bCs/>
          <w:color w:val="000000"/>
          <w:sz w:val="24"/>
          <w:szCs w:val="24"/>
        </w:rPr>
        <w:t>34,5</w:t>
      </w:r>
      <w:r w:rsidRPr="00E72A21">
        <w:rPr>
          <w:rFonts w:ascii="Times New Roman" w:hAnsi="Times New Roman" w:cs="Times New Roman"/>
          <w:bCs/>
          <w:color w:val="000000"/>
          <w:sz w:val="24"/>
          <w:szCs w:val="24"/>
        </w:rPr>
        <w:t>%</w:t>
      </w:r>
      <w:r w:rsidRPr="00E72A21">
        <w:rPr>
          <w:rFonts w:ascii="Times New Roman" w:hAnsi="Times New Roman" w:cs="Times New Roman"/>
          <w:color w:val="000000"/>
          <w:sz w:val="24"/>
          <w:szCs w:val="24"/>
        </w:rPr>
        <w:t xml:space="preserve"> </w:t>
      </w:r>
      <w:r w:rsidRPr="00E72A2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Табела 15 и </w:t>
      </w:r>
      <w:r w:rsidRPr="00E72A21">
        <w:rPr>
          <w:rFonts w:ascii="Times New Roman" w:hAnsi="Times New Roman" w:cs="Times New Roman"/>
          <w:bCs/>
          <w:color w:val="000000"/>
          <w:sz w:val="24"/>
          <w:szCs w:val="24"/>
        </w:rPr>
        <w:t xml:space="preserve">График </w:t>
      </w:r>
      <w:r>
        <w:rPr>
          <w:rFonts w:ascii="Times New Roman" w:hAnsi="Times New Roman" w:cs="Times New Roman"/>
          <w:bCs/>
          <w:color w:val="000000"/>
          <w:sz w:val="24"/>
          <w:szCs w:val="24"/>
        </w:rPr>
        <w:t>30)</w:t>
      </w:r>
      <w:r w:rsidRPr="00E72A21">
        <w:rPr>
          <w:rFonts w:ascii="Times New Roman" w:hAnsi="Times New Roman" w:cs="Times New Roman"/>
          <w:bCs/>
          <w:color w:val="000000"/>
          <w:sz w:val="24"/>
          <w:szCs w:val="24"/>
        </w:rPr>
        <w:t>.</w:t>
      </w:r>
    </w:p>
    <w:p w:rsidR="00CF679C" w:rsidRPr="00A926CA" w:rsidRDefault="00CF679C" w:rsidP="00EB5078">
      <w:pPr>
        <w:autoSpaceDE w:val="0"/>
        <w:autoSpaceDN w:val="0"/>
        <w:adjustRightInd w:val="0"/>
        <w:rPr>
          <w:rFonts w:ascii="Times New Roman" w:hAnsi="Times New Roman" w:cs="Times New Roman"/>
          <w:sz w:val="24"/>
          <w:szCs w:val="24"/>
          <w:lang w:val="ru-RU" w:eastAsia="mk-MK"/>
        </w:rPr>
      </w:pPr>
    </w:p>
    <w:p w:rsidR="007F3B83" w:rsidRPr="00A926CA" w:rsidRDefault="007F3B83" w:rsidP="00F627BF">
      <w:pPr>
        <w:spacing w:after="480" w:line="360" w:lineRule="auto"/>
        <w:jc w:val="both"/>
        <w:rPr>
          <w:rFonts w:ascii="Times New Roman" w:hAnsi="Times New Roman" w:cs="Times New Roman"/>
          <w:sz w:val="24"/>
          <w:szCs w:val="24"/>
          <w:lang w:val="ru-RU" w:eastAsia="mk-MK"/>
        </w:rPr>
      </w:pPr>
    </w:p>
    <w:p w:rsidR="007868F9" w:rsidRDefault="007F3B83" w:rsidP="00F627BF">
      <w:pPr>
        <w:spacing w:after="480" w:line="360" w:lineRule="auto"/>
        <w:jc w:val="both"/>
        <w:rPr>
          <w:rFonts w:ascii="Times New Roman" w:hAnsi="Times New Roman" w:cs="Times New Roman"/>
          <w:sz w:val="24"/>
          <w:szCs w:val="24"/>
          <w:lang w:val="ru-RU" w:eastAsia="mk-MK"/>
        </w:rPr>
      </w:pPr>
      <w:r w:rsidRPr="00A926CA">
        <w:rPr>
          <w:rFonts w:ascii="Times New Roman" w:hAnsi="Times New Roman" w:cs="Times New Roman"/>
          <w:sz w:val="24"/>
          <w:szCs w:val="24"/>
          <w:lang w:val="ru-RU" w:eastAsia="mk-MK"/>
        </w:rPr>
        <w:br w:type="page"/>
      </w:r>
    </w:p>
    <w:p w:rsidR="007868F9" w:rsidRDefault="007868F9" w:rsidP="007868F9">
      <w:pPr>
        <w:spacing w:after="480"/>
        <w:jc w:val="both"/>
        <w:rPr>
          <w:rFonts w:ascii="Times New Roman" w:hAnsi="Times New Roman" w:cs="Times New Roman"/>
          <w:sz w:val="24"/>
          <w:szCs w:val="24"/>
          <w:lang w:val="ru-RU" w:eastAsia="mk-MK"/>
        </w:rPr>
      </w:pPr>
    </w:p>
    <w:p w:rsidR="00E12987" w:rsidRPr="00AB1D09" w:rsidRDefault="00823B44" w:rsidP="007868F9">
      <w:pPr>
        <w:spacing w:after="480"/>
        <w:jc w:val="both"/>
        <w:rPr>
          <w:rFonts w:ascii="Times New Roman" w:hAnsi="Times New Roman" w:cs="Times New Roman"/>
          <w:b/>
          <w:sz w:val="24"/>
          <w:szCs w:val="24"/>
        </w:rPr>
      </w:pPr>
      <w:r>
        <w:rPr>
          <w:rFonts w:ascii="Times New Roman" w:hAnsi="Times New Roman" w:cs="Times New Roman"/>
          <w:b/>
          <w:sz w:val="24"/>
          <w:szCs w:val="24"/>
        </w:rPr>
        <w:t>8</w:t>
      </w:r>
      <w:r w:rsidR="00E12987" w:rsidRPr="00A926CA">
        <w:rPr>
          <w:rFonts w:ascii="Times New Roman" w:hAnsi="Times New Roman" w:cs="Times New Roman"/>
          <w:b/>
          <w:sz w:val="24"/>
          <w:szCs w:val="24"/>
          <w:lang w:val="ru-RU"/>
        </w:rPr>
        <w:t xml:space="preserve">. </w:t>
      </w:r>
      <w:r w:rsidR="00E12987" w:rsidRPr="00AB1D09">
        <w:rPr>
          <w:rFonts w:ascii="Times New Roman" w:hAnsi="Times New Roman" w:cs="Times New Roman"/>
          <w:b/>
          <w:sz w:val="24"/>
          <w:szCs w:val="24"/>
        </w:rPr>
        <w:t>ДИСКУСИЈА</w:t>
      </w:r>
    </w:p>
    <w:p w:rsidR="004965AE" w:rsidRPr="00A3228B" w:rsidRDefault="004965AE" w:rsidP="007868F9">
      <w:pPr>
        <w:rPr>
          <w:rFonts w:ascii="Times New Roman" w:hAnsi="Times New Roman" w:cs="Times New Roman"/>
          <w:sz w:val="24"/>
          <w:szCs w:val="24"/>
          <w:lang w:val="de-DE"/>
        </w:rPr>
      </w:pPr>
      <w:r w:rsidRPr="00A3228B">
        <w:rPr>
          <w:rFonts w:ascii="Times New Roman" w:hAnsi="Times New Roman" w:cs="Times New Roman"/>
          <w:sz w:val="24"/>
          <w:szCs w:val="24"/>
        </w:rPr>
        <w:t>По нивното откривање во седумдесеттите години на минатиот век, се сметало дека Интерлеукините се протеини кои што имаат улога само во интерцелуларната комуникација меѓу леукоцитите, по што го добиле и името. Денешните сознанија им препишуваат мноштво улоги на овие цитокини, вкупно 38, а поделени во фамилии според хомологијата на секвенците, рецепторите за кои се врзуваат и функционалните кара</w:t>
      </w:r>
      <w:r w:rsidR="00831268">
        <w:rPr>
          <w:rFonts w:ascii="Times New Roman" w:hAnsi="Times New Roman" w:cs="Times New Roman"/>
          <w:sz w:val="24"/>
          <w:szCs w:val="24"/>
        </w:rPr>
        <w:t>ктеристики (422</w:t>
      </w:r>
      <w:r w:rsidRPr="00A3228B">
        <w:rPr>
          <w:rFonts w:ascii="Times New Roman" w:hAnsi="Times New Roman" w:cs="Times New Roman"/>
          <w:sz w:val="24"/>
          <w:szCs w:val="24"/>
        </w:rPr>
        <w:t>).</w:t>
      </w:r>
    </w:p>
    <w:p w:rsidR="004965AE" w:rsidRDefault="004965AE" w:rsidP="007868F9">
      <w:pPr>
        <w:rPr>
          <w:rFonts w:ascii="Times New Roman" w:hAnsi="Times New Roman" w:cs="Times New Roman"/>
          <w:sz w:val="24"/>
          <w:szCs w:val="24"/>
        </w:rPr>
      </w:pPr>
      <w:r w:rsidRPr="00A3228B">
        <w:rPr>
          <w:rFonts w:ascii="Times New Roman" w:hAnsi="Times New Roman" w:cs="Times New Roman"/>
          <w:sz w:val="24"/>
          <w:szCs w:val="24"/>
        </w:rPr>
        <w:t xml:space="preserve">Помеѓу  интерлеукините потврдено влијание во прогресија на малигни неоплазми воопшто, имаат </w:t>
      </w:r>
      <w:r w:rsidRPr="00A3228B">
        <w:rPr>
          <w:rFonts w:ascii="Times New Roman" w:hAnsi="Times New Roman" w:cs="Times New Roman"/>
          <w:sz w:val="24"/>
          <w:szCs w:val="24"/>
          <w:lang w:val="de-DE"/>
        </w:rPr>
        <w:t xml:space="preserve"> IL-1, IL-4, IL-6, </w:t>
      </w:r>
      <w:r w:rsidRPr="00A3228B">
        <w:rPr>
          <w:rFonts w:ascii="Times New Roman" w:hAnsi="Times New Roman" w:cs="Times New Roman"/>
          <w:sz w:val="24"/>
          <w:szCs w:val="24"/>
        </w:rPr>
        <w:t xml:space="preserve">додека </w:t>
      </w:r>
      <w:r w:rsidRPr="00A3228B">
        <w:rPr>
          <w:rFonts w:ascii="Times New Roman" w:hAnsi="Times New Roman" w:cs="Times New Roman"/>
          <w:sz w:val="24"/>
          <w:szCs w:val="24"/>
          <w:lang w:val="de-DE"/>
        </w:rPr>
        <w:t xml:space="preserve">IL-2 </w:t>
      </w:r>
      <w:r w:rsidRPr="00A3228B">
        <w:rPr>
          <w:rFonts w:ascii="Times New Roman" w:hAnsi="Times New Roman" w:cs="Times New Roman"/>
          <w:sz w:val="24"/>
          <w:szCs w:val="24"/>
        </w:rPr>
        <w:t xml:space="preserve">е најексплоатиран интерлеукин во борбата против истите </w:t>
      </w:r>
      <w:r w:rsidRPr="00A3228B">
        <w:rPr>
          <w:rFonts w:ascii="Times New Roman" w:hAnsi="Times New Roman" w:cs="Times New Roman"/>
          <w:sz w:val="24"/>
          <w:szCs w:val="24"/>
          <w:lang w:val="de-DE"/>
        </w:rPr>
        <w:t>(</w:t>
      </w:r>
      <w:r w:rsidR="00831268">
        <w:rPr>
          <w:rFonts w:ascii="Times New Roman" w:hAnsi="Times New Roman" w:cs="Times New Roman"/>
          <w:sz w:val="24"/>
          <w:szCs w:val="24"/>
        </w:rPr>
        <w:t>423</w:t>
      </w:r>
      <w:r w:rsidRPr="00A3228B">
        <w:rPr>
          <w:rFonts w:ascii="Times New Roman" w:hAnsi="Times New Roman" w:cs="Times New Roman"/>
          <w:sz w:val="24"/>
          <w:szCs w:val="24"/>
          <w:lang w:val="de-DE"/>
        </w:rPr>
        <w:t xml:space="preserve">). </w:t>
      </w:r>
      <w:bookmarkStart w:id="1" w:name="_Hlk60001212"/>
    </w:p>
    <w:p w:rsidR="00F77D79" w:rsidRDefault="00F77D79" w:rsidP="007868F9">
      <w:pPr>
        <w:rPr>
          <w:rFonts w:ascii="Times New Roman" w:hAnsi="Times New Roman" w:cs="Times New Roman"/>
          <w:b/>
          <w:sz w:val="24"/>
          <w:szCs w:val="24"/>
        </w:rPr>
      </w:pPr>
    </w:p>
    <w:p w:rsidR="007868F9" w:rsidRDefault="007868F9" w:rsidP="007868F9">
      <w:pPr>
        <w:rPr>
          <w:rFonts w:ascii="Times New Roman" w:hAnsi="Times New Roman" w:cs="Times New Roman"/>
          <w:b/>
          <w:sz w:val="24"/>
          <w:szCs w:val="24"/>
        </w:rPr>
      </w:pPr>
    </w:p>
    <w:p w:rsidR="00F77D79" w:rsidRPr="00F77D79" w:rsidRDefault="007868F9" w:rsidP="007868F9">
      <w:pPr>
        <w:rPr>
          <w:rFonts w:ascii="Times New Roman" w:hAnsi="Times New Roman" w:cs="Times New Roman"/>
          <w:b/>
          <w:sz w:val="24"/>
          <w:szCs w:val="24"/>
        </w:rPr>
      </w:pPr>
      <w:r>
        <w:rPr>
          <w:rFonts w:ascii="Times New Roman" w:hAnsi="Times New Roman" w:cs="Times New Roman"/>
          <w:b/>
          <w:sz w:val="24"/>
          <w:szCs w:val="24"/>
        </w:rPr>
        <w:t>8</w:t>
      </w:r>
      <w:r w:rsidR="00FB53D0">
        <w:rPr>
          <w:rFonts w:ascii="Times New Roman" w:hAnsi="Times New Roman" w:cs="Times New Roman"/>
          <w:b/>
          <w:sz w:val="24"/>
          <w:szCs w:val="24"/>
        </w:rPr>
        <w:t xml:space="preserve">.1 </w:t>
      </w:r>
      <w:r w:rsidR="00F77D79" w:rsidRPr="00F77D79">
        <w:rPr>
          <w:rFonts w:ascii="Times New Roman" w:hAnsi="Times New Roman" w:cs="Times New Roman"/>
          <w:b/>
          <w:sz w:val="24"/>
          <w:szCs w:val="24"/>
        </w:rPr>
        <w:t xml:space="preserve">ИНТЕРЛЕУКИНИ –ПАТОЛОГИЈА НА ПАРОТИДНИ (САЛИВАРНИ ЖЛЕЗДИ) </w:t>
      </w:r>
    </w:p>
    <w:p w:rsidR="004965AE" w:rsidRPr="00A3228B" w:rsidRDefault="004965AE" w:rsidP="007868F9">
      <w:pPr>
        <w:shd w:val="clear" w:color="auto" w:fill="FFFFFF"/>
        <w:rPr>
          <w:rFonts w:ascii="Times New Roman" w:hAnsi="Times New Roman" w:cs="Times New Roman"/>
          <w:color w:val="5B616B"/>
          <w:sz w:val="24"/>
          <w:szCs w:val="24"/>
        </w:rPr>
      </w:pPr>
    </w:p>
    <w:p w:rsidR="004965AE" w:rsidRPr="00894BA3" w:rsidRDefault="00BA7675" w:rsidP="007868F9">
      <w:pPr>
        <w:shd w:val="clear" w:color="auto" w:fill="FFFFFF"/>
        <w:rPr>
          <w:rFonts w:ascii="Times New Roman" w:hAnsi="Times New Roman" w:cs="Times New Roman"/>
          <w:b/>
          <w:sz w:val="24"/>
          <w:szCs w:val="24"/>
          <w:lang w:val="de-DE"/>
        </w:rPr>
      </w:pPr>
      <w:r w:rsidRPr="00894BA3">
        <w:rPr>
          <w:rFonts w:ascii="Times New Roman" w:hAnsi="Times New Roman" w:cs="Times New Roman"/>
          <w:b/>
          <w:color w:val="000000"/>
          <w:sz w:val="24"/>
          <w:szCs w:val="24"/>
        </w:rPr>
        <w:t>IL-17</w:t>
      </w:r>
      <w:r w:rsidR="004965AE" w:rsidRPr="00894BA3">
        <w:rPr>
          <w:rFonts w:ascii="Times New Roman" w:hAnsi="Times New Roman" w:cs="Times New Roman"/>
          <w:b/>
          <w:sz w:val="24"/>
          <w:szCs w:val="24"/>
          <w:lang w:val="de-DE"/>
        </w:rPr>
        <w:t xml:space="preserve"> </w:t>
      </w:r>
    </w:p>
    <w:p w:rsidR="007868F9" w:rsidRDefault="007868F9" w:rsidP="007868F9">
      <w:pPr>
        <w:shd w:val="clear" w:color="auto" w:fill="FFFFFF"/>
        <w:spacing w:after="107"/>
        <w:textAlignment w:val="baseline"/>
        <w:rPr>
          <w:rFonts w:ascii="Times New Roman" w:hAnsi="Times New Roman" w:cs="Times New Roman"/>
          <w:color w:val="000000"/>
          <w:sz w:val="24"/>
          <w:szCs w:val="24"/>
        </w:rPr>
      </w:pPr>
    </w:p>
    <w:p w:rsidR="004965AE" w:rsidRPr="00A3228B" w:rsidRDefault="004965AE" w:rsidP="007868F9">
      <w:pPr>
        <w:shd w:val="clear" w:color="auto" w:fill="FFFFFF"/>
        <w:spacing w:after="107"/>
        <w:textAlignment w:val="baseline"/>
        <w:rPr>
          <w:rFonts w:ascii="Times New Roman" w:hAnsi="Times New Roman" w:cs="Times New Roman"/>
          <w:color w:val="000000"/>
          <w:sz w:val="24"/>
          <w:szCs w:val="24"/>
        </w:rPr>
      </w:pPr>
      <w:r w:rsidRPr="00A3228B">
        <w:rPr>
          <w:rFonts w:ascii="Times New Roman" w:hAnsi="Times New Roman" w:cs="Times New Roman"/>
          <w:color w:val="000000"/>
          <w:sz w:val="24"/>
          <w:szCs w:val="24"/>
        </w:rPr>
        <w:t>CD4</w:t>
      </w:r>
      <w:r w:rsidRPr="00A3228B">
        <w:rPr>
          <w:rFonts w:ascii="Times New Roman" w:hAnsi="Times New Roman" w:cs="Times New Roman"/>
          <w:color w:val="000000"/>
          <w:sz w:val="24"/>
          <w:szCs w:val="24"/>
          <w:bdr w:val="none" w:sz="0" w:space="0" w:color="auto" w:frame="1"/>
          <w:vertAlign w:val="superscript"/>
        </w:rPr>
        <w:t>+</w:t>
      </w:r>
      <w:r w:rsidRPr="00A3228B">
        <w:rPr>
          <w:rFonts w:ascii="Times New Roman" w:hAnsi="Times New Roman" w:cs="Times New Roman"/>
          <w:color w:val="000000"/>
          <w:sz w:val="24"/>
          <w:szCs w:val="24"/>
        </w:rPr>
        <w:t> T клетките кои продуцираат IL-17, а се нарекуваат Th17 клетки, се разликуваат од про-инфламаторните Th клетки и имаат клучна улога во автоимуните заболувања (</w:t>
      </w:r>
      <w:r w:rsidR="00831268">
        <w:rPr>
          <w:rFonts w:ascii="Times New Roman" w:hAnsi="Times New Roman" w:cs="Times New Roman"/>
          <w:sz w:val="24"/>
          <w:szCs w:val="24"/>
        </w:rPr>
        <w:t>424</w:t>
      </w:r>
      <w:r w:rsidRPr="00A3228B">
        <w:rPr>
          <w:rFonts w:ascii="Times New Roman" w:hAnsi="Times New Roman" w:cs="Times New Roman"/>
          <w:sz w:val="24"/>
          <w:szCs w:val="24"/>
        </w:rPr>
        <w:t>,42</w:t>
      </w:r>
      <w:r w:rsidR="00831268">
        <w:rPr>
          <w:rFonts w:ascii="Times New Roman" w:hAnsi="Times New Roman" w:cs="Times New Roman"/>
          <w:sz w:val="24"/>
          <w:szCs w:val="24"/>
        </w:rPr>
        <w:t>5</w:t>
      </w:r>
      <w:r w:rsidRPr="00A3228B">
        <w:rPr>
          <w:rFonts w:ascii="Times New Roman" w:hAnsi="Times New Roman" w:cs="Times New Roman"/>
          <w:color w:val="000000"/>
          <w:sz w:val="24"/>
          <w:szCs w:val="24"/>
        </w:rPr>
        <w:t>).  </w:t>
      </w:r>
    </w:p>
    <w:p w:rsidR="004965AE" w:rsidRPr="00A3228B" w:rsidRDefault="004965AE" w:rsidP="007868F9">
      <w:pPr>
        <w:shd w:val="clear" w:color="auto" w:fill="FFFFFF"/>
        <w:textAlignment w:val="baseline"/>
        <w:rPr>
          <w:rFonts w:ascii="Times New Roman" w:hAnsi="Times New Roman" w:cs="Times New Roman"/>
          <w:color w:val="000000"/>
          <w:sz w:val="24"/>
          <w:szCs w:val="24"/>
        </w:rPr>
      </w:pPr>
      <w:r w:rsidRPr="00A3228B">
        <w:rPr>
          <w:rFonts w:ascii="Times New Roman" w:hAnsi="Times New Roman" w:cs="Times New Roman"/>
          <w:color w:val="000000"/>
          <w:sz w:val="24"/>
          <w:szCs w:val="24"/>
        </w:rPr>
        <w:t>Диференцијацијата на т.н. naive T клетки во Th17 и регулаторни T клетки (имуносупресивни Т клетки), е индуцирана од страна на TGF-β (</w:t>
      </w:r>
      <w:r w:rsidR="00831268">
        <w:rPr>
          <w:rFonts w:ascii="Times New Roman" w:hAnsi="Times New Roman" w:cs="Times New Roman"/>
          <w:sz w:val="24"/>
          <w:szCs w:val="24"/>
        </w:rPr>
        <w:t>426</w:t>
      </w:r>
      <w:r w:rsidRPr="00A3228B">
        <w:rPr>
          <w:rFonts w:ascii="Times New Roman" w:hAnsi="Times New Roman" w:cs="Times New Roman"/>
          <w:sz w:val="24"/>
          <w:szCs w:val="24"/>
        </w:rPr>
        <w:t>,42</w:t>
      </w:r>
      <w:r w:rsidR="00831268">
        <w:rPr>
          <w:rFonts w:ascii="Times New Roman" w:hAnsi="Times New Roman" w:cs="Times New Roman"/>
          <w:sz w:val="24"/>
          <w:szCs w:val="24"/>
        </w:rPr>
        <w:t>7</w:t>
      </w:r>
      <w:r w:rsidRPr="00A3228B">
        <w:rPr>
          <w:rFonts w:ascii="Times New Roman" w:hAnsi="Times New Roman" w:cs="Times New Roman"/>
          <w:color w:val="000000"/>
          <w:sz w:val="24"/>
          <w:szCs w:val="24"/>
        </w:rPr>
        <w:t xml:space="preserve">), </w:t>
      </w:r>
    </w:p>
    <w:p w:rsidR="004965AE" w:rsidRPr="00A3228B" w:rsidRDefault="004965AE" w:rsidP="007868F9">
      <w:pPr>
        <w:shd w:val="clear" w:color="auto" w:fill="FFFFFF"/>
        <w:textAlignment w:val="baseline"/>
        <w:rPr>
          <w:rFonts w:ascii="Times New Roman" w:hAnsi="Times New Roman" w:cs="Times New Roman"/>
          <w:color w:val="000000"/>
          <w:sz w:val="24"/>
          <w:szCs w:val="24"/>
        </w:rPr>
      </w:pPr>
      <w:r w:rsidRPr="00A3228B">
        <w:rPr>
          <w:rFonts w:ascii="Times New Roman" w:hAnsi="Times New Roman" w:cs="Times New Roman"/>
          <w:color w:val="000000"/>
          <w:sz w:val="24"/>
          <w:szCs w:val="24"/>
        </w:rPr>
        <w:t>додека IL-6 и IL-2 дополнително го акцелерираат нивното создавање (</w:t>
      </w:r>
      <w:r w:rsidR="00831268">
        <w:rPr>
          <w:rFonts w:ascii="Times New Roman" w:hAnsi="Times New Roman" w:cs="Times New Roman"/>
          <w:sz w:val="24"/>
          <w:szCs w:val="24"/>
        </w:rPr>
        <w:t>428</w:t>
      </w:r>
      <w:r w:rsidRPr="00A3228B">
        <w:rPr>
          <w:rFonts w:ascii="Times New Roman" w:hAnsi="Times New Roman" w:cs="Times New Roman"/>
          <w:sz w:val="24"/>
          <w:szCs w:val="24"/>
        </w:rPr>
        <w:t>,4</w:t>
      </w:r>
      <w:r w:rsidR="00831268">
        <w:rPr>
          <w:rFonts w:ascii="Times New Roman" w:hAnsi="Times New Roman" w:cs="Times New Roman"/>
          <w:sz w:val="24"/>
          <w:szCs w:val="24"/>
        </w:rPr>
        <w:t>29</w:t>
      </w:r>
      <w:r w:rsidRPr="00A3228B">
        <w:rPr>
          <w:rFonts w:ascii="Times New Roman" w:hAnsi="Times New Roman" w:cs="Times New Roman"/>
          <w:color w:val="000000"/>
          <w:sz w:val="24"/>
          <w:szCs w:val="24"/>
        </w:rPr>
        <w:t xml:space="preserve">). </w:t>
      </w:r>
      <w:r w:rsidRPr="00A3228B">
        <w:rPr>
          <w:rFonts w:ascii="Times New Roman" w:hAnsi="Times New Roman" w:cs="Times New Roman"/>
          <w:sz w:val="24"/>
          <w:szCs w:val="24"/>
        </w:rPr>
        <w:t>Th17 клетките се главни медијатори на патогенезата на некои автоимун</w:t>
      </w:r>
      <w:r w:rsidR="00831268">
        <w:rPr>
          <w:rFonts w:ascii="Times New Roman" w:hAnsi="Times New Roman" w:cs="Times New Roman"/>
          <w:sz w:val="24"/>
          <w:szCs w:val="24"/>
        </w:rPr>
        <w:t>и и инфламаторни заболувања (430</w:t>
      </w:r>
      <w:r w:rsidRPr="00A3228B">
        <w:rPr>
          <w:rFonts w:ascii="Times New Roman" w:hAnsi="Times New Roman" w:cs="Times New Roman"/>
          <w:sz w:val="24"/>
          <w:szCs w:val="24"/>
        </w:rPr>
        <w:t>).</w:t>
      </w:r>
    </w:p>
    <w:p w:rsidR="004965AE" w:rsidRPr="00A3228B" w:rsidRDefault="004965AE" w:rsidP="007868F9">
      <w:pPr>
        <w:rPr>
          <w:rFonts w:ascii="Times New Roman" w:hAnsi="Times New Roman" w:cs="Times New Roman"/>
          <w:sz w:val="24"/>
          <w:szCs w:val="24"/>
        </w:rPr>
      </w:pPr>
      <w:r w:rsidRPr="00A3228B">
        <w:rPr>
          <w:rFonts w:ascii="Times New Roman" w:hAnsi="Times New Roman" w:cs="Times New Roman"/>
          <w:sz w:val="24"/>
          <w:szCs w:val="24"/>
        </w:rPr>
        <w:t xml:space="preserve">Th17 клетките имаат улога во имунолошкиот одговор кој не е својствен за </w:t>
      </w:r>
      <w:r w:rsidRPr="00A3228B">
        <w:rPr>
          <w:rFonts w:ascii="Times New Roman" w:hAnsi="Times New Roman" w:cs="Times New Roman"/>
          <w:sz w:val="24"/>
          <w:szCs w:val="24"/>
          <w:lang w:val="de-DE"/>
        </w:rPr>
        <w:t>Th1</w:t>
      </w:r>
      <w:r w:rsidRPr="00A3228B">
        <w:rPr>
          <w:rFonts w:ascii="Times New Roman" w:hAnsi="Times New Roman" w:cs="Times New Roman"/>
          <w:sz w:val="24"/>
          <w:szCs w:val="24"/>
        </w:rPr>
        <w:t xml:space="preserve"> и </w:t>
      </w:r>
      <w:r w:rsidRPr="00A3228B">
        <w:rPr>
          <w:rFonts w:ascii="Times New Roman" w:hAnsi="Times New Roman" w:cs="Times New Roman"/>
          <w:sz w:val="24"/>
          <w:szCs w:val="24"/>
          <w:lang w:val="de-DE"/>
        </w:rPr>
        <w:t xml:space="preserve">Th2 </w:t>
      </w:r>
      <w:r w:rsidRPr="00A3228B">
        <w:rPr>
          <w:rFonts w:ascii="Times New Roman" w:hAnsi="Times New Roman" w:cs="Times New Roman"/>
          <w:sz w:val="24"/>
          <w:szCs w:val="24"/>
        </w:rPr>
        <w:t xml:space="preserve">клетките, односно учествуваат во одбрана на организмот од екстрацелуларни бактерии и некои габи. </w:t>
      </w:r>
    </w:p>
    <w:p w:rsidR="004965AE" w:rsidRPr="00A3228B" w:rsidRDefault="004965AE" w:rsidP="007868F9">
      <w:pPr>
        <w:pStyle w:val="NormalWeb"/>
        <w:shd w:val="clear" w:color="auto" w:fill="FFFFFF"/>
        <w:spacing w:before="0" w:beforeAutospacing="0" w:after="0" w:afterAutospacing="0"/>
        <w:textAlignment w:val="baseline"/>
        <w:rPr>
          <w:rFonts w:ascii="Times New Roman" w:hAnsi="Times New Roman" w:cs="Times New Roman"/>
          <w:color w:val="000000"/>
          <w:lang w:val="mk-MK"/>
        </w:rPr>
      </w:pPr>
      <w:r w:rsidRPr="00A3228B">
        <w:rPr>
          <w:rFonts w:ascii="Times New Roman" w:hAnsi="Times New Roman" w:cs="Times New Roman"/>
          <w:lang w:val="mk-MK"/>
        </w:rPr>
        <w:t>Th17 клетките продуцираат IL-17 чие што влијание врз стромалните клетки резултира со продукција на инфламаторни цитокини и мобилизација на леукоцити, особено неутрофили</w:t>
      </w:r>
      <w:bookmarkEnd w:id="1"/>
      <w:r w:rsidRPr="00A3228B">
        <w:rPr>
          <w:rFonts w:ascii="Times New Roman" w:hAnsi="Times New Roman" w:cs="Times New Roman"/>
          <w:lang w:val="mk-MK"/>
        </w:rPr>
        <w:t xml:space="preserve">. </w:t>
      </w:r>
      <w:r w:rsidRPr="00A3228B">
        <w:rPr>
          <w:rFonts w:ascii="Times New Roman" w:hAnsi="Times New Roman" w:cs="Times New Roman"/>
          <w:color w:val="000000"/>
          <w:lang w:val="mk-MK"/>
        </w:rPr>
        <w:t xml:space="preserve">Цитокинот, односно интерлеукин </w:t>
      </w:r>
      <w:r w:rsidRPr="00A3228B">
        <w:rPr>
          <w:rFonts w:ascii="Times New Roman" w:hAnsi="Times New Roman" w:cs="Times New Roman"/>
          <w:color w:val="000000"/>
        </w:rPr>
        <w:t>IL</w:t>
      </w:r>
      <w:r w:rsidRPr="00A926CA">
        <w:rPr>
          <w:rFonts w:ascii="Times New Roman" w:hAnsi="Times New Roman" w:cs="Times New Roman"/>
          <w:color w:val="000000"/>
          <w:lang w:val="ru-RU"/>
        </w:rPr>
        <w:t>-17 (</w:t>
      </w:r>
      <w:r w:rsidRPr="00A3228B">
        <w:rPr>
          <w:rFonts w:ascii="Times New Roman" w:hAnsi="Times New Roman" w:cs="Times New Roman"/>
          <w:color w:val="000000"/>
          <w:lang w:val="mk-MK"/>
        </w:rPr>
        <w:t>познат и како</w:t>
      </w:r>
      <w:r w:rsidRPr="00A926CA">
        <w:rPr>
          <w:rFonts w:ascii="Times New Roman" w:hAnsi="Times New Roman" w:cs="Times New Roman"/>
          <w:color w:val="000000"/>
          <w:lang w:val="ru-RU"/>
        </w:rPr>
        <w:t xml:space="preserve"> </w:t>
      </w:r>
      <w:r w:rsidRPr="00A3228B">
        <w:rPr>
          <w:rFonts w:ascii="Times New Roman" w:hAnsi="Times New Roman" w:cs="Times New Roman"/>
          <w:color w:val="000000"/>
        </w:rPr>
        <w:t>IL</w:t>
      </w:r>
      <w:r w:rsidRPr="00A926CA">
        <w:rPr>
          <w:rFonts w:ascii="Times New Roman" w:hAnsi="Times New Roman" w:cs="Times New Roman"/>
          <w:color w:val="000000"/>
          <w:lang w:val="ru-RU"/>
        </w:rPr>
        <w:t>-17</w:t>
      </w:r>
      <w:r w:rsidRPr="00A3228B">
        <w:rPr>
          <w:rFonts w:ascii="Times New Roman" w:hAnsi="Times New Roman" w:cs="Times New Roman"/>
          <w:color w:val="000000"/>
        </w:rPr>
        <w:t>A</w:t>
      </w:r>
      <w:r w:rsidRPr="00A926CA">
        <w:rPr>
          <w:rFonts w:ascii="Times New Roman" w:hAnsi="Times New Roman" w:cs="Times New Roman"/>
          <w:color w:val="000000"/>
          <w:lang w:val="ru-RU"/>
        </w:rPr>
        <w:t xml:space="preserve">), </w:t>
      </w:r>
      <w:r w:rsidRPr="00A3228B">
        <w:rPr>
          <w:rFonts w:ascii="Times New Roman" w:hAnsi="Times New Roman" w:cs="Times New Roman"/>
          <w:color w:val="000000"/>
          <w:lang w:val="mk-MK"/>
        </w:rPr>
        <w:t>исто така е инволвиран во мноштво инфламаторни и автоимуни заболувања, како што се реуматоиден артрит, системски лупус, мултипла склероза и астма.</w:t>
      </w:r>
      <w:r w:rsidRPr="00A926CA">
        <w:rPr>
          <w:rFonts w:ascii="Times New Roman" w:hAnsi="Times New Roman" w:cs="Times New Roman"/>
          <w:color w:val="000000"/>
          <w:lang w:val="ru-RU"/>
        </w:rPr>
        <w:t xml:space="preserve"> </w:t>
      </w:r>
      <w:r w:rsidRPr="00A3228B">
        <w:rPr>
          <w:rFonts w:ascii="Times New Roman" w:hAnsi="Times New Roman" w:cs="Times New Roman"/>
          <w:color w:val="000000"/>
        </w:rPr>
        <w:t>IL</w:t>
      </w:r>
      <w:r w:rsidRPr="00A926CA">
        <w:rPr>
          <w:rFonts w:ascii="Times New Roman" w:hAnsi="Times New Roman" w:cs="Times New Roman"/>
          <w:color w:val="000000"/>
          <w:lang w:val="ru-RU"/>
        </w:rPr>
        <w:t xml:space="preserve">-17 </w:t>
      </w:r>
      <w:r w:rsidRPr="00A3228B">
        <w:rPr>
          <w:rFonts w:ascii="Times New Roman" w:hAnsi="Times New Roman" w:cs="Times New Roman"/>
          <w:color w:val="000000"/>
          <w:lang w:val="mk-MK"/>
        </w:rPr>
        <w:t>всушност не ја регулира функцијата на Т клетките, туку тој претставува регулатор на функцијата на останатите клетки во опкружувањето, како што се фибробласти, епителни и ендотелни клетки. Под влијание на</w:t>
      </w:r>
      <w:r w:rsidRPr="00A926CA">
        <w:rPr>
          <w:rFonts w:ascii="Times New Roman" w:hAnsi="Times New Roman" w:cs="Times New Roman"/>
          <w:color w:val="000000"/>
          <w:lang w:val="ru-RU"/>
        </w:rPr>
        <w:t xml:space="preserve"> </w:t>
      </w:r>
      <w:r w:rsidRPr="00A3228B">
        <w:rPr>
          <w:rFonts w:ascii="Times New Roman" w:hAnsi="Times New Roman" w:cs="Times New Roman"/>
          <w:color w:val="000000"/>
        </w:rPr>
        <w:t>IL</w:t>
      </w:r>
      <w:r w:rsidRPr="00A926CA">
        <w:rPr>
          <w:rFonts w:ascii="Times New Roman" w:hAnsi="Times New Roman" w:cs="Times New Roman"/>
          <w:color w:val="000000"/>
          <w:lang w:val="ru-RU"/>
        </w:rPr>
        <w:t>-17</w:t>
      </w:r>
      <w:r w:rsidRPr="00A3228B">
        <w:rPr>
          <w:rFonts w:ascii="Times New Roman" w:hAnsi="Times New Roman" w:cs="Times New Roman"/>
          <w:color w:val="000000"/>
          <w:lang w:val="mk-MK"/>
        </w:rPr>
        <w:t>, кај овие клетки, индуцирана е експресија на про-инфламаторни цитокини како што се</w:t>
      </w:r>
      <w:r w:rsidRPr="00A926CA">
        <w:rPr>
          <w:rFonts w:ascii="Times New Roman" w:hAnsi="Times New Roman" w:cs="Times New Roman"/>
          <w:color w:val="000000"/>
          <w:lang w:val="ru-RU"/>
        </w:rPr>
        <w:t xml:space="preserve"> </w:t>
      </w:r>
      <w:r w:rsidRPr="00A3228B">
        <w:rPr>
          <w:rFonts w:ascii="Times New Roman" w:hAnsi="Times New Roman" w:cs="Times New Roman"/>
          <w:color w:val="000000"/>
        </w:rPr>
        <w:t>IL</w:t>
      </w:r>
      <w:r w:rsidRPr="00A926CA">
        <w:rPr>
          <w:rFonts w:ascii="Times New Roman" w:hAnsi="Times New Roman" w:cs="Times New Roman"/>
          <w:color w:val="000000"/>
          <w:lang w:val="ru-RU"/>
        </w:rPr>
        <w:t xml:space="preserve">-6 </w:t>
      </w:r>
      <w:r w:rsidRPr="00A3228B">
        <w:rPr>
          <w:rFonts w:ascii="Times New Roman" w:hAnsi="Times New Roman" w:cs="Times New Roman"/>
          <w:color w:val="000000"/>
          <w:lang w:val="mk-MK"/>
        </w:rPr>
        <w:t xml:space="preserve">и </w:t>
      </w:r>
      <w:r w:rsidRPr="00A3228B">
        <w:rPr>
          <w:rFonts w:ascii="Times New Roman" w:hAnsi="Times New Roman" w:cs="Times New Roman"/>
          <w:color w:val="000000"/>
        </w:rPr>
        <w:t>IL</w:t>
      </w:r>
      <w:r w:rsidRPr="00A926CA">
        <w:rPr>
          <w:rFonts w:ascii="Times New Roman" w:hAnsi="Times New Roman" w:cs="Times New Roman"/>
          <w:color w:val="000000"/>
          <w:lang w:val="ru-RU"/>
        </w:rPr>
        <w:t xml:space="preserve">-8, </w:t>
      </w:r>
      <w:r w:rsidRPr="00A3228B">
        <w:rPr>
          <w:rFonts w:ascii="Times New Roman" w:hAnsi="Times New Roman" w:cs="Times New Roman"/>
          <w:color w:val="000000"/>
          <w:lang w:val="mk-MK"/>
        </w:rPr>
        <w:t xml:space="preserve">хемокини и матрикс металопротеази </w:t>
      </w:r>
      <w:r w:rsidRPr="00A926CA">
        <w:rPr>
          <w:rFonts w:ascii="Times New Roman" w:hAnsi="Times New Roman" w:cs="Times New Roman"/>
          <w:color w:val="000000"/>
          <w:lang w:val="ru-RU"/>
        </w:rPr>
        <w:t>(</w:t>
      </w:r>
      <w:r w:rsidR="00831268">
        <w:rPr>
          <w:rFonts w:ascii="Times New Roman" w:hAnsi="Times New Roman" w:cs="Times New Roman"/>
          <w:lang w:val="mk-MK"/>
        </w:rPr>
        <w:t>431,432</w:t>
      </w:r>
      <w:r w:rsidRPr="00A3228B">
        <w:rPr>
          <w:rFonts w:ascii="Times New Roman" w:hAnsi="Times New Roman" w:cs="Times New Roman"/>
          <w:lang w:val="mk-MK"/>
        </w:rPr>
        <w:t>,43</w:t>
      </w:r>
      <w:r w:rsidR="00831268">
        <w:rPr>
          <w:rFonts w:ascii="Times New Roman" w:hAnsi="Times New Roman" w:cs="Times New Roman"/>
          <w:lang w:val="mk-MK"/>
        </w:rPr>
        <w:t>3</w:t>
      </w:r>
      <w:r w:rsidRPr="00A926CA">
        <w:rPr>
          <w:rFonts w:ascii="Times New Roman" w:hAnsi="Times New Roman" w:cs="Times New Roman"/>
          <w:color w:val="000000"/>
          <w:lang w:val="ru-RU"/>
        </w:rPr>
        <w:t>).</w:t>
      </w:r>
      <w:r w:rsidRPr="00A3228B">
        <w:rPr>
          <w:rFonts w:ascii="Times New Roman" w:hAnsi="Times New Roman" w:cs="Times New Roman"/>
          <w:color w:val="000000"/>
          <w:lang w:val="mk-MK"/>
        </w:rPr>
        <w:t xml:space="preserve"> </w:t>
      </w:r>
    </w:p>
    <w:p w:rsidR="004965AE" w:rsidRPr="00A3228B" w:rsidRDefault="004965AE" w:rsidP="007868F9">
      <w:pPr>
        <w:shd w:val="clear" w:color="auto" w:fill="FFFFFF"/>
        <w:textAlignment w:val="baseline"/>
        <w:rPr>
          <w:rFonts w:ascii="Times New Roman" w:hAnsi="Times New Roman" w:cs="Times New Roman"/>
          <w:color w:val="000000"/>
          <w:sz w:val="24"/>
          <w:szCs w:val="24"/>
        </w:rPr>
      </w:pPr>
      <w:r w:rsidRPr="00A3228B">
        <w:rPr>
          <w:rFonts w:ascii="Times New Roman" w:hAnsi="Times New Roman" w:cs="Times New Roman"/>
          <w:sz w:val="24"/>
          <w:szCs w:val="24"/>
        </w:rPr>
        <w:t>Освен продукција на IL‐17, како нивно главно обележје, Tc17 клетките продуцираат и други цитокини: IL‐5, IL‐13, IL‐21,</w:t>
      </w:r>
      <w:r w:rsidR="00831268">
        <w:rPr>
          <w:rFonts w:ascii="Times New Roman" w:hAnsi="Times New Roman" w:cs="Times New Roman"/>
          <w:sz w:val="24"/>
          <w:szCs w:val="24"/>
        </w:rPr>
        <w:t xml:space="preserve"> IL‐22, IFN‐γ, TNF и GM‐CSF (434,435</w:t>
      </w:r>
      <w:r w:rsidRPr="00A3228B">
        <w:rPr>
          <w:rFonts w:ascii="Times New Roman" w:hAnsi="Times New Roman" w:cs="Times New Roman"/>
          <w:sz w:val="24"/>
          <w:szCs w:val="24"/>
        </w:rPr>
        <w:t>).</w:t>
      </w:r>
    </w:p>
    <w:p w:rsidR="000B4811" w:rsidRDefault="000B4811" w:rsidP="007868F9">
      <w:pPr>
        <w:shd w:val="clear" w:color="auto" w:fill="FFFFFF"/>
        <w:textAlignment w:val="baseline"/>
        <w:rPr>
          <w:rFonts w:ascii="Times New Roman" w:hAnsi="Times New Roman" w:cs="Times New Roman"/>
          <w:color w:val="000000"/>
          <w:sz w:val="24"/>
          <w:szCs w:val="24"/>
        </w:rPr>
      </w:pPr>
    </w:p>
    <w:p w:rsidR="000B4811" w:rsidRDefault="000B4811" w:rsidP="007868F9">
      <w:pPr>
        <w:shd w:val="clear" w:color="auto" w:fill="FFFFFF"/>
        <w:textAlignment w:val="baseline"/>
        <w:rPr>
          <w:rFonts w:ascii="Times New Roman" w:hAnsi="Times New Roman" w:cs="Times New Roman"/>
          <w:color w:val="000000"/>
          <w:sz w:val="24"/>
          <w:szCs w:val="24"/>
        </w:rPr>
      </w:pPr>
    </w:p>
    <w:p w:rsidR="000B4811" w:rsidRDefault="000B4811" w:rsidP="007868F9">
      <w:pPr>
        <w:shd w:val="clear" w:color="auto" w:fill="FFFFFF"/>
        <w:textAlignment w:val="baseline"/>
        <w:rPr>
          <w:rFonts w:ascii="Times New Roman" w:hAnsi="Times New Roman" w:cs="Times New Roman"/>
          <w:color w:val="000000"/>
          <w:sz w:val="24"/>
          <w:szCs w:val="24"/>
        </w:rPr>
      </w:pPr>
    </w:p>
    <w:p w:rsidR="000B4811" w:rsidRDefault="000B4811" w:rsidP="007868F9">
      <w:pPr>
        <w:shd w:val="clear" w:color="auto" w:fill="FFFFFF"/>
        <w:textAlignment w:val="baseline"/>
        <w:rPr>
          <w:rFonts w:ascii="Times New Roman" w:hAnsi="Times New Roman" w:cs="Times New Roman"/>
          <w:color w:val="000000"/>
          <w:sz w:val="24"/>
          <w:szCs w:val="24"/>
        </w:rPr>
      </w:pPr>
    </w:p>
    <w:p w:rsidR="000B4811" w:rsidRDefault="000B4811" w:rsidP="007868F9">
      <w:pPr>
        <w:shd w:val="clear" w:color="auto" w:fill="FFFFFF"/>
        <w:textAlignment w:val="baseline"/>
        <w:rPr>
          <w:rFonts w:ascii="Times New Roman" w:hAnsi="Times New Roman" w:cs="Times New Roman"/>
          <w:color w:val="000000"/>
          <w:sz w:val="24"/>
          <w:szCs w:val="24"/>
        </w:rPr>
      </w:pPr>
    </w:p>
    <w:p w:rsidR="000B4811" w:rsidRDefault="000B4811" w:rsidP="007868F9">
      <w:pPr>
        <w:shd w:val="clear" w:color="auto" w:fill="FFFFFF"/>
        <w:textAlignment w:val="baseline"/>
        <w:rPr>
          <w:rFonts w:ascii="Times New Roman" w:hAnsi="Times New Roman" w:cs="Times New Roman"/>
          <w:color w:val="000000"/>
          <w:sz w:val="24"/>
          <w:szCs w:val="24"/>
        </w:rPr>
      </w:pPr>
    </w:p>
    <w:p w:rsidR="007868F9" w:rsidRDefault="004965AE" w:rsidP="007868F9">
      <w:pPr>
        <w:shd w:val="clear" w:color="auto" w:fill="FFFFFF"/>
        <w:textAlignment w:val="baseline"/>
        <w:rPr>
          <w:rFonts w:ascii="Times New Roman" w:hAnsi="Times New Roman" w:cs="Times New Roman"/>
          <w:color w:val="131313"/>
          <w:spacing w:val="-7"/>
          <w:sz w:val="24"/>
          <w:szCs w:val="24"/>
        </w:rPr>
      </w:pPr>
      <w:r w:rsidRPr="00A3228B">
        <w:rPr>
          <w:rFonts w:ascii="Times New Roman" w:hAnsi="Times New Roman" w:cs="Times New Roman"/>
          <w:color w:val="000000"/>
          <w:sz w:val="24"/>
          <w:szCs w:val="24"/>
        </w:rPr>
        <w:t xml:space="preserve">Th17 клетките го претставуваат мноштвото клетки кои го инфилтрираат паренхимот на саливарните жлезди кај </w:t>
      </w:r>
      <w:r w:rsidR="00831268">
        <w:rPr>
          <w:rFonts w:ascii="Times New Roman" w:hAnsi="Times New Roman" w:cs="Times New Roman"/>
          <w:color w:val="000000"/>
          <w:sz w:val="24"/>
          <w:szCs w:val="24"/>
        </w:rPr>
        <w:t>пациенти со Сјогрен синдром (436</w:t>
      </w:r>
      <w:r w:rsidRPr="00A3228B">
        <w:rPr>
          <w:rFonts w:ascii="Times New Roman" w:hAnsi="Times New Roman" w:cs="Times New Roman"/>
          <w:color w:val="000000"/>
          <w:sz w:val="24"/>
          <w:szCs w:val="24"/>
        </w:rPr>
        <w:t>).</w:t>
      </w:r>
      <w:r w:rsidRPr="00A3228B">
        <w:rPr>
          <w:rFonts w:ascii="Times New Roman" w:hAnsi="Times New Roman" w:cs="Times New Roman"/>
          <w:color w:val="131313"/>
          <w:spacing w:val="-7"/>
          <w:sz w:val="24"/>
          <w:szCs w:val="24"/>
        </w:rPr>
        <w:t xml:space="preserve"> </w:t>
      </w:r>
    </w:p>
    <w:p w:rsidR="007868F9" w:rsidRDefault="007868F9" w:rsidP="007868F9">
      <w:pPr>
        <w:shd w:val="clear" w:color="auto" w:fill="FFFFFF"/>
        <w:textAlignment w:val="baseline"/>
        <w:rPr>
          <w:rFonts w:ascii="Times New Roman" w:hAnsi="Times New Roman" w:cs="Times New Roman"/>
          <w:color w:val="131313"/>
          <w:spacing w:val="-7"/>
          <w:sz w:val="24"/>
          <w:szCs w:val="24"/>
        </w:rPr>
      </w:pPr>
    </w:p>
    <w:p w:rsidR="004965AE" w:rsidRPr="00A3228B" w:rsidRDefault="004965AE" w:rsidP="007868F9">
      <w:pPr>
        <w:shd w:val="clear" w:color="auto" w:fill="FFFFFF"/>
        <w:textAlignment w:val="baseline"/>
        <w:rPr>
          <w:rFonts w:ascii="Times New Roman" w:hAnsi="Times New Roman" w:cs="Times New Roman"/>
          <w:color w:val="000000"/>
          <w:sz w:val="24"/>
          <w:szCs w:val="24"/>
        </w:rPr>
      </w:pPr>
      <w:r w:rsidRPr="00A3228B">
        <w:rPr>
          <w:rFonts w:ascii="Times New Roman" w:hAnsi="Times New Roman" w:cs="Times New Roman"/>
          <w:color w:val="000000"/>
          <w:sz w:val="24"/>
          <w:szCs w:val="24"/>
        </w:rPr>
        <w:t>Предоминантна експресија на IL-17 е детектирана кај CD4</w:t>
      </w:r>
      <w:r w:rsidRPr="00A3228B">
        <w:rPr>
          <w:rFonts w:ascii="Times New Roman" w:hAnsi="Times New Roman" w:cs="Times New Roman"/>
          <w:color w:val="000000"/>
          <w:sz w:val="24"/>
          <w:szCs w:val="24"/>
          <w:bdr w:val="none" w:sz="0" w:space="0" w:color="auto" w:frame="1"/>
          <w:vertAlign w:val="superscript"/>
        </w:rPr>
        <w:t>+</w:t>
      </w:r>
      <w:r w:rsidRPr="00A3228B">
        <w:rPr>
          <w:rFonts w:ascii="Times New Roman" w:hAnsi="Times New Roman" w:cs="Times New Roman"/>
          <w:color w:val="000000"/>
          <w:sz w:val="24"/>
          <w:szCs w:val="24"/>
        </w:rPr>
        <w:t>T клетките кои што го инфилтрираат жлездениот паренхим, за разлика од CD8</w:t>
      </w:r>
      <w:r w:rsidRPr="00A3228B">
        <w:rPr>
          <w:rFonts w:ascii="Times New Roman" w:hAnsi="Times New Roman" w:cs="Times New Roman"/>
          <w:color w:val="000000"/>
          <w:sz w:val="24"/>
          <w:szCs w:val="24"/>
          <w:bdr w:val="none" w:sz="0" w:space="0" w:color="auto" w:frame="1"/>
          <w:vertAlign w:val="superscript"/>
        </w:rPr>
        <w:t>+</w:t>
      </w:r>
      <w:r w:rsidRPr="00A3228B">
        <w:rPr>
          <w:rFonts w:ascii="Times New Roman" w:hAnsi="Times New Roman" w:cs="Times New Roman"/>
          <w:color w:val="000000"/>
          <w:sz w:val="24"/>
          <w:szCs w:val="24"/>
        </w:rPr>
        <w:t>T клетките, кои што го инфилтрираат паренхимот во помал обем. IL-17 е детектиран во цитоплазмата (не и на клеточната мембрана) кај клетките на дукталниот епител, што ја исклучува можноста егзогениот IL-17 да се врзува за неговиот рецептор IL-17R на површината на клетката, што пак, од друга страна, сугерира дека дукталните епителни клетки можат да продуцираат I</w:t>
      </w:r>
      <w:r w:rsidR="002C660F">
        <w:rPr>
          <w:rFonts w:ascii="Times New Roman" w:hAnsi="Times New Roman" w:cs="Times New Roman"/>
          <w:color w:val="000000"/>
          <w:sz w:val="24"/>
          <w:szCs w:val="24"/>
        </w:rPr>
        <w:t>L-17 и кај здрави индивидуи (437</w:t>
      </w:r>
      <w:r w:rsidRPr="00A3228B">
        <w:rPr>
          <w:rFonts w:ascii="Times New Roman" w:hAnsi="Times New Roman" w:cs="Times New Roman"/>
          <w:color w:val="000000"/>
          <w:sz w:val="24"/>
          <w:szCs w:val="24"/>
        </w:rPr>
        <w:t xml:space="preserve">). </w:t>
      </w:r>
    </w:p>
    <w:p w:rsidR="004965AE" w:rsidRPr="00A926CA" w:rsidRDefault="004965AE" w:rsidP="007868F9">
      <w:pPr>
        <w:pStyle w:val="NormalWeb"/>
        <w:shd w:val="clear" w:color="auto" w:fill="FFFFFF"/>
        <w:spacing w:before="0" w:beforeAutospacing="0" w:after="0" w:afterAutospacing="0"/>
        <w:textAlignment w:val="baseline"/>
        <w:rPr>
          <w:rFonts w:ascii="Times New Roman" w:hAnsi="Times New Roman" w:cs="Times New Roman"/>
          <w:color w:val="000000"/>
          <w:lang w:val="ru-RU"/>
        </w:rPr>
      </w:pPr>
      <w:r w:rsidRPr="00A3228B">
        <w:rPr>
          <w:rFonts w:ascii="Times New Roman" w:hAnsi="Times New Roman" w:cs="Times New Roman"/>
          <w:color w:val="000000"/>
          <w:lang w:val="mk-MK"/>
        </w:rPr>
        <w:t xml:space="preserve">Автокрината или паракрина активација на клетките на дукталниот епител на саливарните жлезди, од страна на </w:t>
      </w:r>
      <w:r w:rsidRPr="00A3228B">
        <w:rPr>
          <w:rFonts w:ascii="Times New Roman" w:hAnsi="Times New Roman" w:cs="Times New Roman"/>
          <w:color w:val="000000"/>
        </w:rPr>
        <w:t>IL</w:t>
      </w:r>
      <w:r w:rsidRPr="00A926CA">
        <w:rPr>
          <w:rFonts w:ascii="Times New Roman" w:hAnsi="Times New Roman" w:cs="Times New Roman"/>
          <w:color w:val="000000"/>
          <w:lang w:val="ru-RU"/>
        </w:rPr>
        <w:t xml:space="preserve">-17 </w:t>
      </w:r>
      <w:r w:rsidRPr="00A3228B">
        <w:rPr>
          <w:rFonts w:ascii="Times New Roman" w:hAnsi="Times New Roman" w:cs="Times New Roman"/>
          <w:color w:val="000000"/>
          <w:lang w:val="mk-MK"/>
        </w:rPr>
        <w:t>игра важна улога за заштита на саливарните жлезди од оралните микроби.</w:t>
      </w:r>
    </w:p>
    <w:p w:rsidR="004965AE" w:rsidRPr="00A3228B" w:rsidRDefault="004965AE" w:rsidP="007868F9">
      <w:pPr>
        <w:shd w:val="clear" w:color="auto" w:fill="FFFFFF"/>
        <w:rPr>
          <w:rFonts w:ascii="Times New Roman" w:hAnsi="Times New Roman" w:cs="Times New Roman"/>
          <w:color w:val="212121"/>
          <w:sz w:val="24"/>
          <w:szCs w:val="24"/>
        </w:rPr>
      </w:pPr>
      <w:r w:rsidRPr="00A3228B">
        <w:rPr>
          <w:rFonts w:ascii="Times New Roman" w:hAnsi="Times New Roman" w:cs="Times New Roman"/>
          <w:color w:val="000000"/>
          <w:sz w:val="24"/>
          <w:szCs w:val="24"/>
          <w:shd w:val="clear" w:color="auto" w:fill="FFFFFF"/>
        </w:rPr>
        <w:t xml:space="preserve">Кај пациенти со Сјогрен синдром, саливарните жлезди се инфилтрирани со мононуклеарни клетки, кои исто така го инфилтрираат жлездениот паренхим и кај пациенти со sicca синдром и хронично GVH заболување, но не се среќаваат кај здрави индивидуи. IL-17 пак, бележи експресија, но во помал обем во клетките на дукталниот епител на саливарните жлезди, кај здрави индивидуи и пациенти со sicca синдром, додека неговата експресија е доминантна кај инфилтративните и дукталните епителни клетки кај саливарните жлезди кај пациенти со Сјогрен синдром, но не се нотира кај ацинарните клетки. Спротивно на ова, не е детектирана експресија на IL-17 во саливарните жлезди кај пациенти со хронично GVH заболување. Овие податоци сугерираат дека експресијата на IL-17 (и IL-18) во саливарните жлезди е во корелација со Сјогрен, но не и sicca синдромот, односно хронично GVH заболување (437). </w:t>
      </w:r>
      <w:r w:rsidRPr="00A3228B">
        <w:rPr>
          <w:rFonts w:ascii="Times New Roman" w:hAnsi="Times New Roman" w:cs="Times New Roman"/>
          <w:sz w:val="24"/>
          <w:szCs w:val="24"/>
        </w:rPr>
        <w:t>Th17 клетките кај малигните тумори на саливарните жлезди имаат про-туморогена улога ( иако е редуцирана нивната застапеност ). Се смета дека IL-17 кој што го произведуваат Th17 клетките ја фаворизира ангиогенезата, односно растот на туморот.  Што се однесува до застапеноста на Тс17 клетките, тие се речиси подеднакво застапени кај бенигните и малигни неоплазми на саливарни жлезди, но покажуваат значително поголема експресија за IL-17 кај малигните неоплазми, што повторно асоцира на про-</w:t>
      </w:r>
      <w:r w:rsidR="002C660F">
        <w:rPr>
          <w:rFonts w:ascii="Times New Roman" w:hAnsi="Times New Roman" w:cs="Times New Roman"/>
          <w:sz w:val="24"/>
          <w:szCs w:val="24"/>
        </w:rPr>
        <w:t>туморогената улога на IL-17 (438</w:t>
      </w:r>
      <w:r w:rsidRPr="00A3228B">
        <w:rPr>
          <w:rFonts w:ascii="Times New Roman" w:hAnsi="Times New Roman" w:cs="Times New Roman"/>
          <w:sz w:val="24"/>
          <w:szCs w:val="24"/>
        </w:rPr>
        <w:t xml:space="preserve">). </w:t>
      </w:r>
    </w:p>
    <w:p w:rsidR="00D95559" w:rsidRDefault="00D95559" w:rsidP="007868F9">
      <w:pPr>
        <w:rPr>
          <w:rFonts w:ascii="Times New Roman" w:hAnsi="Times New Roman" w:cs="Times New Roman"/>
          <w:b/>
          <w:sz w:val="24"/>
          <w:szCs w:val="24"/>
        </w:rPr>
      </w:pPr>
    </w:p>
    <w:p w:rsidR="007868F9" w:rsidRDefault="007868F9" w:rsidP="007868F9">
      <w:pPr>
        <w:rPr>
          <w:rFonts w:ascii="Times New Roman" w:hAnsi="Times New Roman" w:cs="Times New Roman"/>
          <w:b/>
          <w:sz w:val="24"/>
          <w:szCs w:val="24"/>
        </w:rPr>
      </w:pPr>
    </w:p>
    <w:p w:rsidR="004965AE" w:rsidRPr="00894BA3" w:rsidRDefault="00BA7675" w:rsidP="007868F9">
      <w:pPr>
        <w:rPr>
          <w:rFonts w:ascii="Times New Roman" w:hAnsi="Times New Roman" w:cs="Times New Roman"/>
          <w:b/>
          <w:sz w:val="24"/>
          <w:szCs w:val="24"/>
        </w:rPr>
      </w:pPr>
      <w:r w:rsidRPr="00894BA3">
        <w:rPr>
          <w:rFonts w:ascii="Times New Roman" w:hAnsi="Times New Roman" w:cs="Times New Roman"/>
          <w:b/>
          <w:sz w:val="24"/>
          <w:szCs w:val="24"/>
        </w:rPr>
        <w:t xml:space="preserve">IL-4 </w:t>
      </w:r>
    </w:p>
    <w:p w:rsidR="007868F9" w:rsidRDefault="007868F9" w:rsidP="007868F9">
      <w:pPr>
        <w:rPr>
          <w:rFonts w:ascii="Times New Roman" w:hAnsi="Times New Roman" w:cs="Times New Roman"/>
          <w:sz w:val="24"/>
          <w:szCs w:val="24"/>
        </w:rPr>
      </w:pPr>
    </w:p>
    <w:p w:rsidR="004965AE" w:rsidRPr="00A3228B" w:rsidRDefault="004965AE" w:rsidP="007868F9">
      <w:pPr>
        <w:rPr>
          <w:rFonts w:ascii="Times New Roman" w:hAnsi="Times New Roman" w:cs="Times New Roman"/>
          <w:sz w:val="24"/>
          <w:szCs w:val="24"/>
        </w:rPr>
      </w:pPr>
      <w:r w:rsidRPr="00A3228B">
        <w:rPr>
          <w:rFonts w:ascii="Times New Roman" w:hAnsi="Times New Roman" w:cs="Times New Roman"/>
          <w:sz w:val="24"/>
          <w:szCs w:val="24"/>
        </w:rPr>
        <w:t xml:space="preserve">Главен извор на IL-4 се Th2 клетките, тип 2 вродени лимфоидни клетки, базофили, маст клетки и еозинофили. Како и IL-33, тој претставува регулатор на алергиски реакции и имунолошкиот одговор насочен кон екстрацелуларни паразити. Има супресивно влијание на Тип 1 имуниот одговор, Th1 клетките и M1 макрофаги. </w:t>
      </w:r>
    </w:p>
    <w:p w:rsidR="004965AE" w:rsidRPr="00A3228B" w:rsidRDefault="004965AE" w:rsidP="007868F9">
      <w:pPr>
        <w:rPr>
          <w:rFonts w:ascii="Times New Roman" w:hAnsi="Times New Roman" w:cs="Times New Roman"/>
          <w:sz w:val="24"/>
          <w:szCs w:val="24"/>
        </w:rPr>
      </w:pPr>
      <w:r w:rsidRPr="00A3228B">
        <w:rPr>
          <w:rFonts w:ascii="Times New Roman" w:hAnsi="Times New Roman" w:cs="Times New Roman"/>
          <w:sz w:val="24"/>
          <w:szCs w:val="24"/>
        </w:rPr>
        <w:t>Кај пациенти со паротидни тумори ( бенигни и малигни ), покачени се серумските вредности на IL-4. Посебно високи се вредностите на овој интерлеукин кај пациен</w:t>
      </w:r>
      <w:r w:rsidR="002C660F">
        <w:rPr>
          <w:rFonts w:ascii="Times New Roman" w:hAnsi="Times New Roman" w:cs="Times New Roman"/>
          <w:sz w:val="24"/>
          <w:szCs w:val="24"/>
        </w:rPr>
        <w:t>ти со Acinic cell carcinoma (439</w:t>
      </w:r>
      <w:r w:rsidRPr="00A3228B">
        <w:rPr>
          <w:rFonts w:ascii="Times New Roman" w:hAnsi="Times New Roman" w:cs="Times New Roman"/>
          <w:sz w:val="24"/>
          <w:szCs w:val="24"/>
        </w:rPr>
        <w:t>).</w:t>
      </w:r>
    </w:p>
    <w:p w:rsidR="004965AE" w:rsidRPr="00A3228B" w:rsidRDefault="004965AE" w:rsidP="007868F9">
      <w:pPr>
        <w:shd w:val="clear" w:color="auto" w:fill="FFFFFF"/>
        <w:rPr>
          <w:rFonts w:ascii="Times New Roman" w:hAnsi="Times New Roman" w:cs="Times New Roman"/>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4965AE" w:rsidRPr="00894BA3" w:rsidRDefault="00BA7675" w:rsidP="007868F9">
      <w:pPr>
        <w:shd w:val="clear" w:color="auto" w:fill="FFFFFF"/>
        <w:rPr>
          <w:rFonts w:ascii="Times New Roman" w:hAnsi="Times New Roman" w:cs="Times New Roman"/>
          <w:b/>
          <w:sz w:val="24"/>
          <w:szCs w:val="24"/>
        </w:rPr>
      </w:pPr>
      <w:r w:rsidRPr="00894BA3">
        <w:rPr>
          <w:rFonts w:ascii="Times New Roman" w:hAnsi="Times New Roman" w:cs="Times New Roman"/>
          <w:b/>
          <w:sz w:val="24"/>
          <w:szCs w:val="24"/>
        </w:rPr>
        <w:t xml:space="preserve">IL-10 </w:t>
      </w:r>
    </w:p>
    <w:p w:rsidR="007868F9" w:rsidRDefault="007868F9" w:rsidP="007868F9">
      <w:pPr>
        <w:shd w:val="clear" w:color="auto" w:fill="FFFFFF"/>
        <w:rPr>
          <w:rFonts w:ascii="Times New Roman" w:hAnsi="Times New Roman" w:cs="Times New Roman"/>
          <w:sz w:val="24"/>
          <w:szCs w:val="24"/>
        </w:rPr>
      </w:pPr>
    </w:p>
    <w:p w:rsidR="004965AE" w:rsidRPr="00A3228B" w:rsidRDefault="004965AE" w:rsidP="007868F9">
      <w:pPr>
        <w:shd w:val="clear" w:color="auto" w:fill="FFFFFF"/>
        <w:rPr>
          <w:rFonts w:ascii="Times New Roman" w:hAnsi="Times New Roman" w:cs="Times New Roman"/>
          <w:sz w:val="24"/>
          <w:szCs w:val="24"/>
        </w:rPr>
      </w:pPr>
      <w:r w:rsidRPr="00A3228B">
        <w:rPr>
          <w:rFonts w:ascii="Times New Roman" w:hAnsi="Times New Roman" w:cs="Times New Roman"/>
          <w:sz w:val="24"/>
          <w:szCs w:val="24"/>
        </w:rPr>
        <w:t xml:space="preserve">IL-10 ja инхибира експресијата на проинфламаторни цитокини, хемокини и нивните рецептори. Исто така има инхибиторно влијание и на Т клетките. IL-10 ја потикнува пролиферацијата и диференцијација на В клетките и продукцијата на IgG4 . </w:t>
      </w:r>
    </w:p>
    <w:p w:rsidR="004965AE" w:rsidRPr="00A3228B" w:rsidRDefault="004965AE" w:rsidP="007868F9">
      <w:pPr>
        <w:shd w:val="clear" w:color="auto" w:fill="FFFFFF"/>
        <w:rPr>
          <w:rFonts w:ascii="Times New Roman" w:hAnsi="Times New Roman" w:cs="Times New Roman"/>
          <w:sz w:val="24"/>
          <w:szCs w:val="24"/>
        </w:rPr>
      </w:pPr>
      <w:r w:rsidRPr="00A3228B">
        <w:rPr>
          <w:rFonts w:ascii="Times New Roman" w:hAnsi="Times New Roman" w:cs="Times New Roman"/>
          <w:sz w:val="24"/>
          <w:szCs w:val="24"/>
        </w:rPr>
        <w:t>Interleukin 10 бележи висока експресија кај малигните клетки. Високи серумски вредности на IL-10, се показатели на маркантна имуносупресија, прогресивен канцер и подоцнежен стадиум на болеста.</w:t>
      </w:r>
    </w:p>
    <w:p w:rsidR="004965AE" w:rsidRPr="00A3228B" w:rsidRDefault="004965AE" w:rsidP="007868F9">
      <w:pPr>
        <w:shd w:val="clear" w:color="auto" w:fill="FFFFFF"/>
        <w:rPr>
          <w:rFonts w:ascii="Times New Roman" w:hAnsi="Times New Roman" w:cs="Times New Roman"/>
          <w:sz w:val="24"/>
          <w:szCs w:val="24"/>
        </w:rPr>
      </w:pPr>
      <w:r w:rsidRPr="00A3228B">
        <w:rPr>
          <w:rFonts w:ascii="Times New Roman" w:hAnsi="Times New Roman" w:cs="Times New Roman"/>
          <w:sz w:val="24"/>
          <w:szCs w:val="24"/>
        </w:rPr>
        <w:t>Што се однесува до бенигните и малигни паротидни тумори, серумските вредности на IL-10 позитивно корелираат со серумските вредности на IL-4 кај пациенти со Adenoma pleomorphe, односно IL-10 бележи и позитивна корелација со IL-33 во серум кај пациенти со малигни т</w:t>
      </w:r>
      <w:r w:rsidR="002C660F">
        <w:rPr>
          <w:rFonts w:ascii="Times New Roman" w:hAnsi="Times New Roman" w:cs="Times New Roman"/>
          <w:sz w:val="24"/>
          <w:szCs w:val="24"/>
        </w:rPr>
        <w:t>умори на паротидните жлезди (439</w:t>
      </w:r>
      <w:r w:rsidRPr="00A3228B">
        <w:rPr>
          <w:rFonts w:ascii="Times New Roman" w:hAnsi="Times New Roman" w:cs="Times New Roman"/>
          <w:sz w:val="24"/>
          <w:szCs w:val="24"/>
        </w:rPr>
        <w:t xml:space="preserve">). </w:t>
      </w:r>
    </w:p>
    <w:p w:rsidR="004965AE" w:rsidRDefault="004965AE" w:rsidP="007868F9">
      <w:pPr>
        <w:rPr>
          <w:rStyle w:val="jlqj4b"/>
        </w:rPr>
      </w:pPr>
    </w:p>
    <w:p w:rsidR="008F4D7A" w:rsidRDefault="008F4D7A" w:rsidP="007868F9">
      <w:pPr>
        <w:rPr>
          <w:rFonts w:ascii="Times New Roman" w:hAnsi="Times New Roman" w:cs="Times New Roman"/>
          <w:b/>
          <w:sz w:val="24"/>
          <w:szCs w:val="24"/>
        </w:rPr>
      </w:pPr>
    </w:p>
    <w:p w:rsidR="00D95559" w:rsidRPr="00894BA3" w:rsidRDefault="00BA7675" w:rsidP="007868F9">
      <w:pPr>
        <w:rPr>
          <w:rFonts w:ascii="Times New Roman" w:hAnsi="Times New Roman" w:cs="Times New Roman"/>
          <w:b/>
          <w:sz w:val="24"/>
          <w:szCs w:val="24"/>
        </w:rPr>
      </w:pPr>
      <w:r w:rsidRPr="00894BA3">
        <w:rPr>
          <w:rFonts w:ascii="Times New Roman" w:hAnsi="Times New Roman" w:cs="Times New Roman"/>
          <w:b/>
          <w:color w:val="000000"/>
          <w:sz w:val="24"/>
          <w:szCs w:val="24"/>
        </w:rPr>
        <w:t xml:space="preserve">IL-6 </w:t>
      </w:r>
    </w:p>
    <w:p w:rsidR="007868F9" w:rsidRDefault="007868F9" w:rsidP="007868F9">
      <w:pPr>
        <w:rPr>
          <w:rFonts w:ascii="Times New Roman" w:hAnsi="Times New Roman" w:cs="Times New Roman"/>
          <w:color w:val="000000"/>
          <w:sz w:val="24"/>
          <w:szCs w:val="24"/>
        </w:rPr>
      </w:pPr>
    </w:p>
    <w:p w:rsidR="004965AE" w:rsidRPr="00D95559" w:rsidRDefault="004965AE" w:rsidP="007868F9">
      <w:pPr>
        <w:rPr>
          <w:rFonts w:ascii="Times New Roman" w:hAnsi="Times New Roman" w:cs="Times New Roman"/>
          <w:b/>
          <w:sz w:val="24"/>
          <w:szCs w:val="24"/>
        </w:rPr>
      </w:pPr>
      <w:r w:rsidRPr="00A3228B">
        <w:rPr>
          <w:rFonts w:ascii="Times New Roman" w:hAnsi="Times New Roman" w:cs="Times New Roman"/>
          <w:color w:val="000000"/>
          <w:sz w:val="24"/>
          <w:szCs w:val="24"/>
        </w:rPr>
        <w:t>IL-6 претставува плеиотропен цитокин (</w:t>
      </w:r>
      <w:r w:rsidRPr="00A3228B">
        <w:rPr>
          <w:rFonts w:ascii="Times New Roman" w:hAnsi="Times New Roman" w:cs="Times New Roman"/>
          <w:bCs/>
          <w:sz w:val="24"/>
          <w:szCs w:val="24"/>
          <w:u w:color="FFFFFF"/>
          <w:bdr w:val="none" w:sz="0" w:space="0" w:color="auto" w:frame="1"/>
        </w:rPr>
        <w:t>44</w:t>
      </w:r>
      <w:r w:rsidR="002C660F">
        <w:rPr>
          <w:rFonts w:ascii="Times New Roman" w:hAnsi="Times New Roman" w:cs="Times New Roman"/>
          <w:bCs/>
          <w:sz w:val="24"/>
          <w:szCs w:val="24"/>
          <w:u w:color="FFFFFF"/>
          <w:bdr w:val="none" w:sz="0" w:space="0" w:color="auto" w:frame="1"/>
        </w:rPr>
        <w:t>0</w:t>
      </w:r>
      <w:r w:rsidRPr="00A3228B">
        <w:rPr>
          <w:rFonts w:ascii="Times New Roman" w:hAnsi="Times New Roman" w:cs="Times New Roman"/>
          <w:color w:val="000000"/>
          <w:sz w:val="24"/>
          <w:szCs w:val="24"/>
        </w:rPr>
        <w:t>) кој што ја инхибира дифренцијацијата и функцијата на регулаторните Т клетки, а заедно со TGF-β стимулир</w:t>
      </w:r>
      <w:r w:rsidR="002C660F">
        <w:rPr>
          <w:rFonts w:ascii="Times New Roman" w:hAnsi="Times New Roman" w:cs="Times New Roman"/>
          <w:color w:val="000000"/>
          <w:sz w:val="24"/>
          <w:szCs w:val="24"/>
        </w:rPr>
        <w:t>а продукција на Th17 клетки (429,441</w:t>
      </w:r>
      <w:r w:rsidRPr="00A3228B">
        <w:rPr>
          <w:rFonts w:ascii="Times New Roman" w:hAnsi="Times New Roman" w:cs="Times New Roman"/>
          <w:color w:val="000000"/>
          <w:sz w:val="24"/>
          <w:szCs w:val="24"/>
        </w:rPr>
        <w:t>).</w:t>
      </w:r>
    </w:p>
    <w:p w:rsidR="004965AE" w:rsidRPr="00A3228B" w:rsidRDefault="004965AE" w:rsidP="007868F9">
      <w:pPr>
        <w:shd w:val="clear" w:color="auto" w:fill="FFFFFF"/>
        <w:spacing w:before="100" w:beforeAutospacing="1" w:after="100" w:afterAutospacing="1"/>
        <w:rPr>
          <w:rFonts w:ascii="Times New Roman" w:hAnsi="Times New Roman" w:cs="Times New Roman"/>
          <w:color w:val="000000"/>
          <w:sz w:val="24"/>
          <w:szCs w:val="24"/>
          <w:shd w:val="clear" w:color="auto" w:fill="FFFFFF"/>
        </w:rPr>
      </w:pPr>
      <w:r w:rsidRPr="00A3228B">
        <w:rPr>
          <w:rFonts w:ascii="Times New Roman" w:hAnsi="Times New Roman" w:cs="Times New Roman"/>
          <w:color w:val="000000"/>
          <w:sz w:val="24"/>
          <w:szCs w:val="24"/>
        </w:rPr>
        <w:t>CD4</w:t>
      </w:r>
      <w:r w:rsidRPr="00A3228B">
        <w:rPr>
          <w:rFonts w:ascii="Times New Roman" w:hAnsi="Times New Roman" w:cs="Times New Roman"/>
          <w:color w:val="000000"/>
          <w:sz w:val="24"/>
          <w:szCs w:val="24"/>
          <w:bdr w:val="none" w:sz="0" w:space="0" w:color="auto" w:frame="1"/>
          <w:vertAlign w:val="superscript"/>
        </w:rPr>
        <w:t>+</w:t>
      </w:r>
      <w:r w:rsidRPr="00A3228B">
        <w:rPr>
          <w:rFonts w:ascii="Times New Roman" w:hAnsi="Times New Roman" w:cs="Times New Roman"/>
          <w:color w:val="000000"/>
          <w:sz w:val="24"/>
          <w:szCs w:val="24"/>
        </w:rPr>
        <w:t xml:space="preserve">T клетки и саливарните епителни клетки, бележат експресија на IL-10, односно IL-6 кај </w:t>
      </w:r>
      <w:r w:rsidR="002C660F">
        <w:rPr>
          <w:rFonts w:ascii="Times New Roman" w:hAnsi="Times New Roman" w:cs="Times New Roman"/>
          <w:color w:val="000000"/>
          <w:sz w:val="24"/>
          <w:szCs w:val="24"/>
        </w:rPr>
        <w:t>пациенти со Сјогрен синдром (442</w:t>
      </w:r>
      <w:r w:rsidRPr="00A3228B">
        <w:rPr>
          <w:rFonts w:ascii="Times New Roman" w:hAnsi="Times New Roman" w:cs="Times New Roman"/>
          <w:color w:val="000000"/>
          <w:sz w:val="24"/>
          <w:szCs w:val="24"/>
        </w:rPr>
        <w:t>)</w:t>
      </w:r>
      <w:r w:rsidRPr="00A3228B">
        <w:rPr>
          <w:rFonts w:ascii="Times New Roman" w:hAnsi="Times New Roman" w:cs="Times New Roman"/>
          <w:sz w:val="24"/>
          <w:szCs w:val="24"/>
        </w:rPr>
        <w:t>.</w:t>
      </w:r>
      <w:r w:rsidRPr="00A3228B">
        <w:rPr>
          <w:rFonts w:ascii="Times New Roman" w:hAnsi="Times New Roman" w:cs="Times New Roman"/>
          <w:color w:val="000000"/>
          <w:sz w:val="24"/>
          <w:szCs w:val="24"/>
        </w:rPr>
        <w:t xml:space="preserve"> Други студии укажуваат дека саливарните жлезди покажуваат конзистентност во експреси</w:t>
      </w:r>
      <w:r w:rsidR="002C660F">
        <w:rPr>
          <w:rFonts w:ascii="Times New Roman" w:hAnsi="Times New Roman" w:cs="Times New Roman"/>
          <w:color w:val="000000"/>
          <w:sz w:val="24"/>
          <w:szCs w:val="24"/>
        </w:rPr>
        <w:t>јата на IL-10, IL-6 и TGF-β (443,444</w:t>
      </w:r>
      <w:r w:rsidRPr="00A3228B">
        <w:rPr>
          <w:rFonts w:ascii="Times New Roman" w:hAnsi="Times New Roman" w:cs="Times New Roman"/>
          <w:color w:val="000000"/>
          <w:sz w:val="24"/>
          <w:szCs w:val="24"/>
        </w:rPr>
        <w:t xml:space="preserve">). </w:t>
      </w:r>
    </w:p>
    <w:p w:rsidR="004965AE" w:rsidRPr="00A3228B" w:rsidRDefault="004965AE" w:rsidP="007868F9">
      <w:pPr>
        <w:shd w:val="clear" w:color="auto" w:fill="FFFFFF"/>
        <w:textAlignment w:val="baseline"/>
        <w:rPr>
          <w:rFonts w:ascii="Times New Roman" w:hAnsi="Times New Roman" w:cs="Times New Roman"/>
          <w:color w:val="000000"/>
          <w:sz w:val="24"/>
          <w:szCs w:val="24"/>
        </w:rPr>
      </w:pPr>
      <w:r w:rsidRPr="00A3228B">
        <w:rPr>
          <w:rFonts w:ascii="Times New Roman" w:hAnsi="Times New Roman" w:cs="Times New Roman"/>
          <w:sz w:val="24"/>
          <w:szCs w:val="24"/>
        </w:rPr>
        <w:t xml:space="preserve">Серумските вредности на IL-6 се покачени кај 13 видови на малигни неоплазми и истите позитивно корелираат со димензиите на туморот, стадиумот и прогресијата на болеста. Концентрацијата на IL-6 во серум претставува прогностички фактор кај пациенти со малигни неоплазми, независно од нивната хетерогеност. </w:t>
      </w:r>
    </w:p>
    <w:p w:rsidR="001F7A11" w:rsidRPr="00A926CA" w:rsidRDefault="004965AE" w:rsidP="007868F9">
      <w:pPr>
        <w:shd w:val="clear" w:color="auto" w:fill="FFFFFF"/>
        <w:textAlignment w:val="baseline"/>
        <w:rPr>
          <w:rFonts w:ascii="Times New Roman" w:hAnsi="Times New Roman" w:cs="Times New Roman"/>
          <w:color w:val="000000"/>
          <w:sz w:val="24"/>
          <w:szCs w:val="24"/>
          <w:shd w:val="clear" w:color="auto" w:fill="FFFFFF"/>
          <w:lang w:val="ru-RU"/>
        </w:rPr>
      </w:pPr>
      <w:r w:rsidRPr="00A3228B">
        <w:rPr>
          <w:rFonts w:ascii="Times New Roman" w:hAnsi="Times New Roman" w:cs="Times New Roman"/>
          <w:sz w:val="24"/>
          <w:szCs w:val="24"/>
        </w:rPr>
        <w:t>Докажано е дека позитивна експресија на антигенот на Cytomegalovirus кај малигни клетки на саливарни неоплазми, може да има значајна улога во канцерогенезата преку зголемување на продукцијата на IL-6 кој претставува медијатор на инфламаторниот</w:t>
      </w:r>
      <w:r w:rsidR="002C660F">
        <w:rPr>
          <w:rFonts w:ascii="Times New Roman" w:hAnsi="Times New Roman" w:cs="Times New Roman"/>
          <w:sz w:val="24"/>
          <w:szCs w:val="24"/>
        </w:rPr>
        <w:t xml:space="preserve"> одговор кај овие неоплазми (445</w:t>
      </w:r>
      <w:r w:rsidRPr="00A3228B">
        <w:rPr>
          <w:rFonts w:ascii="Times New Roman" w:hAnsi="Times New Roman" w:cs="Times New Roman"/>
          <w:sz w:val="24"/>
          <w:szCs w:val="24"/>
        </w:rPr>
        <w:t>).</w:t>
      </w:r>
      <w:r w:rsidR="001F7A11" w:rsidRPr="001F7A11">
        <w:rPr>
          <w:rFonts w:ascii="Times New Roman" w:hAnsi="Times New Roman" w:cs="Times New Roman"/>
          <w:color w:val="000000"/>
          <w:sz w:val="24"/>
          <w:szCs w:val="24"/>
          <w:shd w:val="clear" w:color="auto" w:fill="FFFFFF"/>
        </w:rPr>
        <w:t xml:space="preserve"> </w:t>
      </w:r>
    </w:p>
    <w:p w:rsidR="001F7A11" w:rsidRPr="00A926CA" w:rsidRDefault="001F7A11" w:rsidP="007868F9">
      <w:pPr>
        <w:shd w:val="clear" w:color="auto" w:fill="FFFFFF"/>
        <w:textAlignment w:val="baseline"/>
        <w:rPr>
          <w:rFonts w:ascii="Times New Roman" w:hAnsi="Times New Roman" w:cs="Times New Roman"/>
          <w:b/>
          <w:color w:val="000000"/>
          <w:sz w:val="24"/>
          <w:szCs w:val="24"/>
          <w:shd w:val="clear" w:color="auto" w:fill="FFFFFF"/>
          <w:lang w:val="ru-RU"/>
        </w:rPr>
      </w:pPr>
    </w:p>
    <w:p w:rsidR="007868F9" w:rsidRDefault="007868F9" w:rsidP="007868F9">
      <w:pPr>
        <w:shd w:val="clear" w:color="auto" w:fill="FFFFFF"/>
        <w:textAlignment w:val="baseline"/>
        <w:rPr>
          <w:rFonts w:ascii="Times New Roman" w:hAnsi="Times New Roman" w:cs="Times New Roman"/>
          <w:b/>
          <w:color w:val="000000"/>
          <w:sz w:val="24"/>
          <w:szCs w:val="24"/>
          <w:shd w:val="clear" w:color="auto" w:fill="FFFFFF"/>
        </w:rPr>
      </w:pPr>
    </w:p>
    <w:p w:rsidR="001F7A11" w:rsidRPr="00A926CA" w:rsidRDefault="001F7A11" w:rsidP="007868F9">
      <w:pPr>
        <w:shd w:val="clear" w:color="auto" w:fill="FFFFFF"/>
        <w:textAlignment w:val="baseline"/>
        <w:rPr>
          <w:rFonts w:ascii="Times New Roman" w:hAnsi="Times New Roman" w:cs="Times New Roman"/>
          <w:b/>
          <w:color w:val="000000"/>
          <w:sz w:val="24"/>
          <w:szCs w:val="24"/>
          <w:shd w:val="clear" w:color="auto" w:fill="FFFFFF"/>
          <w:lang w:val="ru-RU"/>
        </w:rPr>
      </w:pPr>
      <w:r w:rsidRPr="001F7A11">
        <w:rPr>
          <w:rFonts w:ascii="Times New Roman" w:hAnsi="Times New Roman" w:cs="Times New Roman"/>
          <w:b/>
          <w:color w:val="000000"/>
          <w:sz w:val="24"/>
          <w:szCs w:val="24"/>
          <w:shd w:val="clear" w:color="auto" w:fill="FFFFFF"/>
        </w:rPr>
        <w:t>IL-18</w:t>
      </w:r>
      <w:r w:rsidR="001B07E1">
        <w:rPr>
          <w:rFonts w:ascii="Times New Roman" w:hAnsi="Times New Roman" w:cs="Times New Roman"/>
          <w:b/>
          <w:color w:val="000000"/>
          <w:sz w:val="24"/>
          <w:szCs w:val="24"/>
          <w:shd w:val="clear" w:color="auto" w:fill="FFFFFF"/>
        </w:rPr>
        <w:t xml:space="preserve"> </w:t>
      </w:r>
    </w:p>
    <w:p w:rsidR="007868F9" w:rsidRDefault="007868F9" w:rsidP="007868F9">
      <w:pPr>
        <w:shd w:val="clear" w:color="auto" w:fill="FFFFFF"/>
        <w:textAlignment w:val="baseline"/>
        <w:rPr>
          <w:rFonts w:ascii="Times New Roman" w:hAnsi="Times New Roman" w:cs="Times New Roman"/>
          <w:color w:val="000000"/>
          <w:sz w:val="24"/>
          <w:szCs w:val="24"/>
          <w:shd w:val="clear" w:color="auto" w:fill="FFFFFF"/>
        </w:rPr>
      </w:pPr>
    </w:p>
    <w:p w:rsidR="001F7A11" w:rsidRPr="00A3228B" w:rsidRDefault="001F7A11" w:rsidP="007868F9">
      <w:pPr>
        <w:shd w:val="clear" w:color="auto" w:fill="FFFFFF"/>
        <w:textAlignment w:val="baseline"/>
        <w:rPr>
          <w:rFonts w:ascii="Times New Roman" w:hAnsi="Times New Roman" w:cs="Times New Roman"/>
          <w:color w:val="000000"/>
          <w:sz w:val="24"/>
          <w:szCs w:val="24"/>
          <w:shd w:val="clear" w:color="auto" w:fill="FFFFFF"/>
        </w:rPr>
      </w:pPr>
      <w:r w:rsidRPr="00A3228B">
        <w:rPr>
          <w:rFonts w:ascii="Times New Roman" w:hAnsi="Times New Roman" w:cs="Times New Roman"/>
          <w:color w:val="000000"/>
          <w:sz w:val="24"/>
          <w:szCs w:val="24"/>
          <w:shd w:val="clear" w:color="auto" w:fill="FFFFFF"/>
        </w:rPr>
        <w:t>IL-18 претставува про-инфламаторен цитокин и игра важна улога во инфламаторните и автоимуни заболувања.  IL-18 е мултифункционален регулатор на вродениот и стекнат имунитет, преку активација на Th1 и Th2  тип</w:t>
      </w:r>
      <w:r>
        <w:rPr>
          <w:rFonts w:ascii="Times New Roman" w:hAnsi="Times New Roman" w:cs="Times New Roman"/>
          <w:color w:val="000000"/>
          <w:sz w:val="24"/>
          <w:szCs w:val="24"/>
          <w:shd w:val="clear" w:color="auto" w:fill="FFFFFF"/>
        </w:rPr>
        <w:t>овите на имунолошки одговор (4</w:t>
      </w:r>
      <w:r w:rsidRPr="00A926CA">
        <w:rPr>
          <w:rFonts w:ascii="Times New Roman" w:hAnsi="Times New Roman" w:cs="Times New Roman"/>
          <w:color w:val="000000"/>
          <w:sz w:val="24"/>
          <w:szCs w:val="24"/>
          <w:shd w:val="clear" w:color="auto" w:fill="FFFFFF"/>
          <w:lang w:val="ru-RU"/>
        </w:rPr>
        <w:t>46</w:t>
      </w:r>
      <w:r>
        <w:rPr>
          <w:rFonts w:ascii="Times New Roman" w:hAnsi="Times New Roman" w:cs="Times New Roman"/>
          <w:color w:val="000000"/>
          <w:sz w:val="24"/>
          <w:szCs w:val="24"/>
          <w:shd w:val="clear" w:color="auto" w:fill="FFFFFF"/>
        </w:rPr>
        <w:t>,4</w:t>
      </w:r>
      <w:r w:rsidRPr="00A926CA">
        <w:rPr>
          <w:rFonts w:ascii="Times New Roman" w:hAnsi="Times New Roman" w:cs="Times New Roman"/>
          <w:color w:val="000000"/>
          <w:sz w:val="24"/>
          <w:szCs w:val="24"/>
          <w:shd w:val="clear" w:color="auto" w:fill="FFFFFF"/>
          <w:lang w:val="ru-RU"/>
        </w:rPr>
        <w:t>47</w:t>
      </w:r>
      <w:r>
        <w:rPr>
          <w:rFonts w:ascii="Times New Roman" w:hAnsi="Times New Roman" w:cs="Times New Roman"/>
          <w:color w:val="000000"/>
          <w:sz w:val="24"/>
          <w:szCs w:val="24"/>
          <w:shd w:val="clear" w:color="auto" w:fill="FFFFFF"/>
        </w:rPr>
        <w:t>,4</w:t>
      </w:r>
      <w:r w:rsidRPr="00A926CA">
        <w:rPr>
          <w:rFonts w:ascii="Times New Roman" w:hAnsi="Times New Roman" w:cs="Times New Roman"/>
          <w:color w:val="000000"/>
          <w:sz w:val="24"/>
          <w:szCs w:val="24"/>
          <w:shd w:val="clear" w:color="auto" w:fill="FFFFFF"/>
          <w:lang w:val="ru-RU"/>
        </w:rPr>
        <w:t>48</w:t>
      </w:r>
      <w:r>
        <w:rPr>
          <w:rFonts w:ascii="Times New Roman" w:hAnsi="Times New Roman" w:cs="Times New Roman"/>
          <w:color w:val="000000"/>
          <w:sz w:val="24"/>
          <w:szCs w:val="24"/>
          <w:shd w:val="clear" w:color="auto" w:fill="FFFFFF"/>
        </w:rPr>
        <w:t>,4</w:t>
      </w:r>
      <w:r w:rsidRPr="00A926CA">
        <w:rPr>
          <w:rFonts w:ascii="Times New Roman" w:hAnsi="Times New Roman" w:cs="Times New Roman"/>
          <w:color w:val="000000"/>
          <w:sz w:val="24"/>
          <w:szCs w:val="24"/>
          <w:shd w:val="clear" w:color="auto" w:fill="FFFFFF"/>
          <w:lang w:val="ru-RU"/>
        </w:rPr>
        <w:t>49</w:t>
      </w:r>
      <w:r w:rsidRPr="00A3228B">
        <w:rPr>
          <w:rFonts w:ascii="Times New Roman" w:hAnsi="Times New Roman" w:cs="Times New Roman"/>
          <w:color w:val="000000"/>
          <w:sz w:val="24"/>
          <w:szCs w:val="24"/>
          <w:shd w:val="clear" w:color="auto" w:fill="FFFFFF"/>
        </w:rPr>
        <w:t>)</w:t>
      </w:r>
      <w:r w:rsidRPr="00A3228B">
        <w:rPr>
          <w:rFonts w:ascii="Times New Roman" w:hAnsi="Times New Roman" w:cs="Times New Roman"/>
          <w:sz w:val="24"/>
          <w:szCs w:val="24"/>
        </w:rPr>
        <w:t>.</w:t>
      </w:r>
      <w:r w:rsidRPr="00A3228B">
        <w:rPr>
          <w:rFonts w:ascii="Times New Roman" w:hAnsi="Times New Roman" w:cs="Times New Roman"/>
          <w:color w:val="000000"/>
          <w:sz w:val="24"/>
          <w:szCs w:val="24"/>
          <w:shd w:val="clear" w:color="auto" w:fill="FFFFFF"/>
        </w:rPr>
        <w:t xml:space="preserve"> </w:t>
      </w:r>
    </w:p>
    <w:p w:rsidR="000B4811" w:rsidRDefault="001F7A11" w:rsidP="007868F9">
      <w:pPr>
        <w:shd w:val="clear" w:color="auto" w:fill="FFFFFF"/>
        <w:textAlignment w:val="baseline"/>
        <w:rPr>
          <w:rFonts w:ascii="Times New Roman" w:hAnsi="Times New Roman" w:cs="Times New Roman"/>
          <w:color w:val="000000"/>
          <w:sz w:val="24"/>
          <w:szCs w:val="24"/>
          <w:shd w:val="clear" w:color="auto" w:fill="FFFFFF"/>
        </w:rPr>
      </w:pPr>
      <w:r w:rsidRPr="00A3228B">
        <w:rPr>
          <w:rFonts w:ascii="Times New Roman" w:hAnsi="Times New Roman" w:cs="Times New Roman"/>
          <w:color w:val="000000"/>
          <w:sz w:val="24"/>
          <w:szCs w:val="24"/>
          <w:shd w:val="clear" w:color="auto" w:fill="FFFFFF"/>
        </w:rPr>
        <w:t>IL-18 е идентификуван не само во макрофагите, вклучувајќи ги тука дендритичните и Kupffer клетки, туку и во клетки кои немаат вл</w:t>
      </w:r>
      <w:r w:rsidR="00A128A8">
        <w:rPr>
          <w:rFonts w:ascii="Times New Roman" w:hAnsi="Times New Roman" w:cs="Times New Roman"/>
          <w:color w:val="000000"/>
          <w:sz w:val="24"/>
          <w:szCs w:val="24"/>
          <w:shd w:val="clear" w:color="auto" w:fill="FFFFFF"/>
        </w:rPr>
        <w:t xml:space="preserve">ијание врз имунолошкиот одговор </w:t>
      </w:r>
      <w:r>
        <w:rPr>
          <w:rFonts w:ascii="Times New Roman" w:hAnsi="Times New Roman" w:cs="Times New Roman"/>
          <w:color w:val="000000"/>
          <w:sz w:val="24"/>
          <w:szCs w:val="24"/>
          <w:shd w:val="clear" w:color="auto" w:fill="FFFFFF"/>
        </w:rPr>
        <w:t>(4</w:t>
      </w:r>
      <w:r w:rsidR="001127AC" w:rsidRPr="00A926CA">
        <w:rPr>
          <w:rFonts w:ascii="Times New Roman" w:hAnsi="Times New Roman" w:cs="Times New Roman"/>
          <w:color w:val="000000"/>
          <w:sz w:val="24"/>
          <w:szCs w:val="24"/>
          <w:shd w:val="clear" w:color="auto" w:fill="FFFFFF"/>
          <w:lang w:val="ru-RU"/>
        </w:rPr>
        <w:t>4</w:t>
      </w:r>
      <w:r w:rsidR="00106238" w:rsidRPr="00A926CA">
        <w:rPr>
          <w:rFonts w:ascii="Times New Roman" w:hAnsi="Times New Roman" w:cs="Times New Roman"/>
          <w:color w:val="000000"/>
          <w:sz w:val="24"/>
          <w:szCs w:val="24"/>
          <w:shd w:val="clear" w:color="auto" w:fill="FFFFFF"/>
          <w:lang w:val="ru-RU"/>
        </w:rPr>
        <w:t>7</w:t>
      </w:r>
      <w:r>
        <w:rPr>
          <w:rFonts w:ascii="Times New Roman" w:hAnsi="Times New Roman" w:cs="Times New Roman"/>
          <w:color w:val="000000"/>
          <w:sz w:val="24"/>
          <w:szCs w:val="24"/>
          <w:shd w:val="clear" w:color="auto" w:fill="FFFFFF"/>
        </w:rPr>
        <w:t>,4</w:t>
      </w:r>
      <w:r w:rsidR="001127AC" w:rsidRPr="00A926CA">
        <w:rPr>
          <w:rFonts w:ascii="Times New Roman" w:hAnsi="Times New Roman" w:cs="Times New Roman"/>
          <w:color w:val="000000"/>
          <w:sz w:val="24"/>
          <w:szCs w:val="24"/>
          <w:shd w:val="clear" w:color="auto" w:fill="FFFFFF"/>
          <w:lang w:val="ru-RU"/>
        </w:rPr>
        <w:t>4</w:t>
      </w:r>
      <w:r w:rsidR="00106238" w:rsidRPr="00A926CA">
        <w:rPr>
          <w:rFonts w:ascii="Times New Roman" w:hAnsi="Times New Roman" w:cs="Times New Roman"/>
          <w:color w:val="000000"/>
          <w:sz w:val="24"/>
          <w:szCs w:val="24"/>
          <w:shd w:val="clear" w:color="auto" w:fill="FFFFFF"/>
          <w:lang w:val="ru-RU"/>
        </w:rPr>
        <w:t>8</w:t>
      </w:r>
      <w:r>
        <w:rPr>
          <w:rFonts w:ascii="Times New Roman" w:hAnsi="Times New Roman" w:cs="Times New Roman"/>
          <w:color w:val="000000"/>
          <w:sz w:val="24"/>
          <w:szCs w:val="24"/>
          <w:shd w:val="clear" w:color="auto" w:fill="FFFFFF"/>
        </w:rPr>
        <w:t>,4</w:t>
      </w:r>
      <w:r w:rsidR="001127AC" w:rsidRPr="00A926CA">
        <w:rPr>
          <w:rFonts w:ascii="Times New Roman" w:hAnsi="Times New Roman" w:cs="Times New Roman"/>
          <w:color w:val="000000"/>
          <w:sz w:val="24"/>
          <w:szCs w:val="24"/>
          <w:shd w:val="clear" w:color="auto" w:fill="FFFFFF"/>
          <w:lang w:val="ru-RU"/>
        </w:rPr>
        <w:t>4</w:t>
      </w:r>
      <w:r w:rsidR="00106238" w:rsidRPr="00A926CA">
        <w:rPr>
          <w:rFonts w:ascii="Times New Roman" w:hAnsi="Times New Roman" w:cs="Times New Roman"/>
          <w:color w:val="000000"/>
          <w:sz w:val="24"/>
          <w:szCs w:val="24"/>
          <w:shd w:val="clear" w:color="auto" w:fill="FFFFFF"/>
          <w:lang w:val="ru-RU"/>
        </w:rPr>
        <w:t>9</w:t>
      </w:r>
      <w:r>
        <w:rPr>
          <w:rFonts w:ascii="Times New Roman" w:hAnsi="Times New Roman" w:cs="Times New Roman"/>
          <w:color w:val="000000"/>
          <w:sz w:val="24"/>
          <w:szCs w:val="24"/>
          <w:shd w:val="clear" w:color="auto" w:fill="FFFFFF"/>
        </w:rPr>
        <w:t>,4</w:t>
      </w:r>
      <w:r w:rsidR="00106238" w:rsidRPr="00A926CA">
        <w:rPr>
          <w:rFonts w:ascii="Times New Roman" w:hAnsi="Times New Roman" w:cs="Times New Roman"/>
          <w:color w:val="000000"/>
          <w:sz w:val="24"/>
          <w:szCs w:val="24"/>
          <w:shd w:val="clear" w:color="auto" w:fill="FFFFFF"/>
          <w:lang w:val="ru-RU"/>
        </w:rPr>
        <w:t>50</w:t>
      </w:r>
      <w:r w:rsidRPr="00A3228B">
        <w:rPr>
          <w:rFonts w:ascii="Times New Roman" w:hAnsi="Times New Roman" w:cs="Times New Roman"/>
          <w:color w:val="000000"/>
          <w:sz w:val="24"/>
          <w:szCs w:val="24"/>
          <w:shd w:val="clear" w:color="auto" w:fill="FFFFFF"/>
        </w:rPr>
        <w:t>)</w:t>
      </w:r>
      <w:r w:rsidR="00A128A8">
        <w:rPr>
          <w:rFonts w:ascii="Times New Roman" w:hAnsi="Times New Roman" w:cs="Times New Roman"/>
          <w:color w:val="000000"/>
          <w:sz w:val="24"/>
          <w:szCs w:val="24"/>
          <w:shd w:val="clear" w:color="auto" w:fill="FFFFFF"/>
        </w:rPr>
        <w:t>.</w:t>
      </w: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0B4811" w:rsidRDefault="000B4811" w:rsidP="007868F9">
      <w:pPr>
        <w:shd w:val="clear" w:color="auto" w:fill="FFFFFF"/>
        <w:textAlignment w:val="baseline"/>
        <w:rPr>
          <w:rFonts w:ascii="Times New Roman" w:hAnsi="Times New Roman" w:cs="Times New Roman"/>
          <w:color w:val="000000"/>
          <w:sz w:val="24"/>
          <w:szCs w:val="24"/>
          <w:shd w:val="clear" w:color="auto" w:fill="FFFFFF"/>
        </w:rPr>
      </w:pPr>
    </w:p>
    <w:p w:rsidR="001F7A11" w:rsidRPr="00A3228B" w:rsidRDefault="00A128A8" w:rsidP="007868F9">
      <w:pPr>
        <w:shd w:val="clear" w:color="auto" w:fill="FFFFFF"/>
        <w:textAlignment w:val="baseline"/>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П</w:t>
      </w:r>
      <w:r w:rsidR="001F7A11" w:rsidRPr="00A3228B">
        <w:rPr>
          <w:rFonts w:ascii="Times New Roman" w:hAnsi="Times New Roman" w:cs="Times New Roman"/>
          <w:color w:val="000000"/>
          <w:sz w:val="24"/>
          <w:szCs w:val="24"/>
          <w:shd w:val="clear" w:color="auto" w:fill="FFFFFF"/>
        </w:rPr>
        <w:t>окачени нивоа на IL-18 во серум, може да се сметаат за дијагностички маркер,</w:t>
      </w:r>
      <w:r>
        <w:rPr>
          <w:rFonts w:ascii="Times New Roman" w:hAnsi="Times New Roman" w:cs="Times New Roman"/>
          <w:color w:val="000000"/>
          <w:sz w:val="24"/>
          <w:szCs w:val="24"/>
          <w:shd w:val="clear" w:color="auto" w:fill="FFFFFF"/>
        </w:rPr>
        <w:t xml:space="preserve"> </w:t>
      </w:r>
      <w:r w:rsidR="001F7A11" w:rsidRPr="00A3228B">
        <w:rPr>
          <w:rFonts w:ascii="Times New Roman" w:hAnsi="Times New Roman" w:cs="Times New Roman"/>
          <w:color w:val="000000"/>
          <w:sz w:val="24"/>
          <w:szCs w:val="24"/>
          <w:shd w:val="clear" w:color="auto" w:fill="FFFFFF"/>
        </w:rPr>
        <w:t>односно параметар з</w:t>
      </w:r>
      <w:r w:rsidR="001F7A11">
        <w:rPr>
          <w:rFonts w:ascii="Times New Roman" w:hAnsi="Times New Roman" w:cs="Times New Roman"/>
          <w:color w:val="000000"/>
          <w:sz w:val="24"/>
          <w:szCs w:val="24"/>
          <w:shd w:val="clear" w:color="auto" w:fill="FFFFFF"/>
        </w:rPr>
        <w:t>а стадиумот на некои заболувања (4</w:t>
      </w:r>
      <w:r w:rsidR="001127AC" w:rsidRPr="00A926CA">
        <w:rPr>
          <w:rFonts w:ascii="Times New Roman" w:hAnsi="Times New Roman" w:cs="Times New Roman"/>
          <w:color w:val="000000"/>
          <w:sz w:val="24"/>
          <w:szCs w:val="24"/>
          <w:shd w:val="clear" w:color="auto" w:fill="FFFFFF"/>
          <w:lang w:val="ru-RU"/>
        </w:rPr>
        <w:t>5</w:t>
      </w:r>
      <w:r w:rsidR="00106238" w:rsidRPr="00A926CA">
        <w:rPr>
          <w:rFonts w:ascii="Times New Roman" w:hAnsi="Times New Roman" w:cs="Times New Roman"/>
          <w:color w:val="000000"/>
          <w:sz w:val="24"/>
          <w:szCs w:val="24"/>
          <w:shd w:val="clear" w:color="auto" w:fill="FFFFFF"/>
          <w:lang w:val="ru-RU"/>
        </w:rPr>
        <w:t>1</w:t>
      </w:r>
      <w:r w:rsidR="001F7A11">
        <w:rPr>
          <w:rFonts w:ascii="Times New Roman" w:hAnsi="Times New Roman" w:cs="Times New Roman"/>
          <w:color w:val="000000"/>
          <w:sz w:val="24"/>
          <w:szCs w:val="24"/>
          <w:shd w:val="clear" w:color="auto" w:fill="FFFFFF"/>
        </w:rPr>
        <w:t>), како што се:</w:t>
      </w:r>
      <w:r w:rsidR="001F7A11" w:rsidRPr="008F4D7A">
        <w:rPr>
          <w:rFonts w:ascii="Times New Roman" w:hAnsi="Times New Roman" w:cs="Times New Roman"/>
          <w:color w:val="000000"/>
          <w:sz w:val="24"/>
          <w:szCs w:val="24"/>
          <w:shd w:val="clear" w:color="auto" w:fill="FFFFFF"/>
        </w:rPr>
        <w:t xml:space="preserve"> </w:t>
      </w:r>
      <w:r w:rsidR="001F7A11" w:rsidRPr="00A3228B">
        <w:rPr>
          <w:rFonts w:ascii="Times New Roman" w:hAnsi="Times New Roman" w:cs="Times New Roman"/>
          <w:color w:val="000000"/>
          <w:sz w:val="24"/>
          <w:szCs w:val="24"/>
          <w:shd w:val="clear" w:color="auto" w:fill="FFFFFF"/>
        </w:rPr>
        <w:t>автоимуни, инфламаторни заболувања, алергии, отфрлање на ал</w:t>
      </w:r>
      <w:r w:rsidR="001F7A11">
        <w:rPr>
          <w:rFonts w:ascii="Times New Roman" w:hAnsi="Times New Roman" w:cs="Times New Roman"/>
          <w:color w:val="000000"/>
          <w:sz w:val="24"/>
          <w:szCs w:val="24"/>
          <w:shd w:val="clear" w:color="auto" w:fill="FFFFFF"/>
        </w:rPr>
        <w:t>ографт и инфективни болести (</w:t>
      </w:r>
      <w:r w:rsidR="00AD4C30">
        <w:rPr>
          <w:rFonts w:ascii="Times New Roman" w:hAnsi="Times New Roman" w:cs="Times New Roman"/>
          <w:color w:val="000000"/>
          <w:sz w:val="24"/>
          <w:szCs w:val="24"/>
          <w:shd w:val="clear" w:color="auto" w:fill="FFFFFF"/>
        </w:rPr>
        <w:t>4</w:t>
      </w:r>
      <w:r w:rsidR="00AD4C30" w:rsidRPr="00A926CA">
        <w:rPr>
          <w:rFonts w:ascii="Times New Roman" w:hAnsi="Times New Roman" w:cs="Times New Roman"/>
          <w:color w:val="000000"/>
          <w:sz w:val="24"/>
          <w:szCs w:val="24"/>
          <w:shd w:val="clear" w:color="auto" w:fill="FFFFFF"/>
          <w:lang w:val="ru-RU"/>
        </w:rPr>
        <w:t>47</w:t>
      </w:r>
      <w:r w:rsidR="00AD4C30">
        <w:rPr>
          <w:rFonts w:ascii="Times New Roman" w:hAnsi="Times New Roman" w:cs="Times New Roman"/>
          <w:color w:val="000000"/>
          <w:sz w:val="24"/>
          <w:szCs w:val="24"/>
          <w:shd w:val="clear" w:color="auto" w:fill="FFFFFF"/>
        </w:rPr>
        <w:t>,4</w:t>
      </w:r>
      <w:r w:rsidR="00AD4C30" w:rsidRPr="00A926CA">
        <w:rPr>
          <w:rFonts w:ascii="Times New Roman" w:hAnsi="Times New Roman" w:cs="Times New Roman"/>
          <w:color w:val="000000"/>
          <w:sz w:val="24"/>
          <w:szCs w:val="24"/>
          <w:shd w:val="clear" w:color="auto" w:fill="FFFFFF"/>
          <w:lang w:val="ru-RU"/>
        </w:rPr>
        <w:t>48</w:t>
      </w:r>
      <w:r w:rsidR="00AD4C30">
        <w:rPr>
          <w:rFonts w:ascii="Times New Roman" w:hAnsi="Times New Roman" w:cs="Times New Roman"/>
          <w:color w:val="000000"/>
          <w:sz w:val="24"/>
          <w:szCs w:val="24"/>
          <w:shd w:val="clear" w:color="auto" w:fill="FFFFFF"/>
        </w:rPr>
        <w:t>,4</w:t>
      </w:r>
      <w:r w:rsidR="00AD4C30" w:rsidRPr="00A926CA">
        <w:rPr>
          <w:rFonts w:ascii="Times New Roman" w:hAnsi="Times New Roman" w:cs="Times New Roman"/>
          <w:color w:val="000000"/>
          <w:sz w:val="24"/>
          <w:szCs w:val="24"/>
          <w:shd w:val="clear" w:color="auto" w:fill="FFFFFF"/>
          <w:lang w:val="ru-RU"/>
        </w:rPr>
        <w:t>49</w:t>
      </w:r>
      <w:r w:rsidR="001F7A11">
        <w:rPr>
          <w:rFonts w:ascii="Times New Roman" w:hAnsi="Times New Roman" w:cs="Times New Roman"/>
          <w:color w:val="000000"/>
          <w:sz w:val="24"/>
          <w:szCs w:val="24"/>
          <w:shd w:val="clear" w:color="auto" w:fill="FFFFFF"/>
        </w:rPr>
        <w:t>).</w:t>
      </w:r>
    </w:p>
    <w:p w:rsidR="007868F9" w:rsidRDefault="007868F9" w:rsidP="007868F9">
      <w:pPr>
        <w:shd w:val="clear" w:color="auto" w:fill="FFFFFF"/>
        <w:spacing w:after="107"/>
        <w:textAlignment w:val="baseline"/>
        <w:rPr>
          <w:rFonts w:ascii="Times New Roman" w:hAnsi="Times New Roman" w:cs="Times New Roman"/>
          <w:color w:val="000000"/>
          <w:sz w:val="24"/>
          <w:szCs w:val="24"/>
          <w:shd w:val="clear" w:color="auto" w:fill="FFFFFF"/>
        </w:rPr>
      </w:pPr>
    </w:p>
    <w:p w:rsidR="00233F7E" w:rsidRDefault="001F7A11" w:rsidP="007868F9">
      <w:pPr>
        <w:shd w:val="clear" w:color="auto" w:fill="FFFFFF"/>
        <w:spacing w:after="107"/>
        <w:textAlignment w:val="baseline"/>
        <w:rPr>
          <w:rFonts w:ascii="Times New Roman" w:hAnsi="Times New Roman" w:cs="Times New Roman"/>
          <w:color w:val="000000"/>
          <w:sz w:val="24"/>
          <w:szCs w:val="24"/>
        </w:rPr>
      </w:pPr>
      <w:r w:rsidRPr="00A3228B">
        <w:rPr>
          <w:rFonts w:ascii="Times New Roman" w:hAnsi="Times New Roman" w:cs="Times New Roman"/>
          <w:color w:val="000000"/>
          <w:sz w:val="24"/>
          <w:szCs w:val="24"/>
          <w:shd w:val="clear" w:color="auto" w:fill="FFFFFF"/>
        </w:rPr>
        <w:t>Експресија на IL-18 е детектирана во ацинарни, интрадуктални клетки и CD68</w:t>
      </w:r>
      <w:r w:rsidRPr="00A3228B">
        <w:rPr>
          <w:rFonts w:ascii="Times New Roman" w:hAnsi="Times New Roman" w:cs="Times New Roman"/>
          <w:color w:val="000000"/>
          <w:sz w:val="24"/>
          <w:szCs w:val="24"/>
          <w:bdr w:val="none" w:sz="0" w:space="0" w:color="auto" w:frame="1"/>
          <w:shd w:val="clear" w:color="auto" w:fill="FFFFFF"/>
          <w:vertAlign w:val="superscript"/>
        </w:rPr>
        <w:t>+</w:t>
      </w:r>
      <w:r w:rsidRPr="00A3228B">
        <w:rPr>
          <w:rFonts w:ascii="Times New Roman" w:hAnsi="Times New Roman" w:cs="Times New Roman"/>
          <w:color w:val="000000"/>
          <w:sz w:val="24"/>
          <w:szCs w:val="24"/>
          <w:shd w:val="clear" w:color="auto" w:fill="FFFFFF"/>
        </w:rPr>
        <w:t> макрофаги кај пациенти со Сјогрен синдром. Дополнително и двете форми на IL-18, инактивна и активна форма, се детектирани во саливарните жлезди кај овие пациенти, што понатаму сугерира дека и инактивната форма на овој интерлеукин, игра улога во патог</w:t>
      </w:r>
      <w:r w:rsidR="001127AC">
        <w:rPr>
          <w:rFonts w:ascii="Times New Roman" w:hAnsi="Times New Roman" w:cs="Times New Roman"/>
          <w:color w:val="000000"/>
          <w:sz w:val="24"/>
          <w:szCs w:val="24"/>
          <w:shd w:val="clear" w:color="auto" w:fill="FFFFFF"/>
        </w:rPr>
        <w:t>енезата на Сјогрен синдромот(4</w:t>
      </w:r>
      <w:r w:rsidR="001127AC" w:rsidRPr="00A926CA">
        <w:rPr>
          <w:rFonts w:ascii="Times New Roman" w:hAnsi="Times New Roman" w:cs="Times New Roman"/>
          <w:color w:val="000000"/>
          <w:sz w:val="24"/>
          <w:szCs w:val="24"/>
          <w:shd w:val="clear" w:color="auto" w:fill="FFFFFF"/>
          <w:lang w:val="ru-RU"/>
        </w:rPr>
        <w:t>78</w:t>
      </w:r>
      <w:r w:rsidRPr="00A3228B">
        <w:rPr>
          <w:rFonts w:ascii="Times New Roman" w:hAnsi="Times New Roman" w:cs="Times New Roman"/>
          <w:color w:val="000000"/>
          <w:sz w:val="24"/>
          <w:szCs w:val="24"/>
          <w:shd w:val="clear" w:color="auto" w:fill="FFFFFF"/>
        </w:rPr>
        <w:t xml:space="preserve">). </w:t>
      </w:r>
      <w:r w:rsidRPr="00A3228B">
        <w:rPr>
          <w:rFonts w:ascii="Times New Roman" w:hAnsi="Times New Roman" w:cs="Times New Roman"/>
          <w:color w:val="000000"/>
          <w:sz w:val="24"/>
          <w:szCs w:val="24"/>
        </w:rPr>
        <w:t>Експресијата на IL-18 во саливарните жлезди кај пациенти со Сјогрен синдром, корелира со покачени с</w:t>
      </w:r>
      <w:r>
        <w:rPr>
          <w:rFonts w:ascii="Times New Roman" w:hAnsi="Times New Roman" w:cs="Times New Roman"/>
          <w:color w:val="000000"/>
          <w:sz w:val="24"/>
          <w:szCs w:val="24"/>
        </w:rPr>
        <w:t>ерумски вредности на истиот (</w:t>
      </w:r>
      <w:r w:rsidR="001127AC" w:rsidRPr="00A926CA">
        <w:rPr>
          <w:rFonts w:ascii="Times New Roman" w:hAnsi="Times New Roman" w:cs="Times New Roman"/>
          <w:color w:val="000000"/>
          <w:sz w:val="24"/>
          <w:szCs w:val="24"/>
          <w:lang w:val="ru-RU"/>
        </w:rPr>
        <w:t>45</w:t>
      </w:r>
      <w:r w:rsidR="00106238" w:rsidRPr="00A926CA">
        <w:rPr>
          <w:rFonts w:ascii="Times New Roman" w:hAnsi="Times New Roman" w:cs="Times New Roman"/>
          <w:color w:val="000000"/>
          <w:sz w:val="24"/>
          <w:szCs w:val="24"/>
          <w:lang w:val="ru-RU"/>
        </w:rPr>
        <w:t>2</w:t>
      </w:r>
      <w:r w:rsidR="001127AC" w:rsidRPr="00A926CA">
        <w:rPr>
          <w:rFonts w:ascii="Times New Roman" w:hAnsi="Times New Roman" w:cs="Times New Roman"/>
          <w:color w:val="000000"/>
          <w:sz w:val="24"/>
          <w:szCs w:val="24"/>
          <w:lang w:val="ru-RU"/>
        </w:rPr>
        <w:t>,45</w:t>
      </w:r>
      <w:r w:rsidR="00106238" w:rsidRPr="00A926CA">
        <w:rPr>
          <w:rFonts w:ascii="Times New Roman" w:hAnsi="Times New Roman" w:cs="Times New Roman"/>
          <w:color w:val="000000"/>
          <w:sz w:val="24"/>
          <w:szCs w:val="24"/>
          <w:lang w:val="ru-RU"/>
        </w:rPr>
        <w:t>3</w:t>
      </w:r>
      <w:r w:rsidRPr="00A3228B">
        <w:rPr>
          <w:rFonts w:ascii="Times New Roman" w:hAnsi="Times New Roman" w:cs="Times New Roman"/>
          <w:color w:val="000000"/>
          <w:sz w:val="24"/>
          <w:szCs w:val="24"/>
        </w:rPr>
        <w:t>).</w:t>
      </w:r>
    </w:p>
    <w:p w:rsidR="00233F7E" w:rsidRDefault="00233F7E" w:rsidP="007868F9">
      <w:pPr>
        <w:shd w:val="clear" w:color="auto" w:fill="FFFFFF"/>
        <w:spacing w:after="107"/>
        <w:textAlignment w:val="baseline"/>
        <w:rPr>
          <w:rFonts w:ascii="Times New Roman" w:hAnsi="Times New Roman" w:cs="Times New Roman"/>
          <w:color w:val="000000"/>
          <w:sz w:val="24"/>
          <w:szCs w:val="24"/>
        </w:rPr>
      </w:pPr>
    </w:p>
    <w:p w:rsidR="001F7A11" w:rsidRPr="00233F7E" w:rsidRDefault="001F7A11" w:rsidP="007868F9">
      <w:pPr>
        <w:shd w:val="clear" w:color="auto" w:fill="FFFFFF"/>
        <w:spacing w:after="107"/>
        <w:textAlignment w:val="baseline"/>
        <w:rPr>
          <w:rFonts w:ascii="Times New Roman" w:hAnsi="Times New Roman" w:cs="Times New Roman"/>
          <w:color w:val="000000"/>
          <w:sz w:val="24"/>
          <w:szCs w:val="24"/>
          <w:shd w:val="clear" w:color="auto" w:fill="FFFFFF"/>
        </w:rPr>
      </w:pPr>
      <w:r w:rsidRPr="004E7AB3">
        <w:rPr>
          <w:rFonts w:ascii="Times New Roman" w:hAnsi="Times New Roman" w:cs="Times New Roman"/>
          <w:b/>
          <w:color w:val="000000"/>
        </w:rPr>
        <w:t>IL-7</w:t>
      </w:r>
    </w:p>
    <w:p w:rsidR="007868F9" w:rsidRDefault="007868F9" w:rsidP="007868F9">
      <w:pPr>
        <w:shd w:val="clear" w:color="auto" w:fill="FFFFFF"/>
        <w:rPr>
          <w:rFonts w:ascii="Times New Roman" w:hAnsi="Times New Roman" w:cs="Times New Roman"/>
          <w:sz w:val="24"/>
          <w:szCs w:val="24"/>
        </w:rPr>
      </w:pPr>
    </w:p>
    <w:p w:rsidR="001F7A11" w:rsidRPr="00A926CA" w:rsidRDefault="00A128A8" w:rsidP="007868F9">
      <w:pPr>
        <w:shd w:val="clear" w:color="auto" w:fill="FFFFFF"/>
        <w:rPr>
          <w:rFonts w:ascii="Times New Roman" w:hAnsi="Times New Roman" w:cs="Times New Roman"/>
          <w:sz w:val="24"/>
          <w:szCs w:val="24"/>
          <w:lang w:val="ru-RU"/>
        </w:rPr>
      </w:pPr>
      <w:r>
        <w:rPr>
          <w:rFonts w:ascii="Times New Roman" w:hAnsi="Times New Roman" w:cs="Times New Roman"/>
          <w:sz w:val="24"/>
          <w:szCs w:val="24"/>
        </w:rPr>
        <w:t>IL-7 претставува плеи</w:t>
      </w:r>
      <w:r w:rsidR="001F7A11" w:rsidRPr="00A3228B">
        <w:rPr>
          <w:rFonts w:ascii="Times New Roman" w:hAnsi="Times New Roman" w:cs="Times New Roman"/>
          <w:sz w:val="24"/>
          <w:szCs w:val="24"/>
        </w:rPr>
        <w:t xml:space="preserve">отропен цитокин кој го продуцираат стромалните и епителни клетки, односно клетки кои што немаат хематопоетско потекло и игра централна улога во хомеостазата на Т лимфоцитите. Досега неколку истражувања го имаат потенцирано значењето на IL-7/IL-7Rα оската во патофизиологијата на примарниот Сјогрен синдром. Детектирани се покачени нивоа на IL-7 и неговиот рецептор, IL-7Rα, познат и како CD127, во плунковните жлезди на пациенти </w:t>
      </w:r>
      <w:r w:rsidR="00AD4C30">
        <w:rPr>
          <w:rFonts w:ascii="Times New Roman" w:hAnsi="Times New Roman" w:cs="Times New Roman"/>
          <w:sz w:val="24"/>
          <w:szCs w:val="24"/>
        </w:rPr>
        <w:t>со примарен Сјогрен синдром (4</w:t>
      </w:r>
      <w:r w:rsidR="001127AC" w:rsidRPr="00A926CA">
        <w:rPr>
          <w:rFonts w:ascii="Times New Roman" w:hAnsi="Times New Roman" w:cs="Times New Roman"/>
          <w:sz w:val="24"/>
          <w:szCs w:val="24"/>
          <w:lang w:val="ru-RU"/>
        </w:rPr>
        <w:t>5</w:t>
      </w:r>
      <w:r w:rsidR="00106238" w:rsidRPr="00A926CA">
        <w:rPr>
          <w:rFonts w:ascii="Times New Roman" w:hAnsi="Times New Roman" w:cs="Times New Roman"/>
          <w:sz w:val="24"/>
          <w:szCs w:val="24"/>
          <w:lang w:val="ru-RU"/>
        </w:rPr>
        <w:t>4</w:t>
      </w:r>
      <w:r w:rsidR="001F7A11" w:rsidRPr="00A3228B">
        <w:rPr>
          <w:rFonts w:ascii="Times New Roman" w:hAnsi="Times New Roman" w:cs="Times New Roman"/>
          <w:sz w:val="24"/>
          <w:szCs w:val="24"/>
        </w:rPr>
        <w:t>). Со имунохистохемија, Bikker и соработниците покажале поврзаност помеѓу присуството на IL-7Rα позитивни T клетки во саливарните жлези кај пациенти со примарен Сјогрен синдром и манифестирањето на сијала</w:t>
      </w:r>
      <w:r w:rsidR="00AD4C30">
        <w:rPr>
          <w:rFonts w:ascii="Times New Roman" w:hAnsi="Times New Roman" w:cs="Times New Roman"/>
          <w:sz w:val="24"/>
          <w:szCs w:val="24"/>
        </w:rPr>
        <w:t>денит и екпресијата на IL-7 (4</w:t>
      </w:r>
      <w:r w:rsidR="001127AC" w:rsidRPr="00A926CA">
        <w:rPr>
          <w:rFonts w:ascii="Times New Roman" w:hAnsi="Times New Roman" w:cs="Times New Roman"/>
          <w:sz w:val="24"/>
          <w:szCs w:val="24"/>
          <w:lang w:val="ru-RU"/>
        </w:rPr>
        <w:t>5</w:t>
      </w:r>
      <w:r w:rsidR="00106238" w:rsidRPr="00A926CA">
        <w:rPr>
          <w:rFonts w:ascii="Times New Roman" w:hAnsi="Times New Roman" w:cs="Times New Roman"/>
          <w:sz w:val="24"/>
          <w:szCs w:val="24"/>
          <w:lang w:val="ru-RU"/>
        </w:rPr>
        <w:t>5</w:t>
      </w:r>
      <w:r w:rsidR="001F7A11" w:rsidRPr="00A3228B">
        <w:rPr>
          <w:rFonts w:ascii="Times New Roman" w:hAnsi="Times New Roman" w:cs="Times New Roman"/>
          <w:sz w:val="24"/>
          <w:szCs w:val="24"/>
        </w:rPr>
        <w:t>). Активноста на IL-7 се смета дека е регулирана од страна на растворливата форма на неговиот рецептор (sIL-7R). Растворливата варијаната на рецепторот IL7Rα , ја потенцира биоактивноста на IL-7 и предизвикува автоимунитет. Hillen и соработниците пак, детектираат повисока концентрација на солубилниот рецептор sIL-7R во серум и супернатант од саливарни жлезди кај пациенти со примарен Сјогрен синдром, проследено со по изразена инфлам</w:t>
      </w:r>
      <w:r w:rsidR="001F7A11">
        <w:rPr>
          <w:rFonts w:ascii="Times New Roman" w:hAnsi="Times New Roman" w:cs="Times New Roman"/>
          <w:sz w:val="24"/>
          <w:szCs w:val="24"/>
        </w:rPr>
        <w:t>ација и намалена саливација (</w:t>
      </w:r>
      <w:r w:rsidR="00AD4C30" w:rsidRPr="00A926CA">
        <w:rPr>
          <w:rFonts w:ascii="Times New Roman" w:hAnsi="Times New Roman" w:cs="Times New Roman"/>
          <w:sz w:val="24"/>
          <w:szCs w:val="24"/>
          <w:lang w:val="ru-RU"/>
        </w:rPr>
        <w:t>4</w:t>
      </w:r>
      <w:r w:rsidR="001127AC" w:rsidRPr="00A926CA">
        <w:rPr>
          <w:rFonts w:ascii="Times New Roman" w:hAnsi="Times New Roman" w:cs="Times New Roman"/>
          <w:sz w:val="24"/>
          <w:szCs w:val="24"/>
          <w:lang w:val="ru-RU"/>
        </w:rPr>
        <w:t>5</w:t>
      </w:r>
      <w:r w:rsidR="00106238" w:rsidRPr="00A926CA">
        <w:rPr>
          <w:rFonts w:ascii="Times New Roman" w:hAnsi="Times New Roman" w:cs="Times New Roman"/>
          <w:sz w:val="24"/>
          <w:szCs w:val="24"/>
          <w:lang w:val="ru-RU"/>
        </w:rPr>
        <w:t>6</w:t>
      </w:r>
      <w:r w:rsidR="001F7A11" w:rsidRPr="00A3228B">
        <w:rPr>
          <w:rFonts w:ascii="Times New Roman" w:hAnsi="Times New Roman" w:cs="Times New Roman"/>
          <w:sz w:val="24"/>
          <w:szCs w:val="24"/>
        </w:rPr>
        <w:t>). Зголемена експресија на растворливата форма на рецепторот на IL-7 кај Сјогрен синдром корелира со изразена имунопатологија и хипосаливација. Исто така, IL-7/IL-7Rα оската е инволирана е во формирањето на ектопични лимфоидни стру</w:t>
      </w:r>
      <w:r w:rsidR="001F7A11">
        <w:rPr>
          <w:rFonts w:ascii="Times New Roman" w:hAnsi="Times New Roman" w:cs="Times New Roman"/>
          <w:sz w:val="24"/>
          <w:szCs w:val="24"/>
        </w:rPr>
        <w:t>ктури во плунковните жлезди (</w:t>
      </w:r>
      <w:r w:rsidR="00AD4C30" w:rsidRPr="00A926CA">
        <w:rPr>
          <w:rFonts w:ascii="Times New Roman" w:hAnsi="Times New Roman" w:cs="Times New Roman"/>
          <w:sz w:val="24"/>
          <w:szCs w:val="24"/>
          <w:lang w:val="ru-RU"/>
        </w:rPr>
        <w:t>4</w:t>
      </w:r>
      <w:r w:rsidR="001127AC" w:rsidRPr="00A926CA">
        <w:rPr>
          <w:rFonts w:ascii="Times New Roman" w:hAnsi="Times New Roman" w:cs="Times New Roman"/>
          <w:sz w:val="24"/>
          <w:szCs w:val="24"/>
          <w:lang w:val="ru-RU"/>
        </w:rPr>
        <w:t>5</w:t>
      </w:r>
      <w:r w:rsidR="00106238" w:rsidRPr="00A926CA">
        <w:rPr>
          <w:rFonts w:ascii="Times New Roman" w:hAnsi="Times New Roman" w:cs="Times New Roman"/>
          <w:sz w:val="24"/>
          <w:szCs w:val="24"/>
          <w:lang w:val="ru-RU"/>
        </w:rPr>
        <w:t>7</w:t>
      </w:r>
      <w:r w:rsidR="001F7A11" w:rsidRPr="00A3228B">
        <w:rPr>
          <w:rFonts w:ascii="Times New Roman" w:hAnsi="Times New Roman" w:cs="Times New Roman"/>
          <w:sz w:val="24"/>
          <w:szCs w:val="24"/>
        </w:rPr>
        <w:t xml:space="preserve">). Jin и соработниците докажале дека кај експериментални глувци, егзогено администрирање на IL-7 го забрзува стартот на примарниот Сјогрен синдром, додека пак блокирањето на ендогениот IL-7Rα </w:t>
      </w:r>
      <w:r w:rsidR="001F7A11">
        <w:rPr>
          <w:rFonts w:ascii="Times New Roman" w:hAnsi="Times New Roman" w:cs="Times New Roman"/>
          <w:sz w:val="24"/>
          <w:szCs w:val="24"/>
        </w:rPr>
        <w:t>ја спречува неговата појава (</w:t>
      </w:r>
      <w:r w:rsidR="00AD4C30" w:rsidRPr="00A926CA">
        <w:rPr>
          <w:rFonts w:ascii="Times New Roman" w:hAnsi="Times New Roman" w:cs="Times New Roman"/>
          <w:sz w:val="24"/>
          <w:szCs w:val="24"/>
          <w:lang w:val="ru-RU"/>
        </w:rPr>
        <w:t>4</w:t>
      </w:r>
      <w:r w:rsidR="001127AC" w:rsidRPr="00A926CA">
        <w:rPr>
          <w:rFonts w:ascii="Times New Roman" w:hAnsi="Times New Roman" w:cs="Times New Roman"/>
          <w:sz w:val="24"/>
          <w:szCs w:val="24"/>
          <w:lang w:val="ru-RU"/>
        </w:rPr>
        <w:t>5</w:t>
      </w:r>
      <w:r w:rsidR="00106238" w:rsidRPr="00A926CA">
        <w:rPr>
          <w:rFonts w:ascii="Times New Roman" w:hAnsi="Times New Roman" w:cs="Times New Roman"/>
          <w:sz w:val="24"/>
          <w:szCs w:val="24"/>
          <w:lang w:val="ru-RU"/>
        </w:rPr>
        <w:t>8</w:t>
      </w:r>
      <w:r w:rsidR="001F7A11" w:rsidRPr="00A3228B">
        <w:rPr>
          <w:rFonts w:ascii="Times New Roman" w:hAnsi="Times New Roman" w:cs="Times New Roman"/>
          <w:sz w:val="24"/>
          <w:szCs w:val="24"/>
        </w:rPr>
        <w:t xml:space="preserve">). </w:t>
      </w:r>
    </w:p>
    <w:p w:rsidR="00ED6754" w:rsidRPr="00A926CA" w:rsidRDefault="00ED6754" w:rsidP="007868F9">
      <w:pPr>
        <w:shd w:val="clear" w:color="auto" w:fill="FFFFFF"/>
        <w:rPr>
          <w:rFonts w:ascii="Times New Roman" w:hAnsi="Times New Roman" w:cs="Times New Roman"/>
          <w:b/>
          <w:sz w:val="24"/>
          <w:szCs w:val="24"/>
          <w:lang w:val="ru-RU"/>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0B4811" w:rsidRDefault="000B4811" w:rsidP="007868F9">
      <w:pPr>
        <w:shd w:val="clear" w:color="auto" w:fill="FFFFFF"/>
        <w:rPr>
          <w:rFonts w:ascii="Times New Roman" w:hAnsi="Times New Roman" w:cs="Times New Roman"/>
          <w:b/>
          <w:sz w:val="24"/>
          <w:szCs w:val="24"/>
        </w:rPr>
      </w:pPr>
    </w:p>
    <w:p w:rsidR="00894BA3" w:rsidRDefault="007F253C" w:rsidP="007868F9">
      <w:pPr>
        <w:shd w:val="clear" w:color="auto" w:fill="FFFFFF"/>
        <w:rPr>
          <w:rFonts w:ascii="Times New Roman" w:hAnsi="Times New Roman" w:cs="Times New Roman"/>
          <w:b/>
          <w:sz w:val="24"/>
          <w:szCs w:val="24"/>
          <w:lang w:val="ru-RU"/>
        </w:rPr>
      </w:pPr>
      <w:r w:rsidRPr="007F253C">
        <w:rPr>
          <w:rFonts w:ascii="Times New Roman" w:hAnsi="Times New Roman" w:cs="Times New Roman"/>
          <w:b/>
          <w:sz w:val="24"/>
          <w:szCs w:val="24"/>
        </w:rPr>
        <w:t>IL-33</w:t>
      </w:r>
    </w:p>
    <w:p w:rsidR="007868F9" w:rsidRDefault="007868F9" w:rsidP="007868F9">
      <w:pPr>
        <w:shd w:val="clear" w:color="auto" w:fill="FFFFFF"/>
        <w:rPr>
          <w:rFonts w:ascii="Times New Roman" w:hAnsi="Times New Roman" w:cs="Times New Roman"/>
          <w:sz w:val="24"/>
          <w:szCs w:val="24"/>
        </w:rPr>
      </w:pPr>
    </w:p>
    <w:p w:rsidR="007868F9" w:rsidRDefault="007868F9" w:rsidP="007868F9">
      <w:pPr>
        <w:shd w:val="clear" w:color="auto" w:fill="FFFFFF"/>
        <w:rPr>
          <w:rFonts w:ascii="Times New Roman" w:hAnsi="Times New Roman" w:cs="Times New Roman"/>
          <w:sz w:val="24"/>
          <w:szCs w:val="24"/>
        </w:rPr>
      </w:pPr>
    </w:p>
    <w:p w:rsidR="00322A81" w:rsidRPr="00894BA3" w:rsidRDefault="00322A81" w:rsidP="007868F9">
      <w:pPr>
        <w:shd w:val="clear" w:color="auto" w:fill="FFFFFF"/>
        <w:rPr>
          <w:rFonts w:ascii="Times New Roman" w:hAnsi="Times New Roman" w:cs="Times New Roman"/>
          <w:b/>
          <w:sz w:val="24"/>
          <w:szCs w:val="24"/>
          <w:lang w:val="ru-RU"/>
        </w:rPr>
      </w:pPr>
      <w:r w:rsidRPr="00396BC0">
        <w:rPr>
          <w:rFonts w:ascii="Times New Roman" w:hAnsi="Times New Roman" w:cs="Times New Roman"/>
          <w:sz w:val="24"/>
          <w:szCs w:val="24"/>
        </w:rPr>
        <w:t>Што се однесува до концентрацијата на IL-33 во серум кај пациенти со тумори на паротидните жлезди, може да се каже дека базата на податоци со кои располага литературата во моментов е на незавидно ниво. Едноцифрена е бројката на студии, односно трудови кои се занимаваат со оваа тематика. Сепак податоците од долу наведените истражувања одат во прилог на можна употреба на IL-33 како потенцијален биомаркер за туморите на паротидните жлезди во иднина.</w:t>
      </w:r>
    </w:p>
    <w:p w:rsidR="00322A81" w:rsidRPr="00396BC0" w:rsidRDefault="00322A81" w:rsidP="007868F9">
      <w:pPr>
        <w:shd w:val="clear" w:color="auto" w:fill="FFFFFF"/>
        <w:spacing w:before="100" w:beforeAutospacing="1" w:after="100" w:afterAutospacing="1"/>
        <w:rPr>
          <w:rFonts w:ascii="Times New Roman" w:hAnsi="Times New Roman" w:cs="Times New Roman"/>
          <w:color w:val="205493"/>
          <w:sz w:val="24"/>
          <w:szCs w:val="24"/>
          <w:u w:val="single"/>
        </w:rPr>
      </w:pPr>
      <w:r w:rsidRPr="00396BC0">
        <w:rPr>
          <w:rFonts w:ascii="Times New Roman" w:hAnsi="Times New Roman" w:cs="Times New Roman"/>
          <w:sz w:val="24"/>
          <w:szCs w:val="24"/>
        </w:rPr>
        <w:t>Докажана е изразена екпресија на IL-33 кај бенигни и</w:t>
      </w:r>
      <w:r w:rsidR="00AE7C9E">
        <w:rPr>
          <w:rFonts w:ascii="Times New Roman" w:hAnsi="Times New Roman" w:cs="Times New Roman"/>
          <w:sz w:val="24"/>
          <w:szCs w:val="24"/>
        </w:rPr>
        <w:t xml:space="preserve"> малигни саливарни тумори (4</w:t>
      </w:r>
      <w:r w:rsidRPr="00396BC0">
        <w:rPr>
          <w:rFonts w:ascii="Times New Roman" w:hAnsi="Times New Roman" w:cs="Times New Roman"/>
          <w:sz w:val="24"/>
          <w:szCs w:val="24"/>
        </w:rPr>
        <w:t>). Според  Rössle и соработниците, IL-33 бележи повисока експресија кај тумори како што е Acinic cell carcinoma, во споредба со Adenoid cystic carcinoma Mucoepidermoid carcinoma и заради присуството на ми</w:t>
      </w:r>
      <w:r w:rsidR="00AE7C9E">
        <w:rPr>
          <w:rFonts w:ascii="Times New Roman" w:hAnsi="Times New Roman" w:cs="Times New Roman"/>
          <w:sz w:val="24"/>
          <w:szCs w:val="24"/>
        </w:rPr>
        <w:t>оепителијални клетки кај ACC</w:t>
      </w:r>
      <w:r w:rsidRPr="00396BC0">
        <w:rPr>
          <w:rFonts w:ascii="Times New Roman" w:hAnsi="Times New Roman" w:cs="Times New Roman"/>
          <w:sz w:val="24"/>
          <w:szCs w:val="24"/>
        </w:rPr>
        <w:t>. Според нив, IL-33 се карактеризира со експресија само во нуклеусите на некои малигни неоплазми како што се Аcinic cell carcinomas, Еpithelial myoepithelial carcinoma и Оncocytic carcinomas. Според горе споменатото, IL-33 може да се користи како потенцијален маркер за детекирање на соодветни подвидови на малигни саливарни тумори (4). Малигни тумори на саливарните жлезди со повисока експресија на IL-33 имаат поволни хистолошки параметри, помала склоност кон метастазирање и поголема стапка на преживување, во споредба со IL-33 негативни тумори, податок кој отвара нови можности за користење на IL-33 како прогностички маркер кај овој вид на малигни неоплазми (4).</w:t>
      </w:r>
    </w:p>
    <w:p w:rsidR="00322A81" w:rsidRPr="00396BC0" w:rsidRDefault="00322A81" w:rsidP="007868F9">
      <w:pPr>
        <w:shd w:val="clear" w:color="auto" w:fill="FFFFFF"/>
        <w:spacing w:before="100" w:beforeAutospacing="1" w:after="100" w:afterAutospacing="1"/>
        <w:rPr>
          <w:rFonts w:ascii="Times New Roman" w:hAnsi="Times New Roman" w:cs="Times New Roman"/>
          <w:caps/>
          <w:color w:val="000000"/>
          <w:sz w:val="24"/>
          <w:szCs w:val="24"/>
          <w:u w:color="FFFFFF"/>
        </w:rPr>
      </w:pPr>
      <w:r w:rsidRPr="00396BC0">
        <w:rPr>
          <w:rFonts w:ascii="Times New Roman" w:hAnsi="Times New Roman" w:cs="Times New Roman"/>
          <w:sz w:val="24"/>
          <w:szCs w:val="24"/>
        </w:rPr>
        <w:t xml:space="preserve">Резултатите од истражувањето на Zare и соработниците, реализирано кај 47 пациенти со малигни паротидни тумори, 14 пациенти со плеоморфен аденом и 28 контролни испитаници, укажува на сигнификантно повисоки вредности на IL-33 кај пациентите со тумори, во споредба со контролната група испитаници, односно, истите укажуваат на повисоки серумски вредности на IL-33 кај пациенти со малигни паротидни тумори (особено Adenoid cystic carcinoma и Mucoepidermoid carcinoma) во споредба со вредностите на истиот кај пациенти со бенигни тумори и конролната група на испитаници. Исто така вредностите се разликуваат и меѓу различните видови на тумори. Постои и позитивна корелација помеѓу вредностите на IL-33 и големината, односно стадиумот на туморот кај 20 испитаници со малигни тумори. Не е забележана корелација помеѓу вредностите на IL-33 во серум и локацијата на туморот, возраста, метастазирањето во лимфните јазли и полот на испитаниците </w:t>
      </w:r>
      <w:r w:rsidRPr="00396BC0">
        <w:rPr>
          <w:rFonts w:ascii="Times New Roman" w:hAnsi="Times New Roman" w:cs="Times New Roman"/>
          <w:color w:val="212121"/>
          <w:sz w:val="24"/>
          <w:szCs w:val="24"/>
        </w:rPr>
        <w:t>(5).</w:t>
      </w:r>
      <w:r w:rsidRPr="00396BC0">
        <w:rPr>
          <w:rFonts w:ascii="Times New Roman" w:hAnsi="Times New Roman" w:cs="Times New Roman"/>
          <w:caps/>
          <w:color w:val="000000"/>
          <w:sz w:val="24"/>
          <w:szCs w:val="24"/>
          <w:u w:color="FFFFFF"/>
        </w:rPr>
        <w:t xml:space="preserve"> </w:t>
      </w:r>
    </w:p>
    <w:p w:rsidR="00322A81" w:rsidRPr="00396BC0" w:rsidRDefault="00322A81" w:rsidP="007868F9">
      <w:pPr>
        <w:shd w:val="clear" w:color="auto" w:fill="FFFFFF"/>
        <w:spacing w:before="100" w:beforeAutospacing="1" w:after="100" w:afterAutospacing="1"/>
        <w:rPr>
          <w:rFonts w:ascii="Times New Roman" w:hAnsi="Times New Roman" w:cs="Times New Roman"/>
          <w:sz w:val="24"/>
          <w:szCs w:val="24"/>
        </w:rPr>
      </w:pPr>
      <w:r w:rsidRPr="00396BC0">
        <w:rPr>
          <w:rFonts w:ascii="Times New Roman" w:hAnsi="Times New Roman" w:cs="Times New Roman"/>
          <w:sz w:val="24"/>
          <w:szCs w:val="24"/>
        </w:rPr>
        <w:t>Azadeh Andishe-Tadbir во свото истражување, исто така укажува на повисоки вредности на IL-33 кај пациенти со малигни тумори, во споредба со вредностите кај бенигните тумори</w:t>
      </w:r>
      <w:r w:rsidR="00FE7338">
        <w:rPr>
          <w:rFonts w:ascii="Times New Roman" w:hAnsi="Times New Roman" w:cs="Times New Roman"/>
          <w:sz w:val="24"/>
          <w:szCs w:val="24"/>
        </w:rPr>
        <w:t xml:space="preserve"> (</w:t>
      </w:r>
      <w:r w:rsidR="00FE7338">
        <w:rPr>
          <w:rFonts w:ascii="Times New Roman" w:hAnsi="Times New Roman" w:cs="Times New Roman"/>
          <w:sz w:val="24"/>
          <w:szCs w:val="24"/>
          <w:lang w:val="en-US"/>
        </w:rPr>
        <w:t>459</w:t>
      </w:r>
      <w:r w:rsidRPr="00396BC0">
        <w:rPr>
          <w:rFonts w:ascii="Times New Roman" w:hAnsi="Times New Roman" w:cs="Times New Roman"/>
          <w:sz w:val="24"/>
          <w:szCs w:val="24"/>
        </w:rPr>
        <w:t xml:space="preserve">). Исто така, стадиумот на туморот и неговата големина директно корелираат со концентрацијата на IL-33 кај пациенти со малигни </w:t>
      </w:r>
      <w:r w:rsidR="00FE7338">
        <w:rPr>
          <w:rFonts w:ascii="Times New Roman" w:hAnsi="Times New Roman" w:cs="Times New Roman"/>
          <w:sz w:val="24"/>
          <w:szCs w:val="24"/>
        </w:rPr>
        <w:t>тумори на плунковните жлезди (</w:t>
      </w:r>
      <w:r w:rsidR="00FE7338">
        <w:rPr>
          <w:rFonts w:ascii="Times New Roman" w:hAnsi="Times New Roman" w:cs="Times New Roman"/>
          <w:sz w:val="24"/>
          <w:szCs w:val="24"/>
          <w:lang w:val="en-US"/>
        </w:rPr>
        <w:t>459</w:t>
      </w:r>
      <w:r w:rsidRPr="00396BC0">
        <w:rPr>
          <w:rFonts w:ascii="Times New Roman" w:hAnsi="Times New Roman" w:cs="Times New Roman"/>
          <w:sz w:val="24"/>
          <w:szCs w:val="24"/>
        </w:rPr>
        <w:t>).</w:t>
      </w:r>
    </w:p>
    <w:p w:rsidR="000B4811" w:rsidRDefault="000B4811" w:rsidP="007868F9">
      <w:pPr>
        <w:shd w:val="clear" w:color="auto" w:fill="FFFFFF"/>
        <w:spacing w:before="100" w:beforeAutospacing="1" w:after="100" w:afterAutospacing="1"/>
        <w:rPr>
          <w:rFonts w:ascii="Times New Roman" w:hAnsi="Times New Roman" w:cs="Times New Roman"/>
          <w:sz w:val="24"/>
          <w:szCs w:val="24"/>
        </w:rPr>
      </w:pPr>
    </w:p>
    <w:p w:rsidR="000B4811" w:rsidRDefault="000B4811" w:rsidP="007868F9">
      <w:pPr>
        <w:shd w:val="clear" w:color="auto" w:fill="FFFFFF"/>
        <w:spacing w:before="100" w:beforeAutospacing="1" w:after="100" w:afterAutospacing="1"/>
        <w:rPr>
          <w:rFonts w:ascii="Times New Roman" w:hAnsi="Times New Roman" w:cs="Times New Roman"/>
          <w:sz w:val="24"/>
          <w:szCs w:val="24"/>
        </w:rPr>
      </w:pPr>
    </w:p>
    <w:p w:rsidR="000B4811" w:rsidRDefault="000B4811" w:rsidP="007868F9">
      <w:pPr>
        <w:shd w:val="clear" w:color="auto" w:fill="FFFFFF"/>
        <w:spacing w:before="100" w:beforeAutospacing="1" w:after="100" w:afterAutospacing="1"/>
        <w:rPr>
          <w:rFonts w:ascii="Times New Roman" w:hAnsi="Times New Roman" w:cs="Times New Roman"/>
          <w:sz w:val="24"/>
          <w:szCs w:val="24"/>
        </w:rPr>
      </w:pPr>
    </w:p>
    <w:p w:rsidR="000B4811" w:rsidRDefault="000B4811" w:rsidP="007868F9">
      <w:pPr>
        <w:shd w:val="clear" w:color="auto" w:fill="FFFFFF"/>
        <w:spacing w:before="100" w:beforeAutospacing="1" w:after="100" w:afterAutospacing="1"/>
        <w:rPr>
          <w:rFonts w:ascii="Times New Roman" w:hAnsi="Times New Roman" w:cs="Times New Roman"/>
          <w:sz w:val="24"/>
          <w:szCs w:val="24"/>
        </w:rPr>
      </w:pPr>
    </w:p>
    <w:p w:rsidR="007868F9" w:rsidRDefault="00322A81" w:rsidP="007868F9">
      <w:pPr>
        <w:shd w:val="clear" w:color="auto" w:fill="FFFFFF"/>
        <w:spacing w:before="100" w:beforeAutospacing="1" w:after="100" w:afterAutospacing="1"/>
        <w:rPr>
          <w:rFonts w:ascii="Times New Roman" w:hAnsi="Times New Roman" w:cs="Times New Roman"/>
          <w:sz w:val="24"/>
          <w:szCs w:val="24"/>
        </w:rPr>
      </w:pPr>
      <w:r w:rsidRPr="00396BC0">
        <w:rPr>
          <w:rFonts w:ascii="Times New Roman" w:hAnsi="Times New Roman" w:cs="Times New Roman"/>
          <w:sz w:val="24"/>
          <w:szCs w:val="24"/>
        </w:rPr>
        <w:t>Резултатите од истражувањето на Sowa и соработниците, реализирано врз 17 пациенти со Плеоморфен аденом, 12 пациенти со Warthin-ов тумор, 11 со Миоепителиоми и 10 пациенти со Аcinic cell carcinoma, односно 30 контролни испитаници, укажуваат на повисоки вредности на IL-33 во серум кај пациентите со тумори на паротидните жлезди, во спооредба со контролната гр</w:t>
      </w:r>
      <w:r w:rsidR="007F253C">
        <w:rPr>
          <w:rFonts w:ascii="Times New Roman" w:hAnsi="Times New Roman" w:cs="Times New Roman"/>
          <w:sz w:val="24"/>
          <w:szCs w:val="24"/>
        </w:rPr>
        <w:t xml:space="preserve">упа. Највисоки вредности се детектирани </w:t>
      </w:r>
      <w:r w:rsidRPr="00396BC0">
        <w:rPr>
          <w:rFonts w:ascii="Times New Roman" w:hAnsi="Times New Roman" w:cs="Times New Roman"/>
          <w:sz w:val="24"/>
          <w:szCs w:val="24"/>
        </w:rPr>
        <w:t xml:space="preserve"> </w:t>
      </w:r>
      <w:r w:rsidR="007F253C">
        <w:rPr>
          <w:rFonts w:ascii="Times New Roman" w:hAnsi="Times New Roman" w:cs="Times New Roman"/>
          <w:sz w:val="24"/>
          <w:szCs w:val="24"/>
        </w:rPr>
        <w:t xml:space="preserve">кај </w:t>
      </w:r>
      <w:r w:rsidRPr="00396BC0">
        <w:rPr>
          <w:rFonts w:ascii="Times New Roman" w:hAnsi="Times New Roman" w:cs="Times New Roman"/>
          <w:sz w:val="24"/>
          <w:szCs w:val="24"/>
        </w:rPr>
        <w:t xml:space="preserve">пациентите со Миоепителиоми на паротидите, односно пациентите со Warthin тумор. </w:t>
      </w:r>
      <w:r w:rsidR="007F253C">
        <w:rPr>
          <w:rFonts w:ascii="Times New Roman" w:hAnsi="Times New Roman" w:cs="Times New Roman"/>
          <w:sz w:val="24"/>
          <w:szCs w:val="24"/>
        </w:rPr>
        <w:t xml:space="preserve">Истите се </w:t>
      </w:r>
      <w:r w:rsidRPr="00396BC0">
        <w:rPr>
          <w:rFonts w:ascii="Times New Roman" w:hAnsi="Times New Roman" w:cs="Times New Roman"/>
          <w:sz w:val="24"/>
          <w:szCs w:val="24"/>
        </w:rPr>
        <w:t xml:space="preserve">повисоки, не само во споредба со вредностите кај контролната група, туку и во споредба со вредностите добиени кај пациентите со Плеоморфен аденом. Серумските вредности пак кај пациентите со Acinic cell carcinoma, се сигнификантно пониски во споредба со вредностите кај пациентите со Миоепителиоми, односно повисоки во споредба со вредностите кај пациентите со Плеоморфен аденом. </w:t>
      </w:r>
    </w:p>
    <w:p w:rsidR="00322A81" w:rsidRPr="00396BC0" w:rsidRDefault="00322A81" w:rsidP="007868F9">
      <w:pPr>
        <w:shd w:val="clear" w:color="auto" w:fill="FFFFFF"/>
        <w:spacing w:before="100" w:beforeAutospacing="1" w:after="100" w:afterAutospacing="1"/>
        <w:rPr>
          <w:rFonts w:ascii="Times New Roman" w:hAnsi="Times New Roman" w:cs="Times New Roman"/>
          <w:color w:val="212121"/>
          <w:sz w:val="24"/>
          <w:szCs w:val="24"/>
        </w:rPr>
      </w:pPr>
      <w:r w:rsidRPr="00396BC0">
        <w:rPr>
          <w:rFonts w:ascii="Times New Roman" w:hAnsi="Times New Roman" w:cs="Times New Roman"/>
          <w:sz w:val="24"/>
          <w:szCs w:val="24"/>
        </w:rPr>
        <w:t xml:space="preserve">Sowa и соработниците исто така укажуваат и на позитивна корелација помеѓу серумските вредности на IL-33 и големината на туморот кај пациенти со Warthin-ов тумор, а имајќи го во предвид фактот дека вредностите на IL-33 се покачени кај сите типови на паротидни тумори, може да се претпостави дека овој интерлеукин игра значајна улога во патогенезата на паротидните тумори, односно можно е истите да претставуваат исто така и причина за присуството на IL-33 во циркулацијата </w:t>
      </w:r>
      <w:r w:rsidRPr="00396BC0">
        <w:rPr>
          <w:rFonts w:ascii="Times New Roman" w:hAnsi="Times New Roman" w:cs="Times New Roman"/>
          <w:color w:val="212121"/>
          <w:sz w:val="24"/>
          <w:szCs w:val="24"/>
        </w:rPr>
        <w:t>(439).</w:t>
      </w:r>
    </w:p>
    <w:p w:rsidR="00322A81" w:rsidRPr="00396BC0" w:rsidRDefault="00322A81" w:rsidP="007868F9">
      <w:pPr>
        <w:shd w:val="clear" w:color="auto" w:fill="FFFFFF"/>
        <w:spacing w:before="100" w:beforeAutospacing="1" w:after="100" w:afterAutospacing="1"/>
        <w:rPr>
          <w:rFonts w:ascii="Times New Roman" w:hAnsi="Times New Roman" w:cs="Times New Roman"/>
          <w:sz w:val="24"/>
          <w:szCs w:val="24"/>
        </w:rPr>
      </w:pPr>
      <w:r w:rsidRPr="00396BC0">
        <w:rPr>
          <w:rFonts w:ascii="Times New Roman" w:hAnsi="Times New Roman" w:cs="Times New Roman"/>
          <w:color w:val="212121"/>
          <w:sz w:val="24"/>
          <w:szCs w:val="24"/>
        </w:rPr>
        <w:t xml:space="preserve">Концентрација на </w:t>
      </w:r>
      <w:r w:rsidRPr="00396BC0">
        <w:rPr>
          <w:rFonts w:ascii="Times New Roman" w:hAnsi="Times New Roman" w:cs="Times New Roman"/>
          <w:sz w:val="24"/>
          <w:szCs w:val="24"/>
        </w:rPr>
        <w:t xml:space="preserve">IL-33 во салива се уште претставува недоволно истражено подрачје. На пр: </w:t>
      </w:r>
      <w:r w:rsidRPr="00396BC0">
        <w:rPr>
          <w:rFonts w:ascii="Times New Roman" w:hAnsi="Times New Roman" w:cs="Times New Roman"/>
          <w:color w:val="212121"/>
          <w:sz w:val="24"/>
          <w:szCs w:val="24"/>
        </w:rPr>
        <w:t>докажана е поголема концентрација на IL-33 во гингивалната течност кај пациенти со генерализиран агресивен периодонтит во споредба со концентраци</w:t>
      </w:r>
      <w:r w:rsidR="00FE7338">
        <w:rPr>
          <w:rFonts w:ascii="Times New Roman" w:hAnsi="Times New Roman" w:cs="Times New Roman"/>
          <w:color w:val="212121"/>
          <w:sz w:val="24"/>
          <w:szCs w:val="24"/>
        </w:rPr>
        <w:t xml:space="preserve">ја на IL-33 </w:t>
      </w:r>
      <w:r w:rsidRPr="00396BC0">
        <w:rPr>
          <w:rFonts w:ascii="Times New Roman" w:hAnsi="Times New Roman" w:cs="Times New Roman"/>
          <w:color w:val="212121"/>
          <w:sz w:val="24"/>
          <w:szCs w:val="24"/>
        </w:rPr>
        <w:t>кај испитаници со здрав периодонциум, според кое, истиот, може да се смета за потенцијал</w:t>
      </w:r>
      <w:r w:rsidR="00FE7338">
        <w:rPr>
          <w:rFonts w:ascii="Times New Roman" w:hAnsi="Times New Roman" w:cs="Times New Roman"/>
          <w:color w:val="212121"/>
          <w:sz w:val="24"/>
          <w:szCs w:val="24"/>
        </w:rPr>
        <w:t>ен биомаркер за периодонтит (2</w:t>
      </w:r>
      <w:r w:rsidR="00FE7338">
        <w:rPr>
          <w:rFonts w:ascii="Times New Roman" w:hAnsi="Times New Roman" w:cs="Times New Roman"/>
          <w:color w:val="212121"/>
          <w:sz w:val="24"/>
          <w:szCs w:val="24"/>
          <w:lang w:val="en-US"/>
        </w:rPr>
        <w:t>18</w:t>
      </w:r>
      <w:r w:rsidRPr="00396BC0">
        <w:rPr>
          <w:rFonts w:ascii="Times New Roman" w:hAnsi="Times New Roman" w:cs="Times New Roman"/>
          <w:color w:val="212121"/>
          <w:sz w:val="24"/>
          <w:szCs w:val="24"/>
        </w:rPr>
        <w:t>).</w:t>
      </w:r>
    </w:p>
    <w:p w:rsidR="00894BA3" w:rsidRDefault="00322A81" w:rsidP="007868F9">
      <w:pPr>
        <w:shd w:val="clear" w:color="auto" w:fill="FFFFFF"/>
        <w:spacing w:before="100" w:beforeAutospacing="1" w:after="100" w:afterAutospacing="1"/>
        <w:rPr>
          <w:rFonts w:ascii="Times New Roman" w:hAnsi="Times New Roman" w:cs="Times New Roman"/>
          <w:sz w:val="24"/>
          <w:szCs w:val="24"/>
        </w:rPr>
      </w:pPr>
      <w:r w:rsidRPr="00396BC0">
        <w:rPr>
          <w:rFonts w:ascii="Times New Roman" w:hAnsi="Times New Roman" w:cs="Times New Roman"/>
          <w:color w:val="212121"/>
          <w:sz w:val="24"/>
          <w:szCs w:val="24"/>
        </w:rPr>
        <w:t xml:space="preserve">Со споредување на оралната микробиота помеѓу пациенти со Орален лихен планус и пациенти со неспецифични инфламаторни лезии, со оглед на податокот дека Оралниот лихен планус се карактеризира со мноштво апоптотични и инфламаторни клетки, докажани се повисоки концентрации на </w:t>
      </w:r>
      <w:r w:rsidRPr="00396BC0">
        <w:rPr>
          <w:rFonts w:ascii="Times New Roman" w:hAnsi="Times New Roman" w:cs="Times New Roman"/>
          <w:color w:val="212121"/>
          <w:sz w:val="24"/>
          <w:szCs w:val="24"/>
          <w:shd w:val="clear" w:color="auto" w:fill="FFFFFF"/>
        </w:rPr>
        <w:t xml:space="preserve">IFN-γ и IL-33 кај пациентите со </w:t>
      </w:r>
      <w:r w:rsidR="00FE7338">
        <w:rPr>
          <w:rFonts w:ascii="Times New Roman" w:hAnsi="Times New Roman" w:cs="Times New Roman"/>
          <w:color w:val="212121"/>
          <w:sz w:val="24"/>
          <w:szCs w:val="24"/>
        </w:rPr>
        <w:t>Орален лихен планус (2</w:t>
      </w:r>
      <w:r w:rsidR="00FE7338">
        <w:rPr>
          <w:rFonts w:ascii="Times New Roman" w:hAnsi="Times New Roman" w:cs="Times New Roman"/>
          <w:color w:val="212121"/>
          <w:sz w:val="24"/>
          <w:szCs w:val="24"/>
          <w:lang w:val="en-US"/>
        </w:rPr>
        <w:t>19</w:t>
      </w:r>
      <w:r w:rsidRPr="00396BC0">
        <w:rPr>
          <w:rFonts w:ascii="Times New Roman" w:hAnsi="Times New Roman" w:cs="Times New Roman"/>
          <w:color w:val="212121"/>
          <w:sz w:val="24"/>
          <w:szCs w:val="24"/>
        </w:rPr>
        <w:t xml:space="preserve">). </w:t>
      </w:r>
    </w:p>
    <w:p w:rsidR="007868F9" w:rsidRDefault="007868F9" w:rsidP="007868F9">
      <w:pPr>
        <w:shd w:val="clear" w:color="auto" w:fill="FFFFFF"/>
        <w:spacing w:before="100" w:beforeAutospacing="1" w:after="100" w:afterAutospacing="1"/>
        <w:rPr>
          <w:rFonts w:ascii="Times New Roman" w:hAnsi="Times New Roman" w:cs="Times New Roman"/>
          <w:b/>
          <w:color w:val="000000" w:themeColor="text1"/>
          <w:sz w:val="24"/>
          <w:szCs w:val="24"/>
        </w:rPr>
      </w:pPr>
    </w:p>
    <w:p w:rsidR="007F253C" w:rsidRPr="00894BA3" w:rsidRDefault="007868F9" w:rsidP="007868F9">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b/>
          <w:color w:val="000000" w:themeColor="text1"/>
          <w:sz w:val="24"/>
          <w:szCs w:val="24"/>
        </w:rPr>
        <w:t>8</w:t>
      </w:r>
      <w:r w:rsidR="00894BA3">
        <w:rPr>
          <w:rFonts w:ascii="Times New Roman" w:hAnsi="Times New Roman" w:cs="Times New Roman"/>
          <w:b/>
          <w:color w:val="000000" w:themeColor="text1"/>
          <w:sz w:val="24"/>
          <w:szCs w:val="24"/>
        </w:rPr>
        <w:t xml:space="preserve">.2 </w:t>
      </w:r>
      <w:r w:rsidR="001B07E1" w:rsidRPr="00415176">
        <w:rPr>
          <w:rFonts w:ascii="Times New Roman" w:hAnsi="Times New Roman" w:cs="Times New Roman"/>
          <w:b/>
          <w:color w:val="000000" w:themeColor="text1"/>
          <w:sz w:val="24"/>
          <w:szCs w:val="24"/>
        </w:rPr>
        <w:t>ПРИМЕНА НА РЕЗУЛТАТИТЕ ОД ИСТРАЖУВАЊЕТО</w:t>
      </w:r>
    </w:p>
    <w:p w:rsidR="006533B0" w:rsidRPr="006533B0" w:rsidRDefault="006533B0" w:rsidP="007868F9">
      <w:pPr>
        <w:jc w:val="both"/>
        <w:rPr>
          <w:rFonts w:ascii="Times New Roman" w:hAnsi="Times New Roman" w:cs="Times New Roman"/>
          <w:sz w:val="24"/>
          <w:szCs w:val="24"/>
        </w:rPr>
      </w:pPr>
      <w:r w:rsidRPr="006533B0">
        <w:rPr>
          <w:rFonts w:ascii="Times New Roman" w:hAnsi="Times New Roman" w:cs="Times New Roman"/>
          <w:sz w:val="24"/>
          <w:szCs w:val="24"/>
        </w:rPr>
        <w:t>Детерминирањето на серумски и IL-33 во салива како потенцијален биомаркер на паротидните тумори би ја поедноставило комплексната дијагностичка процедура на овие неоплазми, особено заради лесното и брзо собирање на примерокот, занемарливата инвазивност на постапката и брзата анализа на податоците.</w:t>
      </w:r>
    </w:p>
    <w:p w:rsidR="006533B0" w:rsidRPr="006533B0" w:rsidRDefault="006533B0" w:rsidP="007868F9">
      <w:pPr>
        <w:jc w:val="both"/>
        <w:rPr>
          <w:rFonts w:ascii="Times New Roman" w:hAnsi="Times New Roman" w:cs="Times New Roman"/>
          <w:sz w:val="24"/>
          <w:szCs w:val="24"/>
        </w:rPr>
      </w:pPr>
      <w:r w:rsidRPr="006533B0">
        <w:rPr>
          <w:rFonts w:ascii="Times New Roman" w:hAnsi="Times New Roman" w:cs="Times New Roman"/>
          <w:sz w:val="24"/>
          <w:szCs w:val="24"/>
        </w:rPr>
        <w:t>Од друга страна, пак, имајќи го во предвид фактот дека имунотерапијата е во подем и се уште се вршат испитувања со кои би се докажало анти-туморогеното влијание на IL-33, се отвараат и нови можности за потенцијална таргет, имуно терапија на туморите на паротидни жлезди со овој цитокин.</w:t>
      </w:r>
      <w:r w:rsidRPr="006533B0">
        <w:rPr>
          <w:rFonts w:ascii="Times New Roman" w:eastAsia="Calibri" w:hAnsi="Times New Roman" w:cs="Times New Roman"/>
          <w:color w:val="000000"/>
          <w:sz w:val="28"/>
          <w:szCs w:val="28"/>
        </w:rPr>
        <w:t xml:space="preserve"> </w:t>
      </w:r>
    </w:p>
    <w:p w:rsidR="007F253C" w:rsidRDefault="007F253C" w:rsidP="007868F9">
      <w:pPr>
        <w:shd w:val="clear" w:color="auto" w:fill="FFFFFF"/>
        <w:rPr>
          <w:rFonts w:ascii="Times New Roman" w:hAnsi="Times New Roman" w:cs="Times New Roman"/>
          <w:b/>
          <w:sz w:val="28"/>
          <w:szCs w:val="28"/>
        </w:rPr>
      </w:pPr>
    </w:p>
    <w:p w:rsidR="007F253C" w:rsidRDefault="007F253C" w:rsidP="007868F9">
      <w:pPr>
        <w:shd w:val="clear" w:color="auto" w:fill="FFFFFF"/>
        <w:rPr>
          <w:rFonts w:ascii="Times New Roman" w:hAnsi="Times New Roman" w:cs="Times New Roman"/>
          <w:b/>
          <w:sz w:val="28"/>
          <w:szCs w:val="28"/>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b/>
          <w:sz w:val="24"/>
          <w:szCs w:val="24"/>
        </w:rPr>
      </w:pPr>
    </w:p>
    <w:p w:rsidR="00393123" w:rsidRPr="00D34A6D" w:rsidRDefault="00FD1D61" w:rsidP="007868F9">
      <w:pPr>
        <w:shd w:val="clear" w:color="auto" w:fill="FFFFFF"/>
        <w:rPr>
          <w:rFonts w:ascii="Times New Roman" w:hAnsi="Times New Roman" w:cs="Times New Roman"/>
          <w:b/>
          <w:sz w:val="24"/>
          <w:szCs w:val="24"/>
        </w:rPr>
      </w:pPr>
      <w:r w:rsidRPr="00D34A6D">
        <w:rPr>
          <w:rFonts w:ascii="Times New Roman" w:hAnsi="Times New Roman" w:cs="Times New Roman"/>
          <w:b/>
          <w:sz w:val="24"/>
          <w:szCs w:val="24"/>
        </w:rPr>
        <w:t>9</w:t>
      </w:r>
      <w:r w:rsidR="00DE3D83" w:rsidRPr="00D34A6D">
        <w:rPr>
          <w:rFonts w:ascii="Times New Roman" w:hAnsi="Times New Roman" w:cs="Times New Roman"/>
          <w:b/>
          <w:sz w:val="24"/>
          <w:szCs w:val="24"/>
        </w:rPr>
        <w:t xml:space="preserve">. </w:t>
      </w:r>
      <w:r w:rsidR="00393123" w:rsidRPr="00D34A6D">
        <w:rPr>
          <w:rFonts w:ascii="Times New Roman" w:hAnsi="Times New Roman" w:cs="Times New Roman"/>
          <w:b/>
          <w:sz w:val="24"/>
          <w:szCs w:val="24"/>
        </w:rPr>
        <w:t>З</w:t>
      </w:r>
      <w:r w:rsidR="00DE3D83" w:rsidRPr="00D34A6D">
        <w:rPr>
          <w:rFonts w:ascii="Times New Roman" w:hAnsi="Times New Roman" w:cs="Times New Roman"/>
          <w:b/>
          <w:sz w:val="24"/>
          <w:szCs w:val="24"/>
        </w:rPr>
        <w:t>АКЛУЧОЦИ</w:t>
      </w:r>
    </w:p>
    <w:p w:rsidR="00393123" w:rsidRDefault="00393123" w:rsidP="007868F9">
      <w:pPr>
        <w:shd w:val="clear" w:color="auto" w:fill="FFFFFF"/>
        <w:rPr>
          <w:rFonts w:ascii="Times New Roman" w:hAnsi="Times New Roman" w:cs="Times New Roman"/>
          <w:b/>
          <w:sz w:val="24"/>
          <w:szCs w:val="24"/>
        </w:rPr>
      </w:pPr>
    </w:p>
    <w:p w:rsidR="007868F9" w:rsidRDefault="007868F9" w:rsidP="007868F9">
      <w:pPr>
        <w:shd w:val="clear" w:color="auto" w:fill="FFFFFF"/>
        <w:rPr>
          <w:rFonts w:ascii="Times New Roman" w:hAnsi="Times New Roman" w:cs="Times New Roman"/>
          <w:sz w:val="24"/>
          <w:szCs w:val="24"/>
        </w:rPr>
      </w:pPr>
    </w:p>
    <w:p w:rsidR="004965AE" w:rsidRPr="005E633B" w:rsidRDefault="00393123" w:rsidP="007868F9">
      <w:pPr>
        <w:shd w:val="clear" w:color="auto" w:fill="FFFFFF"/>
        <w:rPr>
          <w:rFonts w:ascii="Times New Roman" w:hAnsi="Times New Roman" w:cs="Times New Roman"/>
          <w:sz w:val="24"/>
          <w:szCs w:val="24"/>
        </w:rPr>
      </w:pPr>
      <w:r w:rsidRPr="005E633B">
        <w:rPr>
          <w:rFonts w:ascii="Times New Roman" w:hAnsi="Times New Roman" w:cs="Times New Roman"/>
          <w:sz w:val="24"/>
          <w:szCs w:val="24"/>
        </w:rPr>
        <w:t>Врз основа на анализата на добиените податоци и презентираните резултати, можеме да ги дадеме следниве заклучоци:</w:t>
      </w:r>
      <w:r w:rsidR="004965AE" w:rsidRPr="005E633B">
        <w:rPr>
          <w:rFonts w:ascii="Times New Roman" w:hAnsi="Times New Roman" w:cs="Times New Roman"/>
          <w:sz w:val="24"/>
          <w:szCs w:val="24"/>
        </w:rPr>
        <w:t xml:space="preserve"> </w:t>
      </w:r>
    </w:p>
    <w:p w:rsidR="007F253C" w:rsidRDefault="007F253C" w:rsidP="007868F9">
      <w:pPr>
        <w:shd w:val="clear" w:color="auto" w:fill="FFFFFF"/>
        <w:rPr>
          <w:rFonts w:ascii="Times New Roman" w:hAnsi="Times New Roman" w:cs="Times New Roman"/>
          <w:sz w:val="24"/>
          <w:szCs w:val="24"/>
        </w:rPr>
      </w:pPr>
    </w:p>
    <w:p w:rsidR="00393123" w:rsidRPr="005E633B" w:rsidRDefault="007751AC" w:rsidP="007868F9">
      <w:pPr>
        <w:shd w:val="clear" w:color="auto" w:fill="FFFFFF"/>
        <w:rPr>
          <w:rFonts w:ascii="Times New Roman" w:hAnsi="Times New Roman" w:cs="Times New Roman"/>
          <w:sz w:val="24"/>
          <w:szCs w:val="24"/>
        </w:rPr>
      </w:pPr>
      <w:r w:rsidRPr="005E633B">
        <w:rPr>
          <w:rFonts w:ascii="Times New Roman" w:hAnsi="Times New Roman" w:cs="Times New Roman"/>
          <w:sz w:val="24"/>
          <w:szCs w:val="24"/>
        </w:rPr>
        <w:t xml:space="preserve">1. </w:t>
      </w:r>
      <w:r w:rsidR="00393123" w:rsidRPr="005E633B">
        <w:rPr>
          <w:rFonts w:ascii="Times New Roman" w:hAnsi="Times New Roman" w:cs="Times New Roman"/>
          <w:sz w:val="24"/>
          <w:szCs w:val="24"/>
        </w:rPr>
        <w:t>Кај бенигни тумори на паротидните жлезди во испитуваната група највисока просечна вредност на IL-33 во серум беше регистрирана кај B</w:t>
      </w:r>
      <w:r w:rsidR="00393123" w:rsidRPr="005E633B">
        <w:rPr>
          <w:rFonts w:ascii="Times New Roman" w:hAnsi="Times New Roman" w:cs="Times New Roman"/>
          <w:sz w:val="24"/>
          <w:szCs w:val="24"/>
          <w:lang w:val="en-US"/>
        </w:rPr>
        <w:t>asal</w:t>
      </w:r>
      <w:r w:rsidR="00393123" w:rsidRPr="00A926CA">
        <w:rPr>
          <w:rFonts w:ascii="Times New Roman" w:hAnsi="Times New Roman" w:cs="Times New Roman"/>
          <w:sz w:val="24"/>
          <w:szCs w:val="24"/>
          <w:lang w:val="ru-RU"/>
        </w:rPr>
        <w:t xml:space="preserve"> </w:t>
      </w:r>
      <w:r w:rsidR="00393123" w:rsidRPr="005E633B">
        <w:rPr>
          <w:rFonts w:ascii="Times New Roman" w:hAnsi="Times New Roman" w:cs="Times New Roman"/>
          <w:sz w:val="24"/>
          <w:szCs w:val="24"/>
          <w:lang w:val="en-US"/>
        </w:rPr>
        <w:t>cell</w:t>
      </w:r>
      <w:r w:rsidR="00393123" w:rsidRPr="00A926CA">
        <w:rPr>
          <w:rFonts w:ascii="Times New Roman" w:hAnsi="Times New Roman" w:cs="Times New Roman"/>
          <w:sz w:val="24"/>
          <w:szCs w:val="24"/>
          <w:lang w:val="ru-RU"/>
        </w:rPr>
        <w:t xml:space="preserve"> </w:t>
      </w:r>
      <w:r w:rsidR="00393123" w:rsidRPr="005E633B">
        <w:rPr>
          <w:rFonts w:ascii="Times New Roman" w:hAnsi="Times New Roman" w:cs="Times New Roman"/>
          <w:sz w:val="24"/>
          <w:szCs w:val="24"/>
          <w:lang w:val="en-US"/>
        </w:rPr>
        <w:t>adenoma</w:t>
      </w:r>
      <w:r w:rsidR="00A128A8">
        <w:rPr>
          <w:rFonts w:ascii="Times New Roman" w:hAnsi="Times New Roman" w:cs="Times New Roman"/>
          <w:sz w:val="24"/>
          <w:szCs w:val="24"/>
        </w:rPr>
        <w:t>.</w:t>
      </w:r>
      <w:r w:rsidR="00393123" w:rsidRPr="005E633B">
        <w:rPr>
          <w:rFonts w:ascii="Times New Roman" w:hAnsi="Times New Roman" w:cs="Times New Roman"/>
          <w:sz w:val="24"/>
          <w:szCs w:val="24"/>
        </w:rPr>
        <w:t xml:space="preserve"> </w:t>
      </w:r>
    </w:p>
    <w:p w:rsidR="005E633B" w:rsidRDefault="005E633B" w:rsidP="007868F9">
      <w:pPr>
        <w:shd w:val="clear" w:color="auto" w:fill="FFFFFF"/>
        <w:rPr>
          <w:rFonts w:ascii="Times New Roman" w:hAnsi="Times New Roman" w:cs="Times New Roman"/>
          <w:sz w:val="24"/>
          <w:szCs w:val="24"/>
        </w:rPr>
      </w:pPr>
    </w:p>
    <w:p w:rsidR="00393123" w:rsidRPr="00A128A8" w:rsidRDefault="007751AC" w:rsidP="007868F9">
      <w:pPr>
        <w:shd w:val="clear" w:color="auto" w:fill="FFFFFF"/>
        <w:rPr>
          <w:rFonts w:ascii="Times New Roman" w:hAnsi="Times New Roman" w:cs="Times New Roman"/>
          <w:sz w:val="24"/>
          <w:szCs w:val="24"/>
        </w:rPr>
      </w:pPr>
      <w:r w:rsidRPr="005E633B">
        <w:rPr>
          <w:rFonts w:ascii="Times New Roman" w:hAnsi="Times New Roman" w:cs="Times New Roman"/>
          <w:sz w:val="24"/>
          <w:szCs w:val="24"/>
        </w:rPr>
        <w:t xml:space="preserve">2. </w:t>
      </w:r>
      <w:r w:rsidR="00393123" w:rsidRPr="005E633B">
        <w:rPr>
          <w:rFonts w:ascii="Times New Roman" w:hAnsi="Times New Roman" w:cs="Times New Roman"/>
          <w:sz w:val="24"/>
          <w:szCs w:val="24"/>
        </w:rPr>
        <w:t>Кај пациентите со малигни тумори на паротидните жлезди во испитуваната група, највисока просечна вредности на IL-33 во серум имаше кај M</w:t>
      </w:r>
      <w:r w:rsidR="00393123" w:rsidRPr="005E633B">
        <w:rPr>
          <w:rFonts w:ascii="Times New Roman" w:hAnsi="Times New Roman" w:cs="Times New Roman"/>
          <w:sz w:val="24"/>
          <w:szCs w:val="24"/>
          <w:lang w:val="en-US"/>
        </w:rPr>
        <w:t>ucoepidermoid</w:t>
      </w:r>
      <w:r w:rsidR="00393123" w:rsidRPr="00A926CA">
        <w:rPr>
          <w:rFonts w:ascii="Times New Roman" w:hAnsi="Times New Roman" w:cs="Times New Roman"/>
          <w:sz w:val="24"/>
          <w:szCs w:val="24"/>
          <w:lang w:val="ru-RU"/>
        </w:rPr>
        <w:t xml:space="preserve"> </w:t>
      </w:r>
      <w:r w:rsidR="00393123" w:rsidRPr="005E633B">
        <w:rPr>
          <w:rFonts w:ascii="Times New Roman" w:hAnsi="Times New Roman" w:cs="Times New Roman"/>
          <w:sz w:val="24"/>
          <w:szCs w:val="24"/>
          <w:lang w:val="en-US"/>
        </w:rPr>
        <w:t>carcinoma</w:t>
      </w:r>
      <w:r w:rsidR="00A128A8">
        <w:rPr>
          <w:rFonts w:ascii="Times New Roman" w:hAnsi="Times New Roman" w:cs="Times New Roman"/>
          <w:sz w:val="24"/>
          <w:szCs w:val="24"/>
        </w:rPr>
        <w:t>.</w:t>
      </w:r>
    </w:p>
    <w:p w:rsidR="007F253C" w:rsidRDefault="007F253C" w:rsidP="007868F9">
      <w:pPr>
        <w:shd w:val="clear" w:color="auto" w:fill="FFFFFF"/>
        <w:rPr>
          <w:rFonts w:ascii="Times New Roman" w:hAnsi="Times New Roman" w:cs="Times New Roman"/>
          <w:sz w:val="24"/>
          <w:szCs w:val="24"/>
        </w:rPr>
      </w:pPr>
    </w:p>
    <w:p w:rsidR="00393123" w:rsidRDefault="005E633B" w:rsidP="007868F9">
      <w:pPr>
        <w:shd w:val="clear" w:color="auto" w:fill="FFFFFF"/>
        <w:rPr>
          <w:rFonts w:ascii="Times New Roman" w:hAnsi="Times New Roman" w:cs="Times New Roman"/>
          <w:sz w:val="24"/>
          <w:szCs w:val="24"/>
        </w:rPr>
      </w:pPr>
      <w:r w:rsidRPr="005E633B">
        <w:rPr>
          <w:rFonts w:ascii="Times New Roman" w:hAnsi="Times New Roman" w:cs="Times New Roman"/>
          <w:sz w:val="24"/>
          <w:szCs w:val="24"/>
        </w:rPr>
        <w:t>3.</w:t>
      </w:r>
      <w:r>
        <w:rPr>
          <w:rFonts w:ascii="Times New Roman" w:hAnsi="Times New Roman" w:cs="Times New Roman"/>
          <w:sz w:val="24"/>
          <w:szCs w:val="24"/>
        </w:rPr>
        <w:t xml:space="preserve"> </w:t>
      </w:r>
      <w:r w:rsidR="00393123" w:rsidRPr="005E633B">
        <w:rPr>
          <w:rFonts w:ascii="Times New Roman" w:hAnsi="Times New Roman" w:cs="Times New Roman"/>
          <w:sz w:val="24"/>
          <w:szCs w:val="24"/>
        </w:rPr>
        <w:t>Вредноста на IL-33 во серум, беше несигнификантно повисока кај пациентите од испитуваната група со тумори на паротидните жлезди, споредено со IL-33 во серум кај здрави лица во контролната група</w:t>
      </w:r>
      <w:r w:rsidR="007751AC" w:rsidRPr="005E633B">
        <w:rPr>
          <w:rFonts w:ascii="Times New Roman" w:hAnsi="Times New Roman" w:cs="Times New Roman"/>
          <w:sz w:val="24"/>
          <w:szCs w:val="24"/>
        </w:rPr>
        <w:t>, односно,</w:t>
      </w:r>
      <w:r w:rsidR="00393123" w:rsidRPr="005E633B">
        <w:rPr>
          <w:rFonts w:ascii="Times New Roman" w:hAnsi="Times New Roman" w:cs="Times New Roman"/>
          <w:sz w:val="24"/>
          <w:szCs w:val="24"/>
        </w:rPr>
        <w:t xml:space="preserve"> </w:t>
      </w:r>
      <w:r w:rsidR="007751AC" w:rsidRPr="005E633B">
        <w:rPr>
          <w:rFonts w:ascii="Times New Roman" w:hAnsi="Times New Roman" w:cs="Times New Roman"/>
          <w:sz w:val="24"/>
          <w:szCs w:val="24"/>
        </w:rPr>
        <w:t>вредноста на IL-33 во серум, беше несигнификантно повисока кај пациентите со малигн</w:t>
      </w:r>
      <w:r w:rsidR="00A128A8">
        <w:rPr>
          <w:rFonts w:ascii="Times New Roman" w:hAnsi="Times New Roman" w:cs="Times New Roman"/>
          <w:sz w:val="24"/>
          <w:szCs w:val="24"/>
        </w:rPr>
        <w:t xml:space="preserve">и тумори на паротидните жлезди, </w:t>
      </w:r>
      <w:r w:rsidR="007751AC" w:rsidRPr="005E633B">
        <w:rPr>
          <w:rFonts w:ascii="Times New Roman" w:hAnsi="Times New Roman" w:cs="Times New Roman"/>
          <w:sz w:val="24"/>
          <w:szCs w:val="24"/>
        </w:rPr>
        <w:t>споредено со IL-33 во серум кај оние со бенигни тумори на паротидните жлезди.</w:t>
      </w:r>
    </w:p>
    <w:p w:rsidR="005E633B" w:rsidRDefault="005E633B" w:rsidP="007868F9">
      <w:pPr>
        <w:shd w:val="clear" w:color="auto" w:fill="FFFFFF"/>
        <w:rPr>
          <w:rFonts w:ascii="Times New Roman" w:hAnsi="Times New Roman" w:cs="Times New Roman"/>
          <w:sz w:val="24"/>
          <w:szCs w:val="24"/>
        </w:rPr>
      </w:pPr>
    </w:p>
    <w:p w:rsidR="005E633B" w:rsidRPr="005E633B" w:rsidRDefault="005E633B" w:rsidP="007868F9">
      <w:pPr>
        <w:shd w:val="clear" w:color="auto" w:fill="FFFFFF"/>
        <w:rPr>
          <w:rFonts w:ascii="Times New Roman" w:hAnsi="Times New Roman" w:cs="Times New Roman"/>
          <w:sz w:val="24"/>
          <w:szCs w:val="24"/>
        </w:rPr>
      </w:pPr>
      <w:r>
        <w:rPr>
          <w:rFonts w:ascii="Times New Roman" w:hAnsi="Times New Roman" w:cs="Times New Roman"/>
          <w:sz w:val="24"/>
          <w:szCs w:val="24"/>
        </w:rPr>
        <w:t>4.</w:t>
      </w:r>
      <w:r w:rsidRPr="005E633B">
        <w:rPr>
          <w:rFonts w:ascii="Times New Roman" w:hAnsi="Times New Roman" w:cs="Times New Roman"/>
          <w:sz w:val="24"/>
          <w:szCs w:val="24"/>
        </w:rPr>
        <w:t xml:space="preserve"> IL-33 во серум несигнификантно растеше со зголемување на возраста, односно, неговите вредности опаѓаа кај испитаниците од женски пол,</w:t>
      </w:r>
      <w:r w:rsidR="00A128A8">
        <w:rPr>
          <w:rFonts w:ascii="Times New Roman" w:hAnsi="Times New Roman" w:cs="Times New Roman"/>
          <w:sz w:val="24"/>
          <w:szCs w:val="24"/>
        </w:rPr>
        <w:t xml:space="preserve"> </w:t>
      </w:r>
      <w:r w:rsidRPr="005E633B">
        <w:rPr>
          <w:rFonts w:ascii="Times New Roman" w:hAnsi="Times New Roman" w:cs="Times New Roman"/>
          <w:sz w:val="24"/>
          <w:szCs w:val="24"/>
        </w:rPr>
        <w:t>односно, несигнификантно растеа со растење на димензиите на туморите на паротидните жлезди</w:t>
      </w:r>
      <w:r w:rsidR="00A128A8">
        <w:rPr>
          <w:rFonts w:ascii="Times New Roman" w:hAnsi="Times New Roman" w:cs="Times New Roman"/>
          <w:sz w:val="24"/>
          <w:szCs w:val="24"/>
        </w:rPr>
        <w:t xml:space="preserve">; </w:t>
      </w:r>
      <w:r w:rsidRPr="005E633B">
        <w:rPr>
          <w:rFonts w:ascii="Times New Roman" w:hAnsi="Times New Roman" w:cs="Times New Roman"/>
          <w:sz w:val="24"/>
          <w:szCs w:val="24"/>
        </w:rPr>
        <w:t xml:space="preserve">IL-33 во серум </w:t>
      </w:r>
      <w:r w:rsidR="008F0025">
        <w:rPr>
          <w:rFonts w:ascii="Times New Roman" w:hAnsi="Times New Roman" w:cs="Times New Roman"/>
          <w:sz w:val="24"/>
          <w:szCs w:val="24"/>
        </w:rPr>
        <w:t>покажува недоволна д</w:t>
      </w:r>
      <w:r w:rsidR="008F0025" w:rsidRPr="005E633B">
        <w:rPr>
          <w:rFonts w:ascii="Times New Roman" w:hAnsi="Times New Roman" w:cs="Times New Roman"/>
          <w:sz w:val="24"/>
          <w:szCs w:val="24"/>
        </w:rPr>
        <w:t>ијагностичка ефикасност</w:t>
      </w:r>
      <w:r w:rsidR="008F0025">
        <w:rPr>
          <w:rFonts w:ascii="Times New Roman" w:hAnsi="Times New Roman" w:cs="Times New Roman"/>
          <w:sz w:val="24"/>
          <w:szCs w:val="24"/>
        </w:rPr>
        <w:t>.</w:t>
      </w:r>
    </w:p>
    <w:p w:rsidR="008F0025" w:rsidRDefault="008F0025" w:rsidP="007868F9">
      <w:pPr>
        <w:shd w:val="clear" w:color="auto" w:fill="FFFFFF"/>
        <w:rPr>
          <w:rFonts w:ascii="Times New Roman" w:hAnsi="Times New Roman" w:cs="Times New Roman"/>
          <w:sz w:val="24"/>
          <w:szCs w:val="24"/>
        </w:rPr>
      </w:pPr>
    </w:p>
    <w:p w:rsidR="00C142F4" w:rsidRPr="008F0025" w:rsidRDefault="0036013C" w:rsidP="007868F9">
      <w:pPr>
        <w:shd w:val="clear" w:color="auto" w:fill="FFFFFF"/>
        <w:rPr>
          <w:rFonts w:ascii="Times New Roman" w:hAnsi="Times New Roman" w:cs="Times New Roman"/>
          <w:sz w:val="24"/>
          <w:szCs w:val="24"/>
        </w:rPr>
      </w:pPr>
      <w:r>
        <w:rPr>
          <w:rFonts w:ascii="Times New Roman" w:hAnsi="Times New Roman" w:cs="Times New Roman"/>
          <w:sz w:val="24"/>
          <w:szCs w:val="24"/>
        </w:rPr>
        <w:t>5</w:t>
      </w:r>
      <w:r w:rsidR="005E633B" w:rsidRPr="005E633B">
        <w:rPr>
          <w:rFonts w:ascii="Times New Roman" w:hAnsi="Times New Roman" w:cs="Times New Roman"/>
          <w:sz w:val="24"/>
          <w:szCs w:val="24"/>
        </w:rPr>
        <w:t xml:space="preserve">. </w:t>
      </w:r>
      <w:r w:rsidR="00C142F4" w:rsidRPr="005E633B">
        <w:rPr>
          <w:rFonts w:ascii="Times New Roman" w:hAnsi="Times New Roman" w:cs="Times New Roman"/>
          <w:sz w:val="24"/>
          <w:szCs w:val="24"/>
        </w:rPr>
        <w:t>Кај бенигни тумори на паротидните жлезди во испитуваната група највисока просечна вредност на IL-33 во салива беше регистрирана кај W</w:t>
      </w:r>
      <w:r w:rsidR="007751AC" w:rsidRPr="005E633B">
        <w:rPr>
          <w:rFonts w:ascii="Times New Roman" w:hAnsi="Times New Roman" w:cs="Times New Roman"/>
          <w:sz w:val="24"/>
          <w:szCs w:val="24"/>
          <w:lang w:val="en-US"/>
        </w:rPr>
        <w:t>arthin</w:t>
      </w:r>
      <w:r w:rsidR="007751AC" w:rsidRPr="00A926CA">
        <w:rPr>
          <w:rFonts w:ascii="Times New Roman" w:hAnsi="Times New Roman" w:cs="Times New Roman"/>
          <w:sz w:val="24"/>
          <w:szCs w:val="24"/>
          <w:lang w:val="ru-RU"/>
        </w:rPr>
        <w:t xml:space="preserve"> </w:t>
      </w:r>
      <w:r w:rsidR="007751AC" w:rsidRPr="005E633B">
        <w:rPr>
          <w:rFonts w:ascii="Times New Roman" w:hAnsi="Times New Roman" w:cs="Times New Roman"/>
          <w:sz w:val="24"/>
          <w:szCs w:val="24"/>
          <w:lang w:val="en-US"/>
        </w:rPr>
        <w:t>tumor</w:t>
      </w:r>
      <w:r w:rsidR="007751AC" w:rsidRPr="00A926CA">
        <w:rPr>
          <w:rFonts w:ascii="Times New Roman" w:hAnsi="Times New Roman" w:cs="Times New Roman"/>
          <w:sz w:val="24"/>
          <w:szCs w:val="24"/>
          <w:lang w:val="ru-RU"/>
        </w:rPr>
        <w:t>.</w:t>
      </w:r>
    </w:p>
    <w:p w:rsidR="005E633B" w:rsidRDefault="005E633B" w:rsidP="007868F9">
      <w:pPr>
        <w:shd w:val="clear" w:color="auto" w:fill="FFFFFF"/>
        <w:rPr>
          <w:rFonts w:ascii="Times New Roman" w:hAnsi="Times New Roman" w:cs="Times New Roman"/>
          <w:sz w:val="24"/>
          <w:szCs w:val="24"/>
        </w:rPr>
      </w:pPr>
    </w:p>
    <w:p w:rsidR="007751AC" w:rsidRPr="00A926CA" w:rsidRDefault="0036013C" w:rsidP="007868F9">
      <w:pPr>
        <w:shd w:val="clear" w:color="auto" w:fill="FFFFFF"/>
        <w:rPr>
          <w:rFonts w:ascii="Times New Roman" w:hAnsi="Times New Roman" w:cs="Times New Roman"/>
          <w:sz w:val="24"/>
          <w:szCs w:val="24"/>
          <w:lang w:val="ru-RU"/>
        </w:rPr>
      </w:pPr>
      <w:r>
        <w:rPr>
          <w:rFonts w:ascii="Times New Roman" w:hAnsi="Times New Roman" w:cs="Times New Roman"/>
          <w:sz w:val="24"/>
          <w:szCs w:val="24"/>
        </w:rPr>
        <w:t>6</w:t>
      </w:r>
      <w:r w:rsidR="005E633B" w:rsidRPr="005E633B">
        <w:rPr>
          <w:rFonts w:ascii="Times New Roman" w:hAnsi="Times New Roman" w:cs="Times New Roman"/>
          <w:sz w:val="24"/>
          <w:szCs w:val="24"/>
        </w:rPr>
        <w:t xml:space="preserve">. </w:t>
      </w:r>
      <w:r w:rsidR="007751AC" w:rsidRPr="005E633B">
        <w:rPr>
          <w:rFonts w:ascii="Times New Roman" w:hAnsi="Times New Roman" w:cs="Times New Roman"/>
          <w:sz w:val="24"/>
          <w:szCs w:val="24"/>
        </w:rPr>
        <w:t xml:space="preserve">Кај малигни тумори на паротидните жлезди во испитуваната група највисока просечна вредност на IL-33 во салива беше регистрирана кај </w:t>
      </w:r>
      <w:r w:rsidR="007751AC" w:rsidRPr="005E633B">
        <w:rPr>
          <w:rFonts w:ascii="Times New Roman" w:hAnsi="Times New Roman" w:cs="Times New Roman"/>
          <w:sz w:val="24"/>
          <w:szCs w:val="24"/>
          <w:lang w:val="en-US"/>
        </w:rPr>
        <w:t>Adenoid</w:t>
      </w:r>
      <w:r w:rsidR="007751AC" w:rsidRPr="00A926CA">
        <w:rPr>
          <w:rFonts w:ascii="Times New Roman" w:hAnsi="Times New Roman" w:cs="Times New Roman"/>
          <w:sz w:val="24"/>
          <w:szCs w:val="24"/>
          <w:lang w:val="ru-RU"/>
        </w:rPr>
        <w:t xml:space="preserve"> </w:t>
      </w:r>
      <w:r w:rsidR="007751AC" w:rsidRPr="005E633B">
        <w:rPr>
          <w:rFonts w:ascii="Times New Roman" w:hAnsi="Times New Roman" w:cs="Times New Roman"/>
          <w:sz w:val="24"/>
          <w:szCs w:val="24"/>
          <w:lang w:val="en-US"/>
        </w:rPr>
        <w:t>cystic</w:t>
      </w:r>
      <w:r w:rsidR="007751AC" w:rsidRPr="00A926CA">
        <w:rPr>
          <w:rFonts w:ascii="Times New Roman" w:hAnsi="Times New Roman" w:cs="Times New Roman"/>
          <w:sz w:val="24"/>
          <w:szCs w:val="24"/>
          <w:lang w:val="ru-RU"/>
        </w:rPr>
        <w:t xml:space="preserve"> </w:t>
      </w:r>
      <w:r w:rsidR="007751AC" w:rsidRPr="005E633B">
        <w:rPr>
          <w:rFonts w:ascii="Times New Roman" w:hAnsi="Times New Roman" w:cs="Times New Roman"/>
          <w:sz w:val="24"/>
          <w:szCs w:val="24"/>
          <w:lang w:val="en-US"/>
        </w:rPr>
        <w:t>carcinoma</w:t>
      </w:r>
      <w:r w:rsidR="007751AC" w:rsidRPr="00A926CA">
        <w:rPr>
          <w:rFonts w:ascii="Times New Roman" w:hAnsi="Times New Roman" w:cs="Times New Roman"/>
          <w:sz w:val="24"/>
          <w:szCs w:val="24"/>
          <w:lang w:val="ru-RU"/>
        </w:rPr>
        <w:t>.</w:t>
      </w:r>
    </w:p>
    <w:p w:rsidR="007751AC" w:rsidRPr="00A926CA" w:rsidRDefault="007751AC" w:rsidP="007868F9">
      <w:pPr>
        <w:shd w:val="clear" w:color="auto" w:fill="FFFFFF"/>
        <w:rPr>
          <w:rFonts w:ascii="Times New Roman" w:hAnsi="Times New Roman" w:cs="Times New Roman"/>
          <w:sz w:val="24"/>
          <w:szCs w:val="24"/>
          <w:lang w:val="ru-RU"/>
        </w:rPr>
      </w:pPr>
    </w:p>
    <w:p w:rsidR="007751AC" w:rsidRPr="00A926CA" w:rsidRDefault="0036013C" w:rsidP="007868F9">
      <w:pPr>
        <w:shd w:val="clear" w:color="auto" w:fill="FFFFFF"/>
        <w:rPr>
          <w:rFonts w:ascii="Times New Roman" w:hAnsi="Times New Roman" w:cs="Times New Roman"/>
          <w:sz w:val="24"/>
          <w:szCs w:val="24"/>
          <w:lang w:val="ru-RU"/>
        </w:rPr>
      </w:pPr>
      <w:r>
        <w:rPr>
          <w:rFonts w:ascii="Times New Roman" w:hAnsi="Times New Roman" w:cs="Times New Roman"/>
          <w:sz w:val="24"/>
          <w:szCs w:val="24"/>
        </w:rPr>
        <w:t>7</w:t>
      </w:r>
      <w:r w:rsidR="005E633B" w:rsidRPr="005E633B">
        <w:rPr>
          <w:rFonts w:ascii="Times New Roman" w:hAnsi="Times New Roman" w:cs="Times New Roman"/>
          <w:sz w:val="24"/>
          <w:szCs w:val="24"/>
        </w:rPr>
        <w:t xml:space="preserve">. </w:t>
      </w:r>
      <w:r w:rsidR="005E633B">
        <w:rPr>
          <w:rFonts w:ascii="Times New Roman" w:hAnsi="Times New Roman" w:cs="Times New Roman"/>
          <w:sz w:val="24"/>
          <w:szCs w:val="24"/>
        </w:rPr>
        <w:t>Вредноста на IL-33 во салива</w:t>
      </w:r>
      <w:r w:rsidR="00C142F4" w:rsidRPr="005E633B">
        <w:rPr>
          <w:rFonts w:ascii="Times New Roman" w:hAnsi="Times New Roman" w:cs="Times New Roman"/>
          <w:sz w:val="24"/>
          <w:szCs w:val="24"/>
        </w:rPr>
        <w:t xml:space="preserve"> беше несигнификантно повисока кај пациентите од испитуваната група со тумори на паротидните жлезди</w:t>
      </w:r>
      <w:r w:rsidR="00C142F4" w:rsidRPr="00A926CA">
        <w:rPr>
          <w:rFonts w:ascii="Times New Roman" w:hAnsi="Times New Roman" w:cs="Times New Roman"/>
          <w:sz w:val="24"/>
          <w:szCs w:val="24"/>
          <w:lang w:val="ru-RU"/>
        </w:rPr>
        <w:t xml:space="preserve">, </w:t>
      </w:r>
      <w:r w:rsidR="00C142F4" w:rsidRPr="005E633B">
        <w:rPr>
          <w:rFonts w:ascii="Times New Roman" w:hAnsi="Times New Roman" w:cs="Times New Roman"/>
          <w:sz w:val="24"/>
          <w:szCs w:val="24"/>
        </w:rPr>
        <w:t>споредено со IL-33 во салива кај здрави лица во контролната група</w:t>
      </w:r>
      <w:r w:rsidR="007751AC" w:rsidRPr="00A926CA">
        <w:rPr>
          <w:rFonts w:ascii="Times New Roman" w:hAnsi="Times New Roman" w:cs="Times New Roman"/>
          <w:sz w:val="24"/>
          <w:szCs w:val="24"/>
          <w:lang w:val="ru-RU"/>
        </w:rPr>
        <w:t xml:space="preserve">, </w:t>
      </w:r>
      <w:r w:rsidR="007751AC" w:rsidRPr="005E633B">
        <w:rPr>
          <w:rFonts w:ascii="Times New Roman" w:hAnsi="Times New Roman" w:cs="Times New Roman"/>
          <w:sz w:val="24"/>
          <w:szCs w:val="24"/>
        </w:rPr>
        <w:t xml:space="preserve">односно, вредноста на IL-33 во салива, беше несигнификантно повисока кај пациентите со малигни тумори на паротидните жлезди </w:t>
      </w:r>
      <w:r w:rsidR="007751AC" w:rsidRPr="00A926CA">
        <w:rPr>
          <w:rFonts w:ascii="Times New Roman" w:hAnsi="Times New Roman" w:cs="Times New Roman"/>
          <w:sz w:val="24"/>
          <w:szCs w:val="24"/>
          <w:lang w:val="ru-RU"/>
        </w:rPr>
        <w:t>,</w:t>
      </w:r>
      <w:r w:rsidR="007751AC" w:rsidRPr="005E633B">
        <w:rPr>
          <w:rFonts w:ascii="Times New Roman" w:hAnsi="Times New Roman" w:cs="Times New Roman"/>
          <w:sz w:val="24"/>
          <w:szCs w:val="24"/>
        </w:rPr>
        <w:t>споредено со IL-33 во салива кај оние со бенигни тумори на паротидните жлезди</w:t>
      </w:r>
      <w:r w:rsidR="008F0025">
        <w:rPr>
          <w:rFonts w:ascii="Times New Roman" w:hAnsi="Times New Roman" w:cs="Times New Roman"/>
          <w:sz w:val="24"/>
          <w:szCs w:val="24"/>
        </w:rPr>
        <w:t>.</w:t>
      </w:r>
    </w:p>
    <w:p w:rsidR="00C142F4" w:rsidRPr="005E633B" w:rsidRDefault="00C142F4" w:rsidP="007868F9">
      <w:pPr>
        <w:shd w:val="clear" w:color="auto" w:fill="FFFFFF"/>
        <w:rPr>
          <w:rFonts w:ascii="Times New Roman" w:hAnsi="Times New Roman" w:cs="Times New Roman"/>
          <w:sz w:val="24"/>
          <w:szCs w:val="24"/>
        </w:rPr>
      </w:pPr>
    </w:p>
    <w:p w:rsidR="007751AC" w:rsidRPr="0036013C" w:rsidRDefault="0036013C" w:rsidP="007868F9">
      <w:pPr>
        <w:shd w:val="clear" w:color="auto" w:fill="FFFFFF"/>
        <w:rPr>
          <w:rFonts w:ascii="Times New Roman" w:hAnsi="Times New Roman" w:cs="Times New Roman"/>
          <w:sz w:val="24"/>
          <w:szCs w:val="24"/>
        </w:rPr>
      </w:pPr>
      <w:r>
        <w:rPr>
          <w:rFonts w:ascii="Times New Roman" w:hAnsi="Times New Roman" w:cs="Times New Roman"/>
          <w:sz w:val="24"/>
          <w:szCs w:val="24"/>
        </w:rPr>
        <w:t>8</w:t>
      </w:r>
      <w:r w:rsidR="005E633B">
        <w:rPr>
          <w:rFonts w:ascii="Times New Roman" w:hAnsi="Times New Roman" w:cs="Times New Roman"/>
          <w:sz w:val="24"/>
          <w:szCs w:val="24"/>
        </w:rPr>
        <w:t>.</w:t>
      </w:r>
      <w:r w:rsidR="002D7481">
        <w:rPr>
          <w:rFonts w:ascii="Times New Roman" w:hAnsi="Times New Roman" w:cs="Times New Roman"/>
          <w:sz w:val="24"/>
          <w:szCs w:val="24"/>
        </w:rPr>
        <w:t xml:space="preserve"> </w:t>
      </w:r>
      <w:r w:rsidR="00C142F4" w:rsidRPr="005E633B">
        <w:rPr>
          <w:rFonts w:ascii="Times New Roman" w:hAnsi="Times New Roman" w:cs="Times New Roman"/>
          <w:sz w:val="24"/>
          <w:szCs w:val="24"/>
        </w:rPr>
        <w:t>IL-33 во салива несигнификантно растеше со зголемување на возраста</w:t>
      </w:r>
      <w:r w:rsidR="005E633B" w:rsidRPr="005E633B">
        <w:rPr>
          <w:rFonts w:ascii="Times New Roman" w:hAnsi="Times New Roman" w:cs="Times New Roman"/>
          <w:sz w:val="24"/>
          <w:szCs w:val="24"/>
        </w:rPr>
        <w:t>,односно неговите вредности бележеа несигнификантно опаѓање кај женскиот пол, односно истите несигнификантно растеа со растење на димензиите на</w:t>
      </w:r>
      <w:r>
        <w:rPr>
          <w:rFonts w:ascii="Times New Roman" w:hAnsi="Times New Roman" w:cs="Times New Roman"/>
          <w:sz w:val="24"/>
          <w:szCs w:val="24"/>
        </w:rPr>
        <w:t xml:space="preserve"> туморите на паротидните жлезди, односно, д</w:t>
      </w:r>
      <w:r w:rsidR="007751AC" w:rsidRPr="005E633B">
        <w:rPr>
          <w:rFonts w:ascii="Times New Roman" w:hAnsi="Times New Roman" w:cs="Times New Roman"/>
          <w:sz w:val="24"/>
          <w:szCs w:val="24"/>
        </w:rPr>
        <w:t>ијагностичка ефикасност</w:t>
      </w:r>
      <w:r w:rsidR="008F0025">
        <w:rPr>
          <w:rFonts w:ascii="Times New Roman" w:hAnsi="Times New Roman" w:cs="Times New Roman"/>
          <w:sz w:val="24"/>
          <w:szCs w:val="24"/>
        </w:rPr>
        <w:t xml:space="preserve"> на IL-33 во салива резултира се проценува како </w:t>
      </w:r>
      <w:r>
        <w:rPr>
          <w:rFonts w:ascii="Times New Roman" w:hAnsi="Times New Roman" w:cs="Times New Roman"/>
          <w:sz w:val="24"/>
          <w:szCs w:val="24"/>
        </w:rPr>
        <w:t>несигнификантна.</w:t>
      </w:r>
    </w:p>
    <w:p w:rsidR="001B07E1" w:rsidRDefault="001B07E1" w:rsidP="007868F9">
      <w:pPr>
        <w:shd w:val="clear" w:color="auto" w:fill="FFFFFF"/>
        <w:rPr>
          <w:rFonts w:ascii="Times New Roman" w:hAnsi="Times New Roman" w:cs="Times New Roman"/>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7868F9" w:rsidRDefault="007868F9" w:rsidP="007868F9">
      <w:pPr>
        <w:shd w:val="clear" w:color="auto" w:fill="FFFFFF"/>
        <w:rPr>
          <w:rFonts w:ascii="Times New Roman" w:hAnsi="Times New Roman" w:cs="Times New Roman"/>
          <w:color w:val="000000" w:themeColor="text1"/>
          <w:sz w:val="24"/>
          <w:szCs w:val="24"/>
        </w:rPr>
      </w:pPr>
    </w:p>
    <w:p w:rsidR="001B07E1" w:rsidRPr="007F775F" w:rsidRDefault="001B07E1" w:rsidP="007868F9">
      <w:pPr>
        <w:shd w:val="clear" w:color="auto" w:fill="FFFFFF"/>
        <w:rPr>
          <w:rFonts w:ascii="Times New Roman" w:hAnsi="Times New Roman" w:cs="Times New Roman"/>
          <w:color w:val="000000" w:themeColor="text1"/>
          <w:sz w:val="24"/>
          <w:szCs w:val="24"/>
        </w:rPr>
      </w:pPr>
      <w:r w:rsidRPr="007F775F">
        <w:rPr>
          <w:rFonts w:ascii="Times New Roman" w:hAnsi="Times New Roman" w:cs="Times New Roman"/>
          <w:color w:val="000000" w:themeColor="text1"/>
          <w:sz w:val="24"/>
          <w:szCs w:val="24"/>
        </w:rPr>
        <w:t>Донесените заклучоци во студијата се во рамките на неколкуте нејзини ограничувања.</w:t>
      </w:r>
      <w:r w:rsidR="0036013C" w:rsidRPr="007F775F">
        <w:rPr>
          <w:rFonts w:ascii="Times New Roman" w:hAnsi="Times New Roman" w:cs="Times New Roman"/>
          <w:color w:val="000000" w:themeColor="text1"/>
          <w:sz w:val="24"/>
          <w:szCs w:val="24"/>
        </w:rPr>
        <w:t xml:space="preserve"> </w:t>
      </w:r>
      <w:r w:rsidR="007F775F" w:rsidRPr="007F775F">
        <w:rPr>
          <w:rFonts w:ascii="Times New Roman" w:hAnsi="Times New Roman" w:cs="Times New Roman"/>
          <w:color w:val="000000" w:themeColor="text1"/>
          <w:sz w:val="24"/>
          <w:szCs w:val="24"/>
        </w:rPr>
        <w:t>Освен р</w:t>
      </w:r>
      <w:r w:rsidR="0036013C" w:rsidRPr="007F775F">
        <w:rPr>
          <w:rFonts w:ascii="Times New Roman" w:hAnsi="Times New Roman" w:cs="Times New Roman"/>
          <w:color w:val="000000" w:themeColor="text1"/>
          <w:sz w:val="24"/>
          <w:szCs w:val="24"/>
        </w:rPr>
        <w:t>андомизираниот избор на пациенти (</w:t>
      </w:r>
      <w:r w:rsidRPr="007F775F">
        <w:rPr>
          <w:rFonts w:ascii="Times New Roman" w:hAnsi="Times New Roman" w:cs="Times New Roman"/>
          <w:color w:val="000000" w:themeColor="text1"/>
          <w:sz w:val="24"/>
          <w:szCs w:val="24"/>
        </w:rPr>
        <w:t>тумори со различна преваленца</w:t>
      </w:r>
      <w:r w:rsidR="0036013C" w:rsidRPr="007F775F">
        <w:rPr>
          <w:rFonts w:ascii="Times New Roman" w:hAnsi="Times New Roman" w:cs="Times New Roman"/>
          <w:color w:val="000000" w:themeColor="text1"/>
          <w:sz w:val="24"/>
          <w:szCs w:val="24"/>
        </w:rPr>
        <w:t>)</w:t>
      </w:r>
      <w:r w:rsidRPr="007F775F">
        <w:rPr>
          <w:rFonts w:ascii="Times New Roman" w:hAnsi="Times New Roman" w:cs="Times New Roman"/>
          <w:color w:val="000000" w:themeColor="text1"/>
          <w:sz w:val="24"/>
          <w:szCs w:val="24"/>
        </w:rPr>
        <w:t>, ограничување на студијата е и релативно краткиот период на евалуација</w:t>
      </w:r>
      <w:r w:rsidR="007F775F" w:rsidRPr="007F775F">
        <w:rPr>
          <w:rFonts w:ascii="Times New Roman" w:hAnsi="Times New Roman" w:cs="Times New Roman"/>
          <w:color w:val="000000" w:themeColor="text1"/>
          <w:sz w:val="24"/>
          <w:szCs w:val="24"/>
        </w:rPr>
        <w:t xml:space="preserve">. Идните студии </w:t>
      </w:r>
      <w:r w:rsidRPr="007F775F">
        <w:rPr>
          <w:rFonts w:ascii="Times New Roman" w:hAnsi="Times New Roman" w:cs="Times New Roman"/>
          <w:color w:val="000000" w:themeColor="text1"/>
          <w:sz w:val="24"/>
          <w:szCs w:val="24"/>
        </w:rPr>
        <w:t xml:space="preserve"> </w:t>
      </w:r>
      <w:r w:rsidR="007F767B" w:rsidRPr="007F775F">
        <w:rPr>
          <w:rFonts w:ascii="Times New Roman" w:hAnsi="Times New Roman" w:cs="Times New Roman"/>
          <w:color w:val="000000" w:themeColor="text1"/>
          <w:sz w:val="24"/>
          <w:szCs w:val="24"/>
        </w:rPr>
        <w:t xml:space="preserve">би требало да </w:t>
      </w:r>
      <w:r w:rsidR="007F775F" w:rsidRPr="007F775F">
        <w:rPr>
          <w:rFonts w:ascii="Times New Roman" w:hAnsi="Times New Roman" w:cs="Times New Roman"/>
          <w:color w:val="000000" w:themeColor="text1"/>
          <w:sz w:val="24"/>
          <w:szCs w:val="24"/>
        </w:rPr>
        <w:t>се реализираат во поголем временски период, односно</w:t>
      </w:r>
      <w:r w:rsidR="0036013C" w:rsidRPr="007F775F">
        <w:rPr>
          <w:rFonts w:ascii="Times New Roman" w:hAnsi="Times New Roman" w:cs="Times New Roman"/>
          <w:color w:val="000000" w:themeColor="text1"/>
          <w:sz w:val="24"/>
          <w:szCs w:val="24"/>
        </w:rPr>
        <w:t xml:space="preserve"> </w:t>
      </w:r>
      <w:r w:rsidR="007F767B" w:rsidRPr="007F775F">
        <w:rPr>
          <w:rFonts w:ascii="Times New Roman" w:hAnsi="Times New Roman" w:cs="Times New Roman"/>
          <w:color w:val="000000" w:themeColor="text1"/>
          <w:sz w:val="24"/>
          <w:szCs w:val="24"/>
        </w:rPr>
        <w:t xml:space="preserve">да се опфатат </w:t>
      </w:r>
      <w:r w:rsidR="003B7C2B" w:rsidRPr="007F775F">
        <w:rPr>
          <w:rFonts w:ascii="Times New Roman" w:hAnsi="Times New Roman" w:cs="Times New Roman"/>
          <w:color w:val="000000" w:themeColor="text1"/>
          <w:sz w:val="24"/>
          <w:szCs w:val="24"/>
        </w:rPr>
        <w:t>повеќе класификациони тип</w:t>
      </w:r>
      <w:r w:rsidR="007F775F" w:rsidRPr="007F775F">
        <w:rPr>
          <w:rFonts w:ascii="Times New Roman" w:hAnsi="Times New Roman" w:cs="Times New Roman"/>
          <w:color w:val="000000" w:themeColor="text1"/>
          <w:sz w:val="24"/>
          <w:szCs w:val="24"/>
        </w:rPr>
        <w:t xml:space="preserve">ови на паротидни тумори </w:t>
      </w:r>
      <w:r w:rsidR="003B7C2B" w:rsidRPr="007F775F">
        <w:rPr>
          <w:rFonts w:ascii="Times New Roman" w:hAnsi="Times New Roman" w:cs="Times New Roman"/>
          <w:color w:val="000000" w:themeColor="text1"/>
          <w:sz w:val="24"/>
          <w:szCs w:val="24"/>
        </w:rPr>
        <w:t xml:space="preserve">и </w:t>
      </w:r>
      <w:r w:rsidR="007F775F" w:rsidRPr="007F775F">
        <w:rPr>
          <w:rFonts w:ascii="Times New Roman" w:hAnsi="Times New Roman" w:cs="Times New Roman"/>
          <w:color w:val="000000" w:themeColor="text1"/>
          <w:sz w:val="24"/>
          <w:szCs w:val="24"/>
        </w:rPr>
        <w:t>согласно на горе</w:t>
      </w:r>
      <w:r w:rsidR="007F775F">
        <w:rPr>
          <w:rFonts w:ascii="Times New Roman" w:hAnsi="Times New Roman" w:cs="Times New Roman"/>
          <w:color w:val="000000" w:themeColor="text1"/>
          <w:sz w:val="24"/>
          <w:szCs w:val="24"/>
        </w:rPr>
        <w:t xml:space="preserve"> </w:t>
      </w:r>
      <w:r w:rsidR="007F775F" w:rsidRPr="007F775F">
        <w:rPr>
          <w:rFonts w:ascii="Times New Roman" w:hAnsi="Times New Roman" w:cs="Times New Roman"/>
          <w:color w:val="000000" w:themeColor="text1"/>
          <w:sz w:val="24"/>
          <w:szCs w:val="24"/>
        </w:rPr>
        <w:t xml:space="preserve">споменатото, </w:t>
      </w:r>
      <w:r w:rsidR="003B7C2B" w:rsidRPr="007F775F">
        <w:rPr>
          <w:rFonts w:ascii="Times New Roman" w:hAnsi="Times New Roman" w:cs="Times New Roman"/>
          <w:color w:val="000000" w:themeColor="text1"/>
          <w:sz w:val="24"/>
          <w:szCs w:val="24"/>
        </w:rPr>
        <w:t>да се утврди време</w:t>
      </w:r>
      <w:r w:rsidR="007F775F" w:rsidRPr="007F775F">
        <w:rPr>
          <w:rFonts w:ascii="Times New Roman" w:hAnsi="Times New Roman" w:cs="Times New Roman"/>
          <w:color w:val="000000" w:themeColor="text1"/>
          <w:sz w:val="24"/>
          <w:szCs w:val="24"/>
        </w:rPr>
        <w:t xml:space="preserve">нскиот фактор за изведување на </w:t>
      </w:r>
      <w:r w:rsidR="003B7C2B" w:rsidRPr="007F775F">
        <w:rPr>
          <w:rFonts w:ascii="Times New Roman" w:hAnsi="Times New Roman" w:cs="Times New Roman"/>
          <w:color w:val="000000" w:themeColor="text1"/>
          <w:sz w:val="24"/>
          <w:szCs w:val="24"/>
        </w:rPr>
        <w:t>дијагности</w:t>
      </w:r>
      <w:r w:rsidR="007F775F" w:rsidRPr="007F775F">
        <w:rPr>
          <w:rFonts w:ascii="Times New Roman" w:hAnsi="Times New Roman" w:cs="Times New Roman"/>
          <w:color w:val="000000" w:themeColor="text1"/>
          <w:sz w:val="24"/>
          <w:szCs w:val="24"/>
        </w:rPr>
        <w:t>ч</w:t>
      </w:r>
      <w:r w:rsidR="003B7C2B" w:rsidRPr="007F775F">
        <w:rPr>
          <w:rFonts w:ascii="Times New Roman" w:hAnsi="Times New Roman" w:cs="Times New Roman"/>
          <w:color w:val="000000" w:themeColor="text1"/>
          <w:sz w:val="24"/>
          <w:szCs w:val="24"/>
        </w:rPr>
        <w:t xml:space="preserve">ката евалуација на </w:t>
      </w:r>
      <w:r w:rsidR="007F775F" w:rsidRPr="007F775F">
        <w:rPr>
          <w:rFonts w:ascii="Times New Roman" w:hAnsi="Times New Roman" w:cs="Times New Roman"/>
          <w:color w:val="000000" w:themeColor="text1"/>
          <w:sz w:val="24"/>
          <w:szCs w:val="24"/>
        </w:rPr>
        <w:t xml:space="preserve">IL-33 </w:t>
      </w:r>
      <w:r w:rsidR="003B7C2B" w:rsidRPr="007F775F">
        <w:rPr>
          <w:rFonts w:ascii="Times New Roman" w:hAnsi="Times New Roman" w:cs="Times New Roman"/>
          <w:color w:val="000000" w:themeColor="text1"/>
          <w:sz w:val="24"/>
          <w:szCs w:val="24"/>
        </w:rPr>
        <w:t>во серум и салива.</w:t>
      </w:r>
    </w:p>
    <w:p w:rsidR="002D7481" w:rsidRDefault="002D7481" w:rsidP="007868F9">
      <w:pPr>
        <w:shd w:val="clear" w:color="auto" w:fill="FFFFFF"/>
        <w:rPr>
          <w:rFonts w:ascii="Times New Roman" w:hAnsi="Times New Roman" w:cs="Times New Roman"/>
          <w:sz w:val="24"/>
          <w:szCs w:val="24"/>
        </w:rPr>
      </w:pPr>
    </w:p>
    <w:p w:rsidR="002D7481" w:rsidRDefault="002D7481" w:rsidP="007868F9">
      <w:pPr>
        <w:shd w:val="clear" w:color="auto" w:fill="FFFFFF"/>
        <w:rPr>
          <w:rFonts w:ascii="Times New Roman" w:hAnsi="Times New Roman" w:cs="Times New Roman"/>
          <w:sz w:val="24"/>
          <w:szCs w:val="24"/>
        </w:rPr>
      </w:pPr>
    </w:p>
    <w:p w:rsidR="002D7481" w:rsidRPr="005E633B" w:rsidRDefault="002D7481" w:rsidP="007868F9">
      <w:pPr>
        <w:shd w:val="clear" w:color="auto" w:fill="FFFFFF"/>
        <w:rPr>
          <w:rFonts w:ascii="Times New Roman" w:hAnsi="Times New Roman" w:cs="Times New Roman"/>
          <w:sz w:val="24"/>
          <w:szCs w:val="24"/>
        </w:rPr>
      </w:pPr>
    </w:p>
    <w:p w:rsidR="004965AE" w:rsidRPr="00A3228B" w:rsidRDefault="004965AE"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E64B8C" w:rsidRDefault="00E64B8C" w:rsidP="007868F9">
      <w:pPr>
        <w:shd w:val="clear" w:color="auto" w:fill="FFFFFF"/>
        <w:rPr>
          <w:rFonts w:ascii="Times New Roman" w:hAnsi="Times New Roman" w:cs="Times New Roman"/>
          <w:sz w:val="24"/>
          <w:szCs w:val="24"/>
        </w:rPr>
      </w:pPr>
    </w:p>
    <w:p w:rsidR="008F0025" w:rsidRDefault="008F0025" w:rsidP="007868F9">
      <w:pPr>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7868F9" w:rsidRDefault="007868F9" w:rsidP="00A729F7">
      <w:pPr>
        <w:pStyle w:val="ListParagraph"/>
        <w:spacing w:after="200" w:line="360" w:lineRule="auto"/>
        <w:ind w:left="0"/>
        <w:contextualSpacing/>
        <w:jc w:val="both"/>
        <w:rPr>
          <w:rFonts w:ascii="Times New Roman" w:hAnsi="Times New Roman" w:cs="Times New Roman"/>
          <w:b/>
          <w:sz w:val="24"/>
          <w:szCs w:val="24"/>
        </w:rPr>
      </w:pPr>
    </w:p>
    <w:p w:rsidR="00A729F7" w:rsidRDefault="00B73BDD" w:rsidP="00A729F7">
      <w:pPr>
        <w:pStyle w:val="ListParagraph"/>
        <w:spacing w:after="200" w:line="360" w:lineRule="auto"/>
        <w:ind w:left="0"/>
        <w:contextualSpacing/>
        <w:jc w:val="both"/>
        <w:rPr>
          <w:rFonts w:ascii="Times New Roman" w:hAnsi="Times New Roman" w:cs="Times New Roman"/>
          <w:b/>
          <w:sz w:val="20"/>
          <w:szCs w:val="20"/>
          <w:lang w:val="en-US"/>
        </w:rPr>
      </w:pPr>
      <w:r>
        <w:rPr>
          <w:rFonts w:ascii="Times New Roman" w:hAnsi="Times New Roman" w:cs="Times New Roman"/>
          <w:b/>
          <w:sz w:val="24"/>
          <w:szCs w:val="24"/>
        </w:rPr>
        <w:t>10</w:t>
      </w:r>
      <w:r w:rsidR="00DE3D83" w:rsidRPr="00390246">
        <w:rPr>
          <w:rFonts w:ascii="Times New Roman" w:hAnsi="Times New Roman" w:cs="Times New Roman"/>
          <w:b/>
          <w:sz w:val="24"/>
          <w:szCs w:val="24"/>
        </w:rPr>
        <w:t xml:space="preserve">. </w:t>
      </w:r>
      <w:r w:rsidR="00E64B8C" w:rsidRPr="00390246">
        <w:rPr>
          <w:rFonts w:ascii="Times New Roman" w:hAnsi="Times New Roman" w:cs="Times New Roman"/>
          <w:b/>
          <w:sz w:val="24"/>
          <w:szCs w:val="24"/>
        </w:rPr>
        <w:t xml:space="preserve">КОРИСТЕНА </w:t>
      </w:r>
      <w:r w:rsidR="00E64B8C" w:rsidRPr="00A729F7">
        <w:rPr>
          <w:rFonts w:ascii="Times New Roman" w:hAnsi="Times New Roman" w:cs="Times New Roman"/>
          <w:b/>
          <w:sz w:val="24"/>
          <w:szCs w:val="24"/>
        </w:rPr>
        <w:t>ЛИТЕРАТУРА</w:t>
      </w:r>
    </w:p>
    <w:p w:rsidR="00A729F7" w:rsidRDefault="00A729F7" w:rsidP="00A729F7">
      <w:pPr>
        <w:pStyle w:val="ListParagraph"/>
        <w:spacing w:after="200" w:line="360" w:lineRule="auto"/>
        <w:ind w:left="0"/>
        <w:contextualSpacing/>
        <w:jc w:val="both"/>
        <w:rPr>
          <w:rFonts w:ascii="Times New Roman" w:hAnsi="Times New Roman" w:cs="Times New Roman"/>
          <w:sz w:val="20"/>
          <w:szCs w:val="20"/>
          <w:lang w:val="en-US"/>
        </w:rPr>
      </w:pPr>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1. https://www.cancer.org/cancer/salivary-gland-cancer/about/what-is-key-statistics.html.</w:t>
      </w:r>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2. L. Barnes, J. W. Eveson, P. Reichart, and D. Sidransky, Pathology and Genetics of Head and Neck Tumours, IARCPress, Lyon, France, 2005.</w:t>
      </w:r>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3. R. R. Seethala and G. Stenman, “Update from the 4th Edition of the World Health Organization Classifcation of Head and Neck Tumours: Tumors of the Salivary Gland,” Head &amp; Neck Pathology, vol. 11, no. 1, pp. 55–67, 2017.</w:t>
      </w:r>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color w:val="212121"/>
          <w:sz w:val="20"/>
          <w:szCs w:val="20"/>
        </w:rPr>
        <w:t>4. Matthias Rössle, Gieri Cathomas, Laura Bonapace, Melanie Sachs, Silvia Dehler, Martina Storz, Gerhard Huber, Holger Moch, Tobias Junt, Kirsten D Mertz, Interleukin-33 Expression Indicates a Favorable Prognosis in Malignant Salivary Gland Tumors, DOI: </w:t>
      </w:r>
      <w:hyperlink r:id="rId47" w:tgtFrame="_blank" w:history="1">
        <w:r w:rsidRPr="00A729F7">
          <w:rPr>
            <w:rFonts w:ascii="Times New Roman" w:hAnsi="Times New Roman" w:cs="Times New Roman"/>
            <w:color w:val="205493"/>
            <w:sz w:val="20"/>
            <w:szCs w:val="20"/>
            <w:u w:val="single"/>
          </w:rPr>
          <w:t>10.1177/1066896916633856</w:t>
        </w:r>
      </w:hyperlink>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color w:val="212121"/>
          <w:sz w:val="20"/>
          <w:szCs w:val="20"/>
        </w:rPr>
        <w:t>5. Razieh Zare, Mahyar Malekzadeh, Bijan Khademi, Mohamad Hashemi, Investigation of IL-33 serum levels in patients with benign and malignant salivary gland tumors, January 2018, Cancer biomarkers: section A of Disease markers 23(1):61-65</w:t>
      </w:r>
    </w:p>
    <w:p w:rsidR="00A729F7" w:rsidRPr="00A729F7" w:rsidRDefault="00A729F7" w:rsidP="00A729F7">
      <w:pPr>
        <w:pStyle w:val="ListParagraph"/>
        <w:spacing w:after="200" w:line="360" w:lineRule="auto"/>
        <w:ind w:left="0"/>
        <w:contextualSpacing/>
        <w:jc w:val="both"/>
        <w:rPr>
          <w:rFonts w:ascii="Times New Roman" w:hAnsi="Times New Roman" w:cs="Times New Roman"/>
          <w:sz w:val="20"/>
          <w:szCs w:val="20"/>
        </w:rPr>
      </w:pPr>
      <w:r w:rsidRPr="00A729F7">
        <w:rPr>
          <w:rFonts w:ascii="Times New Roman" w:eastAsia="SimSun" w:hAnsi="Times New Roman" w:cs="Times New Roman"/>
          <w:color w:val="000000"/>
          <w:sz w:val="20"/>
          <w:szCs w:val="20"/>
          <w:shd w:val="clear" w:color="auto" w:fill="FFFFFF"/>
        </w:rPr>
        <w:t>6. Balkwill F, Mantovani A. Lancet, Inflammation and cancer: back to Virchow?, 2001;357:539–545.,doi:10.1016/S0140-6736(00)04046-0. [</w:t>
      </w:r>
      <w:hyperlink r:id="rId48" w:tgtFrame="https://www.ncbi.nlm.nih.gov/pmc/articles/PMC5606116/pmc_ext" w:history="1">
        <w:r w:rsidRPr="00A729F7">
          <w:rPr>
            <w:rStyle w:val="Hyperlink"/>
            <w:rFonts w:ascii="Times New Roman" w:eastAsia="SimSun" w:hAnsi="Times New Roman"/>
            <w:color w:val="642A8F"/>
            <w:sz w:val="20"/>
            <w:szCs w:val="20"/>
            <w:shd w:val="clear" w:color="auto" w:fill="FFFFFF"/>
          </w:rPr>
          <w:t>PubMed</w:t>
        </w:r>
      </w:hyperlink>
      <w:r w:rsidRPr="00A729F7">
        <w:rPr>
          <w:rFonts w:ascii="Times New Roman" w:eastAsia="SimSun" w:hAnsi="Times New Roman" w:cs="Times New Roman"/>
          <w:color w:val="000000"/>
          <w:sz w:val="20"/>
          <w:szCs w:val="20"/>
          <w:shd w:val="clear" w:color="auto" w:fill="FFFFFF"/>
        </w:rPr>
        <w:t>] [</w:t>
      </w:r>
      <w:hyperlink r:id="rId49" w:tgtFrame="https://www.ncbi.nlm.nih.gov/pmc/articles/PMC5606116/pmc_ext" w:history="1">
        <w:r w:rsidRPr="00A729F7">
          <w:rPr>
            <w:rStyle w:val="Hyperlink"/>
            <w:rFonts w:ascii="Times New Roman" w:eastAsia="SimSun" w:hAnsi="Times New Roman"/>
            <w:color w:val="642A8F"/>
            <w:sz w:val="20"/>
            <w:szCs w:val="20"/>
            <w:shd w:val="clear" w:color="auto" w:fill="FFFFFF"/>
          </w:rPr>
          <w:t>CrossRef</w:t>
        </w:r>
      </w:hyperlink>
      <w:r w:rsidRPr="00A729F7">
        <w:rPr>
          <w:rFonts w:ascii="Times New Roman" w:eastAsia="SimSun" w:hAnsi="Times New Roman" w:cs="Times New Roman"/>
          <w:color w:val="000000"/>
          <w:sz w:val="20"/>
          <w:szCs w:val="20"/>
          <w:shd w:val="clear" w:color="auto" w:fill="FFFFFF"/>
        </w:rPr>
        <w:t>] [</w:t>
      </w:r>
      <w:hyperlink r:id="rId50" w:tgtFrame="https://www.ncbi.nlm.nih.gov/pmc/articles/PMC5606116/pmc_ext" w:history="1">
        <w:r w:rsidRPr="00A729F7">
          <w:rPr>
            <w:rStyle w:val="Hyperlink"/>
            <w:rFonts w:ascii="Times New Roman" w:eastAsia="SimSun" w:hAnsi="Times New Roman"/>
            <w:color w:val="642A8F"/>
            <w:sz w:val="20"/>
            <w:szCs w:val="20"/>
            <w:shd w:val="clear" w:color="auto" w:fill="FFFFFF"/>
          </w:rPr>
          <w:t>Google Scholar</w:t>
        </w:r>
      </w:hyperlink>
      <w:r w:rsidRPr="00A729F7">
        <w:rPr>
          <w:rFonts w:ascii="Times New Roman" w:eastAsia="SimSun" w:hAnsi="Times New Roman" w:cs="Times New Roman"/>
          <w:color w:val="000000"/>
          <w:sz w:val="20"/>
          <w:szCs w:val="20"/>
          <w:shd w:val="clear" w:color="auto" w:fill="FFFFFF"/>
        </w:rPr>
        <w:t>]</w:t>
      </w:r>
    </w:p>
    <w:p w:rsidR="00A729F7" w:rsidRPr="00A729F7" w:rsidRDefault="00A729F7" w:rsidP="00A729F7">
      <w:pPr>
        <w:pStyle w:val="ListParagraph"/>
        <w:shd w:val="clear" w:color="auto" w:fill="FFFFFF"/>
        <w:spacing w:before="145" w:after="145" w:line="360" w:lineRule="auto"/>
        <w:ind w:left="0"/>
        <w:contextualSpacing/>
        <w:jc w:val="both"/>
        <w:rPr>
          <w:rFonts w:ascii="Times New Roman" w:hAnsi="Times New Roman" w:cs="Times New Roman"/>
          <w:color w:val="000000"/>
          <w:sz w:val="20"/>
          <w:szCs w:val="20"/>
        </w:rPr>
      </w:pPr>
      <w:r w:rsidRPr="00A729F7">
        <w:rPr>
          <w:rFonts w:ascii="Times New Roman" w:eastAsia="SimSun" w:hAnsi="Times New Roman" w:cs="Times New Roman"/>
          <w:color w:val="000000"/>
          <w:sz w:val="20"/>
          <w:szCs w:val="20"/>
          <w:shd w:val="clear" w:color="auto" w:fill="FFFFFF"/>
          <w:lang w:eastAsia="zh-CN"/>
        </w:rPr>
        <w:t>7. Denardo DG, Coussens LM, Inflammation and breast cancer. Balancing immune response: crosstalk between adaptive and innate immune cells during breast cancer progression, Breast Cancer Research. 2007;9:212. doi: 10.1186/bcr1746. [</w:t>
      </w:r>
      <w:hyperlink r:id="rId51" w:history="1">
        <w:r w:rsidRPr="00A729F7">
          <w:rPr>
            <w:rStyle w:val="Hyperlink"/>
            <w:rFonts w:ascii="Times New Roman" w:eastAsia="SimSun" w:hAnsi="Times New Roman"/>
            <w:color w:val="642A8F"/>
            <w:sz w:val="20"/>
            <w:szCs w:val="20"/>
            <w:shd w:val="clear" w:color="auto" w:fill="FFFFFF"/>
          </w:rPr>
          <w:t>PMC free article</w:t>
        </w:r>
      </w:hyperlink>
      <w:r w:rsidRPr="00A729F7">
        <w:rPr>
          <w:rFonts w:ascii="Times New Roman" w:eastAsia="SimSun" w:hAnsi="Times New Roman" w:cs="Times New Roman"/>
          <w:color w:val="000000"/>
          <w:sz w:val="20"/>
          <w:szCs w:val="20"/>
          <w:shd w:val="clear" w:color="auto" w:fill="FFFFFF"/>
          <w:lang w:eastAsia="zh-CN"/>
        </w:rPr>
        <w:t>] [</w:t>
      </w:r>
      <w:hyperlink r:id="rId52" w:tgtFrame="https://www.ncbi.nlm.nih.gov/pmc/articles/PMC5606116/pmc_ext" w:history="1">
        <w:r w:rsidRPr="00A729F7">
          <w:rPr>
            <w:rStyle w:val="Hyperlink"/>
            <w:rFonts w:ascii="Times New Roman" w:eastAsia="SimSun" w:hAnsi="Times New Roman"/>
            <w:color w:val="642A8F"/>
            <w:sz w:val="20"/>
            <w:szCs w:val="20"/>
            <w:shd w:val="clear" w:color="auto" w:fill="FFFFFF"/>
          </w:rPr>
          <w:t>PubMed</w:t>
        </w:r>
      </w:hyperlink>
      <w:r w:rsidRPr="00A729F7">
        <w:rPr>
          <w:rFonts w:ascii="Times New Roman" w:eastAsia="SimSun" w:hAnsi="Times New Roman" w:cs="Times New Roman"/>
          <w:color w:val="000000"/>
          <w:sz w:val="20"/>
          <w:szCs w:val="20"/>
          <w:shd w:val="clear" w:color="auto" w:fill="FFFFFF"/>
          <w:lang w:eastAsia="zh-CN"/>
        </w:rPr>
        <w:t>] [</w:t>
      </w:r>
      <w:hyperlink r:id="rId53" w:tgtFrame="https://www.ncbi.nlm.nih.gov/pmc/articles/PMC5606116/pmc_ext" w:history="1">
        <w:r w:rsidRPr="00A729F7">
          <w:rPr>
            <w:rStyle w:val="Hyperlink"/>
            <w:rFonts w:ascii="Times New Roman" w:eastAsia="SimSun" w:hAnsi="Times New Roman"/>
            <w:color w:val="642A8F"/>
            <w:sz w:val="20"/>
            <w:szCs w:val="20"/>
            <w:shd w:val="clear" w:color="auto" w:fill="FFFFFF"/>
          </w:rPr>
          <w:t>CrossRef</w:t>
        </w:r>
      </w:hyperlink>
      <w:r w:rsidRPr="00A729F7">
        <w:rPr>
          <w:rFonts w:ascii="Times New Roman" w:eastAsia="SimSun" w:hAnsi="Times New Roman" w:cs="Times New Roman"/>
          <w:color w:val="000000"/>
          <w:sz w:val="20"/>
          <w:szCs w:val="20"/>
          <w:shd w:val="clear" w:color="auto" w:fill="FFFFFF"/>
          <w:lang w:eastAsia="zh-CN"/>
        </w:rPr>
        <w:t>] [</w:t>
      </w:r>
      <w:hyperlink r:id="rId54" w:tgtFrame="https://www.ncbi.nlm.nih.gov/pmc/articles/PMC5606116/pmc_ext" w:history="1">
        <w:r w:rsidRPr="00A729F7">
          <w:rPr>
            <w:rStyle w:val="Hyperlink"/>
            <w:rFonts w:ascii="Times New Roman" w:eastAsia="SimSun" w:hAnsi="Times New Roman"/>
            <w:color w:val="642A8F"/>
            <w:sz w:val="20"/>
            <w:szCs w:val="20"/>
            <w:shd w:val="clear" w:color="auto" w:fill="FFFFFF"/>
          </w:rPr>
          <w:t>Google Scholar</w:t>
        </w:r>
      </w:hyperlink>
      <w:r w:rsidRPr="00A729F7">
        <w:rPr>
          <w:rFonts w:ascii="Times New Roman" w:eastAsia="SimSun" w:hAnsi="Times New Roman" w:cs="Times New Roman"/>
          <w:color w:val="000000"/>
          <w:sz w:val="20"/>
          <w:szCs w:val="20"/>
          <w:shd w:val="clear" w:color="auto" w:fill="FFFFFF"/>
          <w:lang w:eastAsia="zh-CN"/>
        </w:rPr>
        <w:t>]</w:t>
      </w:r>
    </w:p>
    <w:p w:rsidR="00A729F7" w:rsidRPr="00A729F7" w:rsidRDefault="00A729F7" w:rsidP="00A729F7">
      <w:pPr>
        <w:pStyle w:val="ListParagraph"/>
        <w:shd w:val="clear" w:color="auto" w:fill="FFFFFF"/>
        <w:spacing w:before="145" w:after="145" w:line="360" w:lineRule="auto"/>
        <w:ind w:left="0"/>
        <w:contextualSpacing/>
        <w:jc w:val="both"/>
        <w:rPr>
          <w:rStyle w:val="Hyperlink"/>
          <w:rFonts w:ascii="Times New Roman" w:hAnsi="Times New Roman"/>
          <w:color w:val="000000"/>
          <w:sz w:val="20"/>
          <w:szCs w:val="20"/>
          <w:shd w:val="clear" w:color="auto" w:fill="F5F5F5"/>
        </w:rPr>
      </w:pPr>
      <w:r w:rsidRPr="00A729F7">
        <w:rPr>
          <w:rFonts w:ascii="Times New Roman" w:eastAsia="SimSun" w:hAnsi="Times New Roman" w:cs="Times New Roman"/>
          <w:color w:val="000000"/>
          <w:sz w:val="20"/>
          <w:szCs w:val="20"/>
          <w:shd w:val="clear" w:color="auto" w:fill="FFFFFF"/>
          <w:lang w:eastAsia="zh-CN"/>
        </w:rPr>
        <w:t>8. Elomar EM, Rabkin CS, Gammon MD, et al., Increased risk of noncardia gastric cancer associated with proinflammatory cytokine gene polymorphisms, Gastroenterology. 2003;124:1193. doi: 10.1016/S0016-5085(03)00157-4. [</w:t>
      </w:r>
      <w:hyperlink r:id="rId55" w:tgtFrame="https://www.ncbi.nlm.nih.gov/pmc/articles/PMC5606116/pmc_ext" w:history="1">
        <w:r w:rsidRPr="00A729F7">
          <w:rPr>
            <w:rStyle w:val="Hyperlink"/>
            <w:rFonts w:ascii="Times New Roman" w:eastAsia="SimSun" w:hAnsi="Times New Roman"/>
            <w:color w:val="642A8F"/>
            <w:sz w:val="20"/>
            <w:szCs w:val="20"/>
            <w:shd w:val="clear" w:color="auto" w:fill="FFFFFF"/>
          </w:rPr>
          <w:t>PubMed</w:t>
        </w:r>
      </w:hyperlink>
      <w:r w:rsidRPr="00A729F7">
        <w:rPr>
          <w:rFonts w:ascii="Times New Roman" w:eastAsia="SimSun" w:hAnsi="Times New Roman" w:cs="Times New Roman"/>
          <w:color w:val="000000"/>
          <w:sz w:val="20"/>
          <w:szCs w:val="20"/>
          <w:shd w:val="clear" w:color="auto" w:fill="FFFFFF"/>
          <w:lang w:eastAsia="zh-CN"/>
        </w:rPr>
        <w:t>] [</w:t>
      </w:r>
      <w:hyperlink r:id="rId56" w:tgtFrame="https://www.ncbi.nlm.nih.gov/pmc/articles/PMC5606116/pmc_ext" w:history="1">
        <w:r w:rsidRPr="00A729F7">
          <w:rPr>
            <w:rStyle w:val="Hyperlink"/>
            <w:rFonts w:ascii="Times New Roman" w:eastAsia="SimSun" w:hAnsi="Times New Roman"/>
            <w:color w:val="642A8F"/>
            <w:sz w:val="20"/>
            <w:szCs w:val="20"/>
            <w:shd w:val="clear" w:color="auto" w:fill="FFFFFF"/>
          </w:rPr>
          <w:t>CrossRef</w:t>
        </w:r>
      </w:hyperlink>
      <w:r w:rsidRPr="00A729F7">
        <w:rPr>
          <w:rFonts w:ascii="Times New Roman" w:eastAsia="SimSun" w:hAnsi="Times New Roman" w:cs="Times New Roman"/>
          <w:color w:val="000000"/>
          <w:sz w:val="20"/>
          <w:szCs w:val="20"/>
          <w:shd w:val="clear" w:color="auto" w:fill="FFFFFF"/>
          <w:lang w:eastAsia="zh-CN"/>
        </w:rPr>
        <w:t>] [</w:t>
      </w:r>
      <w:hyperlink r:id="rId57" w:tgtFrame="https://www.ncbi.nlm.nih.gov/pmc/articles/PMC5606116/pmc_ext" w:history="1">
        <w:r w:rsidRPr="00A729F7">
          <w:rPr>
            <w:rStyle w:val="Hyperlink"/>
            <w:rFonts w:ascii="Times New Roman" w:eastAsia="SimSun" w:hAnsi="Times New Roman"/>
            <w:color w:val="642A8F"/>
            <w:sz w:val="20"/>
            <w:szCs w:val="20"/>
            <w:shd w:val="clear" w:color="auto" w:fill="FFFFFF"/>
          </w:rPr>
          <w:t>Google Scholar</w:t>
        </w:r>
      </w:hyperlink>
      <w:r w:rsidRPr="00A729F7">
        <w:rPr>
          <w:rFonts w:ascii="Times New Roman" w:eastAsia="SimSun" w:hAnsi="Times New Roman" w:cs="Times New Roman"/>
          <w:color w:val="000000"/>
          <w:sz w:val="20"/>
          <w:szCs w:val="20"/>
          <w:shd w:val="clear" w:color="auto" w:fill="FFFFFF"/>
          <w:lang w:eastAsia="zh-CN"/>
        </w:rPr>
        <w:t>]</w:t>
      </w:r>
    </w:p>
    <w:p w:rsidR="00A729F7" w:rsidRPr="00A729F7" w:rsidRDefault="00A729F7" w:rsidP="00A729F7">
      <w:pPr>
        <w:pStyle w:val="ListParagraph"/>
        <w:shd w:val="clear" w:color="auto" w:fill="FFFFFF"/>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9. Pyfferoen L, Brabants E, Everaert C, et al., The transcriptome of lung tumor-infiltrating dendritic cells reveals a tumor-supporting phenotype and a microRNA signature with negative impact on clinical outcome, OncoImmunology. 2017;6(1):e1253655</w:t>
      </w:r>
    </w:p>
    <w:p w:rsidR="00A729F7" w:rsidRPr="00A729F7" w:rsidRDefault="00A729F7" w:rsidP="00A729F7">
      <w:pPr>
        <w:pStyle w:val="ListParagraph"/>
        <w:shd w:val="clear" w:color="auto" w:fill="FFFFFF"/>
        <w:spacing w:after="200" w:line="360" w:lineRule="auto"/>
        <w:ind w:left="0"/>
        <w:contextualSpacing/>
        <w:jc w:val="both"/>
        <w:rPr>
          <w:rStyle w:val="Hyperlink"/>
          <w:rFonts w:ascii="Times New Roman" w:hAnsi="Times New Roman"/>
          <w:b/>
          <w:bCs/>
          <w:sz w:val="20"/>
          <w:szCs w:val="20"/>
        </w:rPr>
      </w:pPr>
      <w:r w:rsidRPr="00A729F7">
        <w:rPr>
          <w:rFonts w:ascii="Times New Roman" w:hAnsi="Times New Roman" w:cs="Times New Roman"/>
          <w:sz w:val="20"/>
          <w:szCs w:val="20"/>
        </w:rPr>
        <w:t xml:space="preserve">10. Andersen R, Kjeldsen JW et al., 54PDPreclinical Development of tumor-infiltrating lymphocytes (TILs) based adoptive cell transfer immunotherapy (ACT) for patients with advanced ovarian cancer, Westergaard MCW, 2016. </w:t>
      </w:r>
      <w:hyperlink r:id="rId58" w:history="1">
        <w:r w:rsidRPr="00A729F7">
          <w:rPr>
            <w:rStyle w:val="Hyperlink"/>
            <w:rFonts w:ascii="Times New Roman" w:hAnsi="Times New Roman"/>
            <w:b/>
            <w:bCs/>
            <w:sz w:val="20"/>
            <w:szCs w:val="20"/>
          </w:rPr>
          <w:t>Google Scholar</w:t>
        </w:r>
      </w:hyperlink>
    </w:p>
    <w:p w:rsidR="00A729F7" w:rsidRPr="00A729F7" w:rsidRDefault="00A729F7" w:rsidP="00A729F7">
      <w:pPr>
        <w:pStyle w:val="ListParagraph"/>
        <w:shd w:val="clear" w:color="auto" w:fill="FFFFFF"/>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11. Sektioglu IM, Carretero R, Bulbuc N et al., Basophils promote tumor rejection via chemotaxis and infiltration of CD8+ T cells, Cancer Research,  2016;77:291.</w:t>
      </w:r>
    </w:p>
    <w:p w:rsidR="00A729F7" w:rsidRPr="00A729F7" w:rsidRDefault="00A729F7" w:rsidP="00A729F7">
      <w:pPr>
        <w:pStyle w:val="ListParagraph"/>
        <w:shd w:val="clear" w:color="auto" w:fill="FFFFFF"/>
        <w:spacing w:after="200" w:line="360" w:lineRule="auto"/>
        <w:ind w:left="0"/>
        <w:contextualSpacing/>
        <w:jc w:val="both"/>
        <w:rPr>
          <w:rFonts w:ascii="Times New Roman" w:hAnsi="Times New Roman" w:cs="Times New Roman"/>
          <w:sz w:val="20"/>
          <w:szCs w:val="20"/>
        </w:rPr>
      </w:pPr>
      <w:r w:rsidRPr="00A729F7">
        <w:rPr>
          <w:rFonts w:ascii="Times New Roman" w:hAnsi="Times New Roman" w:cs="Times New Roman"/>
          <w:sz w:val="20"/>
          <w:szCs w:val="20"/>
        </w:rPr>
        <w:t>12. Schwartz C, O'Grady K, Lavelle EC et al., European Journal of Immunology. 2016;46:1091–110Interleukin 33: an innate alarm for adaptive responses beyond Th2 immunity - emerging roles in obesity, intestinal inflammation and cancer, European Journal of Immunology. 2016;46:1091–110</w:t>
      </w:r>
    </w:p>
    <w:p w:rsidR="00A729F7" w:rsidRPr="00A729F7" w:rsidRDefault="00A729F7" w:rsidP="00A729F7">
      <w:pPr>
        <w:pStyle w:val="ListParagraph"/>
        <w:shd w:val="clear" w:color="auto" w:fill="FFFFFF"/>
        <w:spacing w:after="200" w:line="360" w:lineRule="auto"/>
        <w:ind w:left="0"/>
        <w:contextualSpacing/>
        <w:jc w:val="both"/>
        <w:rPr>
          <w:rFonts w:ascii="Times New Roman" w:hAnsi="Times New Roman" w:cs="Times New Roman"/>
          <w:color w:val="212121"/>
          <w:sz w:val="20"/>
          <w:szCs w:val="20"/>
        </w:rPr>
      </w:pPr>
      <w:r w:rsidRPr="00A729F7">
        <w:rPr>
          <w:rFonts w:ascii="Times New Roman" w:hAnsi="Times New Roman" w:cs="Times New Roman"/>
          <w:color w:val="212121"/>
          <w:sz w:val="20"/>
          <w:szCs w:val="20"/>
        </w:rPr>
        <w:t>13. Oshea J. J., Murray P. J., </w:t>
      </w:r>
      <w:r w:rsidRPr="00A729F7">
        <w:rPr>
          <w:rFonts w:ascii="Times New Roman" w:hAnsi="Times New Roman" w:cs="Times New Roman"/>
          <w:i/>
          <w:iCs/>
          <w:color w:val="212121"/>
          <w:sz w:val="20"/>
          <w:szCs w:val="20"/>
        </w:rPr>
        <w:t>Immunity</w:t>
      </w:r>
      <w:r w:rsidRPr="00A729F7">
        <w:rPr>
          <w:rFonts w:ascii="Times New Roman" w:hAnsi="Times New Roman" w:cs="Times New Roman"/>
          <w:color w:val="212121"/>
          <w:sz w:val="20"/>
          <w:szCs w:val="20"/>
        </w:rPr>
        <w:t> 2008, 28, 477. [</w:t>
      </w:r>
      <w:hyperlink r:id="rId59"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60"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61"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jc w:val="both"/>
        <w:rPr>
          <w:rFonts w:ascii="Times New Roman" w:hAnsi="Times New Roman" w:cs="Times New Roman"/>
          <w:color w:val="212121"/>
          <w:sz w:val="20"/>
          <w:szCs w:val="20"/>
        </w:rPr>
      </w:pPr>
      <w:r w:rsidRPr="00A729F7">
        <w:rPr>
          <w:rFonts w:ascii="Times New Roman" w:hAnsi="Times New Roman" w:cs="Times New Roman"/>
          <w:color w:val="212121"/>
          <w:sz w:val="20"/>
          <w:szCs w:val="20"/>
        </w:rPr>
        <w:t>14. Kulbe H., Chakravarty P., Leinster D. A., Charles K. A., Kwong J., Thompson R. G., Coward J., Schioppa T., Robinson S. C., Gallagher W. M., </w:t>
      </w:r>
      <w:r w:rsidRPr="00A729F7">
        <w:rPr>
          <w:rFonts w:ascii="Times New Roman" w:hAnsi="Times New Roman" w:cs="Times New Roman"/>
          <w:i/>
          <w:iCs/>
          <w:color w:val="212121"/>
          <w:sz w:val="20"/>
          <w:szCs w:val="20"/>
        </w:rPr>
        <w:t>Cancer Res.</w:t>
      </w:r>
      <w:r w:rsidRPr="00A729F7">
        <w:rPr>
          <w:rFonts w:ascii="Times New Roman" w:hAnsi="Times New Roman" w:cs="Times New Roman"/>
          <w:color w:val="212121"/>
          <w:sz w:val="20"/>
          <w:szCs w:val="20"/>
        </w:rPr>
        <w:t> 2012, 72, 66. [</w:t>
      </w:r>
      <w:hyperlink r:id="rId62"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63"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64"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sz w:val="20"/>
          <w:szCs w:val="20"/>
        </w:rPr>
      </w:pPr>
      <w:r w:rsidRPr="00A729F7">
        <w:rPr>
          <w:rFonts w:ascii="Times New Roman" w:hAnsi="Times New Roman" w:cs="Times New Roman"/>
          <w:bCs/>
          <w:color w:val="1C1D1E"/>
          <w:kern w:val="36"/>
          <w:sz w:val="20"/>
          <w:szCs w:val="20"/>
        </w:rPr>
        <w:lastRenderedPageBreak/>
        <w:t xml:space="preserve">15. </w:t>
      </w:r>
      <w:hyperlink r:id="rId65" w:history="1">
        <w:r w:rsidRPr="00A729F7">
          <w:rPr>
            <w:rFonts w:ascii="Times New Roman" w:hAnsi="Times New Roman" w:cs="Times New Roman"/>
            <w:color w:val="000000"/>
            <w:sz w:val="20"/>
            <w:szCs w:val="20"/>
          </w:rPr>
          <w:t>Charles A. Dinarello</w:t>
        </w:r>
      </w:hyperlink>
      <w:r w:rsidRPr="00A729F7">
        <w:rPr>
          <w:rFonts w:ascii="Times New Roman" w:hAnsi="Times New Roman" w:cs="Times New Roman"/>
          <w:color w:val="000000"/>
          <w:sz w:val="20"/>
          <w:szCs w:val="20"/>
        </w:rPr>
        <w:t>,</w:t>
      </w:r>
      <w:r w:rsidRPr="00A729F7">
        <w:rPr>
          <w:rFonts w:ascii="Times New Roman" w:hAnsi="Times New Roman" w:cs="Times New Roman"/>
          <w:bCs/>
          <w:color w:val="1C1D1E"/>
          <w:kern w:val="36"/>
          <w:sz w:val="20"/>
          <w:szCs w:val="20"/>
        </w:rPr>
        <w:t xml:space="preserve">Historical insights into cytokines, </w:t>
      </w:r>
      <w:r w:rsidRPr="00A729F7">
        <w:rPr>
          <w:rFonts w:ascii="Times New Roman" w:hAnsi="Times New Roman" w:cs="Times New Roman"/>
          <w:color w:val="000000"/>
          <w:sz w:val="20"/>
          <w:szCs w:val="20"/>
        </w:rPr>
        <w:t>First published:</w:t>
      </w:r>
      <w:r w:rsidRPr="00A729F7">
        <w:rPr>
          <w:rFonts w:ascii="Times New Roman" w:hAnsi="Times New Roman" w:cs="Times New Roman"/>
          <w:color w:val="1C1D1E"/>
          <w:sz w:val="20"/>
          <w:szCs w:val="20"/>
        </w:rPr>
        <w:t xml:space="preserve">31 October 2007, </w:t>
      </w:r>
      <w:hyperlink r:id="rId66" w:history="1">
        <w:r w:rsidRPr="00A729F7">
          <w:rPr>
            <w:rStyle w:val="Hyperlink"/>
            <w:rFonts w:ascii="Times New Roman" w:hAnsi="Times New Roman"/>
            <w:b/>
            <w:bCs/>
            <w:sz w:val="20"/>
            <w:szCs w:val="20"/>
          </w:rPr>
          <w:t>https://doi.org/10.1002/eji.200737772</w:t>
        </w:r>
      </w:hyperlink>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rPr>
      </w:pPr>
      <w:r w:rsidRPr="00A729F7">
        <w:rPr>
          <w:rFonts w:ascii="Times New Roman" w:hAnsi="Times New Roman" w:cs="Times New Roman"/>
          <w:color w:val="212121"/>
          <w:sz w:val="20"/>
          <w:szCs w:val="20"/>
        </w:rPr>
        <w:t>16. Kabel A. M., </w:t>
      </w:r>
      <w:r w:rsidRPr="00A729F7">
        <w:rPr>
          <w:rFonts w:ascii="Times New Roman" w:hAnsi="Times New Roman" w:cs="Times New Roman"/>
          <w:i/>
          <w:iCs/>
          <w:color w:val="212121"/>
          <w:sz w:val="20"/>
          <w:szCs w:val="20"/>
        </w:rPr>
        <w:t>J. Cancer Res. Treat.</w:t>
      </w:r>
      <w:r w:rsidRPr="00A729F7">
        <w:rPr>
          <w:rFonts w:ascii="Times New Roman" w:hAnsi="Times New Roman" w:cs="Times New Roman"/>
          <w:color w:val="212121"/>
          <w:sz w:val="20"/>
          <w:szCs w:val="20"/>
        </w:rPr>
        <w:t> 2014, 2, 41. [</w:t>
      </w:r>
      <w:hyperlink r:id="rId67"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rPr>
      </w:pPr>
      <w:r w:rsidRPr="00A729F7">
        <w:rPr>
          <w:rFonts w:ascii="Times New Roman" w:hAnsi="Times New Roman" w:cs="Times New Roman"/>
          <w:color w:val="212121"/>
          <w:sz w:val="20"/>
          <w:szCs w:val="20"/>
        </w:rPr>
        <w:t>17. Burska A., Boissinot M., Ponchel F., </w:t>
      </w:r>
      <w:r w:rsidRPr="00A729F7">
        <w:rPr>
          <w:rFonts w:ascii="Times New Roman" w:hAnsi="Times New Roman" w:cs="Times New Roman"/>
          <w:i/>
          <w:iCs/>
          <w:color w:val="212121"/>
          <w:sz w:val="20"/>
          <w:szCs w:val="20"/>
        </w:rPr>
        <w:t>Mediators Inflammation</w:t>
      </w:r>
      <w:r w:rsidRPr="00A729F7">
        <w:rPr>
          <w:rFonts w:ascii="Times New Roman" w:hAnsi="Times New Roman" w:cs="Times New Roman"/>
          <w:color w:val="212121"/>
          <w:sz w:val="20"/>
          <w:szCs w:val="20"/>
        </w:rPr>
        <w:t> 2014, 2014, 545493. [</w:t>
      </w:r>
      <w:hyperlink r:id="rId68"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69"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70"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rPr>
      </w:pPr>
      <w:r w:rsidRPr="00A729F7">
        <w:rPr>
          <w:rFonts w:ascii="Times New Roman" w:hAnsi="Times New Roman" w:cs="Times New Roman"/>
          <w:color w:val="212121"/>
          <w:sz w:val="20"/>
          <w:szCs w:val="20"/>
        </w:rPr>
        <w:t>18. Neurath M. F., </w:t>
      </w:r>
      <w:r w:rsidRPr="00A729F7">
        <w:rPr>
          <w:rFonts w:ascii="Times New Roman" w:hAnsi="Times New Roman" w:cs="Times New Roman"/>
          <w:i/>
          <w:iCs/>
          <w:color w:val="212121"/>
          <w:sz w:val="20"/>
          <w:szCs w:val="20"/>
        </w:rPr>
        <w:t>Nat. Rev. Immunol.</w:t>
      </w:r>
      <w:r w:rsidRPr="00A729F7">
        <w:rPr>
          <w:rFonts w:ascii="Times New Roman" w:hAnsi="Times New Roman" w:cs="Times New Roman"/>
          <w:color w:val="212121"/>
          <w:sz w:val="20"/>
          <w:szCs w:val="20"/>
        </w:rPr>
        <w:t> 2014, 14, 329. [</w:t>
      </w:r>
      <w:hyperlink r:id="rId71"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72"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19.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Sprague A. H., Khalil R. A., </w:t>
      </w:r>
      <w:r w:rsidRPr="00A729F7">
        <w:rPr>
          <w:rStyle w:val="ref-journal"/>
          <w:rFonts w:ascii="Times New Roman" w:hAnsi="Times New Roman"/>
          <w:i/>
          <w:iCs/>
          <w:color w:val="212121"/>
          <w:sz w:val="20"/>
          <w:szCs w:val="20"/>
          <w:shd w:val="clear" w:color="auto" w:fill="FFFFFF"/>
        </w:rPr>
        <w:t>Biochem. Pharmacol.</w:t>
      </w:r>
      <w:r w:rsidRPr="00A729F7">
        <w:rPr>
          <w:rStyle w:val="mixed-citation"/>
          <w:rFonts w:ascii="Times New Roman" w:hAnsi="Times New Roman" w:cs="Times New Roman"/>
          <w:color w:val="212121"/>
          <w:sz w:val="20"/>
          <w:szCs w:val="20"/>
          <w:shd w:val="clear" w:color="auto" w:fill="FFFFFF"/>
        </w:rPr>
        <w:t> 2009, </w:t>
      </w:r>
      <w:r w:rsidRPr="00A729F7">
        <w:rPr>
          <w:rStyle w:val="ref-vol"/>
          <w:rFonts w:ascii="Times New Roman" w:hAnsi="Times New Roman"/>
          <w:color w:val="212121"/>
          <w:sz w:val="20"/>
          <w:szCs w:val="20"/>
          <w:shd w:val="clear" w:color="auto" w:fill="FFFFFF"/>
        </w:rPr>
        <w:t>78</w:t>
      </w:r>
      <w:r w:rsidRPr="00A729F7">
        <w:rPr>
          <w:rStyle w:val="mixed-citation"/>
          <w:rFonts w:ascii="Times New Roman" w:hAnsi="Times New Roman" w:cs="Times New Roman"/>
          <w:color w:val="212121"/>
          <w:sz w:val="20"/>
          <w:szCs w:val="20"/>
          <w:shd w:val="clear" w:color="auto" w:fill="FFFFFF"/>
        </w:rPr>
        <w:t>, 539. </w:t>
      </w:r>
      <w:r w:rsidRPr="00A729F7">
        <w:rPr>
          <w:rStyle w:val="nowrap"/>
          <w:rFonts w:ascii="Times New Roman" w:hAnsi="Times New Roman"/>
          <w:color w:val="212121"/>
          <w:sz w:val="20"/>
          <w:szCs w:val="20"/>
          <w:shd w:val="clear" w:color="auto" w:fill="FFFFFF"/>
        </w:rPr>
        <w:t>[</w:t>
      </w:r>
      <w:hyperlink r:id="rId73"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7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7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sz w:val="20"/>
          <w:szCs w:val="20"/>
        </w:rPr>
      </w:pPr>
      <w:r w:rsidRPr="00A729F7">
        <w:rPr>
          <w:rFonts w:ascii="Times New Roman" w:hAnsi="Times New Roman" w:cs="Times New Roman"/>
          <w:sz w:val="20"/>
          <w:szCs w:val="20"/>
        </w:rPr>
        <w:t>20.</w:t>
      </w:r>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z w:val="20"/>
          <w:szCs w:val="20"/>
          <w:u w:val="single" w:color="FFFFFF"/>
        </w:rPr>
        <w:t>C A Dinarello,</w:t>
      </w:r>
      <w:r w:rsidRPr="00A729F7">
        <w:rPr>
          <w:rFonts w:ascii="Times New Roman" w:hAnsi="Times New Roman" w:cs="Times New Roman"/>
          <w:sz w:val="20"/>
          <w:szCs w:val="20"/>
        </w:rPr>
        <w:t xml:space="preserve"> </w:t>
      </w:r>
      <w:r w:rsidRPr="00A729F7">
        <w:rPr>
          <w:rFonts w:ascii="Times New Roman" w:hAnsi="Times New Roman" w:cs="Times New Roman"/>
          <w:bCs/>
          <w:color w:val="212121"/>
          <w:kern w:val="36"/>
          <w:sz w:val="20"/>
          <w:szCs w:val="20"/>
        </w:rPr>
        <w:t>Proinflammatory cytokines,</w:t>
      </w:r>
      <w:hyperlink r:id="rId76" w:history="1">
        <w:r w:rsidRPr="00A729F7">
          <w:rPr>
            <w:rFonts w:ascii="Times New Roman" w:hAnsi="Times New Roman" w:cs="Times New Roman"/>
            <w:color w:val="000000"/>
            <w:sz w:val="20"/>
            <w:szCs w:val="20"/>
            <w:u w:val="single" w:color="FFFFFF"/>
          </w:rPr>
          <w:t>C A Dinarello</w:t>
        </w:r>
      </w:hyperlink>
      <w:r w:rsidRPr="00A729F7">
        <w:rPr>
          <w:rFonts w:ascii="Times New Roman" w:hAnsi="Times New Roman" w:cs="Times New Roman"/>
          <w:color w:val="000000"/>
          <w:sz w:val="20"/>
          <w:szCs w:val="20"/>
          <w:u w:color="FFFFFF"/>
          <w:vertAlign w:val="superscript"/>
        </w:rPr>
        <w:t> </w:t>
      </w:r>
      <w:r w:rsidRPr="00A729F7">
        <w:rPr>
          <w:rFonts w:ascii="Times New Roman" w:hAnsi="Times New Roman" w:cs="Times New Roman"/>
          <w:color w:val="000000"/>
          <w:sz w:val="20"/>
          <w:szCs w:val="20"/>
          <w:u w:color="FFFFFF"/>
        </w:rPr>
        <w:t>,</w:t>
      </w:r>
      <w:r w:rsidRPr="00A729F7">
        <w:rPr>
          <w:rFonts w:ascii="Times New Roman" w:hAnsi="Times New Roman" w:cs="Times New Roman"/>
          <w:color w:val="212121"/>
          <w:sz w:val="20"/>
          <w:szCs w:val="20"/>
        </w:rPr>
        <w:t xml:space="preserve"> PMID: 10936147</w:t>
      </w:r>
      <w:r w:rsidRPr="00A729F7">
        <w:rPr>
          <w:rFonts w:ascii="Times New Roman" w:hAnsi="Times New Roman" w:cs="Times New Roman"/>
          <w:bCs/>
          <w:color w:val="212121"/>
          <w:kern w:val="36"/>
          <w:sz w:val="20"/>
          <w:szCs w:val="20"/>
        </w:rPr>
        <w:t>,</w:t>
      </w:r>
      <w:r w:rsidRPr="00A729F7">
        <w:rPr>
          <w:rFonts w:ascii="Times New Roman" w:hAnsi="Times New Roman" w:cs="Times New Roman"/>
          <w:color w:val="212121"/>
          <w:sz w:val="20"/>
          <w:szCs w:val="20"/>
        </w:rPr>
        <w:t>DOI: </w:t>
      </w:r>
      <w:hyperlink r:id="rId77" w:tgtFrame="_blank" w:history="1">
        <w:r w:rsidRPr="00A729F7">
          <w:rPr>
            <w:rFonts w:ascii="Times New Roman" w:hAnsi="Times New Roman" w:cs="Times New Roman"/>
            <w:color w:val="0071BC"/>
            <w:sz w:val="20"/>
            <w:szCs w:val="20"/>
            <w:u w:val="single"/>
          </w:rPr>
          <w:t>10.1378/chest.118.2.503</w:t>
        </w:r>
      </w:hyperlink>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shd w:val="clear" w:color="auto" w:fill="FFFFFF"/>
        </w:rPr>
      </w:pPr>
      <w:r w:rsidRPr="00A729F7">
        <w:rPr>
          <w:rFonts w:ascii="Times New Roman" w:hAnsi="Times New Roman" w:cs="Times New Roman"/>
          <w:sz w:val="20"/>
          <w:szCs w:val="20"/>
        </w:rPr>
        <w:t xml:space="preserve">21. </w:t>
      </w:r>
      <w:r w:rsidRPr="00A729F7">
        <w:rPr>
          <w:rStyle w:val="mixed-citation"/>
          <w:rFonts w:ascii="Times New Roman" w:hAnsi="Times New Roman" w:cs="Times New Roman"/>
          <w:color w:val="212121"/>
          <w:sz w:val="20"/>
          <w:szCs w:val="20"/>
          <w:shd w:val="clear" w:color="auto" w:fill="FFFFFF"/>
        </w:rPr>
        <w:t>Boshtam M., Asgary S., Kouhpayeh S., Shariati L., Khanahmad H., </w:t>
      </w:r>
      <w:r w:rsidRPr="00A729F7">
        <w:rPr>
          <w:rStyle w:val="ref-journal"/>
          <w:rFonts w:ascii="Times New Roman" w:hAnsi="Times New Roman"/>
          <w:i/>
          <w:iCs/>
          <w:color w:val="212121"/>
          <w:sz w:val="20"/>
          <w:szCs w:val="20"/>
          <w:shd w:val="clear" w:color="auto" w:fill="FFFFFF"/>
        </w:rPr>
        <w:t>Inflammation</w:t>
      </w:r>
      <w:r w:rsidRPr="00A729F7">
        <w:rPr>
          <w:rStyle w:val="mixed-citation"/>
          <w:rFonts w:ascii="Times New Roman" w:hAnsi="Times New Roman" w:cs="Times New Roman"/>
          <w:color w:val="212121"/>
          <w:sz w:val="20"/>
          <w:szCs w:val="20"/>
          <w:shd w:val="clear" w:color="auto" w:fill="FFFFFF"/>
        </w:rPr>
        <w:t> 2017, </w:t>
      </w:r>
      <w:r w:rsidRPr="00A729F7">
        <w:rPr>
          <w:rStyle w:val="ref-vol"/>
          <w:rFonts w:ascii="Times New Roman" w:hAnsi="Times New Roman"/>
          <w:color w:val="212121"/>
          <w:sz w:val="20"/>
          <w:szCs w:val="20"/>
          <w:shd w:val="clear" w:color="auto" w:fill="FFFFFF"/>
        </w:rPr>
        <w:t>40</w:t>
      </w:r>
      <w:r w:rsidRPr="00A729F7">
        <w:rPr>
          <w:rStyle w:val="mixed-citation"/>
          <w:rFonts w:ascii="Times New Roman" w:hAnsi="Times New Roman" w:cs="Times New Roman"/>
          <w:color w:val="212121"/>
          <w:sz w:val="20"/>
          <w:szCs w:val="20"/>
          <w:shd w:val="clear" w:color="auto" w:fill="FFFFFF"/>
        </w:rPr>
        <w:t>, 340. [</w:t>
      </w:r>
      <w:hyperlink r:id="rId78"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79"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shd w:val="clear" w:color="auto" w:fill="FFFFFF"/>
        </w:rPr>
        <w:t xml:space="preserve"> </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 xml:space="preserve">22. </w:t>
      </w:r>
      <w:r w:rsidRPr="00A729F7">
        <w:rPr>
          <w:rStyle w:val="mixed-citation"/>
          <w:rFonts w:ascii="Times New Roman" w:hAnsi="Times New Roman" w:cs="Times New Roman"/>
          <w:color w:val="212121"/>
          <w:sz w:val="20"/>
          <w:szCs w:val="20"/>
          <w:shd w:val="clear" w:color="auto" w:fill="FFFFFF"/>
        </w:rPr>
        <w:t>Monastero R. N., Pentyala S., </w:t>
      </w:r>
      <w:r w:rsidRPr="00A729F7">
        <w:rPr>
          <w:rStyle w:val="ref-journal"/>
          <w:rFonts w:ascii="Times New Roman" w:hAnsi="Times New Roman"/>
          <w:i/>
          <w:iCs/>
          <w:color w:val="212121"/>
          <w:sz w:val="20"/>
          <w:szCs w:val="20"/>
          <w:shd w:val="clear" w:color="auto" w:fill="FFFFFF"/>
        </w:rPr>
        <w:t>Int. J. Inflammation</w:t>
      </w:r>
      <w:r w:rsidRPr="00A729F7">
        <w:rPr>
          <w:rStyle w:val="mixed-citation"/>
          <w:rFonts w:ascii="Times New Roman" w:hAnsi="Times New Roman" w:cs="Times New Roman"/>
          <w:color w:val="212121"/>
          <w:sz w:val="20"/>
          <w:szCs w:val="20"/>
          <w:shd w:val="clear" w:color="auto" w:fill="FFFFFF"/>
        </w:rPr>
        <w:t> 2017, </w:t>
      </w:r>
      <w:r w:rsidRPr="00A729F7">
        <w:rPr>
          <w:rStyle w:val="ref-vol"/>
          <w:rFonts w:ascii="Times New Roman" w:hAnsi="Times New Roman"/>
          <w:color w:val="212121"/>
          <w:sz w:val="20"/>
          <w:szCs w:val="20"/>
          <w:shd w:val="clear" w:color="auto" w:fill="FFFFFF"/>
        </w:rPr>
        <w:t>2017</w:t>
      </w:r>
      <w:r w:rsidRPr="00A729F7">
        <w:rPr>
          <w:rStyle w:val="mixed-citation"/>
          <w:rFonts w:ascii="Times New Roman" w:hAnsi="Times New Roman" w:cs="Times New Roman"/>
          <w:color w:val="212121"/>
          <w:sz w:val="20"/>
          <w:szCs w:val="20"/>
          <w:shd w:val="clear" w:color="auto" w:fill="FFFFFF"/>
        </w:rPr>
        <w:t>, 1. </w:t>
      </w:r>
      <w:r w:rsidRPr="00A729F7">
        <w:rPr>
          <w:rStyle w:val="nowrap"/>
          <w:rFonts w:ascii="Times New Roman" w:hAnsi="Times New Roman"/>
          <w:color w:val="212121"/>
          <w:sz w:val="20"/>
          <w:szCs w:val="20"/>
          <w:shd w:val="clear" w:color="auto" w:fill="FFFFFF"/>
        </w:rPr>
        <w:t>[</w:t>
      </w:r>
      <w:hyperlink r:id="rId8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23. </w:t>
      </w:r>
      <w:r w:rsidRPr="00A729F7">
        <w:rPr>
          <w:rStyle w:val="mixed-citation"/>
          <w:rFonts w:ascii="Times New Roman" w:hAnsi="Times New Roman" w:cs="Times New Roman"/>
          <w:color w:val="212121"/>
          <w:sz w:val="20"/>
          <w:szCs w:val="20"/>
          <w:shd w:val="clear" w:color="auto" w:fill="FFFFFF"/>
        </w:rPr>
        <w:t>Moudgil K. D., Choubey D., </w:t>
      </w:r>
      <w:r w:rsidRPr="00A729F7">
        <w:rPr>
          <w:rStyle w:val="ref-journal"/>
          <w:rFonts w:ascii="Times New Roman" w:hAnsi="Times New Roman"/>
          <w:i/>
          <w:iCs/>
          <w:color w:val="212121"/>
          <w:sz w:val="20"/>
          <w:szCs w:val="20"/>
          <w:shd w:val="clear" w:color="auto" w:fill="FFFFFF"/>
        </w:rPr>
        <w:t>J. Interferon Cytokine Res.</w:t>
      </w:r>
      <w:r w:rsidRPr="00A729F7">
        <w:rPr>
          <w:rStyle w:val="mixed-citation"/>
          <w:rFonts w:ascii="Times New Roman" w:hAnsi="Times New Roman" w:cs="Times New Roman"/>
          <w:color w:val="212121"/>
          <w:sz w:val="20"/>
          <w:szCs w:val="20"/>
          <w:shd w:val="clear" w:color="auto" w:fill="FFFFFF"/>
        </w:rPr>
        <w:t> 2011, </w:t>
      </w:r>
      <w:r w:rsidRPr="00A729F7">
        <w:rPr>
          <w:rStyle w:val="ref-vol"/>
          <w:rFonts w:ascii="Times New Roman" w:hAnsi="Times New Roman"/>
          <w:color w:val="212121"/>
          <w:sz w:val="20"/>
          <w:szCs w:val="20"/>
          <w:shd w:val="clear" w:color="auto" w:fill="FFFFFF"/>
        </w:rPr>
        <w:t>31</w:t>
      </w:r>
      <w:r w:rsidRPr="00A729F7">
        <w:rPr>
          <w:rStyle w:val="mixed-citation"/>
          <w:rFonts w:ascii="Times New Roman" w:hAnsi="Times New Roman" w:cs="Times New Roman"/>
          <w:color w:val="212121"/>
          <w:sz w:val="20"/>
          <w:szCs w:val="20"/>
          <w:shd w:val="clear" w:color="auto" w:fill="FFFFFF"/>
        </w:rPr>
        <w:t>, 695. </w:t>
      </w:r>
      <w:r w:rsidRPr="00A729F7">
        <w:rPr>
          <w:rStyle w:val="nowrap"/>
          <w:rFonts w:ascii="Times New Roman" w:hAnsi="Times New Roman"/>
          <w:color w:val="212121"/>
          <w:sz w:val="20"/>
          <w:szCs w:val="20"/>
          <w:shd w:val="clear" w:color="auto" w:fill="FFFFFF"/>
        </w:rPr>
        <w:t>[</w:t>
      </w:r>
      <w:hyperlink r:id="rId81"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8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8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rPr>
      </w:pPr>
      <w:r w:rsidRPr="00A729F7">
        <w:rPr>
          <w:rStyle w:val="nowrap"/>
          <w:rFonts w:ascii="Times New Roman" w:hAnsi="Times New Roman"/>
          <w:color w:val="212121"/>
          <w:sz w:val="20"/>
          <w:szCs w:val="20"/>
          <w:shd w:val="clear" w:color="auto" w:fill="FFFFFF"/>
        </w:rPr>
        <w:t>24.</w:t>
      </w:r>
      <w:r w:rsidRPr="00A729F7">
        <w:rPr>
          <w:rFonts w:ascii="Times New Roman" w:hAnsi="Times New Roman" w:cs="Times New Roman"/>
          <w:color w:val="212121"/>
          <w:sz w:val="20"/>
          <w:szCs w:val="20"/>
        </w:rPr>
        <w:t xml:space="preserve"> </w:t>
      </w:r>
      <w:r w:rsidRPr="00A729F7">
        <w:rPr>
          <w:rStyle w:val="mixed-citation"/>
          <w:rFonts w:ascii="Times New Roman" w:hAnsi="Times New Roman" w:cs="Times New Roman"/>
          <w:color w:val="212121"/>
          <w:sz w:val="20"/>
          <w:szCs w:val="20"/>
          <w:shd w:val="clear" w:color="auto" w:fill="FFFFFF"/>
        </w:rPr>
        <w:t>Cheng A., Yan H., Han C., Wang W., Tian Y., Chen X., </w:t>
      </w:r>
      <w:r w:rsidRPr="00A729F7">
        <w:rPr>
          <w:rStyle w:val="ref-journal"/>
          <w:rFonts w:ascii="Times New Roman" w:hAnsi="Times New Roman"/>
          <w:i/>
          <w:iCs/>
          <w:color w:val="212121"/>
          <w:sz w:val="20"/>
          <w:szCs w:val="20"/>
          <w:shd w:val="clear" w:color="auto" w:fill="FFFFFF"/>
        </w:rPr>
        <w:t>Int. J. Biol. Macromol.</w:t>
      </w:r>
      <w:r w:rsidRPr="00A729F7">
        <w:rPr>
          <w:rStyle w:val="mixed-citation"/>
          <w:rFonts w:ascii="Times New Roman" w:hAnsi="Times New Roman" w:cs="Times New Roman"/>
          <w:color w:val="212121"/>
          <w:sz w:val="20"/>
          <w:szCs w:val="20"/>
          <w:shd w:val="clear" w:color="auto" w:fill="FFFFFF"/>
        </w:rPr>
        <w:t> 2014, </w:t>
      </w:r>
      <w:r w:rsidRPr="00A729F7">
        <w:rPr>
          <w:rStyle w:val="ref-vol"/>
          <w:rFonts w:ascii="Times New Roman" w:hAnsi="Times New Roman"/>
          <w:color w:val="212121"/>
          <w:sz w:val="20"/>
          <w:szCs w:val="20"/>
          <w:shd w:val="clear" w:color="auto" w:fill="FFFFFF"/>
        </w:rPr>
        <w:t>69</w:t>
      </w:r>
      <w:r w:rsidRPr="00A729F7">
        <w:rPr>
          <w:rStyle w:val="mixed-citation"/>
          <w:rFonts w:ascii="Times New Roman" w:hAnsi="Times New Roman" w:cs="Times New Roman"/>
          <w:color w:val="212121"/>
          <w:sz w:val="20"/>
          <w:szCs w:val="20"/>
          <w:shd w:val="clear" w:color="auto" w:fill="FFFFFF"/>
        </w:rPr>
        <w:t>, 382. [</w:t>
      </w:r>
      <w:hyperlink r:id="rId8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8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 xml:space="preserve">25. </w:t>
      </w:r>
      <w:r w:rsidRPr="00A729F7">
        <w:rPr>
          <w:rStyle w:val="mixed-citation"/>
          <w:rFonts w:ascii="Times New Roman" w:hAnsi="Times New Roman" w:cs="Times New Roman"/>
          <w:color w:val="212121"/>
          <w:sz w:val="20"/>
          <w:szCs w:val="20"/>
          <w:shd w:val="clear" w:color="auto" w:fill="FFFFFF"/>
        </w:rPr>
        <w:t>Muñoz‐Carrillo J. L., Contreras‐Cordero J. F., Gutiérrez‐Coronado O., Villalobos‐Gutiérrez P. T., Ramos‐Gracia L. G., Hernández‐Reyes V. E., </w:t>
      </w:r>
      <w:r w:rsidRPr="00A729F7">
        <w:rPr>
          <w:rStyle w:val="ref-journal"/>
          <w:rFonts w:ascii="Times New Roman" w:hAnsi="Times New Roman"/>
          <w:i/>
          <w:iCs/>
          <w:color w:val="212121"/>
          <w:sz w:val="20"/>
          <w:szCs w:val="20"/>
          <w:shd w:val="clear" w:color="auto" w:fill="FFFFFF"/>
        </w:rPr>
        <w:t>Immune Response Activation and Immunomodulation</w:t>
      </w:r>
      <w:r w:rsidRPr="00A729F7">
        <w:rPr>
          <w:rStyle w:val="mixed-citation"/>
          <w:rFonts w:ascii="Times New Roman" w:hAnsi="Times New Roman" w:cs="Times New Roman"/>
          <w:color w:val="212121"/>
          <w:sz w:val="20"/>
          <w:szCs w:val="20"/>
          <w:shd w:val="clear" w:color="auto" w:fill="FFFFFF"/>
        </w:rPr>
        <w:t>, IntechOpen, London, UK: 2018. </w:t>
      </w:r>
      <w:r w:rsidRPr="00A729F7">
        <w:rPr>
          <w:rStyle w:val="nowrap"/>
          <w:rFonts w:ascii="Times New Roman" w:hAnsi="Times New Roman"/>
          <w:color w:val="212121"/>
          <w:sz w:val="20"/>
          <w:szCs w:val="20"/>
          <w:shd w:val="clear" w:color="auto" w:fill="FFFFFF"/>
        </w:rPr>
        <w:t>[</w:t>
      </w:r>
      <w:hyperlink r:id="rId86"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shd w:val="clear" w:color="auto" w:fill="FFFFFF"/>
        </w:rPr>
        <w:t xml:space="preserve"> </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 xml:space="preserve">26. </w:t>
      </w:r>
      <w:r w:rsidRPr="00A729F7">
        <w:rPr>
          <w:rStyle w:val="mixed-citation"/>
          <w:rFonts w:ascii="Times New Roman" w:hAnsi="Times New Roman" w:cs="Times New Roman"/>
          <w:color w:val="212121"/>
          <w:sz w:val="20"/>
          <w:szCs w:val="20"/>
          <w:shd w:val="clear" w:color="auto" w:fill="FFFFFF"/>
        </w:rPr>
        <w:t>Lin W., Karin M., </w:t>
      </w:r>
      <w:r w:rsidRPr="00A729F7">
        <w:rPr>
          <w:rStyle w:val="ref-journal"/>
          <w:rFonts w:ascii="Times New Roman" w:hAnsi="Times New Roman"/>
          <w:i/>
          <w:iCs/>
          <w:color w:val="212121"/>
          <w:sz w:val="20"/>
          <w:szCs w:val="20"/>
          <w:shd w:val="clear" w:color="auto" w:fill="FFFFFF"/>
        </w:rPr>
        <w:t>J. Clin. Invest.</w:t>
      </w:r>
      <w:r w:rsidRPr="00A729F7">
        <w:rPr>
          <w:rStyle w:val="mixed-citation"/>
          <w:rFonts w:ascii="Times New Roman" w:hAnsi="Times New Roman" w:cs="Times New Roman"/>
          <w:color w:val="212121"/>
          <w:sz w:val="20"/>
          <w:szCs w:val="20"/>
          <w:shd w:val="clear" w:color="auto" w:fill="FFFFFF"/>
        </w:rPr>
        <w:t> 2007, </w:t>
      </w:r>
      <w:r w:rsidRPr="00A729F7">
        <w:rPr>
          <w:rStyle w:val="ref-vol"/>
          <w:rFonts w:ascii="Times New Roman" w:hAnsi="Times New Roman"/>
          <w:color w:val="212121"/>
          <w:sz w:val="20"/>
          <w:szCs w:val="20"/>
          <w:shd w:val="clear" w:color="auto" w:fill="FFFFFF"/>
        </w:rPr>
        <w:t>117</w:t>
      </w:r>
      <w:r w:rsidRPr="00A729F7">
        <w:rPr>
          <w:rStyle w:val="mixed-citation"/>
          <w:rFonts w:ascii="Times New Roman" w:hAnsi="Times New Roman" w:cs="Times New Roman"/>
          <w:color w:val="212121"/>
          <w:sz w:val="20"/>
          <w:szCs w:val="20"/>
          <w:shd w:val="clear" w:color="auto" w:fill="FFFFFF"/>
        </w:rPr>
        <w:t>, 1175. </w:t>
      </w:r>
      <w:r w:rsidRPr="00A729F7">
        <w:rPr>
          <w:rStyle w:val="nowrap"/>
          <w:rFonts w:ascii="Times New Roman" w:hAnsi="Times New Roman"/>
          <w:color w:val="212121"/>
          <w:sz w:val="20"/>
          <w:szCs w:val="20"/>
          <w:shd w:val="clear" w:color="auto" w:fill="FFFFFF"/>
        </w:rPr>
        <w:t>[</w:t>
      </w:r>
      <w:hyperlink r:id="rId87"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88"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89"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 xml:space="preserve">27. </w:t>
      </w:r>
      <w:r w:rsidRPr="00A729F7">
        <w:rPr>
          <w:rStyle w:val="mixed-citation"/>
          <w:rFonts w:ascii="Times New Roman" w:hAnsi="Times New Roman" w:cs="Times New Roman"/>
          <w:color w:val="212121"/>
          <w:sz w:val="20"/>
          <w:szCs w:val="20"/>
          <w:shd w:val="clear" w:color="auto" w:fill="FFFFFF"/>
        </w:rPr>
        <w:t>Pickup J. C., Chusney G., Thomas S., Burt D., </w:t>
      </w:r>
      <w:r w:rsidRPr="00A729F7">
        <w:rPr>
          <w:rStyle w:val="ref-journal"/>
          <w:rFonts w:ascii="Times New Roman" w:hAnsi="Times New Roman"/>
          <w:i/>
          <w:iCs/>
          <w:color w:val="212121"/>
          <w:sz w:val="20"/>
          <w:szCs w:val="20"/>
          <w:shd w:val="clear" w:color="auto" w:fill="FFFFFF"/>
        </w:rPr>
        <w:t>Life Sci.</w:t>
      </w:r>
      <w:r w:rsidRPr="00A729F7">
        <w:rPr>
          <w:rStyle w:val="mixed-citation"/>
          <w:rFonts w:ascii="Times New Roman" w:hAnsi="Times New Roman" w:cs="Times New Roman"/>
          <w:color w:val="212121"/>
          <w:sz w:val="20"/>
          <w:szCs w:val="20"/>
          <w:shd w:val="clear" w:color="auto" w:fill="FFFFFF"/>
        </w:rPr>
        <w:t> 2000, </w:t>
      </w:r>
      <w:r w:rsidRPr="00A729F7">
        <w:rPr>
          <w:rStyle w:val="ref-vol"/>
          <w:rFonts w:ascii="Times New Roman" w:hAnsi="Times New Roman"/>
          <w:color w:val="212121"/>
          <w:sz w:val="20"/>
          <w:szCs w:val="20"/>
          <w:shd w:val="clear" w:color="auto" w:fill="FFFFFF"/>
        </w:rPr>
        <w:t>67</w:t>
      </w:r>
      <w:r w:rsidRPr="00A729F7">
        <w:rPr>
          <w:rStyle w:val="mixed-citation"/>
          <w:rFonts w:ascii="Times New Roman" w:hAnsi="Times New Roman" w:cs="Times New Roman"/>
          <w:color w:val="212121"/>
          <w:sz w:val="20"/>
          <w:szCs w:val="20"/>
          <w:shd w:val="clear" w:color="auto" w:fill="FFFFFF"/>
        </w:rPr>
        <w:t>, 291. [</w:t>
      </w:r>
      <w:hyperlink r:id="rId90"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91"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28. </w:t>
      </w:r>
      <w:r w:rsidRPr="00A729F7">
        <w:rPr>
          <w:rStyle w:val="mixed-citation"/>
          <w:rFonts w:ascii="Times New Roman" w:hAnsi="Times New Roman" w:cs="Times New Roman"/>
          <w:color w:val="212121"/>
          <w:sz w:val="20"/>
          <w:szCs w:val="20"/>
          <w:shd w:val="clear" w:color="auto" w:fill="FFFFFF"/>
        </w:rPr>
        <w:t>Kofler S., Nickel T., Weis M., </w:t>
      </w:r>
      <w:r w:rsidRPr="00A729F7">
        <w:rPr>
          <w:rStyle w:val="ref-journal"/>
          <w:rFonts w:ascii="Times New Roman" w:hAnsi="Times New Roman"/>
          <w:i/>
          <w:iCs/>
          <w:color w:val="212121"/>
          <w:sz w:val="20"/>
          <w:szCs w:val="20"/>
          <w:shd w:val="clear" w:color="auto" w:fill="FFFFFF"/>
        </w:rPr>
        <w:t>Clin. Sci.</w:t>
      </w:r>
      <w:r w:rsidRPr="00A729F7">
        <w:rPr>
          <w:rStyle w:val="mixed-citation"/>
          <w:rFonts w:ascii="Times New Roman" w:hAnsi="Times New Roman" w:cs="Times New Roman"/>
          <w:color w:val="212121"/>
          <w:sz w:val="20"/>
          <w:szCs w:val="20"/>
          <w:shd w:val="clear" w:color="auto" w:fill="FFFFFF"/>
        </w:rPr>
        <w:t> 2005, </w:t>
      </w:r>
      <w:r w:rsidRPr="00A729F7">
        <w:rPr>
          <w:rStyle w:val="ref-vol"/>
          <w:rFonts w:ascii="Times New Roman" w:hAnsi="Times New Roman"/>
          <w:color w:val="212121"/>
          <w:sz w:val="20"/>
          <w:szCs w:val="20"/>
          <w:shd w:val="clear" w:color="auto" w:fill="FFFFFF"/>
        </w:rPr>
        <w:t>108</w:t>
      </w:r>
      <w:r w:rsidRPr="00A729F7">
        <w:rPr>
          <w:rStyle w:val="mixed-citation"/>
          <w:rFonts w:ascii="Times New Roman" w:hAnsi="Times New Roman" w:cs="Times New Roman"/>
          <w:color w:val="212121"/>
          <w:sz w:val="20"/>
          <w:szCs w:val="20"/>
          <w:shd w:val="clear" w:color="auto" w:fill="FFFFFF"/>
        </w:rPr>
        <w:t>, 205. [</w:t>
      </w:r>
      <w:hyperlink r:id="rId9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9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29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Mendes V., Galvao I., Vieira A. T., </w:t>
      </w:r>
      <w:r w:rsidRPr="00A729F7">
        <w:rPr>
          <w:rStyle w:val="ref-journal"/>
          <w:rFonts w:ascii="Times New Roman" w:hAnsi="Times New Roman"/>
          <w:i/>
          <w:iCs/>
          <w:color w:val="212121"/>
          <w:sz w:val="20"/>
          <w:szCs w:val="20"/>
          <w:shd w:val="clear" w:color="auto" w:fill="FFFFFF"/>
        </w:rPr>
        <w:t>J. Interferon Cytokine Res.</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39</w:t>
      </w:r>
      <w:r w:rsidRPr="00A729F7">
        <w:rPr>
          <w:rStyle w:val="mixed-citation"/>
          <w:rFonts w:ascii="Times New Roman" w:hAnsi="Times New Roman" w:cs="Times New Roman"/>
          <w:color w:val="212121"/>
          <w:sz w:val="20"/>
          <w:szCs w:val="20"/>
          <w:shd w:val="clear" w:color="auto" w:fill="FFFFFF"/>
        </w:rPr>
        <w:t>, 393. [</w:t>
      </w:r>
      <w:hyperlink r:id="rId9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9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30.</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Lin C.‐H., Chen C.‐C., Chiang H.‐L., Liou J.‐M., Chang C.‐M., Lu T.‐P., Chuang E. Y., Tai Y.‐C., Cheng C., Lin H.‐Y., </w:t>
      </w:r>
      <w:r w:rsidRPr="00A729F7">
        <w:rPr>
          <w:rStyle w:val="ref-journal"/>
          <w:rFonts w:ascii="Times New Roman" w:hAnsi="Times New Roman"/>
          <w:i/>
          <w:iCs/>
          <w:color w:val="212121"/>
          <w:sz w:val="20"/>
          <w:szCs w:val="20"/>
          <w:shd w:val="clear" w:color="auto" w:fill="FFFFFF"/>
        </w:rPr>
        <w:t>J. Neuroinflammation</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16</w:t>
      </w:r>
      <w:r w:rsidRPr="00A729F7">
        <w:rPr>
          <w:rStyle w:val="mixed-citation"/>
          <w:rFonts w:ascii="Times New Roman" w:hAnsi="Times New Roman" w:cs="Times New Roman"/>
          <w:color w:val="212121"/>
          <w:sz w:val="20"/>
          <w:szCs w:val="20"/>
          <w:shd w:val="clear" w:color="auto" w:fill="FFFFFF"/>
        </w:rPr>
        <w:t>, 129. </w:t>
      </w:r>
      <w:r w:rsidRPr="00A729F7">
        <w:rPr>
          <w:rStyle w:val="nowrap"/>
          <w:rFonts w:ascii="Times New Roman" w:hAnsi="Times New Roman"/>
          <w:color w:val="212121"/>
          <w:sz w:val="20"/>
          <w:szCs w:val="20"/>
          <w:shd w:val="clear" w:color="auto" w:fill="FFFFFF"/>
        </w:rPr>
        <w:t>[</w:t>
      </w:r>
      <w:hyperlink r:id="rId96"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9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9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31.</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Rea I. M., Gibson D. S., McGilligan V., McNerlan S. E., Alexander H. D., Ross O. A., </w:t>
      </w:r>
      <w:r w:rsidRPr="00A729F7">
        <w:rPr>
          <w:rStyle w:val="ref-journal"/>
          <w:rFonts w:ascii="Times New Roman" w:hAnsi="Times New Roman"/>
          <w:i/>
          <w:iCs/>
          <w:color w:val="212121"/>
          <w:sz w:val="20"/>
          <w:szCs w:val="20"/>
          <w:shd w:val="clear" w:color="auto" w:fill="FFFFFF"/>
        </w:rPr>
        <w:t>Front. Immunol.</w:t>
      </w:r>
      <w:r w:rsidRPr="00A729F7">
        <w:rPr>
          <w:rStyle w:val="mixed-citation"/>
          <w:rFonts w:ascii="Times New Roman" w:hAnsi="Times New Roman" w:cs="Times New Roman"/>
          <w:color w:val="212121"/>
          <w:sz w:val="20"/>
          <w:szCs w:val="20"/>
          <w:shd w:val="clear" w:color="auto" w:fill="FFFFFF"/>
        </w:rPr>
        <w:t> 2018, </w:t>
      </w:r>
      <w:r w:rsidRPr="00A729F7">
        <w:rPr>
          <w:rStyle w:val="ref-vol"/>
          <w:rFonts w:ascii="Times New Roman" w:hAnsi="Times New Roman"/>
          <w:color w:val="212121"/>
          <w:sz w:val="20"/>
          <w:szCs w:val="20"/>
          <w:shd w:val="clear" w:color="auto" w:fill="FFFFFF"/>
        </w:rPr>
        <w:t>9</w:t>
      </w:r>
      <w:r w:rsidRPr="00A729F7">
        <w:rPr>
          <w:rStyle w:val="mixed-citation"/>
          <w:rFonts w:ascii="Times New Roman" w:hAnsi="Times New Roman" w:cs="Times New Roman"/>
          <w:color w:val="212121"/>
          <w:sz w:val="20"/>
          <w:szCs w:val="20"/>
          <w:shd w:val="clear" w:color="auto" w:fill="FFFFFF"/>
        </w:rPr>
        <w:t>, 586. </w:t>
      </w:r>
      <w:r w:rsidRPr="00A729F7">
        <w:rPr>
          <w:rStyle w:val="nowrap"/>
          <w:rFonts w:ascii="Times New Roman" w:hAnsi="Times New Roman"/>
          <w:color w:val="212121"/>
          <w:sz w:val="20"/>
          <w:szCs w:val="20"/>
          <w:shd w:val="clear" w:color="auto" w:fill="FFFFFF"/>
        </w:rPr>
        <w:t>[</w:t>
      </w:r>
      <w:hyperlink r:id="rId99" w:history="1">
        <w:r w:rsidRPr="00A729F7">
          <w:rPr>
            <w:rStyle w:val="Hyperlink"/>
            <w:rFonts w:ascii="Times New Roman" w:hAnsi="Times New Roman"/>
            <w:color w:val="205493"/>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00"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01"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rPr>
      </w:pPr>
      <w:r w:rsidRPr="00A729F7">
        <w:rPr>
          <w:rFonts w:ascii="Times New Roman" w:hAnsi="Times New Roman" w:cs="Times New Roman"/>
          <w:color w:val="212121"/>
          <w:sz w:val="20"/>
          <w:szCs w:val="20"/>
        </w:rPr>
        <w:t>32.</w:t>
      </w:r>
      <w:r w:rsidRPr="00A729F7">
        <w:rPr>
          <w:rStyle w:val="mixed-citation"/>
          <w:rFonts w:ascii="Times New Roman" w:hAnsi="Times New Roman" w:cs="Times New Roman"/>
          <w:color w:val="212121"/>
          <w:sz w:val="20"/>
          <w:szCs w:val="20"/>
        </w:rPr>
        <w:t>Raphael I., Nalawade S., Eagar T. N., Forsthuber T. G., </w:t>
      </w:r>
      <w:r w:rsidRPr="00A729F7">
        <w:rPr>
          <w:rStyle w:val="ref-journal"/>
          <w:rFonts w:ascii="Times New Roman" w:hAnsi="Times New Roman"/>
          <w:i/>
          <w:iCs/>
          <w:color w:val="212121"/>
          <w:sz w:val="20"/>
          <w:szCs w:val="20"/>
        </w:rPr>
        <w:t>Cytokine</w:t>
      </w:r>
      <w:r w:rsidRPr="00A729F7">
        <w:rPr>
          <w:rStyle w:val="mixed-citation"/>
          <w:rFonts w:ascii="Times New Roman" w:hAnsi="Times New Roman" w:cs="Times New Roman"/>
          <w:color w:val="212121"/>
          <w:sz w:val="20"/>
          <w:szCs w:val="20"/>
        </w:rPr>
        <w:t> 2015, </w:t>
      </w:r>
      <w:r w:rsidRPr="00A729F7">
        <w:rPr>
          <w:rStyle w:val="ref-vol"/>
          <w:rFonts w:ascii="Times New Roman" w:hAnsi="Times New Roman"/>
          <w:color w:val="212121"/>
          <w:sz w:val="20"/>
          <w:szCs w:val="20"/>
        </w:rPr>
        <w:t>74</w:t>
      </w:r>
      <w:r w:rsidRPr="00A729F7">
        <w:rPr>
          <w:rStyle w:val="mixed-citation"/>
          <w:rFonts w:ascii="Times New Roman" w:hAnsi="Times New Roman" w:cs="Times New Roman"/>
          <w:color w:val="212121"/>
          <w:sz w:val="20"/>
          <w:szCs w:val="20"/>
        </w:rPr>
        <w:t>, 5. </w:t>
      </w:r>
      <w:r w:rsidRPr="00A729F7">
        <w:rPr>
          <w:rStyle w:val="nowrap"/>
          <w:rFonts w:ascii="Times New Roman" w:hAnsi="Times New Roman"/>
          <w:color w:val="212121"/>
          <w:sz w:val="20"/>
          <w:szCs w:val="20"/>
        </w:rPr>
        <w:t>[</w:t>
      </w:r>
      <w:hyperlink r:id="rId102"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mixed-citation"/>
          <w:rFonts w:ascii="Times New Roman" w:hAnsi="Times New Roman" w:cs="Times New Roman"/>
          <w:color w:val="212121"/>
          <w:sz w:val="20"/>
          <w:szCs w:val="20"/>
        </w:rPr>
        <w:t> [</w:t>
      </w:r>
      <w:hyperlink r:id="rId10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10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Style w:val="nowrap"/>
          <w:rFonts w:ascii="Times New Roman" w:hAnsi="Times New Roman"/>
          <w:color w:val="212121"/>
          <w:sz w:val="20"/>
          <w:szCs w:val="20"/>
        </w:rPr>
      </w:pPr>
      <w:r w:rsidRPr="00A729F7">
        <w:rPr>
          <w:rFonts w:ascii="Times New Roman" w:hAnsi="Times New Roman" w:cs="Times New Roman"/>
          <w:color w:val="212121"/>
          <w:sz w:val="20"/>
          <w:szCs w:val="20"/>
        </w:rPr>
        <w:t>33. </w:t>
      </w:r>
      <w:r w:rsidRPr="00A729F7">
        <w:rPr>
          <w:rStyle w:val="mixed-citation"/>
          <w:rFonts w:ascii="Times New Roman" w:hAnsi="Times New Roman" w:cs="Times New Roman"/>
          <w:color w:val="212121"/>
          <w:sz w:val="20"/>
          <w:szCs w:val="20"/>
        </w:rPr>
        <w:t>Miossec P., </w:t>
      </w:r>
      <w:r w:rsidRPr="00A729F7">
        <w:rPr>
          <w:rStyle w:val="ref-journal"/>
          <w:rFonts w:ascii="Times New Roman" w:hAnsi="Times New Roman"/>
          <w:i/>
          <w:iCs/>
          <w:color w:val="212121"/>
          <w:sz w:val="20"/>
          <w:szCs w:val="20"/>
        </w:rPr>
        <w:t>Drug Saf.</w:t>
      </w:r>
      <w:r w:rsidRPr="00A729F7">
        <w:rPr>
          <w:rStyle w:val="mixed-citation"/>
          <w:rFonts w:ascii="Times New Roman" w:hAnsi="Times New Roman" w:cs="Times New Roman"/>
          <w:color w:val="212121"/>
          <w:sz w:val="20"/>
          <w:szCs w:val="20"/>
        </w:rPr>
        <w:t> 1997, </w:t>
      </w:r>
      <w:r w:rsidRPr="00A729F7">
        <w:rPr>
          <w:rStyle w:val="ref-vol"/>
          <w:rFonts w:ascii="Times New Roman" w:hAnsi="Times New Roman"/>
          <w:color w:val="212121"/>
          <w:sz w:val="20"/>
          <w:szCs w:val="20"/>
        </w:rPr>
        <w:t>17</w:t>
      </w:r>
      <w:r w:rsidRPr="00A729F7">
        <w:rPr>
          <w:rStyle w:val="mixed-citation"/>
          <w:rFonts w:ascii="Times New Roman" w:hAnsi="Times New Roman" w:cs="Times New Roman"/>
          <w:color w:val="212121"/>
          <w:sz w:val="20"/>
          <w:szCs w:val="20"/>
        </w:rPr>
        <w:t>, 93. [</w:t>
      </w:r>
      <w:hyperlink r:id="rId105"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106"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pStyle w:val="ListParagraph"/>
        <w:shd w:val="clear" w:color="auto" w:fill="FFFFFF"/>
        <w:spacing w:after="200" w:line="360" w:lineRule="auto"/>
        <w:ind w:left="0"/>
        <w:contextualSpacing/>
        <w:rPr>
          <w:rFonts w:ascii="Times New Roman" w:hAnsi="Times New Roman" w:cs="Times New Roman"/>
          <w:sz w:val="20"/>
          <w:szCs w:val="20"/>
        </w:rPr>
      </w:pPr>
      <w:r w:rsidRPr="00A729F7">
        <w:rPr>
          <w:rFonts w:ascii="Times New Roman" w:hAnsi="Times New Roman" w:cs="Times New Roman"/>
          <w:color w:val="212121"/>
          <w:sz w:val="20"/>
          <w:szCs w:val="20"/>
        </w:rPr>
        <w:t>34.Hodge D. L., Berthet C., Coppola V., Kastenmüller W., Buschman M. D., Schaughency P. M., Shirota H., Scarzello A. J., Subleski J. J., Anver M. R., Ortaldo J. R., Lin F., Reynolds D. A., Sanford M. E., Kaldis P., Tessarollo L., Klinman D. M., Young H. A., </w:t>
      </w:r>
      <w:r w:rsidRPr="00A729F7">
        <w:rPr>
          <w:rFonts w:ascii="Times New Roman" w:hAnsi="Times New Roman" w:cs="Times New Roman"/>
          <w:i/>
          <w:iCs/>
          <w:color w:val="212121"/>
          <w:sz w:val="20"/>
          <w:szCs w:val="20"/>
        </w:rPr>
        <w:t>J. Autoimmun.</w:t>
      </w:r>
      <w:r w:rsidRPr="00A729F7">
        <w:rPr>
          <w:rFonts w:ascii="Times New Roman" w:hAnsi="Times New Roman" w:cs="Times New Roman"/>
          <w:color w:val="212121"/>
          <w:sz w:val="20"/>
          <w:szCs w:val="20"/>
        </w:rPr>
        <w:t> 2014, 53, 33. [</w:t>
      </w:r>
      <w:hyperlink r:id="rId107"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08"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09"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 xml:space="preserve">] </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35. Bae H. R., Leung P. S. C., Tsuneyama K., Valencia J. C., Hodge D. L., Kim S., Back T., Karwan M., Merchant A. S., Baba N., Feng D., Park O., Gao B., Yang G.‐X., Gershwin M. E., Young H. A., </w:t>
      </w:r>
      <w:r w:rsidRPr="00A729F7">
        <w:rPr>
          <w:rFonts w:ascii="Times New Roman" w:hAnsi="Times New Roman" w:cs="Times New Roman"/>
          <w:i/>
          <w:iCs/>
          <w:color w:val="212121"/>
          <w:sz w:val="20"/>
          <w:szCs w:val="20"/>
        </w:rPr>
        <w:t>Hepatology</w:t>
      </w:r>
      <w:r w:rsidRPr="00A729F7">
        <w:rPr>
          <w:rFonts w:ascii="Times New Roman" w:hAnsi="Times New Roman" w:cs="Times New Roman"/>
          <w:color w:val="212121"/>
          <w:sz w:val="20"/>
          <w:szCs w:val="20"/>
        </w:rPr>
        <w:t> 2016, 64, 1189. [</w:t>
      </w:r>
      <w:hyperlink r:id="rId110"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11"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12"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shd w:val="clear" w:color="auto" w:fill="FFFFFF"/>
        </w:rPr>
        <w:t>36. </w:t>
      </w:r>
      <w:r w:rsidRPr="00A729F7">
        <w:rPr>
          <w:rStyle w:val="mixed-citation"/>
          <w:rFonts w:ascii="Times New Roman" w:hAnsi="Times New Roman" w:cs="Times New Roman"/>
          <w:color w:val="212121"/>
          <w:sz w:val="20"/>
          <w:szCs w:val="20"/>
          <w:shd w:val="clear" w:color="auto" w:fill="FFFFFF"/>
        </w:rPr>
        <w:t>Opal S. M., Depalo V. A., </w:t>
      </w:r>
      <w:r w:rsidRPr="00A729F7">
        <w:rPr>
          <w:rStyle w:val="ref-journal"/>
          <w:rFonts w:ascii="Times New Roman" w:hAnsi="Times New Roman"/>
          <w:i/>
          <w:iCs/>
          <w:color w:val="212121"/>
          <w:sz w:val="20"/>
          <w:szCs w:val="20"/>
          <w:shd w:val="clear" w:color="auto" w:fill="FFFFFF"/>
        </w:rPr>
        <w:t>Chest</w:t>
      </w:r>
      <w:r w:rsidRPr="00A729F7">
        <w:rPr>
          <w:rStyle w:val="mixed-citation"/>
          <w:rFonts w:ascii="Times New Roman" w:hAnsi="Times New Roman" w:cs="Times New Roman"/>
          <w:color w:val="212121"/>
          <w:sz w:val="20"/>
          <w:szCs w:val="20"/>
          <w:shd w:val="clear" w:color="auto" w:fill="FFFFFF"/>
        </w:rPr>
        <w:t> 2000, </w:t>
      </w:r>
      <w:r w:rsidRPr="00A729F7">
        <w:rPr>
          <w:rStyle w:val="ref-vol"/>
          <w:rFonts w:ascii="Times New Roman" w:hAnsi="Times New Roman"/>
          <w:color w:val="212121"/>
          <w:sz w:val="20"/>
          <w:szCs w:val="20"/>
          <w:shd w:val="clear" w:color="auto" w:fill="FFFFFF"/>
        </w:rPr>
        <w:t>117</w:t>
      </w:r>
      <w:r w:rsidRPr="00A729F7">
        <w:rPr>
          <w:rStyle w:val="mixed-citation"/>
          <w:rFonts w:ascii="Times New Roman" w:hAnsi="Times New Roman" w:cs="Times New Roman"/>
          <w:color w:val="212121"/>
          <w:sz w:val="20"/>
          <w:szCs w:val="20"/>
          <w:shd w:val="clear" w:color="auto" w:fill="FFFFFF"/>
        </w:rPr>
        <w:t>, 1162. [</w:t>
      </w:r>
      <w:hyperlink r:id="rId11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1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shd w:val="clear" w:color="auto" w:fill="FFFFFF"/>
        </w:rPr>
        <w:lastRenderedPageBreak/>
        <w:t>37. </w:t>
      </w:r>
      <w:r w:rsidRPr="00A729F7">
        <w:rPr>
          <w:rStyle w:val="mixed-citation"/>
          <w:rFonts w:ascii="Times New Roman" w:hAnsi="Times New Roman" w:cs="Times New Roman"/>
          <w:color w:val="212121"/>
          <w:sz w:val="20"/>
          <w:szCs w:val="20"/>
          <w:shd w:val="clear" w:color="auto" w:fill="FFFFFF"/>
        </w:rPr>
        <w:t>Aldabbagh M., Lapphra K., Scheifele D. W., Halperin S. A., Langley J. M., Cho P., Kollmann T. R., Li Y., De Serres G., Fortuno E. S., </w:t>
      </w:r>
      <w:r w:rsidRPr="00A729F7">
        <w:rPr>
          <w:rStyle w:val="ref-journal"/>
          <w:rFonts w:ascii="Times New Roman" w:hAnsi="Times New Roman"/>
          <w:i/>
          <w:iCs/>
          <w:color w:val="212121"/>
          <w:sz w:val="20"/>
          <w:szCs w:val="20"/>
          <w:shd w:val="clear" w:color="auto" w:fill="FFFFFF"/>
        </w:rPr>
        <w:t>Clin. Vaccine Immunol.</w:t>
      </w:r>
      <w:r w:rsidRPr="00A729F7">
        <w:rPr>
          <w:rStyle w:val="mixed-citation"/>
          <w:rFonts w:ascii="Times New Roman" w:hAnsi="Times New Roman" w:cs="Times New Roman"/>
          <w:color w:val="212121"/>
          <w:sz w:val="20"/>
          <w:szCs w:val="20"/>
          <w:shd w:val="clear" w:color="auto" w:fill="FFFFFF"/>
        </w:rPr>
        <w:t> 2013, </w:t>
      </w:r>
      <w:r w:rsidRPr="00A729F7">
        <w:rPr>
          <w:rStyle w:val="ref-vol"/>
          <w:rFonts w:ascii="Times New Roman" w:hAnsi="Times New Roman"/>
          <w:color w:val="212121"/>
          <w:sz w:val="20"/>
          <w:szCs w:val="20"/>
          <w:shd w:val="clear" w:color="auto" w:fill="FFFFFF"/>
        </w:rPr>
        <w:t>20</w:t>
      </w:r>
      <w:r w:rsidRPr="00A729F7">
        <w:rPr>
          <w:rStyle w:val="mixed-citation"/>
          <w:rFonts w:ascii="Times New Roman" w:hAnsi="Times New Roman" w:cs="Times New Roman"/>
          <w:color w:val="212121"/>
          <w:sz w:val="20"/>
          <w:szCs w:val="20"/>
          <w:shd w:val="clear" w:color="auto" w:fill="FFFFFF"/>
        </w:rPr>
        <w:t>, 1108. </w:t>
      </w:r>
      <w:r w:rsidRPr="00A729F7">
        <w:rPr>
          <w:rStyle w:val="nowrap"/>
          <w:rFonts w:ascii="Times New Roman" w:hAnsi="Times New Roman"/>
          <w:color w:val="212121"/>
          <w:sz w:val="20"/>
          <w:szCs w:val="20"/>
          <w:shd w:val="clear" w:color="auto" w:fill="FFFFFF"/>
        </w:rPr>
        <w:t>[</w:t>
      </w:r>
      <w:hyperlink r:id="rId115"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16"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17"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xml:space="preserve"> </w:t>
      </w:r>
    </w:p>
    <w:p w:rsidR="00A729F7" w:rsidRPr="00A729F7" w:rsidRDefault="00A729F7" w:rsidP="00A729F7">
      <w:pPr>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 xml:space="preserve">38. </w:t>
      </w:r>
      <w:r w:rsidRPr="00A729F7">
        <w:rPr>
          <w:rStyle w:val="mixed-citation"/>
          <w:rFonts w:ascii="Times New Roman" w:hAnsi="Times New Roman" w:cs="Times New Roman"/>
          <w:color w:val="212121"/>
          <w:sz w:val="20"/>
          <w:szCs w:val="20"/>
          <w:shd w:val="clear" w:color="auto" w:fill="FFFFFF"/>
        </w:rPr>
        <w:t>Niu X., Chen G., </w:t>
      </w:r>
      <w:r w:rsidRPr="00A729F7">
        <w:rPr>
          <w:rStyle w:val="ref-journal"/>
          <w:rFonts w:ascii="Times New Roman" w:hAnsi="Times New Roman"/>
          <w:i/>
          <w:iCs/>
          <w:color w:val="212121"/>
          <w:sz w:val="20"/>
          <w:szCs w:val="20"/>
          <w:shd w:val="clear" w:color="auto" w:fill="FFFFFF"/>
        </w:rPr>
        <w:t>Clin. Dev. Immunol.</w:t>
      </w:r>
      <w:r w:rsidRPr="00A729F7">
        <w:rPr>
          <w:rStyle w:val="mixed-citation"/>
          <w:rFonts w:ascii="Times New Roman" w:hAnsi="Times New Roman" w:cs="Times New Roman"/>
          <w:color w:val="212121"/>
          <w:sz w:val="20"/>
          <w:szCs w:val="20"/>
          <w:shd w:val="clear" w:color="auto" w:fill="FFFFFF"/>
        </w:rPr>
        <w:t> 2014, </w:t>
      </w:r>
      <w:r w:rsidRPr="00A729F7">
        <w:rPr>
          <w:rStyle w:val="ref-vol"/>
          <w:rFonts w:ascii="Times New Roman" w:hAnsi="Times New Roman"/>
          <w:color w:val="212121"/>
          <w:sz w:val="20"/>
          <w:szCs w:val="20"/>
          <w:shd w:val="clear" w:color="auto" w:fill="FFFFFF"/>
        </w:rPr>
        <w:t>2014</w:t>
      </w:r>
      <w:r w:rsidRPr="00A729F7">
        <w:rPr>
          <w:rStyle w:val="mixed-citation"/>
          <w:rFonts w:ascii="Times New Roman" w:hAnsi="Times New Roman" w:cs="Times New Roman"/>
          <w:color w:val="212121"/>
          <w:sz w:val="20"/>
          <w:szCs w:val="20"/>
          <w:shd w:val="clear" w:color="auto" w:fill="FFFFFF"/>
        </w:rPr>
        <w:t>, 698192. </w:t>
      </w:r>
      <w:r w:rsidRPr="00A729F7">
        <w:rPr>
          <w:rStyle w:val="nowrap"/>
          <w:rFonts w:ascii="Times New Roman" w:hAnsi="Times New Roman"/>
          <w:color w:val="212121"/>
          <w:sz w:val="20"/>
          <w:szCs w:val="20"/>
          <w:shd w:val="clear" w:color="auto" w:fill="FFFFFF"/>
        </w:rPr>
        <w:t>[</w:t>
      </w:r>
      <w:hyperlink r:id="rId118"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1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2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pacing w:line="360" w:lineRule="auto"/>
        <w:rPr>
          <w:rStyle w:val="nowrap"/>
          <w:rFonts w:ascii="Times New Roman" w:hAnsi="Times New Roman"/>
          <w:color w:val="212121"/>
          <w:sz w:val="20"/>
          <w:szCs w:val="20"/>
          <w:shd w:val="clear" w:color="auto" w:fill="FFFFFF"/>
        </w:rPr>
      </w:pPr>
    </w:p>
    <w:p w:rsidR="00A729F7" w:rsidRPr="00A729F7" w:rsidRDefault="00A729F7" w:rsidP="00A729F7">
      <w:pPr>
        <w:spacing w:line="360" w:lineRule="auto"/>
        <w:rPr>
          <w:rStyle w:val="nowrap"/>
          <w:rFonts w:ascii="Times New Roman" w:hAnsi="Times New Roman"/>
          <w:color w:val="212121"/>
          <w:sz w:val="20"/>
          <w:szCs w:val="20"/>
          <w:shd w:val="clear" w:color="auto" w:fill="FFFFFF"/>
        </w:rPr>
      </w:pPr>
    </w:p>
    <w:p w:rsidR="00A729F7" w:rsidRPr="00A729F7" w:rsidRDefault="00A729F7" w:rsidP="00A729F7">
      <w:pPr>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39.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Marchant A., Alegre M., Hakim A., Pierard G., Marecaux G., Friedman G., De Groote D., Kahn R. J., Vincent J. L., Goldman M., </w:t>
      </w:r>
      <w:r w:rsidRPr="00A729F7">
        <w:rPr>
          <w:rStyle w:val="ref-journal"/>
          <w:rFonts w:ascii="Times New Roman" w:hAnsi="Times New Roman"/>
          <w:i/>
          <w:iCs/>
          <w:color w:val="212121"/>
          <w:sz w:val="20"/>
          <w:szCs w:val="20"/>
          <w:shd w:val="clear" w:color="auto" w:fill="FFFFFF"/>
        </w:rPr>
        <w:t>J. Clin. Immunol.</w:t>
      </w:r>
      <w:r w:rsidRPr="00A729F7">
        <w:rPr>
          <w:rStyle w:val="mixed-citation"/>
          <w:rFonts w:ascii="Times New Roman" w:hAnsi="Times New Roman" w:cs="Times New Roman"/>
          <w:color w:val="212121"/>
          <w:sz w:val="20"/>
          <w:szCs w:val="20"/>
          <w:shd w:val="clear" w:color="auto" w:fill="FFFFFF"/>
        </w:rPr>
        <w:t> 1995, </w:t>
      </w:r>
      <w:r w:rsidRPr="00A729F7">
        <w:rPr>
          <w:rStyle w:val="ref-vol"/>
          <w:rFonts w:ascii="Times New Roman" w:hAnsi="Times New Roman"/>
          <w:color w:val="212121"/>
          <w:sz w:val="20"/>
          <w:szCs w:val="20"/>
          <w:shd w:val="clear" w:color="auto" w:fill="FFFFFF"/>
        </w:rPr>
        <w:t>15</w:t>
      </w:r>
      <w:r w:rsidRPr="00A729F7">
        <w:rPr>
          <w:rStyle w:val="mixed-citation"/>
          <w:rFonts w:ascii="Times New Roman" w:hAnsi="Times New Roman" w:cs="Times New Roman"/>
          <w:color w:val="212121"/>
          <w:sz w:val="20"/>
          <w:szCs w:val="20"/>
          <w:shd w:val="clear" w:color="auto" w:fill="FFFFFF"/>
        </w:rPr>
        <w:t>, 266. [</w:t>
      </w:r>
      <w:hyperlink r:id="rId12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2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pacing w:line="360" w:lineRule="auto"/>
        <w:rPr>
          <w:rFonts w:ascii="Times New Roman" w:hAnsi="Times New Roman" w:cs="Times New Roman"/>
          <w:color w:val="212121"/>
          <w:sz w:val="20"/>
          <w:szCs w:val="20"/>
          <w:shd w:val="clear" w:color="auto" w:fill="FFFFFF"/>
        </w:rPr>
      </w:pPr>
      <w:r w:rsidRPr="00A729F7">
        <w:rPr>
          <w:rFonts w:ascii="Times New Roman" w:hAnsi="Times New Roman" w:cs="Times New Roman"/>
          <w:color w:val="212121"/>
          <w:sz w:val="20"/>
          <w:szCs w:val="20"/>
        </w:rPr>
        <w:t xml:space="preserve">40. </w:t>
      </w:r>
      <w:r w:rsidRPr="00A729F7">
        <w:rPr>
          <w:rStyle w:val="mixed-citation"/>
          <w:rFonts w:ascii="Times New Roman" w:hAnsi="Times New Roman" w:cs="Times New Roman"/>
          <w:color w:val="212121"/>
          <w:sz w:val="20"/>
          <w:szCs w:val="20"/>
          <w:shd w:val="clear" w:color="auto" w:fill="FFFFFF"/>
        </w:rPr>
        <w:t>G. Mendesviviani,, Thomaz V., </w:t>
      </w:r>
      <w:r w:rsidRPr="00A729F7">
        <w:rPr>
          <w:rStyle w:val="ref-journal"/>
          <w:rFonts w:ascii="Times New Roman" w:hAnsi="Times New Roman"/>
          <w:i/>
          <w:iCs/>
          <w:color w:val="212121"/>
          <w:sz w:val="20"/>
          <w:szCs w:val="20"/>
          <w:shd w:val="clear" w:color="auto" w:fill="FFFFFF"/>
        </w:rPr>
        <w:t>J. Interferon Cytokine Res.</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39</w:t>
      </w:r>
      <w:r w:rsidRPr="00A729F7">
        <w:rPr>
          <w:rStyle w:val="mixed-citation"/>
          <w:rFonts w:ascii="Times New Roman" w:hAnsi="Times New Roman" w:cs="Times New Roman"/>
          <w:color w:val="212121"/>
          <w:sz w:val="20"/>
          <w:szCs w:val="20"/>
          <w:shd w:val="clear" w:color="auto" w:fill="FFFFFF"/>
        </w:rPr>
        <w:t>, 393. [</w:t>
      </w:r>
      <w:hyperlink r:id="rId12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2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shd w:val="clear" w:color="auto" w:fill="FFFFFF"/>
        </w:rPr>
        <w:t xml:space="preserve"> </w:t>
      </w:r>
    </w:p>
    <w:p w:rsidR="00A729F7" w:rsidRPr="00A729F7" w:rsidRDefault="00A729F7" w:rsidP="00A729F7">
      <w:pPr>
        <w:shd w:val="clear" w:color="auto" w:fill="FFFFFF"/>
        <w:spacing w:line="360" w:lineRule="auto"/>
        <w:rPr>
          <w:rFonts w:ascii="Times New Roman" w:hAnsi="Times New Roman" w:cs="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41.</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Strober W., Fuss I. J., Blumberg R. S., </w:t>
      </w:r>
      <w:r w:rsidRPr="00A729F7">
        <w:rPr>
          <w:rStyle w:val="ref-journal"/>
          <w:rFonts w:ascii="Times New Roman" w:hAnsi="Times New Roman"/>
          <w:i/>
          <w:iCs/>
          <w:color w:val="212121"/>
          <w:sz w:val="20"/>
          <w:szCs w:val="20"/>
          <w:shd w:val="clear" w:color="auto" w:fill="FFFFFF"/>
        </w:rPr>
        <w:t>Annu. Rev. Immunol.</w:t>
      </w:r>
      <w:r w:rsidRPr="00A729F7">
        <w:rPr>
          <w:rStyle w:val="mixed-citation"/>
          <w:rFonts w:ascii="Times New Roman" w:hAnsi="Times New Roman" w:cs="Times New Roman"/>
          <w:color w:val="212121"/>
          <w:sz w:val="20"/>
          <w:szCs w:val="20"/>
          <w:shd w:val="clear" w:color="auto" w:fill="FFFFFF"/>
        </w:rPr>
        <w:t> 2002, </w:t>
      </w:r>
      <w:r w:rsidRPr="00A729F7">
        <w:rPr>
          <w:rStyle w:val="ref-vol"/>
          <w:rFonts w:ascii="Times New Roman" w:hAnsi="Times New Roman"/>
          <w:color w:val="212121"/>
          <w:sz w:val="20"/>
          <w:szCs w:val="20"/>
          <w:shd w:val="clear" w:color="auto" w:fill="FFFFFF"/>
        </w:rPr>
        <w:t>20</w:t>
      </w:r>
      <w:r w:rsidRPr="00A729F7">
        <w:rPr>
          <w:rStyle w:val="mixed-citation"/>
          <w:rFonts w:ascii="Times New Roman" w:hAnsi="Times New Roman" w:cs="Times New Roman"/>
          <w:color w:val="212121"/>
          <w:sz w:val="20"/>
          <w:szCs w:val="20"/>
          <w:shd w:val="clear" w:color="auto" w:fill="FFFFFF"/>
        </w:rPr>
        <w:t>, 495. [</w:t>
      </w:r>
      <w:hyperlink r:id="rId125"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26"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shd w:val="clear" w:color="auto" w:fill="FFFFFF"/>
        </w:rPr>
        <w:t xml:space="preserve"> </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shd w:val="clear" w:color="auto" w:fill="FFFFFF"/>
        </w:rPr>
        <w:t>42. </w:t>
      </w:r>
      <w:r w:rsidRPr="00A729F7">
        <w:rPr>
          <w:rStyle w:val="mixed-citation"/>
          <w:rFonts w:ascii="Times New Roman" w:hAnsi="Times New Roman" w:cs="Times New Roman"/>
          <w:color w:val="212121"/>
          <w:sz w:val="20"/>
          <w:szCs w:val="20"/>
          <w:shd w:val="clear" w:color="auto" w:fill="FFFFFF"/>
        </w:rPr>
        <w:t>Neurath M. F., </w:t>
      </w:r>
      <w:r w:rsidRPr="00A729F7">
        <w:rPr>
          <w:rStyle w:val="ref-journal"/>
          <w:rFonts w:ascii="Times New Roman" w:hAnsi="Times New Roman"/>
          <w:i/>
          <w:iCs/>
          <w:color w:val="212121"/>
          <w:sz w:val="20"/>
          <w:szCs w:val="20"/>
          <w:shd w:val="clear" w:color="auto" w:fill="FFFFFF"/>
        </w:rPr>
        <w:t>Nat. Rev. Immunol.</w:t>
      </w:r>
      <w:r w:rsidRPr="00A729F7">
        <w:rPr>
          <w:rStyle w:val="mixed-citation"/>
          <w:rFonts w:ascii="Times New Roman" w:hAnsi="Times New Roman" w:cs="Times New Roman"/>
          <w:color w:val="212121"/>
          <w:sz w:val="20"/>
          <w:szCs w:val="20"/>
          <w:shd w:val="clear" w:color="auto" w:fill="FFFFFF"/>
        </w:rPr>
        <w:t> 2014, </w:t>
      </w:r>
      <w:r w:rsidRPr="00A729F7">
        <w:rPr>
          <w:rStyle w:val="ref-vol"/>
          <w:rFonts w:ascii="Times New Roman" w:hAnsi="Times New Roman"/>
          <w:color w:val="212121"/>
          <w:sz w:val="20"/>
          <w:szCs w:val="20"/>
          <w:shd w:val="clear" w:color="auto" w:fill="FFFFFF"/>
        </w:rPr>
        <w:t>14</w:t>
      </w:r>
      <w:r w:rsidRPr="00A729F7">
        <w:rPr>
          <w:rStyle w:val="mixed-citation"/>
          <w:rFonts w:ascii="Times New Roman" w:hAnsi="Times New Roman" w:cs="Times New Roman"/>
          <w:color w:val="212121"/>
          <w:sz w:val="20"/>
          <w:szCs w:val="20"/>
          <w:shd w:val="clear" w:color="auto" w:fill="FFFFFF"/>
        </w:rPr>
        <w:t>, 329. [</w:t>
      </w:r>
      <w:hyperlink r:id="rId12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2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43. Powrie F., Leach M. W., Mauze S., Menon S., Caddle L. B., Coffman R. L., </w:t>
      </w:r>
      <w:r w:rsidRPr="00A729F7">
        <w:rPr>
          <w:rFonts w:ascii="Times New Roman" w:hAnsi="Times New Roman" w:cs="Times New Roman"/>
          <w:i/>
          <w:iCs/>
          <w:color w:val="212121"/>
          <w:sz w:val="20"/>
          <w:szCs w:val="20"/>
        </w:rPr>
        <w:t>Immunity</w:t>
      </w:r>
      <w:r w:rsidRPr="00A729F7">
        <w:rPr>
          <w:rFonts w:ascii="Times New Roman" w:hAnsi="Times New Roman" w:cs="Times New Roman"/>
          <w:color w:val="212121"/>
          <w:sz w:val="20"/>
          <w:szCs w:val="20"/>
        </w:rPr>
        <w:t> 1994, 1, 553. [</w:t>
      </w:r>
      <w:hyperlink r:id="rId129"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30"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44. Chen G., Wu D., Guo W., Cao Y., Huang D., Wang H., Wang T., Zhang X., Chen H., Yu H., </w:t>
      </w:r>
      <w:r w:rsidRPr="00A729F7">
        <w:rPr>
          <w:rFonts w:ascii="Times New Roman" w:hAnsi="Times New Roman" w:cs="Times New Roman"/>
          <w:i/>
          <w:iCs/>
          <w:color w:val="212121"/>
          <w:sz w:val="20"/>
          <w:szCs w:val="20"/>
        </w:rPr>
        <w:t>J. Clin. Invest.</w:t>
      </w:r>
      <w:r w:rsidRPr="00A729F7">
        <w:rPr>
          <w:rFonts w:ascii="Times New Roman" w:hAnsi="Times New Roman" w:cs="Times New Roman"/>
          <w:color w:val="212121"/>
          <w:sz w:val="20"/>
          <w:szCs w:val="20"/>
        </w:rPr>
        <w:t> 2020, 130, 2620. [</w:t>
      </w:r>
      <w:hyperlink r:id="rId131"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32"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33"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shd w:val="clear" w:color="auto" w:fill="FFFFFF"/>
        </w:rPr>
      </w:pPr>
      <w:r w:rsidRPr="00A729F7">
        <w:rPr>
          <w:rFonts w:ascii="Times New Roman" w:hAnsi="Times New Roman" w:cs="Times New Roman"/>
          <w:color w:val="212121"/>
          <w:sz w:val="20"/>
          <w:szCs w:val="20"/>
        </w:rPr>
        <w:t>45. Mehta P., McAuley D. F., Brown M., Sanchez E., Tattersall R. S., Manson J. J., </w:t>
      </w:r>
      <w:r w:rsidRPr="00A729F7">
        <w:rPr>
          <w:rFonts w:ascii="Times New Roman" w:hAnsi="Times New Roman" w:cs="Times New Roman"/>
          <w:i/>
          <w:iCs/>
          <w:color w:val="212121"/>
          <w:sz w:val="20"/>
          <w:szCs w:val="20"/>
        </w:rPr>
        <w:t>Lancet</w:t>
      </w:r>
      <w:r w:rsidRPr="00A729F7">
        <w:rPr>
          <w:rFonts w:ascii="Times New Roman" w:hAnsi="Times New Roman" w:cs="Times New Roman"/>
          <w:color w:val="212121"/>
          <w:sz w:val="20"/>
          <w:szCs w:val="20"/>
        </w:rPr>
        <w:t> 2020, 395, 1033. [</w:t>
      </w:r>
      <w:hyperlink r:id="rId134"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35"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36"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b/>
          <w:color w:val="000000"/>
          <w:sz w:val="20"/>
          <w:szCs w:val="20"/>
          <w:u w:color="FFFFFF"/>
          <w:shd w:val="clear" w:color="auto" w:fill="FFFFFF"/>
        </w:rPr>
      </w:pPr>
      <w:r w:rsidRPr="00A729F7">
        <w:rPr>
          <w:rFonts w:ascii="Times New Roman" w:hAnsi="Times New Roman" w:cs="Times New Roman"/>
          <w:color w:val="212121"/>
          <w:sz w:val="20"/>
          <w:szCs w:val="20"/>
        </w:rPr>
        <w:t>46. Moore J. B., June C. H., </w:t>
      </w:r>
      <w:r w:rsidRPr="00A729F7">
        <w:rPr>
          <w:rFonts w:ascii="Times New Roman" w:hAnsi="Times New Roman" w:cs="Times New Roman"/>
          <w:i/>
          <w:iCs/>
          <w:color w:val="212121"/>
          <w:sz w:val="20"/>
          <w:szCs w:val="20"/>
        </w:rPr>
        <w:t>Science</w:t>
      </w:r>
      <w:r w:rsidRPr="00A729F7">
        <w:rPr>
          <w:rFonts w:ascii="Times New Roman" w:hAnsi="Times New Roman" w:cs="Times New Roman"/>
          <w:color w:val="212121"/>
          <w:sz w:val="20"/>
          <w:szCs w:val="20"/>
        </w:rPr>
        <w:t> 2020, 368, 473. [</w:t>
      </w:r>
      <w:hyperlink r:id="rId137"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38"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r w:rsidRPr="00A729F7">
        <w:rPr>
          <w:rFonts w:ascii="Times New Roman" w:hAnsi="Times New Roman" w:cs="Times New Roman"/>
          <w:b/>
          <w:color w:val="000000"/>
          <w:sz w:val="20"/>
          <w:szCs w:val="20"/>
          <w:u w:color="FFFFFF"/>
          <w:shd w:val="clear" w:color="auto" w:fill="FFFFFF"/>
        </w:rPr>
        <w:t xml:space="preserve">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47</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Berry M. A., Hargadon B., Shelley M., Parker D., Shaw D. E., Green R. H., Bradding P., Brightling C. E., Wardlaw A. J., Pavord I. D., </w:t>
      </w:r>
      <w:r w:rsidRPr="00A729F7">
        <w:rPr>
          <w:rStyle w:val="ref-journal"/>
          <w:rFonts w:ascii="Times New Roman" w:hAnsi="Times New Roman"/>
          <w:i/>
          <w:iCs/>
          <w:color w:val="212121"/>
          <w:sz w:val="20"/>
          <w:szCs w:val="20"/>
          <w:shd w:val="clear" w:color="auto" w:fill="FFFFFF"/>
        </w:rPr>
        <w:t>N. Engl. J. Med.</w:t>
      </w:r>
      <w:r w:rsidRPr="00A729F7">
        <w:rPr>
          <w:rStyle w:val="mixed-citation"/>
          <w:rFonts w:ascii="Times New Roman" w:hAnsi="Times New Roman" w:cs="Times New Roman"/>
          <w:color w:val="212121"/>
          <w:sz w:val="20"/>
          <w:szCs w:val="20"/>
          <w:shd w:val="clear" w:color="auto" w:fill="FFFFFF"/>
        </w:rPr>
        <w:t> 2006, </w:t>
      </w:r>
      <w:r w:rsidRPr="00A729F7">
        <w:rPr>
          <w:rStyle w:val="ref-vol"/>
          <w:rFonts w:ascii="Times New Roman" w:hAnsi="Times New Roman"/>
          <w:color w:val="212121"/>
          <w:sz w:val="20"/>
          <w:szCs w:val="20"/>
          <w:shd w:val="clear" w:color="auto" w:fill="FFFFFF"/>
        </w:rPr>
        <w:t>354</w:t>
      </w:r>
      <w:r w:rsidRPr="00A729F7">
        <w:rPr>
          <w:rStyle w:val="mixed-citation"/>
          <w:rFonts w:ascii="Times New Roman" w:hAnsi="Times New Roman" w:cs="Times New Roman"/>
          <w:color w:val="212121"/>
          <w:sz w:val="20"/>
          <w:szCs w:val="20"/>
          <w:shd w:val="clear" w:color="auto" w:fill="FFFFFF"/>
        </w:rPr>
        <w:t>, 697. [</w:t>
      </w:r>
      <w:hyperlink r:id="rId13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4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48.</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Ohta H., Wada H., Niwa T., Kirii H., Iwamoto N., Fujii H., Saito K., Sekikawa K., Seishima M., </w:t>
      </w:r>
      <w:r w:rsidRPr="00A729F7">
        <w:rPr>
          <w:rStyle w:val="ref-journal"/>
          <w:rFonts w:ascii="Times New Roman" w:hAnsi="Times New Roman"/>
          <w:i/>
          <w:iCs/>
          <w:color w:val="212121"/>
          <w:sz w:val="20"/>
          <w:szCs w:val="20"/>
          <w:shd w:val="clear" w:color="auto" w:fill="FFFFFF"/>
        </w:rPr>
        <w:t>Atherosclerosis</w:t>
      </w:r>
      <w:r w:rsidRPr="00A729F7">
        <w:rPr>
          <w:rStyle w:val="mixed-citation"/>
          <w:rFonts w:ascii="Times New Roman" w:hAnsi="Times New Roman" w:cs="Times New Roman"/>
          <w:color w:val="212121"/>
          <w:sz w:val="20"/>
          <w:szCs w:val="20"/>
          <w:shd w:val="clear" w:color="auto" w:fill="FFFFFF"/>
        </w:rPr>
        <w:t> 2000, </w:t>
      </w:r>
      <w:r w:rsidRPr="00A729F7">
        <w:rPr>
          <w:rStyle w:val="ref-vol"/>
          <w:rFonts w:ascii="Times New Roman" w:hAnsi="Times New Roman"/>
          <w:color w:val="212121"/>
          <w:sz w:val="20"/>
          <w:szCs w:val="20"/>
          <w:shd w:val="clear" w:color="auto" w:fill="FFFFFF"/>
        </w:rPr>
        <w:t>180</w:t>
      </w:r>
      <w:r w:rsidRPr="00A729F7">
        <w:rPr>
          <w:rStyle w:val="mixed-citation"/>
          <w:rFonts w:ascii="Times New Roman" w:hAnsi="Times New Roman" w:cs="Times New Roman"/>
          <w:color w:val="212121"/>
          <w:sz w:val="20"/>
          <w:szCs w:val="20"/>
          <w:shd w:val="clear" w:color="auto" w:fill="FFFFFF"/>
        </w:rPr>
        <w:t>, 11. [</w:t>
      </w:r>
      <w:hyperlink r:id="rId14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4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49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Massague J., </w:t>
      </w:r>
      <w:r w:rsidRPr="00A729F7">
        <w:rPr>
          <w:rStyle w:val="ref-journal"/>
          <w:rFonts w:ascii="Times New Roman" w:hAnsi="Times New Roman"/>
          <w:i/>
          <w:iCs/>
          <w:color w:val="212121"/>
          <w:sz w:val="20"/>
          <w:szCs w:val="20"/>
          <w:shd w:val="clear" w:color="auto" w:fill="FFFFFF"/>
        </w:rPr>
        <w:t>Cell</w:t>
      </w:r>
      <w:r w:rsidRPr="00A729F7">
        <w:rPr>
          <w:rStyle w:val="mixed-citation"/>
          <w:rFonts w:ascii="Times New Roman" w:hAnsi="Times New Roman" w:cs="Times New Roman"/>
          <w:color w:val="212121"/>
          <w:sz w:val="20"/>
          <w:szCs w:val="20"/>
          <w:shd w:val="clear" w:color="auto" w:fill="FFFFFF"/>
        </w:rPr>
        <w:t> 2008, </w:t>
      </w:r>
      <w:r w:rsidRPr="00A729F7">
        <w:rPr>
          <w:rStyle w:val="ref-vol"/>
          <w:rFonts w:ascii="Times New Roman" w:hAnsi="Times New Roman"/>
          <w:color w:val="212121"/>
          <w:sz w:val="20"/>
          <w:szCs w:val="20"/>
          <w:shd w:val="clear" w:color="auto" w:fill="FFFFFF"/>
        </w:rPr>
        <w:t>134</w:t>
      </w:r>
      <w:r w:rsidRPr="00A729F7">
        <w:rPr>
          <w:rStyle w:val="mixed-citation"/>
          <w:rFonts w:ascii="Times New Roman" w:hAnsi="Times New Roman" w:cs="Times New Roman"/>
          <w:color w:val="212121"/>
          <w:sz w:val="20"/>
          <w:szCs w:val="20"/>
          <w:shd w:val="clear" w:color="auto" w:fill="FFFFFF"/>
        </w:rPr>
        <w:t>, 215. </w:t>
      </w:r>
      <w:r w:rsidRPr="00A729F7">
        <w:rPr>
          <w:rStyle w:val="nowrap"/>
          <w:rFonts w:ascii="Times New Roman" w:hAnsi="Times New Roman"/>
          <w:color w:val="212121"/>
          <w:sz w:val="20"/>
          <w:szCs w:val="20"/>
          <w:shd w:val="clear" w:color="auto" w:fill="FFFFFF"/>
        </w:rPr>
        <w:t>[</w:t>
      </w:r>
      <w:hyperlink r:id="rId143"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4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4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50</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Dowlati Y., Herrmann N., Swardfager W., Liu H., Sham L., Reim E. K., Lanctot K. L., </w:t>
      </w:r>
      <w:r w:rsidRPr="00A729F7">
        <w:rPr>
          <w:rStyle w:val="ref-journal"/>
          <w:rFonts w:ascii="Times New Roman" w:hAnsi="Times New Roman"/>
          <w:i/>
          <w:iCs/>
          <w:color w:val="212121"/>
          <w:sz w:val="20"/>
          <w:szCs w:val="20"/>
          <w:shd w:val="clear" w:color="auto" w:fill="FFFFFF"/>
        </w:rPr>
        <w:t>Biol. Psychiatry</w:t>
      </w:r>
      <w:r w:rsidRPr="00A729F7">
        <w:rPr>
          <w:rStyle w:val="mixed-citation"/>
          <w:rFonts w:ascii="Times New Roman" w:hAnsi="Times New Roman" w:cs="Times New Roman"/>
          <w:color w:val="212121"/>
          <w:sz w:val="20"/>
          <w:szCs w:val="20"/>
          <w:shd w:val="clear" w:color="auto" w:fill="FFFFFF"/>
        </w:rPr>
        <w:t> 2010, </w:t>
      </w:r>
      <w:r w:rsidRPr="00A729F7">
        <w:rPr>
          <w:rStyle w:val="ref-vol"/>
          <w:rFonts w:ascii="Times New Roman" w:hAnsi="Times New Roman"/>
          <w:color w:val="212121"/>
          <w:sz w:val="20"/>
          <w:szCs w:val="20"/>
          <w:shd w:val="clear" w:color="auto" w:fill="FFFFFF"/>
        </w:rPr>
        <w:t>67</w:t>
      </w:r>
      <w:r w:rsidRPr="00A729F7">
        <w:rPr>
          <w:rStyle w:val="mixed-citation"/>
          <w:rFonts w:ascii="Times New Roman" w:hAnsi="Times New Roman" w:cs="Times New Roman"/>
          <w:color w:val="212121"/>
          <w:sz w:val="20"/>
          <w:szCs w:val="20"/>
          <w:shd w:val="clear" w:color="auto" w:fill="FFFFFF"/>
        </w:rPr>
        <w:t>, 446. [</w:t>
      </w:r>
      <w:hyperlink r:id="rId146"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47"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51</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Guilherme L., Cury P. M., Demarchi L. M. M. F., Coelho V., Abel L. C. J., Lopez A. P., Oshiro S. E., Aliotti S., Cunhaneto E., Pomerantzeff P. M. A., </w:t>
      </w:r>
      <w:r w:rsidRPr="00A729F7">
        <w:rPr>
          <w:rStyle w:val="ref-journal"/>
          <w:rFonts w:ascii="Times New Roman" w:hAnsi="Times New Roman"/>
          <w:i/>
          <w:iCs/>
          <w:color w:val="212121"/>
          <w:sz w:val="20"/>
          <w:szCs w:val="20"/>
          <w:shd w:val="clear" w:color="auto" w:fill="FFFFFF"/>
        </w:rPr>
        <w:t>Am. J. Pathol.</w:t>
      </w:r>
      <w:r w:rsidRPr="00A729F7">
        <w:rPr>
          <w:rStyle w:val="mixed-citation"/>
          <w:rFonts w:ascii="Times New Roman" w:hAnsi="Times New Roman" w:cs="Times New Roman"/>
          <w:color w:val="212121"/>
          <w:sz w:val="20"/>
          <w:szCs w:val="20"/>
          <w:shd w:val="clear" w:color="auto" w:fill="FFFFFF"/>
        </w:rPr>
        <w:t> 2004, </w:t>
      </w:r>
      <w:r w:rsidRPr="00A729F7">
        <w:rPr>
          <w:rStyle w:val="ref-vol"/>
          <w:rFonts w:ascii="Times New Roman" w:hAnsi="Times New Roman"/>
          <w:color w:val="212121"/>
          <w:sz w:val="20"/>
          <w:szCs w:val="20"/>
          <w:shd w:val="clear" w:color="auto" w:fill="FFFFFF"/>
        </w:rPr>
        <w:t>165</w:t>
      </w:r>
      <w:r w:rsidRPr="00A729F7">
        <w:rPr>
          <w:rStyle w:val="mixed-citation"/>
          <w:rFonts w:ascii="Times New Roman" w:hAnsi="Times New Roman" w:cs="Times New Roman"/>
          <w:color w:val="212121"/>
          <w:sz w:val="20"/>
          <w:szCs w:val="20"/>
          <w:shd w:val="clear" w:color="auto" w:fill="FFFFFF"/>
        </w:rPr>
        <w:t>, 1583. </w:t>
      </w:r>
      <w:r w:rsidRPr="00A729F7">
        <w:rPr>
          <w:rStyle w:val="nowrap"/>
          <w:rFonts w:ascii="Times New Roman" w:hAnsi="Times New Roman"/>
          <w:color w:val="212121"/>
          <w:sz w:val="20"/>
          <w:szCs w:val="20"/>
          <w:shd w:val="clear" w:color="auto" w:fill="FFFFFF"/>
        </w:rPr>
        <w:t>[</w:t>
      </w:r>
      <w:hyperlink r:id="rId148"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4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5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52.</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Brockman M. A., Kwon D. S., Tighe D. P., Pavlik D. F., Rosato P. C., Sela J., Porichis F., Gall S. L., Waring M. T., Moss K., </w:t>
      </w:r>
      <w:r w:rsidRPr="00A729F7">
        <w:rPr>
          <w:rStyle w:val="ref-journal"/>
          <w:rFonts w:ascii="Times New Roman" w:hAnsi="Times New Roman"/>
          <w:i/>
          <w:iCs/>
          <w:color w:val="212121"/>
          <w:sz w:val="20"/>
          <w:szCs w:val="20"/>
          <w:shd w:val="clear" w:color="auto" w:fill="FFFFFF"/>
        </w:rPr>
        <w:t>Blood</w:t>
      </w:r>
      <w:r w:rsidRPr="00A729F7">
        <w:rPr>
          <w:rStyle w:val="mixed-citation"/>
          <w:rFonts w:ascii="Times New Roman" w:hAnsi="Times New Roman" w:cs="Times New Roman"/>
          <w:color w:val="212121"/>
          <w:sz w:val="20"/>
          <w:szCs w:val="20"/>
          <w:shd w:val="clear" w:color="auto" w:fill="FFFFFF"/>
        </w:rPr>
        <w:t> 2009, </w:t>
      </w:r>
      <w:r w:rsidRPr="00A729F7">
        <w:rPr>
          <w:rStyle w:val="ref-vol"/>
          <w:rFonts w:ascii="Times New Roman" w:hAnsi="Times New Roman"/>
          <w:color w:val="212121"/>
          <w:sz w:val="20"/>
          <w:szCs w:val="20"/>
          <w:shd w:val="clear" w:color="auto" w:fill="FFFFFF"/>
        </w:rPr>
        <w:t>114</w:t>
      </w:r>
      <w:r w:rsidRPr="00A729F7">
        <w:rPr>
          <w:rStyle w:val="mixed-citation"/>
          <w:rFonts w:ascii="Times New Roman" w:hAnsi="Times New Roman" w:cs="Times New Roman"/>
          <w:color w:val="212121"/>
          <w:sz w:val="20"/>
          <w:szCs w:val="20"/>
          <w:shd w:val="clear" w:color="auto" w:fill="FFFFFF"/>
        </w:rPr>
        <w:t>, 346. </w:t>
      </w:r>
      <w:r w:rsidRPr="00A729F7">
        <w:rPr>
          <w:rStyle w:val="nowrap"/>
          <w:rFonts w:ascii="Times New Roman" w:hAnsi="Times New Roman"/>
          <w:color w:val="212121"/>
          <w:sz w:val="20"/>
          <w:szCs w:val="20"/>
          <w:shd w:val="clear" w:color="auto" w:fill="FFFFFF"/>
        </w:rPr>
        <w:t>[</w:t>
      </w:r>
      <w:hyperlink r:id="rId151"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5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5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Style w:val="nowrap"/>
          <w:rFonts w:ascii="Times New Roman" w:hAnsi="Times New Roman"/>
          <w:color w:val="212121"/>
          <w:sz w:val="20"/>
          <w:szCs w:val="20"/>
          <w:shd w:val="clear" w:color="auto" w:fill="FFFFFF"/>
        </w:rPr>
        <w:t>53</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Sanz A. B., Sancheznino M. D., Ortiz A., </w:t>
      </w:r>
      <w:r w:rsidRPr="00A729F7">
        <w:rPr>
          <w:rStyle w:val="ref-journal"/>
          <w:rFonts w:ascii="Times New Roman" w:hAnsi="Times New Roman"/>
          <w:i/>
          <w:iCs/>
          <w:color w:val="212121"/>
          <w:sz w:val="20"/>
          <w:szCs w:val="20"/>
          <w:shd w:val="clear" w:color="auto" w:fill="FFFFFF"/>
        </w:rPr>
        <w:t>Kidney Int.</w:t>
      </w:r>
      <w:r w:rsidRPr="00A729F7">
        <w:rPr>
          <w:rStyle w:val="mixed-citation"/>
          <w:rFonts w:ascii="Times New Roman" w:hAnsi="Times New Roman" w:cs="Times New Roman"/>
          <w:color w:val="212121"/>
          <w:sz w:val="20"/>
          <w:szCs w:val="20"/>
          <w:shd w:val="clear" w:color="auto" w:fill="FFFFFF"/>
        </w:rPr>
        <w:t> 2011, </w:t>
      </w:r>
      <w:r w:rsidRPr="00A729F7">
        <w:rPr>
          <w:rStyle w:val="ref-vol"/>
          <w:rFonts w:ascii="Times New Roman" w:hAnsi="Times New Roman"/>
          <w:color w:val="212121"/>
          <w:sz w:val="20"/>
          <w:szCs w:val="20"/>
          <w:shd w:val="clear" w:color="auto" w:fill="FFFFFF"/>
        </w:rPr>
        <w:t>80</w:t>
      </w:r>
      <w:r w:rsidRPr="00A729F7">
        <w:rPr>
          <w:rStyle w:val="mixed-citation"/>
          <w:rFonts w:ascii="Times New Roman" w:hAnsi="Times New Roman" w:cs="Times New Roman"/>
          <w:color w:val="212121"/>
          <w:sz w:val="20"/>
          <w:szCs w:val="20"/>
          <w:shd w:val="clear" w:color="auto" w:fill="FFFFFF"/>
        </w:rPr>
        <w:t>, 708. [</w:t>
      </w:r>
      <w:hyperlink r:id="rId15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5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54</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Bozza F. A., Salluh J. I. F., Japiassu A. M., Soares M., Assis E. F., Gomes R. N., Bozza M. T., Castrofarianeto H. C., Bozza P. T., </w:t>
      </w:r>
      <w:r w:rsidRPr="00A729F7">
        <w:rPr>
          <w:rStyle w:val="ref-journal"/>
          <w:rFonts w:ascii="Times New Roman" w:hAnsi="Times New Roman"/>
          <w:i/>
          <w:iCs/>
          <w:color w:val="212121"/>
          <w:sz w:val="20"/>
          <w:szCs w:val="20"/>
          <w:shd w:val="clear" w:color="auto" w:fill="FFFFFF"/>
        </w:rPr>
        <w:t>Crit. Care</w:t>
      </w:r>
      <w:r w:rsidRPr="00A729F7">
        <w:rPr>
          <w:rStyle w:val="mixed-citation"/>
          <w:rFonts w:ascii="Times New Roman" w:hAnsi="Times New Roman" w:cs="Times New Roman"/>
          <w:color w:val="212121"/>
          <w:sz w:val="20"/>
          <w:szCs w:val="20"/>
          <w:shd w:val="clear" w:color="auto" w:fill="FFFFFF"/>
        </w:rPr>
        <w:t> 2007, </w:t>
      </w:r>
      <w:r w:rsidRPr="00A729F7">
        <w:rPr>
          <w:rStyle w:val="ref-vol"/>
          <w:rFonts w:ascii="Times New Roman" w:hAnsi="Times New Roman"/>
          <w:color w:val="212121"/>
          <w:sz w:val="20"/>
          <w:szCs w:val="20"/>
          <w:shd w:val="clear" w:color="auto" w:fill="FFFFFF"/>
        </w:rPr>
        <w:t>11</w:t>
      </w:r>
      <w:r w:rsidRPr="00A729F7">
        <w:rPr>
          <w:rStyle w:val="mixed-citation"/>
          <w:rFonts w:ascii="Times New Roman" w:hAnsi="Times New Roman" w:cs="Times New Roman"/>
          <w:color w:val="212121"/>
          <w:sz w:val="20"/>
          <w:szCs w:val="20"/>
          <w:shd w:val="clear" w:color="auto" w:fill="FFFFFF"/>
        </w:rPr>
        <w:t>, R49. </w:t>
      </w:r>
      <w:r w:rsidRPr="00A729F7">
        <w:rPr>
          <w:rStyle w:val="nowrap"/>
          <w:rFonts w:ascii="Times New Roman" w:hAnsi="Times New Roman"/>
          <w:color w:val="212121"/>
          <w:sz w:val="20"/>
          <w:szCs w:val="20"/>
          <w:shd w:val="clear" w:color="auto" w:fill="FFFFFF"/>
        </w:rPr>
        <w:t>[</w:t>
      </w:r>
      <w:hyperlink r:id="rId156"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5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5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55.</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Mcinnes I. B., Schett G., </w:t>
      </w:r>
      <w:r w:rsidRPr="00A729F7">
        <w:rPr>
          <w:rStyle w:val="ref-journal"/>
          <w:rFonts w:ascii="Times New Roman" w:hAnsi="Times New Roman"/>
          <w:i/>
          <w:iCs/>
          <w:color w:val="212121"/>
          <w:sz w:val="20"/>
          <w:szCs w:val="20"/>
          <w:shd w:val="clear" w:color="auto" w:fill="FFFFFF"/>
        </w:rPr>
        <w:t>Nat. Rev. Immunol.</w:t>
      </w:r>
      <w:r w:rsidRPr="00A729F7">
        <w:rPr>
          <w:rStyle w:val="mixed-citation"/>
          <w:rFonts w:ascii="Times New Roman" w:hAnsi="Times New Roman" w:cs="Times New Roman"/>
          <w:color w:val="212121"/>
          <w:sz w:val="20"/>
          <w:szCs w:val="20"/>
          <w:shd w:val="clear" w:color="auto" w:fill="FFFFFF"/>
        </w:rPr>
        <w:t> 2007, </w:t>
      </w:r>
      <w:r w:rsidRPr="00A729F7">
        <w:rPr>
          <w:rStyle w:val="ref-vol"/>
          <w:rFonts w:ascii="Times New Roman" w:hAnsi="Times New Roman"/>
          <w:color w:val="212121"/>
          <w:sz w:val="20"/>
          <w:szCs w:val="20"/>
          <w:shd w:val="clear" w:color="auto" w:fill="FFFFFF"/>
        </w:rPr>
        <w:t>7</w:t>
      </w:r>
      <w:r w:rsidRPr="00A729F7">
        <w:rPr>
          <w:rStyle w:val="mixed-citation"/>
          <w:rFonts w:ascii="Times New Roman" w:hAnsi="Times New Roman" w:cs="Times New Roman"/>
          <w:color w:val="212121"/>
          <w:sz w:val="20"/>
          <w:szCs w:val="20"/>
          <w:shd w:val="clear" w:color="auto" w:fill="FFFFFF"/>
        </w:rPr>
        <w:t>, 429. [</w:t>
      </w:r>
      <w:hyperlink r:id="rId15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6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56</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Barnes P. J., </w:t>
      </w:r>
      <w:r w:rsidRPr="00A729F7">
        <w:rPr>
          <w:rStyle w:val="ref-journal"/>
          <w:rFonts w:ascii="Times New Roman" w:hAnsi="Times New Roman"/>
          <w:i/>
          <w:iCs/>
          <w:color w:val="212121"/>
          <w:sz w:val="20"/>
          <w:szCs w:val="20"/>
          <w:shd w:val="clear" w:color="auto" w:fill="FFFFFF"/>
        </w:rPr>
        <w:t>Cytokine Growth Factor Rev.</w:t>
      </w:r>
      <w:r w:rsidRPr="00A729F7">
        <w:rPr>
          <w:rStyle w:val="mixed-citation"/>
          <w:rFonts w:ascii="Times New Roman" w:hAnsi="Times New Roman" w:cs="Times New Roman"/>
          <w:color w:val="212121"/>
          <w:sz w:val="20"/>
          <w:szCs w:val="20"/>
          <w:shd w:val="clear" w:color="auto" w:fill="FFFFFF"/>
        </w:rPr>
        <w:t> 2003, </w:t>
      </w:r>
      <w:r w:rsidRPr="00A729F7">
        <w:rPr>
          <w:rStyle w:val="ref-vol"/>
          <w:rFonts w:ascii="Times New Roman" w:hAnsi="Times New Roman"/>
          <w:color w:val="212121"/>
          <w:sz w:val="20"/>
          <w:szCs w:val="20"/>
          <w:shd w:val="clear" w:color="auto" w:fill="FFFFFF"/>
        </w:rPr>
        <w:t>14</w:t>
      </w:r>
      <w:r w:rsidRPr="00A729F7">
        <w:rPr>
          <w:rStyle w:val="mixed-citation"/>
          <w:rFonts w:ascii="Times New Roman" w:hAnsi="Times New Roman" w:cs="Times New Roman"/>
          <w:color w:val="212121"/>
          <w:sz w:val="20"/>
          <w:szCs w:val="20"/>
          <w:shd w:val="clear" w:color="auto" w:fill="FFFFFF"/>
        </w:rPr>
        <w:t>, 511. [</w:t>
      </w:r>
      <w:hyperlink r:id="rId16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6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57.</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Liu G., Qi M., Hutchinson M. R., Yang G., Goldys E. M., </w:t>
      </w:r>
      <w:r w:rsidRPr="00A729F7">
        <w:rPr>
          <w:rStyle w:val="ref-journal"/>
          <w:rFonts w:ascii="Times New Roman" w:hAnsi="Times New Roman"/>
          <w:i/>
          <w:iCs/>
          <w:color w:val="212121"/>
          <w:sz w:val="20"/>
          <w:szCs w:val="20"/>
          <w:shd w:val="clear" w:color="auto" w:fill="FFFFFF"/>
        </w:rPr>
        <w:t>Biosens. Bioelectron.</w:t>
      </w:r>
      <w:r w:rsidRPr="00A729F7">
        <w:rPr>
          <w:rStyle w:val="mixed-citation"/>
          <w:rFonts w:ascii="Times New Roman" w:hAnsi="Times New Roman" w:cs="Times New Roman"/>
          <w:color w:val="212121"/>
          <w:sz w:val="20"/>
          <w:szCs w:val="20"/>
          <w:shd w:val="clear" w:color="auto" w:fill="FFFFFF"/>
        </w:rPr>
        <w:t> 2016, </w:t>
      </w:r>
      <w:r w:rsidRPr="00A729F7">
        <w:rPr>
          <w:rStyle w:val="ref-vol"/>
          <w:rFonts w:ascii="Times New Roman" w:hAnsi="Times New Roman"/>
          <w:color w:val="212121"/>
          <w:sz w:val="20"/>
          <w:szCs w:val="20"/>
          <w:shd w:val="clear" w:color="auto" w:fill="FFFFFF"/>
        </w:rPr>
        <w:t>79</w:t>
      </w:r>
      <w:r w:rsidRPr="00A729F7">
        <w:rPr>
          <w:rStyle w:val="mixed-citation"/>
          <w:rFonts w:ascii="Times New Roman" w:hAnsi="Times New Roman" w:cs="Times New Roman"/>
          <w:color w:val="212121"/>
          <w:sz w:val="20"/>
          <w:szCs w:val="20"/>
          <w:shd w:val="clear" w:color="auto" w:fill="FFFFFF"/>
        </w:rPr>
        <w:t>, 810. [</w:t>
      </w:r>
      <w:hyperlink r:id="rId16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6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58</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Whiteside T. L., </w:t>
      </w:r>
      <w:r w:rsidRPr="00A729F7">
        <w:rPr>
          <w:rStyle w:val="ref-journal"/>
          <w:rFonts w:ascii="Times New Roman" w:hAnsi="Times New Roman"/>
          <w:i/>
          <w:iCs/>
          <w:color w:val="212121"/>
          <w:sz w:val="20"/>
          <w:szCs w:val="20"/>
          <w:shd w:val="clear" w:color="auto" w:fill="FFFFFF"/>
        </w:rPr>
        <w:t>Clin. Diagn. Lab. Immunol.</w:t>
      </w:r>
      <w:r w:rsidRPr="00A729F7">
        <w:rPr>
          <w:rStyle w:val="mixed-citation"/>
          <w:rFonts w:ascii="Times New Roman" w:hAnsi="Times New Roman" w:cs="Times New Roman"/>
          <w:color w:val="212121"/>
          <w:sz w:val="20"/>
          <w:szCs w:val="20"/>
          <w:shd w:val="clear" w:color="auto" w:fill="FFFFFF"/>
        </w:rPr>
        <w:t> 1994, </w:t>
      </w:r>
      <w:r w:rsidRPr="00A729F7">
        <w:rPr>
          <w:rStyle w:val="ref-vol"/>
          <w:rFonts w:ascii="Times New Roman" w:hAnsi="Times New Roman"/>
          <w:color w:val="212121"/>
          <w:sz w:val="20"/>
          <w:szCs w:val="20"/>
          <w:shd w:val="clear" w:color="auto" w:fill="FFFFFF"/>
        </w:rPr>
        <w:t>1</w:t>
      </w:r>
      <w:r w:rsidRPr="00A729F7">
        <w:rPr>
          <w:rStyle w:val="mixed-citation"/>
          <w:rFonts w:ascii="Times New Roman" w:hAnsi="Times New Roman" w:cs="Times New Roman"/>
          <w:color w:val="212121"/>
          <w:sz w:val="20"/>
          <w:szCs w:val="20"/>
          <w:shd w:val="clear" w:color="auto" w:fill="FFFFFF"/>
        </w:rPr>
        <w:t>, 257. </w:t>
      </w:r>
      <w:r w:rsidRPr="00A729F7">
        <w:rPr>
          <w:rStyle w:val="nowrap"/>
          <w:rFonts w:ascii="Times New Roman" w:hAnsi="Times New Roman"/>
          <w:color w:val="212121"/>
          <w:sz w:val="20"/>
          <w:szCs w:val="20"/>
          <w:shd w:val="clear" w:color="auto" w:fill="FFFFFF"/>
        </w:rPr>
        <w:t>[</w:t>
      </w:r>
      <w:hyperlink r:id="rId165"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66"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67"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59.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Nedoszytko B., Sokolowska‐Wojdylo M., Ruckemann‐Dziurdzinska K., Roszkiewicz J., Nowicki R. J., </w:t>
      </w:r>
      <w:r w:rsidRPr="00A729F7">
        <w:rPr>
          <w:rStyle w:val="ref-journal"/>
          <w:rFonts w:ascii="Times New Roman" w:hAnsi="Times New Roman"/>
          <w:i/>
          <w:iCs/>
          <w:color w:val="212121"/>
          <w:sz w:val="20"/>
          <w:szCs w:val="20"/>
          <w:shd w:val="clear" w:color="auto" w:fill="FFFFFF"/>
        </w:rPr>
        <w:t>Postepy Dermatol. Alergol.</w:t>
      </w:r>
      <w:r w:rsidRPr="00A729F7">
        <w:rPr>
          <w:rStyle w:val="mixed-citation"/>
          <w:rFonts w:ascii="Times New Roman" w:hAnsi="Times New Roman" w:cs="Times New Roman"/>
          <w:color w:val="212121"/>
          <w:sz w:val="20"/>
          <w:szCs w:val="20"/>
          <w:shd w:val="clear" w:color="auto" w:fill="FFFFFF"/>
        </w:rPr>
        <w:t> 2014, </w:t>
      </w:r>
      <w:r w:rsidRPr="00A729F7">
        <w:rPr>
          <w:rStyle w:val="ref-vol"/>
          <w:rFonts w:ascii="Times New Roman" w:hAnsi="Times New Roman"/>
          <w:color w:val="212121"/>
          <w:sz w:val="20"/>
          <w:szCs w:val="20"/>
          <w:shd w:val="clear" w:color="auto" w:fill="FFFFFF"/>
        </w:rPr>
        <w:t>31</w:t>
      </w:r>
      <w:r w:rsidRPr="00A729F7">
        <w:rPr>
          <w:rStyle w:val="mixed-citation"/>
          <w:rFonts w:ascii="Times New Roman" w:hAnsi="Times New Roman" w:cs="Times New Roman"/>
          <w:color w:val="212121"/>
          <w:sz w:val="20"/>
          <w:szCs w:val="20"/>
          <w:shd w:val="clear" w:color="auto" w:fill="FFFFFF"/>
        </w:rPr>
        <w:t>, 84. </w:t>
      </w:r>
      <w:r w:rsidRPr="00A729F7">
        <w:rPr>
          <w:rStyle w:val="nowrap"/>
          <w:rFonts w:ascii="Times New Roman" w:hAnsi="Times New Roman"/>
          <w:color w:val="212121"/>
          <w:sz w:val="20"/>
          <w:szCs w:val="20"/>
          <w:shd w:val="clear" w:color="auto" w:fill="FFFFFF"/>
        </w:rPr>
        <w:t>[</w:t>
      </w:r>
      <w:hyperlink r:id="rId168"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16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7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color w:val="000000"/>
          <w:sz w:val="20"/>
          <w:szCs w:val="20"/>
          <w:u w:color="FFFFFF"/>
          <w:shd w:val="clear" w:color="auto" w:fill="FFFFFF"/>
        </w:rPr>
        <w:lastRenderedPageBreak/>
        <w:t xml:space="preserve">60. </w:t>
      </w:r>
      <w:hyperlink r:id="rId171" w:history="1">
        <w:r w:rsidRPr="00A729F7">
          <w:rPr>
            <w:rStyle w:val="Hyperlink"/>
            <w:rFonts w:ascii="Times New Roman" w:hAnsi="Times New Roman"/>
            <w:color w:val="000000"/>
            <w:sz w:val="20"/>
            <w:szCs w:val="20"/>
            <w:u w:color="FFFFFF"/>
            <w:shd w:val="clear" w:color="auto" w:fill="FFFFFF"/>
          </w:rPr>
          <w:t>Chao Liu</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w:t>
      </w:r>
      <w:hyperlink r:id="rId172" w:history="1">
        <w:r w:rsidRPr="00A729F7">
          <w:rPr>
            <w:rStyle w:val="Hyperlink"/>
            <w:rFonts w:ascii="Times New Roman" w:hAnsi="Times New Roman"/>
            <w:color w:val="000000"/>
            <w:sz w:val="20"/>
            <w:szCs w:val="20"/>
            <w:u w:color="FFFFFF"/>
            <w:shd w:val="clear" w:color="auto" w:fill="FFFFFF"/>
          </w:rPr>
          <w:t>Dewei Chu</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w:t>
      </w:r>
      <w:hyperlink r:id="rId173" w:history="1">
        <w:r w:rsidRPr="00A729F7">
          <w:rPr>
            <w:rStyle w:val="Hyperlink"/>
            <w:rFonts w:ascii="Times New Roman" w:hAnsi="Times New Roman"/>
            <w:color w:val="000000"/>
            <w:sz w:val="20"/>
            <w:szCs w:val="20"/>
            <w:u w:color="FFFFFF"/>
            <w:shd w:val="clear" w:color="auto" w:fill="FFFFFF"/>
          </w:rPr>
          <w:t>Kourosh Kalantar‐Zadeh</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w:t>
      </w:r>
      <w:hyperlink r:id="rId174" w:history="1">
        <w:r w:rsidRPr="00A729F7">
          <w:rPr>
            <w:rStyle w:val="Hyperlink"/>
            <w:rFonts w:ascii="Times New Roman" w:hAnsi="Times New Roman"/>
            <w:color w:val="000000"/>
            <w:sz w:val="20"/>
            <w:szCs w:val="20"/>
            <w:u w:color="FFFFFF"/>
            <w:shd w:val="clear" w:color="auto" w:fill="FFFFFF"/>
          </w:rPr>
          <w:t>Jacob George</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w:t>
      </w:r>
      <w:hyperlink r:id="rId175" w:history="1">
        <w:r w:rsidRPr="00A729F7">
          <w:rPr>
            <w:rStyle w:val="Hyperlink"/>
            <w:rFonts w:ascii="Times New Roman" w:hAnsi="Times New Roman"/>
            <w:color w:val="000000"/>
            <w:sz w:val="20"/>
            <w:szCs w:val="20"/>
            <w:u w:color="FFFFFF"/>
            <w:shd w:val="clear" w:color="auto" w:fill="FFFFFF"/>
          </w:rPr>
          <w:t>Howard A. Young</w:t>
        </w:r>
      </w:hyperlink>
      <w:r w:rsidRPr="00A729F7">
        <w:rPr>
          <w:rFonts w:ascii="Times New Roman" w:hAnsi="Times New Roman" w:cs="Times New Roman"/>
          <w:color w:val="000000"/>
          <w:sz w:val="20"/>
          <w:szCs w:val="20"/>
          <w:u w:color="FFFFFF"/>
          <w:shd w:val="clear" w:color="auto" w:fill="FFFFFF"/>
        </w:rPr>
        <w:t>, Guozhen Liu</w:t>
      </w:r>
      <w:r w:rsidRPr="00A729F7">
        <w:rPr>
          <w:rFonts w:ascii="Times New Roman" w:hAnsi="Times New Roman" w:cs="Times New Roman"/>
          <w:color w:val="000000"/>
          <w:sz w:val="20"/>
          <w:szCs w:val="20"/>
          <w:u w:color="FFFFFF"/>
          <w:shd w:val="clear" w:color="auto" w:fill="FFFFFF"/>
          <w:vertAlign w:val="superscript"/>
        </w:rPr>
        <w:t xml:space="preserve">  </w:t>
      </w:r>
      <w:r w:rsidRPr="00A729F7">
        <w:rPr>
          <w:rFonts w:ascii="Times New Roman" w:hAnsi="Times New Roman" w:cs="Times New Roman"/>
          <w:bCs/>
          <w:color w:val="000000"/>
          <w:spacing w:val="-2"/>
          <w:sz w:val="20"/>
          <w:szCs w:val="20"/>
          <w:u w:color="FFFFFF"/>
        </w:rPr>
        <w:t xml:space="preserve">Cytokines: From Clinical Significance to Quantification, </w:t>
      </w:r>
      <w:hyperlink r:id="rId176" w:history="1">
        <w:r w:rsidRPr="00A729F7">
          <w:rPr>
            <w:rStyle w:val="Hyperlink"/>
            <w:rFonts w:ascii="Times New Roman" w:hAnsi="Times New Roman"/>
            <w:color w:val="000000"/>
            <w:sz w:val="20"/>
            <w:szCs w:val="20"/>
            <w:u w:color="FFFFFF"/>
          </w:rPr>
          <w:t>Adv Sci (Weinh).</w:t>
        </w:r>
      </w:hyperlink>
      <w:r w:rsidRPr="00A729F7">
        <w:rPr>
          <w:rFonts w:ascii="Times New Roman" w:hAnsi="Times New Roman" w:cs="Times New Roman"/>
          <w:color w:val="000000"/>
          <w:sz w:val="20"/>
          <w:szCs w:val="20"/>
          <w:u w:color="FFFFFF"/>
          <w:shd w:val="clear" w:color="auto" w:fill="FFFFFF"/>
        </w:rPr>
        <w:t> 2021 Aug; 8(15): 2004433., doi: </w:t>
      </w:r>
      <w:hyperlink r:id="rId177" w:tgtFrame="_blank" w:history="1">
        <w:r w:rsidRPr="00A729F7">
          <w:rPr>
            <w:rStyle w:val="Hyperlink"/>
            <w:rFonts w:ascii="Times New Roman" w:hAnsi="Times New Roman"/>
            <w:color w:val="205493"/>
            <w:sz w:val="20"/>
            <w:szCs w:val="20"/>
            <w:shd w:val="clear" w:color="auto" w:fill="FFFFFF"/>
          </w:rPr>
          <w:t>10.1002/advs.202004433</w:t>
        </w:r>
      </w:hyperlink>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61. Chen P., Chung M. T., Mchugh W., Nidetz R., Li Y., Fu J., Cornell T. T., Shanley T. P., Kurabayashi K., </w:t>
      </w:r>
      <w:r w:rsidRPr="00A729F7">
        <w:rPr>
          <w:rFonts w:ascii="Times New Roman" w:hAnsi="Times New Roman" w:cs="Times New Roman"/>
          <w:i/>
          <w:iCs/>
          <w:color w:val="212121"/>
          <w:sz w:val="20"/>
          <w:szCs w:val="20"/>
        </w:rPr>
        <w:t>ACS Nano</w:t>
      </w:r>
      <w:r w:rsidRPr="00A729F7">
        <w:rPr>
          <w:rFonts w:ascii="Times New Roman" w:hAnsi="Times New Roman" w:cs="Times New Roman"/>
          <w:color w:val="212121"/>
          <w:sz w:val="20"/>
          <w:szCs w:val="20"/>
        </w:rPr>
        <w:t> 2015, 9, 4173. [</w:t>
      </w:r>
      <w:hyperlink r:id="rId178"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79"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80"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62. Bellagambi F. G., Baraket A., Longo A., Vatteroni M., Zine N., Bausells J., Fuoco R., Francesco F. D., Salvo P., Karanasiou G. S., </w:t>
      </w:r>
      <w:r w:rsidRPr="00A729F7">
        <w:rPr>
          <w:rFonts w:ascii="Times New Roman" w:hAnsi="Times New Roman" w:cs="Times New Roman"/>
          <w:i/>
          <w:iCs/>
          <w:color w:val="212121"/>
          <w:sz w:val="20"/>
          <w:szCs w:val="20"/>
        </w:rPr>
        <w:t>Sens. Actuators, B</w:t>
      </w:r>
      <w:r w:rsidRPr="00A729F7">
        <w:rPr>
          <w:rFonts w:ascii="Times New Roman" w:hAnsi="Times New Roman" w:cs="Times New Roman"/>
          <w:color w:val="212121"/>
          <w:sz w:val="20"/>
          <w:szCs w:val="20"/>
        </w:rPr>
        <w:t> 2017, 251, 1026. [</w:t>
      </w:r>
      <w:hyperlink r:id="rId181"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63. Cao C., Zhang F., Goldys E. M., Gao F., Liu G., </w:t>
      </w:r>
      <w:r w:rsidRPr="00A729F7">
        <w:rPr>
          <w:rFonts w:ascii="Times New Roman" w:hAnsi="Times New Roman" w:cs="Times New Roman"/>
          <w:i/>
          <w:iCs/>
          <w:color w:val="212121"/>
          <w:sz w:val="20"/>
          <w:szCs w:val="20"/>
        </w:rPr>
        <w:t>TrAC, Trends Anal. Chem.</w:t>
      </w:r>
      <w:r w:rsidRPr="00A729F7">
        <w:rPr>
          <w:rFonts w:ascii="Times New Roman" w:hAnsi="Times New Roman" w:cs="Times New Roman"/>
          <w:color w:val="212121"/>
          <w:sz w:val="20"/>
          <w:szCs w:val="20"/>
        </w:rPr>
        <w:t> 2018, 102, 379. [</w:t>
      </w:r>
      <w:hyperlink r:id="rId182"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64.</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Zhou Q., Kwa T., Liu Y., Revzin A., </w:t>
      </w:r>
      <w:r w:rsidRPr="00A729F7">
        <w:rPr>
          <w:rStyle w:val="ref-journal"/>
          <w:rFonts w:ascii="Times New Roman" w:hAnsi="Times New Roman"/>
          <w:i/>
          <w:iCs/>
          <w:color w:val="212121"/>
          <w:sz w:val="20"/>
          <w:szCs w:val="20"/>
          <w:shd w:val="clear" w:color="auto" w:fill="FFFFFF"/>
        </w:rPr>
        <w:t>Expert Rev. Anti‐Infect. Ther.</w:t>
      </w:r>
      <w:r w:rsidRPr="00A729F7">
        <w:rPr>
          <w:rStyle w:val="mixed-citation"/>
          <w:rFonts w:ascii="Times New Roman" w:hAnsi="Times New Roman" w:cs="Times New Roman"/>
          <w:color w:val="212121"/>
          <w:sz w:val="20"/>
          <w:szCs w:val="20"/>
          <w:shd w:val="clear" w:color="auto" w:fill="FFFFFF"/>
        </w:rPr>
        <w:t> 2012, </w:t>
      </w:r>
      <w:r w:rsidRPr="00A729F7">
        <w:rPr>
          <w:rStyle w:val="ref-vol"/>
          <w:rFonts w:ascii="Times New Roman" w:hAnsi="Times New Roman"/>
          <w:color w:val="212121"/>
          <w:sz w:val="20"/>
          <w:szCs w:val="20"/>
          <w:shd w:val="clear" w:color="auto" w:fill="FFFFFF"/>
        </w:rPr>
        <w:t>10</w:t>
      </w:r>
      <w:r w:rsidRPr="00A729F7">
        <w:rPr>
          <w:rStyle w:val="mixed-citation"/>
          <w:rFonts w:ascii="Times New Roman" w:hAnsi="Times New Roman" w:cs="Times New Roman"/>
          <w:color w:val="212121"/>
          <w:sz w:val="20"/>
          <w:szCs w:val="20"/>
          <w:shd w:val="clear" w:color="auto" w:fill="FFFFFF"/>
        </w:rPr>
        <w:t>, 1079. [</w:t>
      </w:r>
      <w:hyperlink r:id="rId18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18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65. Wei H., Ni S., Cao C., Yang G., Liu G., </w:t>
      </w:r>
      <w:r w:rsidRPr="00A729F7">
        <w:rPr>
          <w:rFonts w:ascii="Times New Roman" w:hAnsi="Times New Roman" w:cs="Times New Roman"/>
          <w:i/>
          <w:iCs/>
          <w:color w:val="212121"/>
          <w:sz w:val="20"/>
          <w:szCs w:val="20"/>
        </w:rPr>
        <w:t>ACS Sens.</w:t>
      </w:r>
      <w:r w:rsidRPr="00A729F7">
        <w:rPr>
          <w:rFonts w:ascii="Times New Roman" w:hAnsi="Times New Roman" w:cs="Times New Roman"/>
          <w:color w:val="212121"/>
          <w:sz w:val="20"/>
          <w:szCs w:val="20"/>
        </w:rPr>
        <w:t> 2018, 3, 1553. [</w:t>
      </w:r>
      <w:hyperlink r:id="rId185"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86"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66. Qi M., Zhang Y., Cao C., Zhang M., Liu S., Liu G., </w:t>
      </w:r>
      <w:r w:rsidRPr="00A729F7">
        <w:rPr>
          <w:rFonts w:ascii="Times New Roman" w:hAnsi="Times New Roman" w:cs="Times New Roman"/>
          <w:i/>
          <w:iCs/>
          <w:color w:val="212121"/>
          <w:sz w:val="20"/>
          <w:szCs w:val="20"/>
        </w:rPr>
        <w:t>Anal. Chem.</w:t>
      </w:r>
      <w:r w:rsidRPr="00A729F7">
        <w:rPr>
          <w:rFonts w:ascii="Times New Roman" w:hAnsi="Times New Roman" w:cs="Times New Roman"/>
          <w:color w:val="212121"/>
          <w:sz w:val="20"/>
          <w:szCs w:val="20"/>
        </w:rPr>
        <w:t> 2016, 88, 9614. [</w:t>
      </w:r>
      <w:hyperlink r:id="rId187"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88"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67. Qi M., Huang J., Wei H., Cao C., Feng S., Guo Q., Goldys E. M., Li R., Liu G., </w:t>
      </w:r>
      <w:r w:rsidRPr="00A729F7">
        <w:rPr>
          <w:rFonts w:ascii="Times New Roman" w:hAnsi="Times New Roman" w:cs="Times New Roman"/>
          <w:i/>
          <w:iCs/>
          <w:color w:val="212121"/>
          <w:sz w:val="20"/>
          <w:szCs w:val="20"/>
        </w:rPr>
        <w:t>ACS Appl. Mater. Interfaces</w:t>
      </w:r>
      <w:r w:rsidRPr="00A729F7">
        <w:rPr>
          <w:rFonts w:ascii="Times New Roman" w:hAnsi="Times New Roman" w:cs="Times New Roman"/>
          <w:color w:val="212121"/>
          <w:sz w:val="20"/>
          <w:szCs w:val="20"/>
        </w:rPr>
        <w:t> 2017, 9, 41659. [</w:t>
      </w:r>
      <w:hyperlink r:id="rId189"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90"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68. Liu G., Cao C., Ni S., Feng S., Wei H., </w:t>
      </w:r>
      <w:r w:rsidRPr="00A729F7">
        <w:rPr>
          <w:rFonts w:ascii="Times New Roman" w:hAnsi="Times New Roman" w:cs="Times New Roman"/>
          <w:i/>
          <w:iCs/>
          <w:color w:val="212121"/>
          <w:sz w:val="20"/>
          <w:szCs w:val="20"/>
        </w:rPr>
        <w:t>Microsyst. Nanoeng.</w:t>
      </w:r>
      <w:r w:rsidRPr="00A729F7">
        <w:rPr>
          <w:rFonts w:ascii="Times New Roman" w:hAnsi="Times New Roman" w:cs="Times New Roman"/>
          <w:color w:val="212121"/>
          <w:sz w:val="20"/>
          <w:szCs w:val="20"/>
        </w:rPr>
        <w:t> 2019, 5, 35. [</w:t>
      </w:r>
      <w:hyperlink r:id="rId191"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192"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93"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69. Zhang F., Deng F., Liu G.‐J., Middleton R., Inglis D. W., Anwer A., Wang S., Liu G., </w:t>
      </w:r>
      <w:r w:rsidRPr="00A729F7">
        <w:rPr>
          <w:rFonts w:ascii="Times New Roman" w:hAnsi="Times New Roman" w:cs="Times New Roman"/>
          <w:i/>
          <w:iCs/>
          <w:color w:val="212121"/>
          <w:sz w:val="20"/>
          <w:szCs w:val="20"/>
        </w:rPr>
        <w:t>Mol. Syst. Des. Eng.</w:t>
      </w:r>
      <w:r w:rsidRPr="00A729F7">
        <w:rPr>
          <w:rFonts w:ascii="Times New Roman" w:hAnsi="Times New Roman" w:cs="Times New Roman"/>
          <w:color w:val="212121"/>
          <w:sz w:val="20"/>
          <w:szCs w:val="20"/>
        </w:rPr>
        <w:t> 2019, 4, 872. [</w:t>
      </w:r>
      <w:hyperlink r:id="rId194"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70. Liu G., Zhang K., Ma K., Care A., Hutchinson M. R., Goldys E. M., </w:t>
      </w:r>
      <w:r w:rsidRPr="00A729F7">
        <w:rPr>
          <w:rFonts w:ascii="Times New Roman" w:hAnsi="Times New Roman" w:cs="Times New Roman"/>
          <w:i/>
          <w:iCs/>
          <w:color w:val="212121"/>
          <w:sz w:val="20"/>
          <w:szCs w:val="20"/>
        </w:rPr>
        <w:t>Nanoscale</w:t>
      </w:r>
      <w:r w:rsidRPr="00A729F7">
        <w:rPr>
          <w:rFonts w:ascii="Times New Roman" w:hAnsi="Times New Roman" w:cs="Times New Roman"/>
          <w:color w:val="212121"/>
          <w:sz w:val="20"/>
          <w:szCs w:val="20"/>
        </w:rPr>
        <w:t> 2017, 9, 4934. [</w:t>
      </w:r>
      <w:hyperlink r:id="rId195"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196"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71. Ma K., Liu G.‐J., Yan L., Wen S., Xu B., Tian W., Goldys E. M., Liu G., </w:t>
      </w:r>
      <w:r w:rsidRPr="00A729F7">
        <w:rPr>
          <w:rFonts w:ascii="Times New Roman" w:hAnsi="Times New Roman" w:cs="Times New Roman"/>
          <w:i/>
          <w:iCs/>
          <w:color w:val="212121"/>
          <w:sz w:val="20"/>
          <w:szCs w:val="20"/>
        </w:rPr>
        <w:t>Nanomedicine</w:t>
      </w:r>
      <w:r w:rsidRPr="00A729F7">
        <w:rPr>
          <w:rFonts w:ascii="Times New Roman" w:hAnsi="Times New Roman" w:cs="Times New Roman"/>
          <w:color w:val="212121"/>
          <w:sz w:val="20"/>
          <w:szCs w:val="20"/>
        </w:rPr>
        <w:t> 2019, 14, 1191. [</w:t>
      </w:r>
      <w:hyperlink r:id="rId197"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72. Deng F., Arman A., Goldys E. M., Hutchinson M. R., Liu G., </w:t>
      </w:r>
      <w:r w:rsidRPr="00A729F7">
        <w:rPr>
          <w:rFonts w:ascii="Times New Roman" w:hAnsi="Times New Roman" w:cs="Times New Roman"/>
          <w:i/>
          <w:iCs/>
          <w:color w:val="212121"/>
          <w:sz w:val="20"/>
          <w:szCs w:val="20"/>
        </w:rPr>
        <w:t>ACS Appl. Bio Mater.</w:t>
      </w:r>
      <w:r w:rsidRPr="00A729F7">
        <w:rPr>
          <w:rFonts w:ascii="Times New Roman" w:hAnsi="Times New Roman" w:cs="Times New Roman"/>
          <w:color w:val="212121"/>
          <w:sz w:val="20"/>
          <w:szCs w:val="20"/>
        </w:rPr>
        <w:t> 2020, 3, 539. [</w:t>
      </w:r>
      <w:hyperlink r:id="rId198"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73. Liu G., Zhang K., Nadort A., Hutchinson M. R., Goldys E. M., </w:t>
      </w:r>
      <w:r w:rsidRPr="00A729F7">
        <w:rPr>
          <w:rFonts w:ascii="Times New Roman" w:hAnsi="Times New Roman" w:cs="Times New Roman"/>
          <w:i/>
          <w:iCs/>
          <w:color w:val="212121"/>
          <w:sz w:val="20"/>
          <w:szCs w:val="20"/>
        </w:rPr>
        <w:t>ACS Sens.</w:t>
      </w:r>
      <w:r w:rsidRPr="00A729F7">
        <w:rPr>
          <w:rFonts w:ascii="Times New Roman" w:hAnsi="Times New Roman" w:cs="Times New Roman"/>
          <w:color w:val="212121"/>
          <w:sz w:val="20"/>
          <w:szCs w:val="20"/>
        </w:rPr>
        <w:t> 2017, 2, 218. [</w:t>
      </w:r>
      <w:hyperlink r:id="rId199"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200"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Style w:val="nowrap"/>
          <w:rFonts w:ascii="Times New Roman" w:hAnsi="Times New Roman"/>
          <w:color w:val="212121"/>
          <w:sz w:val="20"/>
          <w:szCs w:val="20"/>
          <w:shd w:val="clear" w:color="auto" w:fill="FFFFFF"/>
        </w:rPr>
        <w:t>74.</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Cao C., Jin R., Wei H., Liu Z., Ni S., Liu G.‐J., Young H. A., Chen X., Liu G., </w:t>
      </w:r>
      <w:r w:rsidRPr="00A729F7">
        <w:rPr>
          <w:rStyle w:val="ref-journal"/>
          <w:rFonts w:ascii="Times New Roman" w:hAnsi="Times New Roman"/>
          <w:i/>
          <w:iCs/>
          <w:color w:val="212121"/>
          <w:sz w:val="20"/>
          <w:szCs w:val="20"/>
          <w:shd w:val="clear" w:color="auto" w:fill="FFFFFF"/>
        </w:rPr>
        <w:t>Acta Biomater.</w:t>
      </w:r>
      <w:r w:rsidRPr="00A729F7">
        <w:rPr>
          <w:rStyle w:val="mixed-citation"/>
          <w:rFonts w:ascii="Times New Roman" w:hAnsi="Times New Roman" w:cs="Times New Roman"/>
          <w:color w:val="212121"/>
          <w:sz w:val="20"/>
          <w:szCs w:val="20"/>
          <w:shd w:val="clear" w:color="auto" w:fill="FFFFFF"/>
        </w:rPr>
        <w:t> 2020, </w:t>
      </w:r>
      <w:r w:rsidRPr="00A729F7">
        <w:rPr>
          <w:rStyle w:val="ref-vol"/>
          <w:rFonts w:ascii="Times New Roman" w:hAnsi="Times New Roman"/>
          <w:color w:val="212121"/>
          <w:sz w:val="20"/>
          <w:szCs w:val="20"/>
          <w:shd w:val="clear" w:color="auto" w:fill="FFFFFF"/>
        </w:rPr>
        <w:t>101</w:t>
      </w:r>
      <w:r w:rsidRPr="00A729F7">
        <w:rPr>
          <w:rStyle w:val="mixed-citation"/>
          <w:rFonts w:ascii="Times New Roman" w:hAnsi="Times New Roman" w:cs="Times New Roman"/>
          <w:color w:val="212121"/>
          <w:sz w:val="20"/>
          <w:szCs w:val="20"/>
          <w:shd w:val="clear" w:color="auto" w:fill="FFFFFF"/>
        </w:rPr>
        <w:t>, 372. </w:t>
      </w:r>
      <w:r w:rsidRPr="00A729F7">
        <w:rPr>
          <w:rStyle w:val="nowrap"/>
          <w:rFonts w:ascii="Times New Roman" w:hAnsi="Times New Roman"/>
          <w:color w:val="212121"/>
          <w:sz w:val="20"/>
          <w:szCs w:val="20"/>
          <w:shd w:val="clear" w:color="auto" w:fill="FFFFFF"/>
        </w:rPr>
        <w:t>[</w:t>
      </w:r>
      <w:hyperlink r:id="rId201"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0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0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75</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Ma K., Zhang F., Sayyadi N., Chen W., Anwer A. G., Care A., Xu B., Tian W., Goldys E. M., Liu G., </w:t>
      </w:r>
      <w:r w:rsidRPr="00A729F7">
        <w:rPr>
          <w:rStyle w:val="ref-journal"/>
          <w:rFonts w:ascii="Times New Roman" w:hAnsi="Times New Roman"/>
          <w:i/>
          <w:iCs/>
          <w:color w:val="212121"/>
          <w:sz w:val="20"/>
          <w:szCs w:val="20"/>
          <w:shd w:val="clear" w:color="auto" w:fill="FFFFFF"/>
        </w:rPr>
        <w:t>ACS Sens.</w:t>
      </w:r>
      <w:r w:rsidRPr="00A729F7">
        <w:rPr>
          <w:rStyle w:val="mixed-citation"/>
          <w:rFonts w:ascii="Times New Roman" w:hAnsi="Times New Roman" w:cs="Times New Roman"/>
          <w:color w:val="212121"/>
          <w:sz w:val="20"/>
          <w:szCs w:val="20"/>
          <w:shd w:val="clear" w:color="auto" w:fill="FFFFFF"/>
        </w:rPr>
        <w:t> 2018, </w:t>
      </w:r>
      <w:r w:rsidRPr="00A729F7">
        <w:rPr>
          <w:rStyle w:val="ref-vol"/>
          <w:rFonts w:ascii="Times New Roman" w:hAnsi="Times New Roman"/>
          <w:color w:val="212121"/>
          <w:sz w:val="20"/>
          <w:szCs w:val="20"/>
          <w:shd w:val="clear" w:color="auto" w:fill="FFFFFF"/>
        </w:rPr>
        <w:t>3</w:t>
      </w:r>
      <w:r w:rsidRPr="00A729F7">
        <w:rPr>
          <w:rStyle w:val="mixed-citation"/>
          <w:rFonts w:ascii="Times New Roman" w:hAnsi="Times New Roman" w:cs="Times New Roman"/>
          <w:color w:val="212121"/>
          <w:sz w:val="20"/>
          <w:szCs w:val="20"/>
          <w:shd w:val="clear" w:color="auto" w:fill="FFFFFF"/>
        </w:rPr>
        <w:t>, 320. [</w:t>
      </w:r>
      <w:hyperlink r:id="rId204" w:history="1">
        <w:r w:rsidRPr="00A729F7">
          <w:rPr>
            <w:rStyle w:val="Hyperlink"/>
            <w:rFonts w:ascii="Times New Roman" w:hAnsi="Times New Roman"/>
            <w:color w:val="205493"/>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0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Style w:val="nowrap"/>
          <w:rFonts w:ascii="Times New Roman" w:hAnsi="Times New Roman"/>
          <w:color w:val="212121"/>
          <w:sz w:val="20"/>
          <w:szCs w:val="20"/>
          <w:shd w:val="clear" w:color="auto" w:fill="FFFFFF"/>
        </w:rPr>
        <w:t>76</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Liu G., Bursill C., Cartland S. P., Anwer A. G., Parker L. M., Zhang K., Feng S., He M., Inglis D. W., Kavurma M. M., Hutchinson M. R., Goldys E. M., </w:t>
      </w:r>
      <w:r w:rsidRPr="00A729F7">
        <w:rPr>
          <w:rStyle w:val="ref-journal"/>
          <w:rFonts w:ascii="Times New Roman" w:hAnsi="Times New Roman"/>
          <w:i/>
          <w:iCs/>
          <w:color w:val="212121"/>
          <w:sz w:val="20"/>
          <w:szCs w:val="20"/>
          <w:shd w:val="clear" w:color="auto" w:fill="FFFFFF"/>
        </w:rPr>
        <w:t>iScience</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20</w:t>
      </w:r>
      <w:r w:rsidRPr="00A729F7">
        <w:rPr>
          <w:rStyle w:val="mixed-citation"/>
          <w:rFonts w:ascii="Times New Roman" w:hAnsi="Times New Roman" w:cs="Times New Roman"/>
          <w:color w:val="212121"/>
          <w:sz w:val="20"/>
          <w:szCs w:val="20"/>
          <w:shd w:val="clear" w:color="auto" w:fill="FFFFFF"/>
        </w:rPr>
        <w:t>, 137. </w:t>
      </w:r>
      <w:r w:rsidRPr="00A729F7">
        <w:rPr>
          <w:rStyle w:val="nowrap"/>
          <w:rFonts w:ascii="Times New Roman" w:hAnsi="Times New Roman"/>
          <w:color w:val="212121"/>
          <w:sz w:val="20"/>
          <w:szCs w:val="20"/>
          <w:shd w:val="clear" w:color="auto" w:fill="FFFFFF"/>
        </w:rPr>
        <w:t>[</w:t>
      </w:r>
      <w:hyperlink r:id="rId206"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0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0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77</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Heney D., Whicher J. T., </w:t>
      </w:r>
      <w:r w:rsidRPr="00A729F7">
        <w:rPr>
          <w:rStyle w:val="ref-journal"/>
          <w:rFonts w:ascii="Times New Roman" w:hAnsi="Times New Roman"/>
          <w:i/>
          <w:iCs/>
          <w:color w:val="212121"/>
          <w:sz w:val="20"/>
          <w:szCs w:val="20"/>
          <w:shd w:val="clear" w:color="auto" w:fill="FFFFFF"/>
        </w:rPr>
        <w:t>Ann. Clin. Biochem.</w:t>
      </w:r>
      <w:r w:rsidRPr="00A729F7">
        <w:rPr>
          <w:rStyle w:val="mixed-citation"/>
          <w:rFonts w:ascii="Times New Roman" w:hAnsi="Times New Roman" w:cs="Times New Roman"/>
          <w:color w:val="212121"/>
          <w:sz w:val="20"/>
          <w:szCs w:val="20"/>
          <w:shd w:val="clear" w:color="auto" w:fill="FFFFFF"/>
        </w:rPr>
        <w:t> 1995, </w:t>
      </w:r>
      <w:r w:rsidRPr="00A729F7">
        <w:rPr>
          <w:rStyle w:val="ref-vol"/>
          <w:rFonts w:ascii="Times New Roman" w:hAnsi="Times New Roman"/>
          <w:color w:val="212121"/>
          <w:sz w:val="20"/>
          <w:szCs w:val="20"/>
          <w:shd w:val="clear" w:color="auto" w:fill="FFFFFF"/>
        </w:rPr>
        <w:t>32</w:t>
      </w:r>
      <w:r w:rsidRPr="00A729F7">
        <w:rPr>
          <w:rStyle w:val="mixed-citation"/>
          <w:rFonts w:ascii="Times New Roman" w:hAnsi="Times New Roman" w:cs="Times New Roman"/>
          <w:color w:val="212121"/>
          <w:sz w:val="20"/>
          <w:szCs w:val="20"/>
          <w:shd w:val="clear" w:color="auto" w:fill="FFFFFF"/>
        </w:rPr>
        <w:t>, 358. [</w:t>
      </w:r>
      <w:hyperlink r:id="rId20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1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78</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Hosnijeh F. S., Krop E., Portengen L., Rabkin C. S., Linseisen J., Vineis P., Vermeulen R., </w:t>
      </w:r>
      <w:r w:rsidRPr="00A729F7">
        <w:rPr>
          <w:rStyle w:val="ref-journal"/>
          <w:rFonts w:ascii="Times New Roman" w:hAnsi="Times New Roman"/>
          <w:i/>
          <w:iCs/>
          <w:color w:val="212121"/>
          <w:sz w:val="20"/>
          <w:szCs w:val="20"/>
          <w:shd w:val="clear" w:color="auto" w:fill="FFFFFF"/>
        </w:rPr>
        <w:t>Biomarkers</w:t>
      </w:r>
      <w:r w:rsidRPr="00A729F7">
        <w:rPr>
          <w:rStyle w:val="mixed-citation"/>
          <w:rFonts w:ascii="Times New Roman" w:hAnsi="Times New Roman" w:cs="Times New Roman"/>
          <w:color w:val="212121"/>
          <w:sz w:val="20"/>
          <w:szCs w:val="20"/>
          <w:shd w:val="clear" w:color="auto" w:fill="FFFFFF"/>
        </w:rPr>
        <w:t> 2010, </w:t>
      </w:r>
      <w:r w:rsidRPr="00A729F7">
        <w:rPr>
          <w:rStyle w:val="ref-vol"/>
          <w:rFonts w:ascii="Times New Roman" w:hAnsi="Times New Roman"/>
          <w:color w:val="212121"/>
          <w:sz w:val="20"/>
          <w:szCs w:val="20"/>
          <w:shd w:val="clear" w:color="auto" w:fill="FFFFFF"/>
        </w:rPr>
        <w:t>15</w:t>
      </w:r>
      <w:r w:rsidRPr="00A729F7">
        <w:rPr>
          <w:rStyle w:val="mixed-citation"/>
          <w:rFonts w:ascii="Times New Roman" w:hAnsi="Times New Roman" w:cs="Times New Roman"/>
          <w:color w:val="212121"/>
          <w:sz w:val="20"/>
          <w:szCs w:val="20"/>
          <w:shd w:val="clear" w:color="auto" w:fill="FFFFFF"/>
        </w:rPr>
        <w:t>, 140. [</w:t>
      </w:r>
      <w:hyperlink r:id="rId21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1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79.</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Zhou X., Fragala M. S., Mcelhaney J. E., Kuchel G. A., </w:t>
      </w:r>
      <w:r w:rsidRPr="00A729F7">
        <w:rPr>
          <w:rStyle w:val="ref-journal"/>
          <w:rFonts w:ascii="Times New Roman" w:hAnsi="Times New Roman"/>
          <w:i/>
          <w:iCs/>
          <w:color w:val="212121"/>
          <w:sz w:val="20"/>
          <w:szCs w:val="20"/>
          <w:shd w:val="clear" w:color="auto" w:fill="FFFFFF"/>
        </w:rPr>
        <w:t>Curr. Opin. Clin. Nutr. Metab. Care</w:t>
      </w:r>
      <w:r w:rsidRPr="00A729F7">
        <w:rPr>
          <w:rStyle w:val="mixed-citation"/>
          <w:rFonts w:ascii="Times New Roman" w:hAnsi="Times New Roman" w:cs="Times New Roman"/>
          <w:color w:val="212121"/>
          <w:sz w:val="20"/>
          <w:szCs w:val="20"/>
          <w:shd w:val="clear" w:color="auto" w:fill="FFFFFF"/>
        </w:rPr>
        <w:t> 2010, </w:t>
      </w:r>
      <w:r w:rsidRPr="00A729F7">
        <w:rPr>
          <w:rStyle w:val="ref-vol"/>
          <w:rFonts w:ascii="Times New Roman" w:hAnsi="Times New Roman"/>
          <w:color w:val="212121"/>
          <w:sz w:val="20"/>
          <w:szCs w:val="20"/>
          <w:shd w:val="clear" w:color="auto" w:fill="FFFFFF"/>
        </w:rPr>
        <w:t>13</w:t>
      </w:r>
      <w:r w:rsidRPr="00A729F7">
        <w:rPr>
          <w:rStyle w:val="mixed-citation"/>
          <w:rFonts w:ascii="Times New Roman" w:hAnsi="Times New Roman" w:cs="Times New Roman"/>
          <w:color w:val="212121"/>
          <w:sz w:val="20"/>
          <w:szCs w:val="20"/>
          <w:shd w:val="clear" w:color="auto" w:fill="FFFFFF"/>
        </w:rPr>
        <w:t>, 541. </w:t>
      </w:r>
      <w:r w:rsidRPr="00A729F7">
        <w:rPr>
          <w:rStyle w:val="nowrap"/>
          <w:rFonts w:ascii="Times New Roman" w:hAnsi="Times New Roman"/>
          <w:color w:val="212121"/>
          <w:sz w:val="20"/>
          <w:szCs w:val="20"/>
          <w:shd w:val="clear" w:color="auto" w:fill="FFFFFF"/>
        </w:rPr>
        <w:t>[</w:t>
      </w:r>
      <w:hyperlink r:id="rId213"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1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1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lastRenderedPageBreak/>
        <w:t>80. </w:t>
      </w:r>
      <w:r w:rsidRPr="00A729F7">
        <w:rPr>
          <w:rStyle w:val="mixed-citation"/>
          <w:rFonts w:ascii="Times New Roman" w:hAnsi="Times New Roman" w:cs="Times New Roman"/>
          <w:color w:val="212121"/>
          <w:sz w:val="20"/>
          <w:szCs w:val="20"/>
          <w:shd w:val="clear" w:color="auto" w:fill="FFFFFF"/>
        </w:rPr>
        <w:t>Lee J., Kim J., Han B., Shin S. Y., </w:t>
      </w:r>
      <w:r w:rsidRPr="00A729F7">
        <w:rPr>
          <w:rStyle w:val="ref-journal"/>
          <w:rFonts w:ascii="Times New Roman" w:hAnsi="Times New Roman"/>
          <w:i/>
          <w:iCs/>
          <w:color w:val="212121"/>
          <w:sz w:val="20"/>
          <w:szCs w:val="20"/>
          <w:shd w:val="clear" w:color="auto" w:fill="FFFFFF"/>
        </w:rPr>
        <w:t>Biopreserv. Biobanking</w:t>
      </w:r>
      <w:r w:rsidRPr="00A729F7">
        <w:rPr>
          <w:rStyle w:val="mixed-citation"/>
          <w:rFonts w:ascii="Times New Roman" w:hAnsi="Times New Roman" w:cs="Times New Roman"/>
          <w:color w:val="212121"/>
          <w:sz w:val="20"/>
          <w:szCs w:val="20"/>
          <w:shd w:val="clear" w:color="auto" w:fill="FFFFFF"/>
        </w:rPr>
        <w:t> 2016, </w:t>
      </w:r>
      <w:r w:rsidRPr="00A729F7">
        <w:rPr>
          <w:rStyle w:val="ref-vol"/>
          <w:rFonts w:ascii="Times New Roman" w:hAnsi="Times New Roman"/>
          <w:color w:val="212121"/>
          <w:sz w:val="20"/>
          <w:szCs w:val="20"/>
          <w:shd w:val="clear" w:color="auto" w:fill="FFFFFF"/>
        </w:rPr>
        <w:t>14</w:t>
      </w:r>
      <w:r w:rsidRPr="00A729F7">
        <w:rPr>
          <w:rStyle w:val="mixed-citation"/>
          <w:rFonts w:ascii="Times New Roman" w:hAnsi="Times New Roman" w:cs="Times New Roman"/>
          <w:color w:val="212121"/>
          <w:sz w:val="20"/>
          <w:szCs w:val="20"/>
          <w:shd w:val="clear" w:color="auto" w:fill="FFFFFF"/>
        </w:rPr>
        <w:t>, 51. [</w:t>
      </w:r>
      <w:hyperlink r:id="rId216"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17"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81.</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Panicker G., Meadows K. S., Lee D. R., Nisenbaum R., Unger E. R.,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2007, </w:t>
      </w:r>
      <w:r w:rsidRPr="00A729F7">
        <w:rPr>
          <w:rStyle w:val="ref-vol"/>
          <w:rFonts w:ascii="Times New Roman" w:hAnsi="Times New Roman"/>
          <w:color w:val="212121"/>
          <w:sz w:val="20"/>
          <w:szCs w:val="20"/>
          <w:shd w:val="clear" w:color="auto" w:fill="FFFFFF"/>
        </w:rPr>
        <w:t>37</w:t>
      </w:r>
      <w:r w:rsidRPr="00A729F7">
        <w:rPr>
          <w:rStyle w:val="mixed-citation"/>
          <w:rFonts w:ascii="Times New Roman" w:hAnsi="Times New Roman" w:cs="Times New Roman"/>
          <w:color w:val="212121"/>
          <w:sz w:val="20"/>
          <w:szCs w:val="20"/>
          <w:shd w:val="clear" w:color="auto" w:fill="FFFFFF"/>
        </w:rPr>
        <w:t>, 176. </w:t>
      </w:r>
      <w:r w:rsidRPr="00A729F7">
        <w:rPr>
          <w:rStyle w:val="nowrap"/>
          <w:rFonts w:ascii="Times New Roman" w:hAnsi="Times New Roman"/>
          <w:color w:val="212121"/>
          <w:sz w:val="20"/>
          <w:szCs w:val="20"/>
          <w:shd w:val="clear" w:color="auto" w:fill="FFFFFF"/>
        </w:rPr>
        <w:t>[</w:t>
      </w:r>
      <w:hyperlink r:id="rId218"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19" w:history="1">
        <w:r w:rsidRPr="00A729F7">
          <w:rPr>
            <w:rStyle w:val="Hyperlink"/>
            <w:rFonts w:ascii="Times New Roman" w:hAnsi="Times New Roman"/>
            <w:color w:val="205493"/>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2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82</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Burska A., Boissinot M., Ponchel F., </w:t>
      </w:r>
      <w:r w:rsidRPr="00A729F7">
        <w:rPr>
          <w:rStyle w:val="ref-journal"/>
          <w:rFonts w:ascii="Times New Roman" w:hAnsi="Times New Roman"/>
          <w:i/>
          <w:iCs/>
          <w:color w:val="212121"/>
          <w:sz w:val="20"/>
          <w:szCs w:val="20"/>
          <w:shd w:val="clear" w:color="auto" w:fill="FFFFFF"/>
        </w:rPr>
        <w:t>Mediators Inflammation</w:t>
      </w:r>
      <w:r w:rsidRPr="00A729F7">
        <w:rPr>
          <w:rStyle w:val="mixed-citation"/>
          <w:rFonts w:ascii="Times New Roman" w:hAnsi="Times New Roman" w:cs="Times New Roman"/>
          <w:color w:val="212121"/>
          <w:sz w:val="20"/>
          <w:szCs w:val="20"/>
          <w:shd w:val="clear" w:color="auto" w:fill="FFFFFF"/>
        </w:rPr>
        <w:t> 2014, </w:t>
      </w:r>
      <w:r w:rsidRPr="00A729F7">
        <w:rPr>
          <w:rStyle w:val="ref-vol"/>
          <w:rFonts w:ascii="Times New Roman" w:hAnsi="Times New Roman"/>
          <w:color w:val="212121"/>
          <w:sz w:val="20"/>
          <w:szCs w:val="20"/>
          <w:shd w:val="clear" w:color="auto" w:fill="FFFFFF"/>
        </w:rPr>
        <w:t>2014</w:t>
      </w:r>
      <w:r w:rsidRPr="00A729F7">
        <w:rPr>
          <w:rStyle w:val="mixed-citation"/>
          <w:rFonts w:ascii="Times New Roman" w:hAnsi="Times New Roman" w:cs="Times New Roman"/>
          <w:color w:val="212121"/>
          <w:sz w:val="20"/>
          <w:szCs w:val="20"/>
          <w:shd w:val="clear" w:color="auto" w:fill="FFFFFF"/>
        </w:rPr>
        <w:t>, 545493. </w:t>
      </w:r>
      <w:r w:rsidRPr="00A729F7">
        <w:rPr>
          <w:rStyle w:val="nowrap"/>
          <w:rFonts w:ascii="Times New Roman" w:hAnsi="Times New Roman"/>
          <w:color w:val="212121"/>
          <w:sz w:val="20"/>
          <w:szCs w:val="20"/>
          <w:shd w:val="clear" w:color="auto" w:fill="FFFFFF"/>
        </w:rPr>
        <w:t>[</w:t>
      </w:r>
      <w:hyperlink r:id="rId221"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2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2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83</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Cohen L., Keegan A., Melanson S. E. F., Walt D. R., </w:t>
      </w:r>
      <w:r w:rsidRPr="00A729F7">
        <w:rPr>
          <w:rStyle w:val="ref-journal"/>
          <w:rFonts w:ascii="Times New Roman" w:hAnsi="Times New Roman"/>
          <w:i/>
          <w:iCs/>
          <w:color w:val="212121"/>
          <w:sz w:val="20"/>
          <w:szCs w:val="20"/>
          <w:shd w:val="clear" w:color="auto" w:fill="FFFFFF"/>
        </w:rPr>
        <w:t>Clin. Biochem.</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65</w:t>
      </w:r>
      <w:r w:rsidRPr="00A729F7">
        <w:rPr>
          <w:rStyle w:val="mixed-citation"/>
          <w:rFonts w:ascii="Times New Roman" w:hAnsi="Times New Roman" w:cs="Times New Roman"/>
          <w:color w:val="212121"/>
          <w:sz w:val="20"/>
          <w:szCs w:val="20"/>
          <w:shd w:val="clear" w:color="auto" w:fill="FFFFFF"/>
        </w:rPr>
        <w:t>, 38. [</w:t>
      </w:r>
      <w:hyperlink r:id="rId22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2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84. </w:t>
      </w:r>
      <w:r w:rsidRPr="00A729F7">
        <w:rPr>
          <w:rStyle w:val="mixed-citation"/>
          <w:rFonts w:ascii="Times New Roman" w:hAnsi="Times New Roman" w:cs="Times New Roman"/>
          <w:color w:val="212121"/>
          <w:sz w:val="20"/>
          <w:szCs w:val="20"/>
          <w:shd w:val="clear" w:color="auto" w:fill="FFFFFF"/>
        </w:rPr>
        <w:t>Aziz N., Detels R., Quint J. J., Li Q., Gjertson D. W., Butch A. W.,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2016, </w:t>
      </w:r>
      <w:r w:rsidRPr="00A729F7">
        <w:rPr>
          <w:rStyle w:val="ref-vol"/>
          <w:rFonts w:ascii="Times New Roman" w:hAnsi="Times New Roman"/>
          <w:color w:val="212121"/>
          <w:sz w:val="20"/>
          <w:szCs w:val="20"/>
          <w:shd w:val="clear" w:color="auto" w:fill="FFFFFF"/>
        </w:rPr>
        <w:t>84</w:t>
      </w:r>
      <w:r w:rsidRPr="00A729F7">
        <w:rPr>
          <w:rStyle w:val="mixed-citation"/>
          <w:rFonts w:ascii="Times New Roman" w:hAnsi="Times New Roman" w:cs="Times New Roman"/>
          <w:color w:val="212121"/>
          <w:sz w:val="20"/>
          <w:szCs w:val="20"/>
          <w:shd w:val="clear" w:color="auto" w:fill="FFFFFF"/>
        </w:rPr>
        <w:t>, 17. </w:t>
      </w:r>
      <w:r w:rsidRPr="00A729F7">
        <w:rPr>
          <w:rStyle w:val="nowrap"/>
          <w:rFonts w:ascii="Times New Roman" w:hAnsi="Times New Roman"/>
          <w:color w:val="212121"/>
          <w:sz w:val="20"/>
          <w:szCs w:val="20"/>
          <w:shd w:val="clear" w:color="auto" w:fill="FFFFFF"/>
        </w:rPr>
        <w:t>[</w:t>
      </w:r>
      <w:hyperlink r:id="rId226"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2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2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85</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Aziz N., Irwin M. R., Dickerson S. S., Butch A. W., </w:t>
      </w:r>
      <w:r w:rsidRPr="00A729F7">
        <w:rPr>
          <w:rStyle w:val="ref-journal"/>
          <w:rFonts w:ascii="Times New Roman" w:hAnsi="Times New Roman"/>
          <w:i/>
          <w:iCs/>
          <w:color w:val="212121"/>
          <w:sz w:val="20"/>
          <w:szCs w:val="20"/>
          <w:shd w:val="clear" w:color="auto" w:fill="FFFFFF"/>
        </w:rPr>
        <w:t>Clin. Chem.</w:t>
      </w:r>
      <w:r w:rsidRPr="00A729F7">
        <w:rPr>
          <w:rStyle w:val="mixed-citation"/>
          <w:rFonts w:ascii="Times New Roman" w:hAnsi="Times New Roman" w:cs="Times New Roman"/>
          <w:color w:val="212121"/>
          <w:sz w:val="20"/>
          <w:szCs w:val="20"/>
          <w:shd w:val="clear" w:color="auto" w:fill="FFFFFF"/>
        </w:rPr>
        <w:t> 2004, </w:t>
      </w:r>
      <w:r w:rsidRPr="00A729F7">
        <w:rPr>
          <w:rStyle w:val="ref-vol"/>
          <w:rFonts w:ascii="Times New Roman" w:hAnsi="Times New Roman"/>
          <w:color w:val="212121"/>
          <w:sz w:val="20"/>
          <w:szCs w:val="20"/>
          <w:shd w:val="clear" w:color="auto" w:fill="FFFFFF"/>
        </w:rPr>
        <w:t>50</w:t>
      </w:r>
      <w:r w:rsidRPr="00A729F7">
        <w:rPr>
          <w:rStyle w:val="mixed-citation"/>
          <w:rFonts w:ascii="Times New Roman" w:hAnsi="Times New Roman" w:cs="Times New Roman"/>
          <w:color w:val="212121"/>
          <w:sz w:val="20"/>
          <w:szCs w:val="20"/>
          <w:shd w:val="clear" w:color="auto" w:fill="FFFFFF"/>
        </w:rPr>
        <w:t>, 2215. [</w:t>
      </w:r>
      <w:hyperlink r:id="rId22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3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86</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Friebe A., Volk H.‐D., </w:t>
      </w:r>
      <w:r w:rsidRPr="00A729F7">
        <w:rPr>
          <w:rStyle w:val="ref-journal"/>
          <w:rFonts w:ascii="Times New Roman" w:hAnsi="Times New Roman"/>
          <w:i/>
          <w:iCs/>
          <w:color w:val="212121"/>
          <w:sz w:val="20"/>
          <w:szCs w:val="20"/>
          <w:shd w:val="clear" w:color="auto" w:fill="FFFFFF"/>
        </w:rPr>
        <w:t>Arch. Pathol. Lab. Med.</w:t>
      </w:r>
      <w:r w:rsidRPr="00A729F7">
        <w:rPr>
          <w:rStyle w:val="mixed-citation"/>
          <w:rFonts w:ascii="Times New Roman" w:hAnsi="Times New Roman" w:cs="Times New Roman"/>
          <w:color w:val="212121"/>
          <w:sz w:val="20"/>
          <w:szCs w:val="20"/>
          <w:shd w:val="clear" w:color="auto" w:fill="FFFFFF"/>
        </w:rPr>
        <w:t> 2008, </w:t>
      </w:r>
      <w:r w:rsidRPr="00A729F7">
        <w:rPr>
          <w:rStyle w:val="ref-vol"/>
          <w:rFonts w:ascii="Times New Roman" w:hAnsi="Times New Roman"/>
          <w:color w:val="212121"/>
          <w:sz w:val="20"/>
          <w:szCs w:val="20"/>
          <w:shd w:val="clear" w:color="auto" w:fill="FFFFFF"/>
        </w:rPr>
        <w:t>132</w:t>
      </w:r>
      <w:r w:rsidRPr="00A729F7">
        <w:rPr>
          <w:rStyle w:val="mixed-citation"/>
          <w:rFonts w:ascii="Times New Roman" w:hAnsi="Times New Roman" w:cs="Times New Roman"/>
          <w:color w:val="212121"/>
          <w:sz w:val="20"/>
          <w:szCs w:val="20"/>
          <w:shd w:val="clear" w:color="auto" w:fill="FFFFFF"/>
        </w:rPr>
        <w:t>, 1802. [</w:t>
      </w:r>
      <w:hyperlink r:id="rId23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3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87. Biancotto A., Feng X., Langweiler M., Young N. S., Mccoy J. P., </w:t>
      </w:r>
      <w:r w:rsidRPr="00A729F7">
        <w:rPr>
          <w:rFonts w:ascii="Times New Roman" w:hAnsi="Times New Roman" w:cs="Times New Roman"/>
          <w:i/>
          <w:iCs/>
          <w:color w:val="212121"/>
          <w:sz w:val="20"/>
          <w:szCs w:val="20"/>
        </w:rPr>
        <w:t>Cytokine</w:t>
      </w:r>
      <w:r w:rsidRPr="00A729F7">
        <w:rPr>
          <w:rFonts w:ascii="Times New Roman" w:hAnsi="Times New Roman" w:cs="Times New Roman"/>
          <w:color w:val="212121"/>
          <w:sz w:val="20"/>
          <w:szCs w:val="20"/>
        </w:rPr>
        <w:t> 2012, 60, 438. [</w:t>
      </w:r>
      <w:hyperlink r:id="rId233"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234"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235"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88. Rosenberghasson Y., Hansmann L., Liedtke M., Herschmann I., Maecker H. T., </w:t>
      </w:r>
      <w:r w:rsidRPr="00A729F7">
        <w:rPr>
          <w:rFonts w:ascii="Times New Roman" w:hAnsi="Times New Roman" w:cs="Times New Roman"/>
          <w:i/>
          <w:iCs/>
          <w:color w:val="212121"/>
          <w:sz w:val="20"/>
          <w:szCs w:val="20"/>
        </w:rPr>
        <w:t>Immunol. Res.</w:t>
      </w:r>
      <w:r w:rsidRPr="00A729F7">
        <w:rPr>
          <w:rFonts w:ascii="Times New Roman" w:hAnsi="Times New Roman" w:cs="Times New Roman"/>
          <w:color w:val="212121"/>
          <w:sz w:val="20"/>
          <w:szCs w:val="20"/>
        </w:rPr>
        <w:t> 2014, 58, 224. [</w:t>
      </w:r>
      <w:hyperlink r:id="rId236" w:history="1">
        <w:r w:rsidRPr="00A729F7">
          <w:rPr>
            <w:rFonts w:ascii="Times New Roman" w:hAnsi="Times New Roman" w:cs="Times New Roman"/>
            <w:color w:val="376FAA"/>
            <w:sz w:val="20"/>
            <w:szCs w:val="20"/>
            <w:u w:val="single"/>
          </w:rPr>
          <w:t>PMC free article</w:t>
        </w:r>
      </w:hyperlink>
      <w:r w:rsidRPr="00A729F7">
        <w:rPr>
          <w:rFonts w:ascii="Times New Roman" w:hAnsi="Times New Roman" w:cs="Times New Roman"/>
          <w:color w:val="212121"/>
          <w:sz w:val="20"/>
          <w:szCs w:val="20"/>
        </w:rPr>
        <w:t>] [</w:t>
      </w:r>
      <w:hyperlink r:id="rId237"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238"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89. </w:t>
      </w:r>
      <w:r w:rsidRPr="00A729F7">
        <w:rPr>
          <w:rStyle w:val="mixed-citation"/>
          <w:rFonts w:ascii="Times New Roman" w:hAnsi="Times New Roman" w:cs="Times New Roman"/>
          <w:color w:val="212121"/>
          <w:sz w:val="20"/>
          <w:szCs w:val="20"/>
          <w:shd w:val="clear" w:color="auto" w:fill="FFFFFF"/>
        </w:rPr>
        <w:t>Friebe A., Volk H., </w:t>
      </w:r>
      <w:r w:rsidRPr="00A729F7">
        <w:rPr>
          <w:rStyle w:val="ref-journal"/>
          <w:rFonts w:ascii="Times New Roman" w:hAnsi="Times New Roman"/>
          <w:i/>
          <w:iCs/>
          <w:color w:val="212121"/>
          <w:sz w:val="20"/>
          <w:szCs w:val="20"/>
          <w:shd w:val="clear" w:color="auto" w:fill="FFFFFF"/>
        </w:rPr>
        <w:t>Arch. Pathol. Lab. Med.</w:t>
      </w:r>
      <w:r w:rsidRPr="00A729F7">
        <w:rPr>
          <w:rStyle w:val="mixed-citation"/>
          <w:rFonts w:ascii="Times New Roman" w:hAnsi="Times New Roman" w:cs="Times New Roman"/>
          <w:color w:val="212121"/>
          <w:sz w:val="20"/>
          <w:szCs w:val="20"/>
          <w:shd w:val="clear" w:color="auto" w:fill="FFFFFF"/>
        </w:rPr>
        <w:t> 2009, </w:t>
      </w:r>
      <w:r w:rsidRPr="00A729F7">
        <w:rPr>
          <w:rStyle w:val="ref-vol"/>
          <w:rFonts w:ascii="Times New Roman" w:hAnsi="Times New Roman"/>
          <w:color w:val="212121"/>
          <w:sz w:val="20"/>
          <w:szCs w:val="20"/>
          <w:shd w:val="clear" w:color="auto" w:fill="FFFFFF"/>
        </w:rPr>
        <w:t>132</w:t>
      </w:r>
      <w:r w:rsidRPr="00A729F7">
        <w:rPr>
          <w:rStyle w:val="mixed-citation"/>
          <w:rFonts w:ascii="Times New Roman" w:hAnsi="Times New Roman" w:cs="Times New Roman"/>
          <w:color w:val="212121"/>
          <w:sz w:val="20"/>
          <w:szCs w:val="20"/>
          <w:shd w:val="clear" w:color="auto" w:fill="FFFFFF"/>
        </w:rPr>
        <w:t>, 1802. [</w:t>
      </w:r>
      <w:hyperlink r:id="rId23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4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shd w:val="clear" w:color="auto" w:fill="FFFFFF"/>
        </w:rPr>
        <w:t xml:space="preserve"> 89 </w:t>
      </w:r>
      <w:r w:rsidRPr="00A729F7">
        <w:rPr>
          <w:rStyle w:val="mixed-citation"/>
          <w:rFonts w:ascii="Times New Roman" w:hAnsi="Times New Roman" w:cs="Times New Roman"/>
          <w:color w:val="212121"/>
          <w:sz w:val="20"/>
          <w:szCs w:val="20"/>
          <w:shd w:val="clear" w:color="auto" w:fill="FFFFFF"/>
        </w:rPr>
        <w:t>Friebe A., Volk H., </w:t>
      </w:r>
      <w:r w:rsidRPr="00A729F7">
        <w:rPr>
          <w:rStyle w:val="ref-journal"/>
          <w:rFonts w:ascii="Times New Roman" w:hAnsi="Times New Roman"/>
          <w:i/>
          <w:iCs/>
          <w:color w:val="212121"/>
          <w:sz w:val="20"/>
          <w:szCs w:val="20"/>
          <w:shd w:val="clear" w:color="auto" w:fill="FFFFFF"/>
        </w:rPr>
        <w:t>Arch. Pathol. Lab. Med.</w:t>
      </w:r>
      <w:r w:rsidRPr="00A729F7">
        <w:rPr>
          <w:rStyle w:val="mixed-citation"/>
          <w:rFonts w:ascii="Times New Roman" w:hAnsi="Times New Roman" w:cs="Times New Roman"/>
          <w:color w:val="212121"/>
          <w:sz w:val="20"/>
          <w:szCs w:val="20"/>
          <w:shd w:val="clear" w:color="auto" w:fill="FFFFFF"/>
        </w:rPr>
        <w:t> 2009, </w:t>
      </w:r>
      <w:r w:rsidRPr="00A729F7">
        <w:rPr>
          <w:rStyle w:val="ref-vol"/>
          <w:rFonts w:ascii="Times New Roman" w:hAnsi="Times New Roman"/>
          <w:color w:val="212121"/>
          <w:sz w:val="20"/>
          <w:szCs w:val="20"/>
          <w:shd w:val="clear" w:color="auto" w:fill="FFFFFF"/>
        </w:rPr>
        <w:t>132</w:t>
      </w:r>
      <w:r w:rsidRPr="00A729F7">
        <w:rPr>
          <w:rStyle w:val="mixed-citation"/>
          <w:rFonts w:ascii="Times New Roman" w:hAnsi="Times New Roman" w:cs="Times New Roman"/>
          <w:color w:val="212121"/>
          <w:sz w:val="20"/>
          <w:szCs w:val="20"/>
          <w:shd w:val="clear" w:color="auto" w:fill="FFFFFF"/>
        </w:rPr>
        <w:t>, 1802. [</w:t>
      </w:r>
      <w:hyperlink r:id="rId241"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4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90</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Vincent F. B., Nim H. T., Lee J. P., Morand E. F., Harris J.,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113</w:t>
      </w:r>
      <w:r w:rsidRPr="00A729F7">
        <w:rPr>
          <w:rStyle w:val="mixed-citation"/>
          <w:rFonts w:ascii="Times New Roman" w:hAnsi="Times New Roman" w:cs="Times New Roman"/>
          <w:color w:val="212121"/>
          <w:sz w:val="20"/>
          <w:szCs w:val="20"/>
          <w:shd w:val="clear" w:color="auto" w:fill="FFFFFF"/>
        </w:rPr>
        <w:t>, 453. [</w:t>
      </w:r>
      <w:hyperlink r:id="rId24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4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91</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Valaperti A., Bezel P., Vonoweisenring M., Franzen D., Steiner U. C.,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2019, </w:t>
      </w:r>
      <w:r w:rsidRPr="00A729F7">
        <w:rPr>
          <w:rStyle w:val="ref-vol"/>
          <w:rFonts w:ascii="Times New Roman" w:hAnsi="Times New Roman"/>
          <w:color w:val="212121"/>
          <w:sz w:val="20"/>
          <w:szCs w:val="20"/>
          <w:shd w:val="clear" w:color="auto" w:fill="FFFFFF"/>
        </w:rPr>
        <w:t>123</w:t>
      </w:r>
      <w:r w:rsidRPr="00A729F7">
        <w:rPr>
          <w:rStyle w:val="mixed-citation"/>
          <w:rFonts w:ascii="Times New Roman" w:hAnsi="Times New Roman" w:cs="Times New Roman"/>
          <w:color w:val="212121"/>
          <w:sz w:val="20"/>
          <w:szCs w:val="20"/>
          <w:shd w:val="clear" w:color="auto" w:fill="FFFFFF"/>
        </w:rPr>
        <w:t>, 154768. [</w:t>
      </w:r>
      <w:hyperlink r:id="rId245"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46" w:tgtFrame="_blank" w:history="1">
        <w:r w:rsidRPr="00A729F7">
          <w:rPr>
            <w:rStyle w:val="Hyperlink"/>
            <w:rFonts w:ascii="Times New Roman" w:hAnsi="Times New Roman"/>
            <w:color w:val="205493"/>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92.</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Simpson S., Kaislasuo J., Guller S., Pal L.,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2020, </w:t>
      </w:r>
      <w:r w:rsidRPr="00A729F7">
        <w:rPr>
          <w:rStyle w:val="ref-vol"/>
          <w:rFonts w:ascii="Times New Roman" w:hAnsi="Times New Roman"/>
          <w:color w:val="212121"/>
          <w:sz w:val="20"/>
          <w:szCs w:val="20"/>
          <w:shd w:val="clear" w:color="auto" w:fill="FFFFFF"/>
        </w:rPr>
        <w:t>125</w:t>
      </w:r>
      <w:r w:rsidRPr="00A729F7">
        <w:rPr>
          <w:rStyle w:val="mixed-citation"/>
          <w:rFonts w:ascii="Times New Roman" w:hAnsi="Times New Roman" w:cs="Times New Roman"/>
          <w:color w:val="212121"/>
          <w:sz w:val="20"/>
          <w:szCs w:val="20"/>
          <w:shd w:val="clear" w:color="auto" w:fill="FFFFFF"/>
        </w:rPr>
        <w:t>, 154829. [</w:t>
      </w:r>
      <w:hyperlink r:id="rId24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4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color w:val="212121"/>
          <w:sz w:val="20"/>
          <w:szCs w:val="20"/>
        </w:rPr>
        <w:t>93.</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Keustermans G., Hoeks S. B. E. A., Meerding J., Prakken B. J., De Jager W., </w:t>
      </w:r>
      <w:r w:rsidRPr="00A729F7">
        <w:rPr>
          <w:rStyle w:val="ref-journal"/>
          <w:rFonts w:ascii="Times New Roman" w:hAnsi="Times New Roman"/>
          <w:i/>
          <w:iCs/>
          <w:color w:val="212121"/>
          <w:sz w:val="20"/>
          <w:szCs w:val="20"/>
          <w:shd w:val="clear" w:color="auto" w:fill="FFFFFF"/>
        </w:rPr>
        <w:t>Methods</w:t>
      </w:r>
      <w:r w:rsidRPr="00A729F7">
        <w:rPr>
          <w:rStyle w:val="mixed-citation"/>
          <w:rFonts w:ascii="Times New Roman" w:hAnsi="Times New Roman" w:cs="Times New Roman"/>
          <w:color w:val="212121"/>
          <w:sz w:val="20"/>
          <w:szCs w:val="20"/>
          <w:shd w:val="clear" w:color="auto" w:fill="FFFFFF"/>
        </w:rPr>
        <w:t> 2013, </w:t>
      </w:r>
      <w:r w:rsidRPr="00A729F7">
        <w:rPr>
          <w:rStyle w:val="ref-vol"/>
          <w:rFonts w:ascii="Times New Roman" w:hAnsi="Times New Roman"/>
          <w:color w:val="212121"/>
          <w:sz w:val="20"/>
          <w:szCs w:val="20"/>
          <w:shd w:val="clear" w:color="auto" w:fill="FFFFFF"/>
        </w:rPr>
        <w:t>61</w:t>
      </w:r>
      <w:r w:rsidRPr="00A729F7">
        <w:rPr>
          <w:rStyle w:val="mixed-citation"/>
          <w:rFonts w:ascii="Times New Roman" w:hAnsi="Times New Roman" w:cs="Times New Roman"/>
          <w:color w:val="212121"/>
          <w:sz w:val="20"/>
          <w:szCs w:val="20"/>
          <w:shd w:val="clear" w:color="auto" w:fill="FFFFFF"/>
        </w:rPr>
        <w:t>, 10. [</w:t>
      </w:r>
      <w:hyperlink r:id="rId249"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50"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sz w:val="20"/>
          <w:szCs w:val="20"/>
        </w:rPr>
        <w:t>94</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Lee J., Kim S. Y., Shin S., </w:t>
      </w:r>
      <w:r w:rsidRPr="00A729F7">
        <w:rPr>
          <w:rStyle w:val="ref-journal"/>
          <w:rFonts w:ascii="Times New Roman" w:hAnsi="Times New Roman"/>
          <w:i/>
          <w:iCs/>
          <w:color w:val="212121"/>
          <w:sz w:val="20"/>
          <w:szCs w:val="20"/>
          <w:shd w:val="clear" w:color="auto" w:fill="FFFFFF"/>
        </w:rPr>
        <w:t>Osong Public Health Res. Perspect.</w:t>
      </w:r>
      <w:r w:rsidRPr="00A729F7">
        <w:rPr>
          <w:rStyle w:val="mixed-citation"/>
          <w:rFonts w:ascii="Times New Roman" w:hAnsi="Times New Roman" w:cs="Times New Roman"/>
          <w:color w:val="212121"/>
          <w:sz w:val="20"/>
          <w:szCs w:val="20"/>
          <w:shd w:val="clear" w:color="auto" w:fill="FFFFFF"/>
        </w:rPr>
        <w:t> 2015, </w:t>
      </w:r>
      <w:r w:rsidRPr="00A729F7">
        <w:rPr>
          <w:rStyle w:val="ref-vol"/>
          <w:rFonts w:ascii="Times New Roman" w:hAnsi="Times New Roman"/>
          <w:color w:val="212121"/>
          <w:sz w:val="20"/>
          <w:szCs w:val="20"/>
          <w:shd w:val="clear" w:color="auto" w:fill="FFFFFF"/>
        </w:rPr>
        <w:t>6</w:t>
      </w:r>
      <w:r w:rsidRPr="00A729F7">
        <w:rPr>
          <w:rStyle w:val="mixed-citation"/>
          <w:rFonts w:ascii="Times New Roman" w:hAnsi="Times New Roman" w:cs="Times New Roman"/>
          <w:color w:val="212121"/>
          <w:sz w:val="20"/>
          <w:szCs w:val="20"/>
          <w:shd w:val="clear" w:color="auto" w:fill="FFFFFF"/>
        </w:rPr>
        <w:t>, 357. </w:t>
      </w:r>
      <w:r w:rsidRPr="00A729F7">
        <w:rPr>
          <w:rStyle w:val="nowrap"/>
          <w:rFonts w:ascii="Times New Roman" w:hAnsi="Times New Roman"/>
          <w:color w:val="212121"/>
          <w:sz w:val="20"/>
          <w:szCs w:val="20"/>
          <w:shd w:val="clear" w:color="auto" w:fill="FFFFFF"/>
        </w:rPr>
        <w:t>[</w:t>
      </w:r>
      <w:hyperlink r:id="rId251"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5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53"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Style w:val="nowrap"/>
          <w:rFonts w:ascii="Times New Roman" w:hAnsi="Times New Roman"/>
          <w:color w:val="212121"/>
          <w:sz w:val="20"/>
          <w:szCs w:val="20"/>
          <w:shd w:val="clear" w:color="auto" w:fill="FFFFFF"/>
        </w:rPr>
      </w:pPr>
      <w:r w:rsidRPr="00A729F7">
        <w:rPr>
          <w:rStyle w:val="nowrap"/>
          <w:rFonts w:ascii="Times New Roman" w:hAnsi="Times New Roman"/>
          <w:color w:val="212121"/>
          <w:sz w:val="20"/>
          <w:szCs w:val="20"/>
          <w:shd w:val="clear" w:color="auto" w:fill="FFFFFF"/>
        </w:rPr>
        <w:t>95.</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Zhou X., Fragala M. S., Mcelhaney J. E., Kuchel G. A., </w:t>
      </w:r>
      <w:r w:rsidRPr="00A729F7">
        <w:rPr>
          <w:rStyle w:val="ref-journal"/>
          <w:rFonts w:ascii="Times New Roman" w:hAnsi="Times New Roman"/>
          <w:i/>
          <w:iCs/>
          <w:color w:val="212121"/>
          <w:sz w:val="20"/>
          <w:szCs w:val="20"/>
          <w:shd w:val="clear" w:color="auto" w:fill="FFFFFF"/>
        </w:rPr>
        <w:t>Curr. Opin. Clin. Nutr. Metab. Care</w:t>
      </w:r>
      <w:r w:rsidRPr="00A729F7">
        <w:rPr>
          <w:rStyle w:val="mixed-citation"/>
          <w:rFonts w:ascii="Times New Roman" w:hAnsi="Times New Roman" w:cs="Times New Roman"/>
          <w:color w:val="212121"/>
          <w:sz w:val="20"/>
          <w:szCs w:val="20"/>
          <w:shd w:val="clear" w:color="auto" w:fill="FFFFFF"/>
        </w:rPr>
        <w:t> 2010, </w:t>
      </w:r>
      <w:r w:rsidRPr="00A729F7">
        <w:rPr>
          <w:rStyle w:val="ref-vol"/>
          <w:rFonts w:ascii="Times New Roman" w:hAnsi="Times New Roman"/>
          <w:color w:val="212121"/>
          <w:sz w:val="20"/>
          <w:szCs w:val="20"/>
          <w:shd w:val="clear" w:color="auto" w:fill="FFFFFF"/>
        </w:rPr>
        <w:t>13</w:t>
      </w:r>
      <w:r w:rsidRPr="00A729F7">
        <w:rPr>
          <w:rStyle w:val="mixed-citation"/>
          <w:rFonts w:ascii="Times New Roman" w:hAnsi="Times New Roman" w:cs="Times New Roman"/>
          <w:color w:val="212121"/>
          <w:sz w:val="20"/>
          <w:szCs w:val="20"/>
          <w:shd w:val="clear" w:color="auto" w:fill="FFFFFF"/>
        </w:rPr>
        <w:t>, 541. </w:t>
      </w:r>
      <w:r w:rsidRPr="00A729F7">
        <w:rPr>
          <w:rStyle w:val="nowrap"/>
          <w:rFonts w:ascii="Times New Roman" w:hAnsi="Times New Roman"/>
          <w:color w:val="212121"/>
          <w:sz w:val="20"/>
          <w:szCs w:val="20"/>
          <w:shd w:val="clear" w:color="auto" w:fill="FFFFFF"/>
        </w:rPr>
        <w:t>[</w:t>
      </w:r>
      <w:hyperlink r:id="rId254"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shd w:val="clear" w:color="auto" w:fill="FFFFFF"/>
        </w:rPr>
        <w:t>]</w:t>
      </w:r>
      <w:r w:rsidRPr="00A729F7">
        <w:rPr>
          <w:rStyle w:val="mixed-citation"/>
          <w:rFonts w:ascii="Times New Roman" w:hAnsi="Times New Roman" w:cs="Times New Roman"/>
          <w:color w:val="212121"/>
          <w:sz w:val="20"/>
          <w:szCs w:val="20"/>
          <w:shd w:val="clear" w:color="auto" w:fill="FFFFFF"/>
        </w:rPr>
        <w:t> [</w:t>
      </w:r>
      <w:hyperlink r:id="rId255" w:history="1">
        <w:r w:rsidRPr="00A729F7">
          <w:rPr>
            <w:rStyle w:val="Hyperlink"/>
            <w:rFonts w:ascii="Times New Roman" w:hAnsi="Times New Roman"/>
            <w:color w:val="205493"/>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56"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96.</w:t>
      </w:r>
      <w:r w:rsidRPr="00A729F7">
        <w:rPr>
          <w:rFonts w:ascii="Times New Roman" w:hAnsi="Times New Roman" w:cs="Times New Roman"/>
          <w:color w:val="212121"/>
          <w:sz w:val="20"/>
          <w:szCs w:val="20"/>
          <w:shd w:val="clear" w:color="auto" w:fill="FFFFFF"/>
        </w:rPr>
        <w:t> </w:t>
      </w:r>
      <w:r w:rsidRPr="00A729F7">
        <w:rPr>
          <w:rStyle w:val="mixed-citation"/>
          <w:rFonts w:ascii="Times New Roman" w:hAnsi="Times New Roman" w:cs="Times New Roman"/>
          <w:color w:val="212121"/>
          <w:sz w:val="20"/>
          <w:szCs w:val="20"/>
          <w:shd w:val="clear" w:color="auto" w:fill="FFFFFF"/>
        </w:rPr>
        <w:t>Henno L. T., Storjord E., Christiansen D., Bergseth G., Ludviksen J. K., Fure H., Barene S., Nielsen E. W., Mollnes T. E., Brekke O., </w:t>
      </w:r>
      <w:r w:rsidRPr="00A729F7">
        <w:rPr>
          <w:rStyle w:val="ref-journal"/>
          <w:rFonts w:ascii="Times New Roman" w:hAnsi="Times New Roman"/>
          <w:i/>
          <w:iCs/>
          <w:color w:val="212121"/>
          <w:sz w:val="20"/>
          <w:szCs w:val="20"/>
          <w:shd w:val="clear" w:color="auto" w:fill="FFFFFF"/>
        </w:rPr>
        <w:t>Cytokine</w:t>
      </w:r>
      <w:r w:rsidRPr="00A729F7">
        <w:rPr>
          <w:rStyle w:val="mixed-citation"/>
          <w:rFonts w:ascii="Times New Roman" w:hAnsi="Times New Roman" w:cs="Times New Roman"/>
          <w:color w:val="212121"/>
          <w:sz w:val="20"/>
          <w:szCs w:val="20"/>
          <w:shd w:val="clear" w:color="auto" w:fill="FFFFFF"/>
        </w:rPr>
        <w:t> 2017, </w:t>
      </w:r>
      <w:r w:rsidRPr="00A729F7">
        <w:rPr>
          <w:rStyle w:val="ref-vol"/>
          <w:rFonts w:ascii="Times New Roman" w:hAnsi="Times New Roman"/>
          <w:color w:val="212121"/>
          <w:sz w:val="20"/>
          <w:szCs w:val="20"/>
          <w:shd w:val="clear" w:color="auto" w:fill="FFFFFF"/>
        </w:rPr>
        <w:t>97</w:t>
      </w:r>
      <w:r w:rsidRPr="00A729F7">
        <w:rPr>
          <w:rStyle w:val="mixed-citation"/>
          <w:rFonts w:ascii="Times New Roman" w:hAnsi="Times New Roman" w:cs="Times New Roman"/>
          <w:color w:val="212121"/>
          <w:sz w:val="20"/>
          <w:szCs w:val="20"/>
          <w:shd w:val="clear" w:color="auto" w:fill="FFFFFF"/>
        </w:rPr>
        <w:t>, 86. [</w:t>
      </w:r>
      <w:hyperlink r:id="rId257"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shd w:val="clear" w:color="auto" w:fill="FFFFFF"/>
        </w:rPr>
        <w:t>] </w:t>
      </w:r>
      <w:r w:rsidRPr="00A729F7">
        <w:rPr>
          <w:rStyle w:val="nowrap"/>
          <w:rFonts w:ascii="Times New Roman" w:hAnsi="Times New Roman"/>
          <w:color w:val="212121"/>
          <w:sz w:val="20"/>
          <w:szCs w:val="20"/>
          <w:shd w:val="clear" w:color="auto" w:fill="FFFFFF"/>
        </w:rPr>
        <w:t>[</w:t>
      </w:r>
      <w:hyperlink r:id="rId25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shd w:val="clear" w:color="auto" w:fill="FFFFFF"/>
        </w:rPr>
        <w:t>]</w:t>
      </w:r>
      <w:r w:rsidRPr="00A729F7">
        <w:rPr>
          <w:rFonts w:ascii="Times New Roman" w:hAnsi="Times New Roman" w:cs="Times New Roman"/>
          <w:color w:val="212121"/>
          <w:sz w:val="20"/>
          <w:szCs w:val="20"/>
        </w:rPr>
        <w:t> </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rPr>
        <w:t xml:space="preserve">97. </w:t>
      </w:r>
      <w:r w:rsidRPr="00A729F7">
        <w:rPr>
          <w:rFonts w:ascii="Times New Roman" w:hAnsi="Times New Roman" w:cs="Times New Roman"/>
          <w:sz w:val="20"/>
          <w:szCs w:val="20"/>
        </w:rPr>
        <w:t xml:space="preserve"> Onda H, Kasuya H, Takakura K et al. Identification of genes differentially expressed in canine vasospastic cerebral arteries after subarachnoid hemorrhage. J Cereb Blood Flow Metab 1999;19:1279-</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98.  Baekkevold ES, Roussigne M, Yamanaka T et al. Molecular characterization of NF-HEV, a nuclear factor preferentially expressed in human high endothelial venules. Am J Pathol 2003;163:69-79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99. Lingel A, Weiss TM, Niebuhr M, et al. Structure of IL‐33 and its interaction with the ST2 and IL‐1RAcP receptors–insight into heterotrimeric IL‐1 signaling complexes. </w:t>
      </w:r>
      <w:r w:rsidRPr="00A729F7">
        <w:rPr>
          <w:rFonts w:ascii="Times New Roman" w:hAnsi="Times New Roman" w:cs="Times New Roman"/>
          <w:i/>
          <w:iCs/>
          <w:sz w:val="20"/>
          <w:szCs w:val="20"/>
        </w:rPr>
        <w:t>Structure</w:t>
      </w:r>
      <w:r w:rsidRPr="00A729F7">
        <w:rPr>
          <w:rFonts w:ascii="Times New Roman" w:hAnsi="Times New Roman" w:cs="Times New Roman"/>
          <w:sz w:val="20"/>
          <w:szCs w:val="20"/>
        </w:rPr>
        <w:t>. 2009; </w:t>
      </w:r>
      <w:r w:rsidRPr="00A729F7">
        <w:rPr>
          <w:rFonts w:ascii="Times New Roman" w:hAnsi="Times New Roman" w:cs="Times New Roman"/>
          <w:b/>
          <w:bCs/>
          <w:sz w:val="20"/>
          <w:szCs w:val="20"/>
        </w:rPr>
        <w:t>17</w:t>
      </w:r>
      <w:r w:rsidRPr="00A729F7">
        <w:rPr>
          <w:rFonts w:ascii="Times New Roman" w:hAnsi="Times New Roman" w:cs="Times New Roman"/>
          <w:sz w:val="20"/>
          <w:szCs w:val="20"/>
        </w:rPr>
        <w:t>: 1398‐ 1410.</w:t>
      </w:r>
      <w:hyperlink r:id="rId259"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260"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261"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62" w:history="1">
        <w:r w:rsidRPr="00A729F7">
          <w:rPr>
            <w:rStyle w:val="Hyperlink"/>
            <w:rFonts w:ascii="Times New Roman" w:hAnsi="Times New Roman"/>
            <w:sz w:val="20"/>
            <w:szCs w:val="20"/>
          </w:rPr>
          <w:t>Web of Science®</w:t>
        </w:r>
      </w:hyperlink>
      <w:hyperlink r:id="rId263"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100.Liu X, Hammel M, He Y, et al. Structural insights into the interaction of IL‐33 with its receptors. </w:t>
      </w:r>
      <w:r w:rsidRPr="00A729F7">
        <w:rPr>
          <w:rFonts w:ascii="Times New Roman" w:hAnsi="Times New Roman" w:cs="Times New Roman"/>
          <w:i/>
          <w:iCs/>
          <w:sz w:val="20"/>
          <w:szCs w:val="20"/>
        </w:rPr>
        <w:t>Proc Natl Acad Sci U S A</w:t>
      </w:r>
      <w:r w:rsidRPr="00A729F7">
        <w:rPr>
          <w:rFonts w:ascii="Times New Roman" w:hAnsi="Times New Roman" w:cs="Times New Roman"/>
          <w:sz w:val="20"/>
          <w:szCs w:val="20"/>
        </w:rPr>
        <w:t>. 2013; </w:t>
      </w:r>
      <w:r w:rsidRPr="00A729F7">
        <w:rPr>
          <w:rFonts w:ascii="Times New Roman" w:hAnsi="Times New Roman" w:cs="Times New Roman"/>
          <w:b/>
          <w:bCs/>
          <w:sz w:val="20"/>
          <w:szCs w:val="20"/>
        </w:rPr>
        <w:t>110</w:t>
      </w:r>
      <w:r w:rsidRPr="00A729F7">
        <w:rPr>
          <w:rFonts w:ascii="Times New Roman" w:hAnsi="Times New Roman" w:cs="Times New Roman"/>
          <w:sz w:val="20"/>
          <w:szCs w:val="20"/>
        </w:rPr>
        <w:t>: 14918‐ 14923.</w:t>
      </w:r>
      <w:hyperlink r:id="rId264"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265"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266"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67" w:history="1">
        <w:r w:rsidRPr="00A729F7">
          <w:rPr>
            <w:rStyle w:val="Hyperlink"/>
            <w:rFonts w:ascii="Times New Roman" w:hAnsi="Times New Roman"/>
            <w:sz w:val="20"/>
            <w:szCs w:val="20"/>
          </w:rPr>
          <w:t>Web of Science®</w:t>
        </w:r>
      </w:hyperlink>
      <w:hyperlink r:id="rId268"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101. Schmitz J, Owyang A, Oldham E et al. IL-33, an interleukin-1-like cytokine that signals via the IL-1 receptor-related protein ST2 and induces T helper type 2- associated cytokines. Immunity 2005;23:479-90.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102. Dinarello C, Arend W, Sims J, Smith D, Blumberg H, O'Neill L, Goldbach-Mansky R, Pizarro T, Hoffman H, Bufler P, Nold M, Ghezzi P, Mantovani A, Garlanda C, Boraschi D, Rubartelli A, Netea M, van der Meer J, Joosten L, Mandrup-Poulsen T, Donath M, Lewis E, Pfeilschifter J, Martin M, Kracht M, Muehl H, Novick D, Lukic M, Conti B, Solinger A, Kelk P, van de Veerdonk F, Gabel C. IL-1 family nomenclature. Nat Immunol. 2010;11:973. [</w:t>
      </w:r>
      <w:hyperlink r:id="rId269" w:history="1">
        <w:r w:rsidRPr="00A729F7">
          <w:rPr>
            <w:rStyle w:val="Hyperlink"/>
            <w:rFonts w:ascii="Times New Roman" w:hAnsi="Times New Roman"/>
            <w:sz w:val="20"/>
            <w:szCs w:val="20"/>
          </w:rPr>
          <w:t>PMC free article</w:t>
        </w:r>
      </w:hyperlink>
      <w:r w:rsidRPr="00A729F7">
        <w:rPr>
          <w:rFonts w:ascii="Times New Roman" w:hAnsi="Times New Roman" w:cs="Times New Roman"/>
          <w:sz w:val="20"/>
          <w:szCs w:val="20"/>
        </w:rPr>
        <w:t>] [</w:t>
      </w:r>
      <w:hyperlink r:id="rId270"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71"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103. Liew FY, Girard JP, Turnquist HR. Interleukin‐33 in health and disease. </w:t>
      </w:r>
      <w:r w:rsidRPr="00A729F7">
        <w:rPr>
          <w:rFonts w:ascii="Times New Roman" w:hAnsi="Times New Roman" w:cs="Times New Roman"/>
          <w:i/>
          <w:iCs/>
          <w:sz w:val="20"/>
          <w:szCs w:val="20"/>
        </w:rPr>
        <w:t>Nat Rev Immunol</w:t>
      </w:r>
      <w:r w:rsidRPr="00A729F7">
        <w:rPr>
          <w:rFonts w:ascii="Times New Roman" w:hAnsi="Times New Roman" w:cs="Times New Roman"/>
          <w:sz w:val="20"/>
          <w:szCs w:val="20"/>
        </w:rPr>
        <w:t>. 2016; </w:t>
      </w:r>
      <w:r w:rsidRPr="00A729F7">
        <w:rPr>
          <w:rFonts w:ascii="Times New Roman" w:hAnsi="Times New Roman" w:cs="Times New Roman"/>
          <w:b/>
          <w:bCs/>
          <w:sz w:val="20"/>
          <w:szCs w:val="20"/>
        </w:rPr>
        <w:t>16</w:t>
      </w:r>
      <w:r w:rsidRPr="00A729F7">
        <w:rPr>
          <w:rFonts w:ascii="Times New Roman" w:hAnsi="Times New Roman" w:cs="Times New Roman"/>
          <w:sz w:val="20"/>
          <w:szCs w:val="20"/>
        </w:rPr>
        <w:t>: 676‐ 689.</w:t>
      </w:r>
      <w:hyperlink r:id="rId272"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273"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274"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75" w:history="1">
        <w:r w:rsidRPr="00A729F7">
          <w:rPr>
            <w:rStyle w:val="Hyperlink"/>
            <w:rFonts w:ascii="Times New Roman" w:hAnsi="Times New Roman"/>
            <w:sz w:val="20"/>
            <w:szCs w:val="20"/>
          </w:rPr>
          <w:t>Web of Science®</w:t>
        </w:r>
      </w:hyperlink>
      <w:hyperlink r:id="rId27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104. Tsuda H, Komine M, Tominaga SI, Ohtsuki M. Identification of the promoter region of human IL‐33 responsive to induction by IFNgamma. </w:t>
      </w:r>
      <w:r w:rsidRPr="00A729F7">
        <w:rPr>
          <w:rFonts w:ascii="Times New Roman" w:hAnsi="Times New Roman" w:cs="Times New Roman"/>
          <w:i/>
          <w:iCs/>
          <w:sz w:val="20"/>
          <w:szCs w:val="20"/>
        </w:rPr>
        <w:t>J Dermatol Sci</w:t>
      </w:r>
      <w:r w:rsidRPr="00A729F7">
        <w:rPr>
          <w:rFonts w:ascii="Times New Roman" w:hAnsi="Times New Roman" w:cs="Times New Roman"/>
          <w:sz w:val="20"/>
          <w:szCs w:val="20"/>
        </w:rPr>
        <w:t>. 2017; </w:t>
      </w:r>
      <w:r w:rsidRPr="00A729F7">
        <w:rPr>
          <w:rFonts w:ascii="Times New Roman" w:hAnsi="Times New Roman" w:cs="Times New Roman"/>
          <w:b/>
          <w:bCs/>
          <w:sz w:val="20"/>
          <w:szCs w:val="20"/>
        </w:rPr>
        <w:t>85</w:t>
      </w:r>
      <w:r w:rsidRPr="00A729F7">
        <w:rPr>
          <w:rFonts w:ascii="Times New Roman" w:hAnsi="Times New Roman" w:cs="Times New Roman"/>
          <w:sz w:val="20"/>
          <w:szCs w:val="20"/>
        </w:rPr>
        <w:t>: 137‐ 140.</w:t>
      </w:r>
      <w:hyperlink r:id="rId277"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278"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105. Ohno T, Oboki K, Kajiwara N et al. Caspase-1, caspase-8, and calpain are dispensable for IL-33 release by macrophages. J Immunol 2009;183:7890-7.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106. Carriere V, Roussel L, Ortega N et al. IL-33, the IL-1-like cytokine ligand for ST2 receptor, is a chromatinassociated nuclear factor in vivo. Proc Natl Acad Sci U S A 2007;104:282-7.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107. Roussel L, Erard M, Cayrol C, Girard JP. Molecular mimicry between IL-33 and KSHV for attachment to chromatin through the H2A-H2B acidic pocket. EMBO Rep 2008; 9:1006-12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108. Talabot‐Ayer D, Calo N, Vigne S, Lamacchia C, Gabay C, Palmer G. The mouse interleukin (Il)33 gene is expressed in a cell type‐ and stimulus‐dependent manner from two alternative promoters. </w:t>
      </w:r>
      <w:r w:rsidRPr="00A729F7">
        <w:rPr>
          <w:rFonts w:ascii="Times New Roman" w:hAnsi="Times New Roman" w:cs="Times New Roman"/>
          <w:i/>
          <w:iCs/>
          <w:sz w:val="20"/>
          <w:szCs w:val="20"/>
        </w:rPr>
        <w:t>J Leukoc Biol</w:t>
      </w:r>
      <w:r w:rsidRPr="00A729F7">
        <w:rPr>
          <w:rFonts w:ascii="Times New Roman" w:hAnsi="Times New Roman" w:cs="Times New Roman"/>
          <w:sz w:val="20"/>
          <w:szCs w:val="20"/>
        </w:rPr>
        <w:t>. 2012; </w:t>
      </w:r>
      <w:r w:rsidRPr="00A729F7">
        <w:rPr>
          <w:rFonts w:ascii="Times New Roman" w:hAnsi="Times New Roman" w:cs="Times New Roman"/>
          <w:b/>
          <w:bCs/>
          <w:sz w:val="20"/>
          <w:szCs w:val="20"/>
        </w:rPr>
        <w:t>91</w:t>
      </w:r>
      <w:r w:rsidRPr="00A729F7">
        <w:rPr>
          <w:rFonts w:ascii="Times New Roman" w:hAnsi="Times New Roman" w:cs="Times New Roman"/>
          <w:sz w:val="20"/>
          <w:szCs w:val="20"/>
        </w:rPr>
        <w:t>: 119‐ 125.</w:t>
      </w:r>
      <w:hyperlink r:id="rId279" w:history="1">
        <w:r w:rsidRPr="00A729F7">
          <w:rPr>
            <w:rStyle w:val="Hyperlink"/>
            <w:rFonts w:ascii="Times New Roman" w:hAnsi="Times New Roman"/>
            <w:sz w:val="20"/>
            <w:szCs w:val="20"/>
          </w:rPr>
          <w:t>Wiley Online Library</w:t>
        </w:r>
      </w:hyperlink>
      <w:r w:rsidRPr="00A729F7">
        <w:rPr>
          <w:rFonts w:ascii="Times New Roman" w:hAnsi="Times New Roman" w:cs="Times New Roman"/>
          <w:sz w:val="20"/>
          <w:szCs w:val="20"/>
        </w:rPr>
        <w:t> </w:t>
      </w:r>
      <w:hyperlink r:id="rId280"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281"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82" w:history="1">
        <w:r w:rsidRPr="00A729F7">
          <w:rPr>
            <w:rStyle w:val="Hyperlink"/>
            <w:rFonts w:ascii="Times New Roman" w:hAnsi="Times New Roman"/>
            <w:sz w:val="20"/>
            <w:szCs w:val="20"/>
          </w:rPr>
          <w:t>Web of Science®</w:t>
        </w:r>
      </w:hyperlink>
      <w:hyperlink r:id="rId283"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109. Iwahana H, et al. Different promoter usage and multiple transcription initiation sites of the interleukin-1 receptor-related human ST2 gene in UT-7 and TM12 cells. Eur J Biochem. 1999;264:397–406. [</w:t>
      </w:r>
      <w:hyperlink r:id="rId284"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85"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110. Bergers G, Reikerstorfer A, Braselmann S, Graninger P, Busslinger M. Alternative promoter usage of the Fos-responsive gene Fit-1 generates mRNA isoforms coding for either secreted or membrane-bound proteins related to the IL-1 receptor. EMBO J. 1994;13:1176–1188. [</w:t>
      </w:r>
      <w:hyperlink r:id="rId286" w:history="1">
        <w:r w:rsidRPr="00A729F7">
          <w:rPr>
            <w:rStyle w:val="Hyperlink"/>
            <w:rFonts w:ascii="Times New Roman" w:hAnsi="Times New Roman"/>
            <w:sz w:val="20"/>
            <w:szCs w:val="20"/>
          </w:rPr>
          <w:t>PMC free article</w:t>
        </w:r>
      </w:hyperlink>
      <w:r w:rsidRPr="00A729F7">
        <w:rPr>
          <w:rFonts w:ascii="Times New Roman" w:hAnsi="Times New Roman" w:cs="Times New Roman"/>
          <w:sz w:val="20"/>
          <w:szCs w:val="20"/>
        </w:rPr>
        <w:t>] [</w:t>
      </w:r>
      <w:hyperlink r:id="rId287"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88"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111. Thomassen E, et al. Role of cell type-specific promoters in the developmental regulation of T1, an interleukin 1 receptor homologue. Cell Growth Differ. 1995;6:179–184. [</w:t>
      </w:r>
      <w:hyperlink r:id="rId289"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90"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112. Gachter T, Werenskiold AK, Klemenz R. Transcription of the interleukin-1 receptor-related T1 gene is initiated at different promoters in mast cells and fibroblasts. J Biol Chem. 1996;271:124–129. [</w:t>
      </w:r>
      <w:hyperlink r:id="rId291"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92"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113. Tominaga S, et al. Presence and expression of a novel variant form of ST2 gene product in human leukemic cell line UT-7/GM. Biochem Biophys Res Commun. 1999;264:14–18. [</w:t>
      </w:r>
      <w:hyperlink r:id="rId293"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94"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114. Rossler U, et al. Secreted and membrane-bound isoforms of T1, an orphan receptor related to IL-1-binding proteins, are differently expressed in vivo. Dev Biol. 1995;168:86–97. [</w:t>
      </w:r>
      <w:hyperlink r:id="rId295"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9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115. Moro K, Yamada T, Tanabe M, Takeuchi T, Ikawa T, Kawamoto H, Furusawa J, Ohtani M, Fujii H, Koyasu S (2010) Innate production of T(H)2 cytokines by adipose tissue-associated c-Kit(+)Sca-1(+) lymphoid cells. Nature 463:540–544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116. Neill DR, Wong SH, Bellosi A et al (2010) Nuocytes represent a new innate effector leukocyte that mediates type-2 immunity. Nature 464:1367–1370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117. Price AE, Liang HE, Sullivan BM, Reinhardt RL, Eisley CJ, Erle DJ, Locksley RM (2010) Systemically dispersed innate IL-13- expressing cells in type 2 immunity. Proc Natl Acad Sci U S A 107:11489–11494</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118. Kumar S, Tzimas MN, Griswold DE, Young PR. Expression of ST2, an interleukin-1 receptor homologue, is induced by proinflammatory stimuli. Biochem Biophys Res Commun. 1997;235:474–478. [</w:t>
      </w:r>
      <w:hyperlink r:id="rId297"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298"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119. Tago K, et al. Tissue distribution and subcellular localization of a variant form of the human ST2 gene product, ST2V. Biochem Biophys Res Commun. 2001;285:1377–1383. [</w:t>
      </w:r>
      <w:hyperlink r:id="rId299"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00"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120. O’Neill LA. The interleukin-1 receptorToll-like receptor superfamily: 10 years of progress. Immunol Rev 2008; 226:10-8. </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121. Arend WP, Palmer G, Gabay C. IL-1, IL-18, and IL-33 families of cytokines. Immunol Rev 2008;223:20-38.</w:t>
      </w:r>
    </w:p>
    <w:p w:rsidR="00A729F7" w:rsidRPr="00A729F7" w:rsidRDefault="00A729F7" w:rsidP="00A729F7">
      <w:pPr>
        <w:shd w:val="clear" w:color="auto" w:fill="FFFFFF"/>
        <w:spacing w:line="360" w:lineRule="auto"/>
        <w:rPr>
          <w:rStyle w:val="nowrap"/>
          <w:rFonts w:ascii="Times New Roman" w:hAnsi="Times New Roman"/>
          <w:color w:val="212121"/>
          <w:sz w:val="20"/>
          <w:szCs w:val="20"/>
        </w:rPr>
      </w:pPr>
      <w:r w:rsidRPr="00A729F7">
        <w:rPr>
          <w:rStyle w:val="element-citation"/>
          <w:rFonts w:ascii="Times New Roman" w:hAnsi="Times New Roman"/>
          <w:color w:val="212121"/>
          <w:sz w:val="20"/>
          <w:szCs w:val="20"/>
        </w:rPr>
        <w:t>122. Funakoshi-Tago M, Tago K, Hayakawa M, Tominaga S, Ohshio T, Sonoda Y, Kasahara T. TRAF6 is a critical signal transducer in IL-33 signaling pathway. </w:t>
      </w:r>
      <w:r w:rsidRPr="00A729F7">
        <w:rPr>
          <w:rStyle w:val="nowrap"/>
          <w:rFonts w:ascii="Times New Roman" w:hAnsi="Times New Roman"/>
          <w:i/>
          <w:iCs/>
          <w:color w:val="212121"/>
          <w:sz w:val="20"/>
          <w:szCs w:val="20"/>
        </w:rPr>
        <w:t>Cell Signal. </w:t>
      </w:r>
      <w:r w:rsidRPr="00A729F7">
        <w:rPr>
          <w:rStyle w:val="element-citation"/>
          <w:rFonts w:ascii="Times New Roman" w:hAnsi="Times New Roman"/>
          <w:color w:val="212121"/>
          <w:sz w:val="20"/>
          <w:szCs w:val="20"/>
        </w:rPr>
        <w:t>2008;</w:t>
      </w:r>
      <w:r w:rsidRPr="00A729F7">
        <w:rPr>
          <w:rStyle w:val="ref-vol"/>
          <w:rFonts w:ascii="Times New Roman" w:hAnsi="Times New Roman"/>
          <w:color w:val="212121"/>
          <w:sz w:val="20"/>
          <w:szCs w:val="20"/>
        </w:rPr>
        <w:t>20</w:t>
      </w:r>
      <w:r w:rsidRPr="00A729F7">
        <w:rPr>
          <w:rStyle w:val="element-citation"/>
          <w:rFonts w:ascii="Times New Roman" w:hAnsi="Times New Roman"/>
          <w:color w:val="212121"/>
          <w:sz w:val="20"/>
          <w:szCs w:val="20"/>
        </w:rPr>
        <w:t>:1679–1686. doi: 10.1016/j.cellsig.2008.05.013. [</w:t>
      </w:r>
      <w:hyperlink r:id="rId301" w:history="1">
        <w:r w:rsidRPr="00A729F7">
          <w:rPr>
            <w:rStyle w:val="ref-journal"/>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302" w:tgtFrame="_blank" w:history="1">
        <w:r w:rsidRPr="00A729F7">
          <w:rPr>
            <w:rStyle w:val="ref-journal"/>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303" w:tgtFrame="_blank" w:history="1">
        <w:r w:rsidRPr="00A729F7">
          <w:rPr>
            <w:rStyle w:val="ref-journal"/>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123. Drube S, Kraft F, Dudeck J, Muller AL, Weber F, Gopfert C, Meininger I, Beyer M, Irmler I, Hafner N, Schutz D, Stumm R, Yakovleva T, Gaestel M, Dudeck A, Kamradt T. MK2/3 are pivotal for IL-33-induced and mast cell-dependent leukocyte recruitment and the resulting skin inflammation. </w:t>
      </w:r>
      <w:r w:rsidRPr="00A729F7">
        <w:rPr>
          <w:rFonts w:ascii="Times New Roman" w:hAnsi="Times New Roman" w:cs="Times New Roman"/>
          <w:i/>
          <w:iCs/>
          <w:color w:val="212121"/>
          <w:sz w:val="20"/>
          <w:szCs w:val="20"/>
        </w:rPr>
        <w:t>J Immunol. </w:t>
      </w:r>
      <w:r w:rsidRPr="00A729F7">
        <w:rPr>
          <w:rFonts w:ascii="Times New Roman" w:hAnsi="Times New Roman" w:cs="Times New Roman"/>
          <w:color w:val="212121"/>
          <w:sz w:val="20"/>
          <w:szCs w:val="20"/>
        </w:rPr>
        <w:t>2016;197:3662–3668. doi: 10.4049/jimmunol.1600658. [</w:t>
      </w:r>
      <w:hyperlink r:id="rId304"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05"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0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124. Choi YS, Choi HJ, Min JK, Pyun BJ, Maeng YS, Park H, Kim J, Kim YM, Kwon YG. Interleukin-33 induces angiogenesis and vascular permeability through ST2/TRAF6-mediated endothelial nitric oxide production. </w:t>
      </w:r>
      <w:r w:rsidRPr="00A729F7">
        <w:rPr>
          <w:rFonts w:ascii="Times New Roman" w:hAnsi="Times New Roman" w:cs="Times New Roman"/>
          <w:i/>
          <w:iCs/>
          <w:color w:val="212121"/>
          <w:sz w:val="20"/>
          <w:szCs w:val="20"/>
        </w:rPr>
        <w:t>Blood. </w:t>
      </w:r>
      <w:r w:rsidRPr="00A729F7">
        <w:rPr>
          <w:rFonts w:ascii="Times New Roman" w:hAnsi="Times New Roman" w:cs="Times New Roman"/>
          <w:color w:val="212121"/>
          <w:sz w:val="20"/>
          <w:szCs w:val="20"/>
        </w:rPr>
        <w:t>2009;114:3117–3126. doi: 10.1182/blood-2009-02-203372. [</w:t>
      </w:r>
      <w:hyperlink r:id="rId307"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08"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09"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125. Mun SH, Ko NY, Kim HS, Kim JW, Kim do K, Kim AR, Lee SH, Kim YG, Lee CK, Kim BK, Beaven MA, Kim YM, Choi WS. Interleukin-33 stimulates formation of functional osteoclasts from human CD14(+) monocytes. </w:t>
      </w:r>
      <w:r w:rsidRPr="00A729F7">
        <w:rPr>
          <w:rFonts w:ascii="Times New Roman" w:hAnsi="Times New Roman" w:cs="Times New Roman"/>
          <w:i/>
          <w:iCs/>
          <w:color w:val="212121"/>
          <w:sz w:val="20"/>
          <w:szCs w:val="20"/>
        </w:rPr>
        <w:t>Cell Mol Life Sci. </w:t>
      </w:r>
      <w:r w:rsidRPr="00A729F7">
        <w:rPr>
          <w:rFonts w:ascii="Times New Roman" w:hAnsi="Times New Roman" w:cs="Times New Roman"/>
          <w:color w:val="212121"/>
          <w:sz w:val="20"/>
          <w:szCs w:val="20"/>
        </w:rPr>
        <w:t>2010;67:3883–3892. doi: 10.1007/s00018-010-0410-y. [</w:t>
      </w:r>
      <w:hyperlink r:id="rId310" w:history="1">
        <w:r w:rsidRPr="00A729F7">
          <w:rPr>
            <w:rStyle w:val="Hyperlink"/>
            <w:rFonts w:ascii="Times New Roman" w:hAnsi="Times New Roman"/>
            <w:sz w:val="20"/>
            <w:szCs w:val="20"/>
          </w:rPr>
          <w:t>PMC free article</w:t>
        </w:r>
      </w:hyperlink>
      <w:r w:rsidRPr="00A729F7">
        <w:rPr>
          <w:rFonts w:ascii="Times New Roman" w:hAnsi="Times New Roman" w:cs="Times New Roman"/>
          <w:color w:val="212121"/>
          <w:sz w:val="20"/>
          <w:szCs w:val="20"/>
        </w:rPr>
        <w:t>] [</w:t>
      </w:r>
      <w:hyperlink r:id="rId311"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12"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13"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126. Lima IL, Macari S, Madeira MF, Rodrigues LF, Colavite PM, Garlet GP, Soriani FM, Teixeira MM, Fukada SY, Silva TA. Osteoprotective effects of IL-33/ST2 link to osteoclast apoptosis. </w:t>
      </w:r>
      <w:r w:rsidRPr="00A729F7">
        <w:rPr>
          <w:rFonts w:ascii="Times New Roman" w:hAnsi="Times New Roman" w:cs="Times New Roman"/>
          <w:i/>
          <w:iCs/>
          <w:color w:val="212121"/>
          <w:sz w:val="20"/>
          <w:szCs w:val="20"/>
        </w:rPr>
        <w:t>Am J Pathol. </w:t>
      </w:r>
      <w:r w:rsidRPr="00A729F7">
        <w:rPr>
          <w:rFonts w:ascii="Times New Roman" w:hAnsi="Times New Roman" w:cs="Times New Roman"/>
          <w:color w:val="212121"/>
          <w:sz w:val="20"/>
          <w:szCs w:val="20"/>
        </w:rPr>
        <w:t>2015;185:3338–3348. doi: 10.1016/j.ajpath.2015.08.013. [</w:t>
      </w:r>
      <w:hyperlink r:id="rId314"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15"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1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 xml:space="preserve">]  </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127. Schulze J, Bickert T, Beil FT, Zaiss MM, Albers J, Wintges K, Streichert T, Klaetschke K, Keller J, Hissnauer TN, Spiro AS, Gessner A, Schett G, Amling M, McKenzie AN, Horst AK, Schinke T. Interleukin-33 is expressed in differentiated osteoblasts and blocks osteoclast formation from bone marrow precursor cells. </w:t>
      </w:r>
      <w:r w:rsidRPr="00A729F7">
        <w:rPr>
          <w:rFonts w:ascii="Times New Roman" w:hAnsi="Times New Roman" w:cs="Times New Roman"/>
          <w:i/>
          <w:iCs/>
          <w:color w:val="212121"/>
          <w:sz w:val="20"/>
          <w:szCs w:val="20"/>
        </w:rPr>
        <w:t>J Bone Miner Res. </w:t>
      </w:r>
      <w:r w:rsidRPr="00A729F7">
        <w:rPr>
          <w:rFonts w:ascii="Times New Roman" w:hAnsi="Times New Roman" w:cs="Times New Roman"/>
          <w:color w:val="212121"/>
          <w:sz w:val="20"/>
          <w:szCs w:val="20"/>
        </w:rPr>
        <w:t>2011;26:704–717. doi: 10.1002/jbmr.269. [</w:t>
      </w:r>
      <w:hyperlink r:id="rId317"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18"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19"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128. Funakoshi-Tago M, Tago K, Sato Y, Tominaga S, Kasahara T. JAK2 is an important signal transducer in IL-33-induced NF-kappaB activation. </w:t>
      </w:r>
      <w:r w:rsidRPr="00A729F7">
        <w:rPr>
          <w:rFonts w:ascii="Times New Roman" w:hAnsi="Times New Roman" w:cs="Times New Roman"/>
          <w:i/>
          <w:iCs/>
          <w:color w:val="212121"/>
          <w:sz w:val="20"/>
          <w:szCs w:val="20"/>
        </w:rPr>
        <w:t>Cell Signal. </w:t>
      </w:r>
      <w:r w:rsidRPr="00A729F7">
        <w:rPr>
          <w:rFonts w:ascii="Times New Roman" w:hAnsi="Times New Roman" w:cs="Times New Roman"/>
          <w:color w:val="212121"/>
          <w:sz w:val="20"/>
          <w:szCs w:val="20"/>
        </w:rPr>
        <w:t>2011;23:363–370. doi: 10.1016/j.cellsig.2010.10.006. [</w:t>
      </w:r>
      <w:hyperlink r:id="rId320"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21"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22"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129. Drube S, Heink S, Walter S, Lohn T, Grusser M, Gerbaulet A, Berod L, Schons J, Dudeck A, Freitag J, Grotha S, Reich D, Rudeschko O, Norgauer J, Hartmann K, Roers A, Kamradt T. The receptor tyrosine kinase c-kit controls IL-33 receptor signaling in mast cells. </w:t>
      </w:r>
      <w:r w:rsidRPr="00A729F7">
        <w:rPr>
          <w:rFonts w:ascii="Times New Roman" w:hAnsi="Times New Roman" w:cs="Times New Roman"/>
          <w:i/>
          <w:iCs/>
          <w:color w:val="212121"/>
          <w:sz w:val="20"/>
          <w:szCs w:val="20"/>
        </w:rPr>
        <w:t>Blood. </w:t>
      </w:r>
      <w:r w:rsidRPr="00A729F7">
        <w:rPr>
          <w:rFonts w:ascii="Times New Roman" w:hAnsi="Times New Roman" w:cs="Times New Roman"/>
          <w:color w:val="212121"/>
          <w:sz w:val="20"/>
          <w:szCs w:val="20"/>
        </w:rPr>
        <w:t>2010;115:3899–3906. doi: 10.1182/blood-2009-10-247411. [</w:t>
      </w:r>
      <w:hyperlink r:id="rId323"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24"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25"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lastRenderedPageBreak/>
        <w:t>130. Kim JY, Lim SC, Kim G, Yun HJ, Ahn SG, Choi HS. Interleukin-33/ST2 axis promotes epithelial cell transformation and breast tumorigenesis via upregulation of COT activity. </w:t>
      </w:r>
      <w:r w:rsidRPr="00A729F7">
        <w:rPr>
          <w:rFonts w:ascii="Times New Roman" w:hAnsi="Times New Roman" w:cs="Times New Roman"/>
          <w:i/>
          <w:iCs/>
          <w:color w:val="212121"/>
          <w:sz w:val="20"/>
          <w:szCs w:val="20"/>
        </w:rPr>
        <w:t>Oncogene. </w:t>
      </w:r>
      <w:r w:rsidRPr="00A729F7">
        <w:rPr>
          <w:rFonts w:ascii="Times New Roman" w:hAnsi="Times New Roman" w:cs="Times New Roman"/>
          <w:color w:val="212121"/>
          <w:sz w:val="20"/>
          <w:szCs w:val="20"/>
        </w:rPr>
        <w:t>2015;34:4928–4938. doi: 10.1038/onc.2014.418. [</w:t>
      </w:r>
      <w:hyperlink r:id="rId326"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27"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28"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131. Pinto SM, Nirujogi RS, Rojas PL, Patil AH, Manda SS, Subbannayya Y, Roa JC, Chatterjee A, Prasad TS, Pandey A. Quantitative phosphoproteomic analysis of IL-33-mediated signaling. </w:t>
      </w:r>
      <w:r w:rsidRPr="00A729F7">
        <w:rPr>
          <w:rFonts w:ascii="Times New Roman" w:hAnsi="Times New Roman" w:cs="Times New Roman"/>
          <w:i/>
          <w:iCs/>
          <w:color w:val="212121"/>
          <w:sz w:val="20"/>
          <w:szCs w:val="20"/>
        </w:rPr>
        <w:t>Proteomics. </w:t>
      </w:r>
      <w:r w:rsidRPr="00A729F7">
        <w:rPr>
          <w:rFonts w:ascii="Times New Roman" w:hAnsi="Times New Roman" w:cs="Times New Roman"/>
          <w:color w:val="212121"/>
          <w:sz w:val="20"/>
          <w:szCs w:val="20"/>
        </w:rPr>
        <w:t>2015;15:532–544. doi: 10.1002/pmic.201400303. [</w:t>
      </w:r>
      <w:hyperlink r:id="rId329" w:history="1">
        <w:r w:rsidRPr="00A729F7">
          <w:rPr>
            <w:rStyle w:val="Hyperlink"/>
            <w:rFonts w:ascii="Times New Roman" w:hAnsi="Times New Roman"/>
            <w:sz w:val="20"/>
            <w:szCs w:val="20"/>
          </w:rPr>
          <w:t>PMC free article</w:t>
        </w:r>
      </w:hyperlink>
      <w:r w:rsidRPr="00A729F7">
        <w:rPr>
          <w:rFonts w:ascii="Times New Roman" w:hAnsi="Times New Roman" w:cs="Times New Roman"/>
          <w:color w:val="212121"/>
          <w:sz w:val="20"/>
          <w:szCs w:val="20"/>
        </w:rPr>
        <w:t>] [</w:t>
      </w:r>
      <w:hyperlink r:id="rId330"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31"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32"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132. Zhu J, Carver W. Effects of interleukin-33 on cardiac fibroblast gene expression and activity. </w:t>
      </w:r>
      <w:r w:rsidRPr="00A729F7">
        <w:rPr>
          <w:rFonts w:ascii="Times New Roman" w:hAnsi="Times New Roman" w:cs="Times New Roman"/>
          <w:i/>
          <w:iCs/>
          <w:color w:val="212121"/>
          <w:sz w:val="20"/>
          <w:szCs w:val="20"/>
        </w:rPr>
        <w:t>Cytokine. </w:t>
      </w:r>
      <w:r w:rsidRPr="00A729F7">
        <w:rPr>
          <w:rFonts w:ascii="Times New Roman" w:hAnsi="Times New Roman" w:cs="Times New Roman"/>
          <w:color w:val="212121"/>
          <w:sz w:val="20"/>
          <w:szCs w:val="20"/>
        </w:rPr>
        <w:t>2012;58:368–379. doi: 10.1016/j.cyto.2012.02.008. [</w:t>
      </w:r>
      <w:hyperlink r:id="rId333" w:history="1">
        <w:r w:rsidRPr="00A729F7">
          <w:rPr>
            <w:rStyle w:val="Hyperlink"/>
            <w:rFonts w:ascii="Times New Roman" w:hAnsi="Times New Roman"/>
            <w:sz w:val="20"/>
            <w:szCs w:val="20"/>
          </w:rPr>
          <w:t>PMC free article</w:t>
        </w:r>
      </w:hyperlink>
      <w:r w:rsidRPr="00A729F7">
        <w:rPr>
          <w:rFonts w:ascii="Times New Roman" w:hAnsi="Times New Roman" w:cs="Times New Roman"/>
          <w:color w:val="212121"/>
          <w:sz w:val="20"/>
          <w:szCs w:val="20"/>
        </w:rPr>
        <w:t>] [</w:t>
      </w:r>
      <w:hyperlink r:id="rId334"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35"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3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133.Demyanets S, Konya V, Kastl SP, Kaun C, Rauscher S, Niessner A, Pentz R, Pfaffenberger S, Rychli K, Lemberger CE, de Martin R, Heinemann A, Huk I, Groger M, Maurer G, Huber K, Wojta J. Interleukin-33 induces expression of adhesion molecules and inflammatory activation in human endothelial cells and in human atherosclerotic plaques. </w:t>
      </w:r>
      <w:r w:rsidRPr="00A729F7">
        <w:rPr>
          <w:rFonts w:ascii="Times New Roman" w:hAnsi="Times New Roman" w:cs="Times New Roman"/>
          <w:i/>
          <w:iCs/>
          <w:color w:val="212121"/>
          <w:sz w:val="20"/>
          <w:szCs w:val="20"/>
        </w:rPr>
        <w:t>Arterioscler Thromb Vasc Biol. </w:t>
      </w:r>
      <w:r w:rsidRPr="00A729F7">
        <w:rPr>
          <w:rFonts w:ascii="Times New Roman" w:hAnsi="Times New Roman" w:cs="Times New Roman"/>
          <w:color w:val="212121"/>
          <w:sz w:val="20"/>
          <w:szCs w:val="20"/>
        </w:rPr>
        <w:t>2011;31:2080–2089. doi: 10.1161/ATVBAHA.111.231431. [</w:t>
      </w:r>
      <w:hyperlink r:id="rId337"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38"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39"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134. Ashlin TG, Buckley ML, Salter RC, Johnson JL, Kwan AP, Ramji DP. The anti-atherogenic cytokine interleukin-33 inhibits the expression of a disintegrin and metalloproteinase with thrombospondin motifs-1, −4 and −5 in human macrophages: requirement of extracellular signal-regulated kinase, c-Jun N-terminal kinase and phosphoinositide 3-kinase signaling pathways. </w:t>
      </w:r>
      <w:r w:rsidRPr="00A729F7">
        <w:rPr>
          <w:rFonts w:ascii="Times New Roman" w:hAnsi="Times New Roman" w:cs="Times New Roman"/>
          <w:i/>
          <w:iCs/>
          <w:color w:val="212121"/>
          <w:sz w:val="20"/>
          <w:szCs w:val="20"/>
        </w:rPr>
        <w:t>Int J Biochem Cell Biol. </w:t>
      </w:r>
      <w:r w:rsidRPr="00A729F7">
        <w:rPr>
          <w:rFonts w:ascii="Times New Roman" w:hAnsi="Times New Roman" w:cs="Times New Roman"/>
          <w:color w:val="212121"/>
          <w:sz w:val="20"/>
          <w:szCs w:val="20"/>
        </w:rPr>
        <w:t>2014;46:113–123. doi: 10.1016/j.biocel.2013.11.008. [</w:t>
      </w:r>
      <w:hyperlink r:id="rId340" w:history="1">
        <w:r w:rsidRPr="00A729F7">
          <w:rPr>
            <w:rStyle w:val="Hyperlink"/>
            <w:rFonts w:ascii="Times New Roman" w:hAnsi="Times New Roman"/>
            <w:sz w:val="20"/>
            <w:szCs w:val="20"/>
          </w:rPr>
          <w:t>PMC free article</w:t>
        </w:r>
      </w:hyperlink>
      <w:r w:rsidRPr="00A729F7">
        <w:rPr>
          <w:rFonts w:ascii="Times New Roman" w:hAnsi="Times New Roman" w:cs="Times New Roman"/>
          <w:color w:val="212121"/>
          <w:sz w:val="20"/>
          <w:szCs w:val="20"/>
        </w:rPr>
        <w:t>] [</w:t>
      </w:r>
      <w:hyperlink r:id="rId341" w:history="1">
        <w:r w:rsidRPr="00A729F7">
          <w:rPr>
            <w:rStyle w:val="Hyperlink"/>
            <w:rFonts w:ascii="Times New Roman" w:hAnsi="Times New Roman"/>
            <w:sz w:val="20"/>
            <w:szCs w:val="20"/>
          </w:rPr>
          <w:t>PubMed</w:t>
        </w:r>
      </w:hyperlink>
      <w:r w:rsidRPr="00A729F7">
        <w:rPr>
          <w:rFonts w:ascii="Times New Roman" w:hAnsi="Times New Roman" w:cs="Times New Roman"/>
          <w:color w:val="212121"/>
          <w:sz w:val="20"/>
          <w:szCs w:val="20"/>
        </w:rPr>
        <w:t>] [</w:t>
      </w:r>
      <w:hyperlink r:id="rId342" w:tgtFrame="_blank" w:history="1">
        <w:r w:rsidRPr="00A729F7">
          <w:rPr>
            <w:rStyle w:val="Hyperlink"/>
            <w:rFonts w:ascii="Times New Roman" w:hAnsi="Times New Roman"/>
            <w:sz w:val="20"/>
            <w:szCs w:val="20"/>
          </w:rPr>
          <w:t>CrossRef</w:t>
        </w:r>
      </w:hyperlink>
      <w:r w:rsidRPr="00A729F7">
        <w:rPr>
          <w:rFonts w:ascii="Times New Roman" w:hAnsi="Times New Roman" w:cs="Times New Roman"/>
          <w:color w:val="212121"/>
          <w:sz w:val="20"/>
          <w:szCs w:val="20"/>
        </w:rPr>
        <w:t>] [</w:t>
      </w:r>
      <w:hyperlink r:id="rId343"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color w:val="212121"/>
          <w:sz w:val="20"/>
          <w:szCs w:val="20"/>
        </w:rPr>
        <w:t>]</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135. Vander Lugt MT, Braun TM, Hanash S et al (2013) ST2 as a marker for risk of therapy-resistant graft-versus-host disease and death. N Engl J Med 369:529–539</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136. Reichenbach DK, Schwarze V, Matta BM et al (2015) The IL-33/ ST2 axis augments effector T-cell responses during acute GVHD. Blood 125:3183–3192</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137. Tu L, Yang L. IL-33 at the Crossroads of Metabolic Disorders and Immunity. Front Endocrinol. 2019. </w:t>
      </w:r>
      <w:hyperlink r:id="rId344" w:history="1">
        <w:r w:rsidRPr="00A729F7">
          <w:rPr>
            <w:rStyle w:val="Hyperlink"/>
            <w:rFonts w:ascii="Times New Roman" w:hAnsi="Times New Roman"/>
            <w:sz w:val="20"/>
            <w:szCs w:val="20"/>
          </w:rPr>
          <w:t>https://doi.org/10.3389/fendo.2019.00026</w:t>
        </w:r>
      </w:hyperlink>
      <w:r w:rsidRPr="00A729F7">
        <w:rPr>
          <w:rFonts w:ascii="Times New Roman" w:hAnsi="Times New Roman" w:cs="Times New Roman"/>
          <w:sz w:val="20"/>
          <w:szCs w:val="20"/>
        </w:rPr>
        <w:t>.</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138. Griesenauer B, Paczesny S. The ST2/IL-33 axis in immune cells during infammatory diseases. Front Immunol. 2017. https://doi.org/10.3389/ fmmu.2017.00475.</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sz w:val="20"/>
          <w:szCs w:val="20"/>
        </w:rPr>
        <w:t>139. Bulek K, Swaidani S, Qin J et al. The essential role of single Ig IL-1 receptor-related moleculeToll IL-1R8 in regulation of Th2 immune response. J Immunol 2009;182: 2601-9.</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140 . Garlanda C, Anders HJ, Mantovani A. TIR8SIGIRR: an IL-1RTLR family member with regulatory functions in inflammation and T cell polarization. Trends Immunol 2009; 30:439-46</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141. Garlanda C, Riva F, Polentarutti N et al. Intestinal inflammation in mice deficient in Tir8, an inhibitory member of the IL-1 receptor family. Proc Natl Acad Sci U S A 2004; 101:3522-6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142.Moussion C, Ortega N, Girard JP. The IL‐1‐like cytokine IL‐33 is constitutively expressed in the nucleus of endothelial cells and epithelial cells in vivo: A novel ‘alarmin’? </w:t>
      </w:r>
      <w:r w:rsidRPr="00A729F7">
        <w:rPr>
          <w:rFonts w:ascii="Times New Roman" w:hAnsi="Times New Roman" w:cs="Times New Roman"/>
          <w:i/>
          <w:iCs/>
          <w:sz w:val="20"/>
          <w:szCs w:val="20"/>
        </w:rPr>
        <w:t>PLoS ONE</w:t>
      </w:r>
      <w:r w:rsidRPr="00A729F7">
        <w:rPr>
          <w:rFonts w:ascii="Times New Roman" w:hAnsi="Times New Roman" w:cs="Times New Roman"/>
          <w:sz w:val="20"/>
          <w:szCs w:val="20"/>
        </w:rPr>
        <w:t>. 2008; </w:t>
      </w:r>
      <w:r w:rsidRPr="00A729F7">
        <w:rPr>
          <w:rFonts w:ascii="Times New Roman" w:hAnsi="Times New Roman" w:cs="Times New Roman"/>
          <w:b/>
          <w:bCs/>
          <w:sz w:val="20"/>
          <w:szCs w:val="20"/>
        </w:rPr>
        <w:t>3</w:t>
      </w:r>
      <w:r w:rsidRPr="00A729F7">
        <w:rPr>
          <w:rFonts w:ascii="Times New Roman" w:hAnsi="Times New Roman" w:cs="Times New Roman"/>
          <w:sz w:val="20"/>
          <w:szCs w:val="20"/>
        </w:rPr>
        <w:t>: e3331.</w:t>
      </w:r>
      <w:hyperlink r:id="rId345"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46"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47"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48" w:history="1">
        <w:r w:rsidRPr="00A729F7">
          <w:rPr>
            <w:rStyle w:val="Hyperlink"/>
            <w:rFonts w:ascii="Times New Roman" w:hAnsi="Times New Roman"/>
            <w:sz w:val="20"/>
            <w:szCs w:val="20"/>
          </w:rPr>
          <w:t>Web of Science®</w:t>
        </w:r>
      </w:hyperlink>
      <w:hyperlink r:id="rId349" w:tgtFrame="_blank" w:history="1">
        <w:r w:rsidRPr="00A729F7">
          <w:rPr>
            <w:rStyle w:val="Hyperlink"/>
            <w:rFonts w:ascii="Times New Roman" w:hAnsi="Times New Roman"/>
            <w:sz w:val="20"/>
            <w:szCs w:val="20"/>
          </w:rPr>
          <w:t>Google Scholar</w:t>
        </w:r>
      </w:hyperlink>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143.Pichery M, Mirey E, Mercier P, et al. Endogenous IL‐33 is highly expressed in mouse epithelial barrier tissues, lymphoid organs, brain, embryos, and inflamed tissues. In situ analysis using a novel Il‐33‐LacZ gene trap reporter strain. </w:t>
      </w:r>
      <w:r w:rsidRPr="00A729F7">
        <w:rPr>
          <w:rFonts w:ascii="Times New Roman" w:hAnsi="Times New Roman" w:cs="Times New Roman"/>
          <w:i/>
          <w:iCs/>
          <w:sz w:val="20"/>
          <w:szCs w:val="20"/>
        </w:rPr>
        <w:t>J Immunol</w:t>
      </w:r>
      <w:r w:rsidRPr="00A729F7">
        <w:rPr>
          <w:rFonts w:ascii="Times New Roman" w:hAnsi="Times New Roman" w:cs="Times New Roman"/>
          <w:sz w:val="20"/>
          <w:szCs w:val="20"/>
        </w:rPr>
        <w:t>. 2012; </w:t>
      </w:r>
      <w:r w:rsidRPr="00A729F7">
        <w:rPr>
          <w:rFonts w:ascii="Times New Roman" w:hAnsi="Times New Roman" w:cs="Times New Roman"/>
          <w:b/>
          <w:bCs/>
          <w:sz w:val="20"/>
          <w:szCs w:val="20"/>
        </w:rPr>
        <w:t>188</w:t>
      </w:r>
      <w:r w:rsidRPr="00A729F7">
        <w:rPr>
          <w:rFonts w:ascii="Times New Roman" w:hAnsi="Times New Roman" w:cs="Times New Roman"/>
          <w:sz w:val="20"/>
          <w:szCs w:val="20"/>
        </w:rPr>
        <w:t>: 3488‐ 3495.</w:t>
      </w:r>
      <w:hyperlink r:id="rId350"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51"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52"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53" w:history="1">
        <w:r w:rsidRPr="00A729F7">
          <w:rPr>
            <w:rStyle w:val="Hyperlink"/>
            <w:rFonts w:ascii="Times New Roman" w:hAnsi="Times New Roman"/>
            <w:sz w:val="20"/>
            <w:szCs w:val="20"/>
          </w:rPr>
          <w:t>Web of Science®</w:t>
        </w:r>
      </w:hyperlink>
      <w:hyperlink r:id="rId354"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144. Haenuki Y, Matsushita K, Futatsugi‐Yumikura S, et al. A critical role of IL‐33 in experimental allergic rhinitis. </w:t>
      </w:r>
      <w:r w:rsidRPr="00A729F7">
        <w:rPr>
          <w:rFonts w:ascii="Times New Roman" w:hAnsi="Times New Roman" w:cs="Times New Roman"/>
          <w:i/>
          <w:iCs/>
          <w:sz w:val="20"/>
          <w:szCs w:val="20"/>
        </w:rPr>
        <w:t>J Allergy Clin Immunol</w:t>
      </w:r>
      <w:r w:rsidRPr="00A729F7">
        <w:rPr>
          <w:rFonts w:ascii="Times New Roman" w:hAnsi="Times New Roman" w:cs="Times New Roman"/>
          <w:sz w:val="20"/>
          <w:szCs w:val="20"/>
        </w:rPr>
        <w:t>. 2012; </w:t>
      </w:r>
      <w:r w:rsidRPr="00A729F7">
        <w:rPr>
          <w:rFonts w:ascii="Times New Roman" w:hAnsi="Times New Roman" w:cs="Times New Roman"/>
          <w:b/>
          <w:bCs/>
          <w:sz w:val="20"/>
          <w:szCs w:val="20"/>
        </w:rPr>
        <w:t>130</w:t>
      </w:r>
      <w:r w:rsidRPr="00A729F7">
        <w:rPr>
          <w:rFonts w:ascii="Times New Roman" w:hAnsi="Times New Roman" w:cs="Times New Roman"/>
          <w:sz w:val="20"/>
          <w:szCs w:val="20"/>
        </w:rPr>
        <w:t>( 184–94): e11.</w:t>
      </w:r>
      <w:hyperlink r:id="rId355"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145. Salker MS, Nautiyal J, Steel JH, et al. Disordered IL‐33/ST2 activation in decidualizing stromal cells prolongs uterine receptivity in women with recurrent pregnancy loss. </w:t>
      </w:r>
      <w:r w:rsidRPr="00A729F7">
        <w:rPr>
          <w:rFonts w:ascii="Times New Roman" w:hAnsi="Times New Roman" w:cs="Times New Roman"/>
          <w:i/>
          <w:iCs/>
          <w:sz w:val="20"/>
          <w:szCs w:val="20"/>
        </w:rPr>
        <w:t>PLoS ONE</w:t>
      </w:r>
      <w:r w:rsidRPr="00A729F7">
        <w:rPr>
          <w:rFonts w:ascii="Times New Roman" w:hAnsi="Times New Roman" w:cs="Times New Roman"/>
          <w:sz w:val="20"/>
          <w:szCs w:val="20"/>
        </w:rPr>
        <w:t>. 2012; </w:t>
      </w:r>
      <w:r w:rsidRPr="00A729F7">
        <w:rPr>
          <w:rFonts w:ascii="Times New Roman" w:hAnsi="Times New Roman" w:cs="Times New Roman"/>
          <w:b/>
          <w:bCs/>
          <w:sz w:val="20"/>
          <w:szCs w:val="20"/>
        </w:rPr>
        <w:t>7</w:t>
      </w:r>
      <w:r w:rsidRPr="00A729F7">
        <w:rPr>
          <w:rFonts w:ascii="Times New Roman" w:hAnsi="Times New Roman" w:cs="Times New Roman"/>
          <w:sz w:val="20"/>
          <w:szCs w:val="20"/>
        </w:rPr>
        <w:t>: e52252.</w:t>
      </w:r>
      <w:hyperlink r:id="rId356"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57"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58"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59" w:history="1">
        <w:r w:rsidRPr="00A729F7">
          <w:rPr>
            <w:rStyle w:val="Hyperlink"/>
            <w:rFonts w:ascii="Times New Roman" w:hAnsi="Times New Roman"/>
            <w:sz w:val="20"/>
            <w:szCs w:val="20"/>
          </w:rPr>
          <w:t>Web of Science®</w:t>
        </w:r>
      </w:hyperlink>
      <w:hyperlink r:id="rId360" w:tgtFrame="_blank" w:history="1">
        <w:r w:rsidRPr="00A729F7">
          <w:rPr>
            <w:rStyle w:val="Hyperlink"/>
            <w:rFonts w:ascii="Times New Roman" w:hAnsi="Times New Roman"/>
            <w:sz w:val="20"/>
            <w:szCs w:val="20"/>
          </w:rPr>
          <w:t>Google Scholar</w:t>
        </w:r>
      </w:hyperlink>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146. Sundnes O, Pietka W, Loos T, et al. Epidermal expression and regulation of interleukin‐33 during homeostasis and inflammation: Strong species differences. </w:t>
      </w:r>
      <w:r w:rsidRPr="00A729F7">
        <w:rPr>
          <w:rFonts w:ascii="Times New Roman" w:hAnsi="Times New Roman" w:cs="Times New Roman"/>
          <w:i/>
          <w:iCs/>
          <w:sz w:val="20"/>
          <w:szCs w:val="20"/>
        </w:rPr>
        <w:t>J Invest Dermatol</w:t>
      </w:r>
      <w:r w:rsidRPr="00A729F7">
        <w:rPr>
          <w:rFonts w:ascii="Times New Roman" w:hAnsi="Times New Roman" w:cs="Times New Roman"/>
          <w:sz w:val="20"/>
          <w:szCs w:val="20"/>
        </w:rPr>
        <w:t>. 2015; </w:t>
      </w:r>
      <w:r w:rsidRPr="00A729F7">
        <w:rPr>
          <w:rFonts w:ascii="Times New Roman" w:hAnsi="Times New Roman" w:cs="Times New Roman"/>
          <w:b/>
          <w:bCs/>
          <w:sz w:val="20"/>
          <w:szCs w:val="20"/>
        </w:rPr>
        <w:t>135</w:t>
      </w:r>
      <w:r w:rsidRPr="00A729F7">
        <w:rPr>
          <w:rFonts w:ascii="Times New Roman" w:hAnsi="Times New Roman" w:cs="Times New Roman"/>
          <w:sz w:val="20"/>
          <w:szCs w:val="20"/>
        </w:rPr>
        <w:t>: 1771‐ 1780.</w:t>
      </w:r>
      <w:hyperlink r:id="rId361"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62"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147.Kolodin D, van Panhuys N, Li C, et al. Antigen‐ and cytokine‐driven accumulation of regulatory T cells in visceral adipose tissue of lean mice. </w:t>
      </w:r>
      <w:r w:rsidRPr="00A729F7">
        <w:rPr>
          <w:rFonts w:ascii="Times New Roman" w:hAnsi="Times New Roman" w:cs="Times New Roman"/>
          <w:i/>
          <w:iCs/>
          <w:sz w:val="20"/>
          <w:szCs w:val="20"/>
        </w:rPr>
        <w:t>Cell Metab</w:t>
      </w:r>
      <w:r w:rsidRPr="00A729F7">
        <w:rPr>
          <w:rFonts w:ascii="Times New Roman" w:hAnsi="Times New Roman" w:cs="Times New Roman"/>
          <w:sz w:val="20"/>
          <w:szCs w:val="20"/>
        </w:rPr>
        <w:t>. 2015; </w:t>
      </w:r>
      <w:r w:rsidRPr="00A729F7">
        <w:rPr>
          <w:rFonts w:ascii="Times New Roman" w:hAnsi="Times New Roman" w:cs="Times New Roman"/>
          <w:b/>
          <w:bCs/>
          <w:sz w:val="20"/>
          <w:szCs w:val="20"/>
        </w:rPr>
        <w:t>21</w:t>
      </w:r>
      <w:r w:rsidRPr="00A729F7">
        <w:rPr>
          <w:rFonts w:ascii="Times New Roman" w:hAnsi="Times New Roman" w:cs="Times New Roman"/>
          <w:sz w:val="20"/>
          <w:szCs w:val="20"/>
        </w:rPr>
        <w:t>: 543‐ 557.</w:t>
      </w:r>
      <w:hyperlink r:id="rId363"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64"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65"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66" w:history="1">
        <w:r w:rsidRPr="00A729F7">
          <w:rPr>
            <w:rStyle w:val="Hyperlink"/>
            <w:rFonts w:ascii="Times New Roman" w:hAnsi="Times New Roman"/>
            <w:sz w:val="20"/>
            <w:szCs w:val="20"/>
          </w:rPr>
          <w:t>Web of Science®</w:t>
        </w:r>
      </w:hyperlink>
      <w:hyperlink r:id="rId367"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148.Maywald RL, Doerner SK, Pastorelli L, et al. IL‐33 activates tumor stroma to promote intestinal polyposis. </w:t>
      </w:r>
      <w:r w:rsidRPr="00A729F7">
        <w:rPr>
          <w:rFonts w:ascii="Times New Roman" w:hAnsi="Times New Roman" w:cs="Times New Roman"/>
          <w:i/>
          <w:iCs/>
          <w:sz w:val="20"/>
          <w:szCs w:val="20"/>
        </w:rPr>
        <w:t>Proc Natl Acad Sci USA</w:t>
      </w:r>
      <w:r w:rsidRPr="00A729F7">
        <w:rPr>
          <w:rFonts w:ascii="Times New Roman" w:hAnsi="Times New Roman" w:cs="Times New Roman"/>
          <w:sz w:val="20"/>
          <w:szCs w:val="20"/>
        </w:rPr>
        <w:t>. 2015; </w:t>
      </w:r>
      <w:r w:rsidRPr="00A729F7">
        <w:rPr>
          <w:rFonts w:ascii="Times New Roman" w:hAnsi="Times New Roman" w:cs="Times New Roman"/>
          <w:b/>
          <w:bCs/>
          <w:sz w:val="20"/>
          <w:szCs w:val="20"/>
        </w:rPr>
        <w:t>112</w:t>
      </w:r>
      <w:r w:rsidRPr="00A729F7">
        <w:rPr>
          <w:rFonts w:ascii="Times New Roman" w:hAnsi="Times New Roman" w:cs="Times New Roman"/>
          <w:sz w:val="20"/>
          <w:szCs w:val="20"/>
        </w:rPr>
        <w:t>: E2487‐ E2496.</w:t>
      </w:r>
      <w:hyperlink r:id="rId368"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69"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70"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71" w:history="1">
        <w:r w:rsidRPr="00A729F7">
          <w:rPr>
            <w:rStyle w:val="Hyperlink"/>
            <w:rFonts w:ascii="Times New Roman" w:hAnsi="Times New Roman"/>
            <w:sz w:val="20"/>
            <w:szCs w:val="20"/>
          </w:rPr>
          <w:t>Web of Science®</w:t>
        </w:r>
      </w:hyperlink>
      <w:hyperlink r:id="rId372"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149. Mahapatro M, Foersch S, Hefele M, et al. Programming of intestinal epithelial differentiation by IL‐33 derived from pericryptal fibroblasts in response to systemic infection. </w:t>
      </w:r>
      <w:r w:rsidRPr="00A729F7">
        <w:rPr>
          <w:rFonts w:ascii="Times New Roman" w:hAnsi="Times New Roman" w:cs="Times New Roman"/>
          <w:i/>
          <w:iCs/>
          <w:sz w:val="20"/>
          <w:szCs w:val="20"/>
        </w:rPr>
        <w:t>Cell Rep</w:t>
      </w:r>
      <w:r w:rsidRPr="00A729F7">
        <w:rPr>
          <w:rFonts w:ascii="Times New Roman" w:hAnsi="Times New Roman" w:cs="Times New Roman"/>
          <w:sz w:val="20"/>
          <w:szCs w:val="20"/>
        </w:rPr>
        <w:t>. 2016; </w:t>
      </w:r>
      <w:r w:rsidRPr="00A729F7">
        <w:rPr>
          <w:rFonts w:ascii="Times New Roman" w:hAnsi="Times New Roman" w:cs="Times New Roman"/>
          <w:b/>
          <w:bCs/>
          <w:sz w:val="20"/>
          <w:szCs w:val="20"/>
        </w:rPr>
        <w:t>15</w:t>
      </w:r>
      <w:r w:rsidRPr="00A729F7">
        <w:rPr>
          <w:rFonts w:ascii="Times New Roman" w:hAnsi="Times New Roman" w:cs="Times New Roman"/>
          <w:sz w:val="20"/>
          <w:szCs w:val="20"/>
        </w:rPr>
        <w:t>: 1743‐ 1756.</w:t>
      </w:r>
      <w:hyperlink r:id="rId373"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74"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75"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76" w:history="1">
        <w:r w:rsidRPr="00A729F7">
          <w:rPr>
            <w:rStyle w:val="Hyperlink"/>
            <w:rFonts w:ascii="Times New Roman" w:hAnsi="Times New Roman"/>
            <w:sz w:val="20"/>
            <w:szCs w:val="20"/>
          </w:rPr>
          <w:t>Web of Science®</w:t>
        </w:r>
      </w:hyperlink>
      <w:hyperlink r:id="rId377"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150. Sedhom MA, Pichery M, Murdoch JR, et al. Neutralisation of the interleukin‐33/ST2 pathway ameliorates experimental colitis through enhancement of mucosal healing in mice. </w:t>
      </w:r>
      <w:r w:rsidRPr="00A729F7">
        <w:rPr>
          <w:rFonts w:ascii="Times New Roman" w:hAnsi="Times New Roman" w:cs="Times New Roman"/>
          <w:i/>
          <w:iCs/>
          <w:sz w:val="20"/>
          <w:szCs w:val="20"/>
        </w:rPr>
        <w:t>Gut</w:t>
      </w:r>
      <w:r w:rsidRPr="00A729F7">
        <w:rPr>
          <w:rFonts w:ascii="Times New Roman" w:hAnsi="Times New Roman" w:cs="Times New Roman"/>
          <w:sz w:val="20"/>
          <w:szCs w:val="20"/>
        </w:rPr>
        <w:t>. 2013; </w:t>
      </w:r>
      <w:r w:rsidRPr="00A729F7">
        <w:rPr>
          <w:rFonts w:ascii="Times New Roman" w:hAnsi="Times New Roman" w:cs="Times New Roman"/>
          <w:b/>
          <w:bCs/>
          <w:sz w:val="20"/>
          <w:szCs w:val="20"/>
        </w:rPr>
        <w:t>62</w:t>
      </w:r>
      <w:r w:rsidRPr="00A729F7">
        <w:rPr>
          <w:rFonts w:ascii="Times New Roman" w:hAnsi="Times New Roman" w:cs="Times New Roman"/>
          <w:sz w:val="20"/>
          <w:szCs w:val="20"/>
        </w:rPr>
        <w:t>: 1714‐ 1723.</w:t>
      </w:r>
      <w:hyperlink r:id="rId378"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79"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80"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81" w:history="1">
        <w:r w:rsidRPr="00A729F7">
          <w:rPr>
            <w:rStyle w:val="Hyperlink"/>
            <w:rFonts w:ascii="Times New Roman" w:hAnsi="Times New Roman"/>
            <w:sz w:val="20"/>
            <w:szCs w:val="20"/>
          </w:rPr>
          <w:t>Web of Science®</w:t>
        </w:r>
      </w:hyperlink>
      <w:hyperlink r:id="rId382"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lang w:val="en-GB"/>
        </w:rPr>
        <w:t>151.</w:t>
      </w:r>
      <w:r w:rsidRPr="00A729F7">
        <w:rPr>
          <w:rFonts w:ascii="Times New Roman" w:hAnsi="Times New Roman" w:cs="Times New Roman"/>
          <w:sz w:val="20"/>
          <w:szCs w:val="20"/>
        </w:rPr>
        <w:t>Cayrol C, Girard JP. IL‐33: An alarmin cytokine with crucial roles in innate immunity, inflammation and allergy. </w:t>
      </w:r>
      <w:r w:rsidRPr="00A729F7">
        <w:rPr>
          <w:rFonts w:ascii="Times New Roman" w:hAnsi="Times New Roman" w:cs="Times New Roman"/>
          <w:i/>
          <w:iCs/>
          <w:sz w:val="20"/>
          <w:szCs w:val="20"/>
        </w:rPr>
        <w:t>Curr Opin Immunol</w:t>
      </w:r>
      <w:r w:rsidRPr="00A729F7">
        <w:rPr>
          <w:rFonts w:ascii="Times New Roman" w:hAnsi="Times New Roman" w:cs="Times New Roman"/>
          <w:sz w:val="20"/>
          <w:szCs w:val="20"/>
        </w:rPr>
        <w:t>. 2014; </w:t>
      </w:r>
      <w:r w:rsidRPr="00A729F7">
        <w:rPr>
          <w:rFonts w:ascii="Times New Roman" w:hAnsi="Times New Roman" w:cs="Times New Roman"/>
          <w:b/>
          <w:bCs/>
          <w:sz w:val="20"/>
          <w:szCs w:val="20"/>
        </w:rPr>
        <w:t>31C</w:t>
      </w:r>
      <w:r w:rsidRPr="00A729F7">
        <w:rPr>
          <w:rFonts w:ascii="Times New Roman" w:hAnsi="Times New Roman" w:cs="Times New Roman"/>
          <w:sz w:val="20"/>
          <w:szCs w:val="20"/>
        </w:rPr>
        <w:t>: 31‐ 37.</w:t>
      </w:r>
      <w:hyperlink r:id="rId383"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84"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85" w:history="1">
        <w:r w:rsidRPr="00A729F7">
          <w:rPr>
            <w:rStyle w:val="Hyperlink"/>
            <w:rFonts w:ascii="Times New Roman" w:hAnsi="Times New Roman"/>
            <w:sz w:val="20"/>
            <w:szCs w:val="20"/>
          </w:rPr>
          <w:t>Web of Science®</w:t>
        </w:r>
      </w:hyperlink>
      <w:hyperlink r:id="rId386"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152.Molofsky AB, Savage AK, Locksley RM. Interleukin‐33 in tissue homeostasis, injury, and inflammation. </w:t>
      </w:r>
      <w:r w:rsidRPr="00A729F7">
        <w:rPr>
          <w:rFonts w:ascii="Times New Roman" w:hAnsi="Times New Roman" w:cs="Times New Roman"/>
          <w:i/>
          <w:iCs/>
          <w:sz w:val="20"/>
          <w:szCs w:val="20"/>
        </w:rPr>
        <w:t>Immunity</w:t>
      </w:r>
      <w:r w:rsidRPr="00A729F7">
        <w:rPr>
          <w:rFonts w:ascii="Times New Roman" w:hAnsi="Times New Roman" w:cs="Times New Roman"/>
          <w:sz w:val="20"/>
          <w:szCs w:val="20"/>
        </w:rPr>
        <w:t>. 2015; </w:t>
      </w:r>
      <w:r w:rsidRPr="00A729F7">
        <w:rPr>
          <w:rFonts w:ascii="Times New Roman" w:hAnsi="Times New Roman" w:cs="Times New Roman"/>
          <w:b/>
          <w:bCs/>
          <w:sz w:val="20"/>
          <w:szCs w:val="20"/>
        </w:rPr>
        <w:t>42</w:t>
      </w:r>
      <w:r w:rsidRPr="00A729F7">
        <w:rPr>
          <w:rFonts w:ascii="Times New Roman" w:hAnsi="Times New Roman" w:cs="Times New Roman"/>
          <w:sz w:val="20"/>
          <w:szCs w:val="20"/>
        </w:rPr>
        <w:t>: 1005‐ 1019.</w:t>
      </w:r>
      <w:hyperlink r:id="rId387"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88"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89"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90" w:history="1">
        <w:r w:rsidRPr="00A729F7">
          <w:rPr>
            <w:rStyle w:val="Hyperlink"/>
            <w:rFonts w:ascii="Times New Roman" w:hAnsi="Times New Roman"/>
            <w:sz w:val="20"/>
            <w:szCs w:val="20"/>
          </w:rPr>
          <w:t>Web of Science®</w:t>
        </w:r>
      </w:hyperlink>
      <w:hyperlink r:id="rId391"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153. Liew FY, Girard JP, Turnquist HR. Interleukin‐33 in health and disease. </w:t>
      </w:r>
      <w:r w:rsidRPr="00A729F7">
        <w:rPr>
          <w:rFonts w:ascii="Times New Roman" w:hAnsi="Times New Roman" w:cs="Times New Roman"/>
          <w:i/>
          <w:iCs/>
          <w:sz w:val="20"/>
          <w:szCs w:val="20"/>
        </w:rPr>
        <w:t>Nat Rev Immunol</w:t>
      </w:r>
      <w:r w:rsidRPr="00A729F7">
        <w:rPr>
          <w:rFonts w:ascii="Times New Roman" w:hAnsi="Times New Roman" w:cs="Times New Roman"/>
          <w:sz w:val="20"/>
          <w:szCs w:val="20"/>
        </w:rPr>
        <w:t>. 2016; </w:t>
      </w:r>
      <w:r w:rsidRPr="00A729F7">
        <w:rPr>
          <w:rFonts w:ascii="Times New Roman" w:hAnsi="Times New Roman" w:cs="Times New Roman"/>
          <w:b/>
          <w:bCs/>
          <w:sz w:val="20"/>
          <w:szCs w:val="20"/>
        </w:rPr>
        <w:t>16</w:t>
      </w:r>
      <w:r w:rsidRPr="00A729F7">
        <w:rPr>
          <w:rFonts w:ascii="Times New Roman" w:hAnsi="Times New Roman" w:cs="Times New Roman"/>
          <w:sz w:val="20"/>
          <w:szCs w:val="20"/>
        </w:rPr>
        <w:t>: 676‐ 689.</w:t>
      </w:r>
      <w:hyperlink r:id="rId392"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93"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94"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395" w:history="1">
        <w:r w:rsidRPr="00A729F7">
          <w:rPr>
            <w:rStyle w:val="Hyperlink"/>
            <w:rFonts w:ascii="Times New Roman" w:hAnsi="Times New Roman"/>
            <w:sz w:val="20"/>
            <w:szCs w:val="20"/>
          </w:rPr>
          <w:t>Web of Science®</w:t>
        </w:r>
      </w:hyperlink>
      <w:hyperlink r:id="rId396"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154.Moro K, Yamada T, Tanabe M, et al. Innate production of T(H)2 cytokines by adipose tissue‐associated c‐Kit(+)Sca‐1(+) lymphoid cells. </w:t>
      </w:r>
      <w:r w:rsidRPr="00A729F7">
        <w:rPr>
          <w:rFonts w:ascii="Times New Roman" w:hAnsi="Times New Roman" w:cs="Times New Roman"/>
          <w:i/>
          <w:iCs/>
          <w:sz w:val="20"/>
          <w:szCs w:val="20"/>
        </w:rPr>
        <w:t>Nature</w:t>
      </w:r>
      <w:r w:rsidRPr="00A729F7">
        <w:rPr>
          <w:rFonts w:ascii="Times New Roman" w:hAnsi="Times New Roman" w:cs="Times New Roman"/>
          <w:sz w:val="20"/>
          <w:szCs w:val="20"/>
        </w:rPr>
        <w:t>. 2010; </w:t>
      </w:r>
      <w:r w:rsidRPr="00A729F7">
        <w:rPr>
          <w:rFonts w:ascii="Times New Roman" w:hAnsi="Times New Roman" w:cs="Times New Roman"/>
          <w:b/>
          <w:bCs/>
          <w:sz w:val="20"/>
          <w:szCs w:val="20"/>
        </w:rPr>
        <w:t>463</w:t>
      </w:r>
      <w:r w:rsidRPr="00A729F7">
        <w:rPr>
          <w:rFonts w:ascii="Times New Roman" w:hAnsi="Times New Roman" w:cs="Times New Roman"/>
          <w:sz w:val="20"/>
          <w:szCs w:val="20"/>
        </w:rPr>
        <w:t>: 540‐ 544.</w:t>
      </w:r>
      <w:hyperlink r:id="rId397"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398"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399"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400" w:history="1">
        <w:r w:rsidRPr="00A729F7">
          <w:rPr>
            <w:rStyle w:val="Hyperlink"/>
            <w:rFonts w:ascii="Times New Roman" w:hAnsi="Times New Roman"/>
            <w:sz w:val="20"/>
            <w:szCs w:val="20"/>
          </w:rPr>
          <w:t>Web of Science®</w:t>
        </w:r>
      </w:hyperlink>
      <w:hyperlink r:id="rId401"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155.Neill DR, Wong SH, Bellosi A, et al. Nuocytes represent a new innate effector leukocyte that mediates type‐2 immunity. </w:t>
      </w:r>
      <w:r w:rsidRPr="00A729F7">
        <w:rPr>
          <w:rFonts w:ascii="Times New Roman" w:hAnsi="Times New Roman" w:cs="Times New Roman"/>
          <w:i/>
          <w:iCs/>
          <w:sz w:val="20"/>
          <w:szCs w:val="20"/>
        </w:rPr>
        <w:t>Nature</w:t>
      </w:r>
      <w:r w:rsidRPr="00A729F7">
        <w:rPr>
          <w:rFonts w:ascii="Times New Roman" w:hAnsi="Times New Roman" w:cs="Times New Roman"/>
          <w:sz w:val="20"/>
          <w:szCs w:val="20"/>
        </w:rPr>
        <w:t>. 2010; </w:t>
      </w:r>
      <w:r w:rsidRPr="00A729F7">
        <w:rPr>
          <w:rFonts w:ascii="Times New Roman" w:hAnsi="Times New Roman" w:cs="Times New Roman"/>
          <w:b/>
          <w:bCs/>
          <w:sz w:val="20"/>
          <w:szCs w:val="20"/>
        </w:rPr>
        <w:t>464</w:t>
      </w:r>
      <w:r w:rsidRPr="00A729F7">
        <w:rPr>
          <w:rFonts w:ascii="Times New Roman" w:hAnsi="Times New Roman" w:cs="Times New Roman"/>
          <w:sz w:val="20"/>
          <w:szCs w:val="20"/>
        </w:rPr>
        <w:t>: 1367‐ 1370.</w:t>
      </w:r>
      <w:hyperlink r:id="rId402"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403"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404"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405" w:history="1">
        <w:r w:rsidRPr="00A729F7">
          <w:rPr>
            <w:rStyle w:val="Hyperlink"/>
            <w:rFonts w:ascii="Times New Roman" w:hAnsi="Times New Roman"/>
            <w:sz w:val="20"/>
            <w:szCs w:val="20"/>
          </w:rPr>
          <w:t>Web of Science®</w:t>
        </w:r>
      </w:hyperlink>
      <w:hyperlink r:id="rId406"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156. Price AE, Liang HE, Sullivan BM, et al. Systemically dispersed innate IL‐13‐expressing cells in type 2 immunity. </w:t>
      </w:r>
      <w:r w:rsidRPr="00A729F7">
        <w:rPr>
          <w:rFonts w:ascii="Times New Roman" w:hAnsi="Times New Roman" w:cs="Times New Roman"/>
          <w:i/>
          <w:iCs/>
          <w:sz w:val="20"/>
          <w:szCs w:val="20"/>
        </w:rPr>
        <w:t>Proc Natl Acad Sci USA</w:t>
      </w:r>
      <w:r w:rsidRPr="00A729F7">
        <w:rPr>
          <w:rFonts w:ascii="Times New Roman" w:hAnsi="Times New Roman" w:cs="Times New Roman"/>
          <w:sz w:val="20"/>
          <w:szCs w:val="20"/>
        </w:rPr>
        <w:t>. 2010; </w:t>
      </w:r>
      <w:r w:rsidRPr="00A729F7">
        <w:rPr>
          <w:rFonts w:ascii="Times New Roman" w:hAnsi="Times New Roman" w:cs="Times New Roman"/>
          <w:b/>
          <w:bCs/>
          <w:sz w:val="20"/>
          <w:szCs w:val="20"/>
        </w:rPr>
        <w:t>107</w:t>
      </w:r>
      <w:r w:rsidRPr="00A729F7">
        <w:rPr>
          <w:rFonts w:ascii="Times New Roman" w:hAnsi="Times New Roman" w:cs="Times New Roman"/>
          <w:sz w:val="20"/>
          <w:szCs w:val="20"/>
        </w:rPr>
        <w:t>: 11489‐ 11494.</w:t>
      </w:r>
      <w:hyperlink r:id="rId407"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408"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409"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410" w:history="1">
        <w:r w:rsidRPr="00A729F7">
          <w:rPr>
            <w:rStyle w:val="Hyperlink"/>
            <w:rFonts w:ascii="Times New Roman" w:hAnsi="Times New Roman"/>
            <w:sz w:val="20"/>
            <w:szCs w:val="20"/>
          </w:rPr>
          <w:t>Web of Science®</w:t>
        </w:r>
      </w:hyperlink>
      <w:hyperlink r:id="rId411"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157. Mjosberg JM, Trifari S, Crellin NK, et al. Human IL‐25‐ and IL‐33‐responsive type 2 innate lymphoid cells are defined by expression of CRTH2 and CD161. </w:t>
      </w:r>
      <w:r w:rsidRPr="00A729F7">
        <w:rPr>
          <w:rFonts w:ascii="Times New Roman" w:hAnsi="Times New Roman" w:cs="Times New Roman"/>
          <w:i/>
          <w:iCs/>
          <w:sz w:val="20"/>
          <w:szCs w:val="20"/>
        </w:rPr>
        <w:t>Nat Immunol</w:t>
      </w:r>
      <w:r w:rsidRPr="00A729F7">
        <w:rPr>
          <w:rFonts w:ascii="Times New Roman" w:hAnsi="Times New Roman" w:cs="Times New Roman"/>
          <w:sz w:val="20"/>
          <w:szCs w:val="20"/>
        </w:rPr>
        <w:t>. 2011; </w:t>
      </w:r>
      <w:r w:rsidRPr="00A729F7">
        <w:rPr>
          <w:rFonts w:ascii="Times New Roman" w:hAnsi="Times New Roman" w:cs="Times New Roman"/>
          <w:b/>
          <w:bCs/>
          <w:sz w:val="20"/>
          <w:szCs w:val="20"/>
        </w:rPr>
        <w:t>12</w:t>
      </w:r>
      <w:r w:rsidRPr="00A729F7">
        <w:rPr>
          <w:rFonts w:ascii="Times New Roman" w:hAnsi="Times New Roman" w:cs="Times New Roman"/>
          <w:sz w:val="20"/>
          <w:szCs w:val="20"/>
        </w:rPr>
        <w:t>: 1055‐ 1062.</w:t>
      </w:r>
      <w:hyperlink r:id="rId412" w:history="1">
        <w:r w:rsidRPr="00A729F7">
          <w:rPr>
            <w:rStyle w:val="Hyperlink"/>
            <w:rFonts w:ascii="Times New Roman" w:hAnsi="Times New Roman"/>
            <w:sz w:val="20"/>
            <w:szCs w:val="20"/>
          </w:rPr>
          <w:t>Crossref</w:t>
        </w:r>
      </w:hyperlink>
      <w:r w:rsidRPr="00A729F7">
        <w:rPr>
          <w:rFonts w:ascii="Times New Roman" w:hAnsi="Times New Roman" w:cs="Times New Roman"/>
          <w:sz w:val="20"/>
          <w:szCs w:val="20"/>
        </w:rPr>
        <w:t> </w:t>
      </w:r>
      <w:hyperlink r:id="rId413" w:history="1">
        <w:r w:rsidRPr="00A729F7">
          <w:rPr>
            <w:rStyle w:val="Hyperlink"/>
            <w:rFonts w:ascii="Times New Roman" w:hAnsi="Times New Roman"/>
            <w:sz w:val="20"/>
            <w:szCs w:val="20"/>
          </w:rPr>
          <w:t>CAS</w:t>
        </w:r>
      </w:hyperlink>
      <w:r w:rsidRPr="00A729F7">
        <w:rPr>
          <w:rFonts w:ascii="Times New Roman" w:hAnsi="Times New Roman" w:cs="Times New Roman"/>
          <w:sz w:val="20"/>
          <w:szCs w:val="20"/>
        </w:rPr>
        <w:t> </w:t>
      </w:r>
      <w:hyperlink r:id="rId414"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415" w:history="1">
        <w:r w:rsidRPr="00A729F7">
          <w:rPr>
            <w:rStyle w:val="Hyperlink"/>
            <w:rFonts w:ascii="Times New Roman" w:hAnsi="Times New Roman"/>
            <w:sz w:val="20"/>
            <w:szCs w:val="20"/>
          </w:rPr>
          <w:t>Web of Science®</w:t>
        </w:r>
      </w:hyperlink>
      <w:hyperlink r:id="rId416" w:tgtFrame="_blank" w:history="1">
        <w:r w:rsidRPr="00A729F7">
          <w:rPr>
            <w:rStyle w:val="Hyperlink"/>
            <w:rFonts w:ascii="Times New Roman" w:hAnsi="Times New Roman"/>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158. Roussel L, Erard M, Cayrol C, Girard JP. Molecular mimicry between IL-33 and KSHV for attachment to chromatin through the H2A-H2B acidic pocket. EMBO Rep 2008; 9:1006-12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159. Bianchi ME. DAMPs, PAMPs alarmins: all we need to know about danger. J Leukoc Biol 2007;81:1-5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160. Luthi AU, Cullen SP, McNeela EA et al. Suppression of interleukin-33 bioactivity through proteolysis by apoptotic caspases. Immunity 2009;31:84-98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161. Cayrol C, Girard JP. The IL-1-like cytokine IL-33 is inactivated after maturation by caspase-1. Proc Natl Acad Sci U S A 2009;106:9021-6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162. Talabot-Ayer D, Lamacchia C, Gabay C, Palmer G. Interleukin-33 is biologically active independently of caspase-1 cleavage. J Biol Chem 2009;284:19420-6.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163. Bleriot C, Dupuis T, Jouvion G, Eberl G, Disson O, Lecuit M (2015) Liver-resident macrophage necroptosis orchestrates type 1 microbicidal inflammation and type-2-mediated tissue repair during bacterial infection. Immunity 42:145–158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164. Rickard JA, O'Donnell JA, Evans JM et al (2014) RIPK1 regulates RIPK3-MLKL-driven systemic inflammation and emergency hematopoiesis.Cell 157:1175–1188.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165. Bessa J, Meyer CA, de Vera Mudry MC, Schlicht S, Smith SH, Iglesias A, Cote-Sierra J (2014) Altered subcellular localization of IL-33 leads to non-resolving lethal inflammation. J Autoimmun 55: 33–41.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166. Schiering C, Krausgruber T, Chomka A et al (2014) The alarmin IL33 promotes regulatory T-cell function in the intestine. Nature 513: 564–568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167. Kolodin D, van Panhuys N, Li C, Magnuson AM, Cipolletta D, Miller CM, Wagers A, Germain RN, Benoist C, Mathis D (2015) Antigen- and cytokine-driven accumulation of regulatory T cells in visceral adipose tissue of lean mice. Cell Metab 21:543–557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168. Matta BM, Lott JM, Mathews LR, Liu Q, Rosborough BR, Blazar BR, Turnquist HR (2014) IL-33 is an unconventional alarmin that stimulates IL-2 secretion by dendritic cells to selectively expand IL33R/ST2+ regulatory T cells. J Immunol 193:4010–4020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169. Molofsky AB, Van Gool F, Liang HE, Van Dyken SJ, Nussbaum JC, Lee J, Bluestone JA, Locksley RM (2015) Interleukin-33 and interferon-gamma counter-regulate group 2 innate lymphoid cell activation during immune perturbation. Immunity 43:161–174.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170. Brunner SM, Schiechl G, Falk W, Schlitt HJ, Geissler EK, FichtnerFeigl S (2011) Interleukin-33 prolongs allograft survival during chronic cardiac rejection. Transpl Int 24:1027–1039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171. Turnquist HR, Zhao Z, Rosborough BR et al (2011) IL-33 expands suppressive CD11b + Gr-1(int) and regulatory T cells, including ST2L+ Foxp3+ cells, and mediates regulatory T cell-dependent promotion of cardiac allograft survival. J Immunol 187:4598–4610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172. Yin H, Li X, Hu S, Liu T, Yuan B, Gu H, Ni Q, Zhang X, Zheng F (2013) IL-33 accelerates cutaneous wound healing involved in upregulation of alternatively activated macrophages. Mol Immunol 56:347–353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173. Rak GD, Osborne LC, Siracusa MC, Kim BS, Wang K, Bayat A, Artis D, Volk SW (2015) IL-33-dependent group 2 innate lymphoid  cells promote cutaneous wound healing. J Investig Dermatol. doi: 10.1038/jid.2015.406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174. Lecart S, Lecointe N, Subramaniam A et al. Activated, but not resting human Th2 cells, in contrast to Th1 and T regulatory cells, produce soluble ST2 and express low levels of ST2L at the cell surface. Eur J Immunol 2002;32: 2979-87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175. Nakae S, Iwakura Y, Suto H, Galli SJ. Phenotypic differences between Th1 and Th17 cells and negative regulation of Th1 cell differentiation by IL-17. J Leukoc Biol 2007;81:1258-68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 xml:space="preserve">176. Hoshino K, Kashiwamura S, Kuribayashi K et al. The absence of interleukin 1 receptor-related T1/ST2 does not affect T helper cell type 2 development and its effector function. J Exp Med 1999;190:1541-8 Allergology International Vol 59, J Exp Med 1999;190:1541-8.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177. Townsend MJ, Fallon PG, Matthews DJ, Jolin HE, McKenzie AN. T1ST2-deficient mice demonstrate the importance of T1/ST2 in developing primary T helper cell type 2 responses. J Exp Med 2000;191:1069-76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178. Kondo Y, Yoshimoto T, Yasuda K et al. Administration of IL-33 induces airway hyperresponsiveness and goblet cell hyperplasia in the lungs in the absence of adaptive immune system. Int Immunol 2008;20:791-800.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179. Kurowska-Stolarska M, Kewin P, Murphy G et al. IL-33 induces antigen-specific IL-5+ T cells and promotes allergicinduced airway inflammation independent of IL-4. J Immunol 2008;181:4780-90.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180. Komai-Koma M, Xu D, Li Y, McKenzie AN, McInnes IB, Liew FY. IL-33 is a chemoattractant for human Th2 cells. Eur J Immunol 2007;37:2779-86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181. Moritz DR, Rodewald HR, Gheyselinck J, Klemenz R. The IL-1 receptor-related T1 antigen is expressed on immature and mature mast cells and on fetal blood mast cell progenitors. J Immunol 1998;161:4866-74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182. Chen CC, Grimbaldeston MA, Tsai M, Weissman IL, Galli SJ. Identification of mast cell progenitors in adult mice. Proc Natl Acad Sci U S A 2005;102:11408-13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183. Iikura M, Suto H, Kajiwara N et al. IL-33 can promote survival, adhesion and cytokine production in human mast cells. Lab Invest 2007;87:971-8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184. Allakhverdi Z, Smith DE, Comeau MR, Delespesse G. Cutting edge: The ST2 ligand IL-33 potently activates and drives maturation of human mast cells. J Immunol 2007; 179:2051-4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185. Ho LH, Ohno T, Oboki K et al. IL-33 induces IL-13 production by mouse mast cells independently of IgEFcepsilonRI signals. J Leukoc Biol 2007;82:1481-90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186. Moulin D, Donze O, Talabot-Ayer D, Mezin F, Palmer G, Gabay C. Interleukin (IL)-33 induces the release of pro inflammatory mediators by mast cells. Cytokine 2007;40: 216-25</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187. Suzukawa M, Iikura M, Koketsu R et al. An IL-1 cytokine member, IL-33, induces human basophil activation via its ST2 receptor. J Immunol 2008;181:5981-9</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188. Schneider E, Petit-Bertron AF, Bricard R et al. IL-33 Activates unprimed murine basophils directly in vitro and induces their in vivo expansion indirectly by promoting hematopoietic growth factor production. J Immunol 2009; 183:3591-7</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189. Cherry WB, Yoon J, Bartemes KR, Iijima K, Kita H. A novel IL-1 family cytokine, IL-33, potently activates human eosinophils. J Allergy Clin Immunol 2008;121:1484-90. 49. Suzukawa M, Koketsu R, Iikura M et al. Interleukin-33 enhances adhesion, CD11b expression and survival in human eosinophils. Lab Invest 2008;88:1245-53</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190. Chan WL, Pejnovic N, Lee CA, Al-Ali NA. Human IL-18 receptor and ST2L are stable and selective markers for the respective type 1 and type 2 circulating lymphocytes. J Immunol 2001;167:1238-44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191. Smithgall MD, Comeau MR, Yoon BR, Kaufman D, Armitage R, Smith DE. IL-33 amplifies both Th1- and Th2-type responses through its activity on human basophils, allergen-reactive Th2 cells, iNKT and NK cells. Int Immunol 2008;20:1019-30</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t>192. Mayuzumi N, Matsushima H, Takashima A. IL-33 promotes DC development in BM culture by triggering GMCSF production. Eur J Immunol 2009;39:3331-42</w:t>
      </w:r>
    </w:p>
    <w:p w:rsidR="00A729F7" w:rsidRPr="00A729F7" w:rsidRDefault="00A729F7" w:rsidP="00A729F7">
      <w:pPr>
        <w:shd w:val="clear" w:color="auto" w:fill="FFFFFF"/>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193. Rank MA, Kobayashi T, Kozaki H, Bartemes KR, Squillace DL, Kita H. IL-33-activated dendritic cells induce an atypical TH2-type response. J Allergy Clin Immunol 2009; 123:1047-54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194. Sweet MJ, Leung BP, Kang D et al. A novel pathway regulating lipopolysaccharide-induced shock by ST2/T1 via inhibition of Toll-like receptor 4 expression. J Immunol 2001;166:6633-9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195. Oshikawa K, Yanagisawa K, Tominaga S, Sugiyama Y. ST 2 protein induced by inflammatory stimuli can modulate acute lung inflammation. Biochem Biophys Res Commun 2002;299:18-24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196. Kumar S, Tzimas MN, Griswold DE, Young PR. Expression of ST2, an interleukin-1 receptor homologue, is induced by proinflammatory stimuli. Biochem Biophys Res Commun 1997;235:474-8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197. Saccani S, Polentarutti N, Penton-Rol G, Sims JE, Mantovani A. Divergent effects of LPS on expression of IL-1 receptor family members in mononuclear phagocytes in vitro and in vivo. Cytokine 1998;10:773-80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198. Griesenauer B, Paczesny S. The ST2/IL-33 axis in immune cells during infammatory diseases. Front Immunol. 2017. https://doi.org/10.3389/ fmmu.2017.00475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199. Zhao XY, Zhou L, Chen Z, Ji Y, Peng X, Qi L, et al. The obesity-induced adipokine sST2 exacerbates adipose T and ILC2 depletion and promotes insulin resistance. Sci Adv. 2020;20:eaay6191 </w:t>
      </w:r>
      <w:hyperlink r:id="rId417" w:history="1">
        <w:r w:rsidRPr="00A729F7">
          <w:rPr>
            <w:rStyle w:val="Hyperlink"/>
            <w:rFonts w:ascii="Times New Roman" w:hAnsi="Times New Roman"/>
            <w:sz w:val="20"/>
            <w:szCs w:val="20"/>
          </w:rPr>
          <w:t>https://doi.org/10.1126/</w:t>
        </w:r>
      </w:hyperlink>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shd w:val="clear" w:color="auto" w:fill="FFFFFF"/>
        </w:rPr>
        <w:t>200.</w:t>
      </w:r>
      <w:r w:rsidRPr="00A729F7">
        <w:rPr>
          <w:rStyle w:val="authors-list-item"/>
          <w:rFonts w:ascii="Times New Roman" w:hAnsi="Times New Roman" w:cs="Times New Roman"/>
          <w:color w:val="000000"/>
          <w:sz w:val="20"/>
          <w:szCs w:val="20"/>
          <w:u w:val="single" w:color="FFFFFF"/>
        </w:rPr>
        <w:t xml:space="preserve"> Ashley M Milleр, </w:t>
      </w:r>
      <w:hyperlink r:id="rId418" w:history="1">
        <w:r w:rsidRPr="00A729F7">
          <w:rPr>
            <w:rStyle w:val="Hyperlink"/>
            <w:rFonts w:ascii="Times New Roman" w:hAnsi="Times New Roman"/>
            <w:color w:val="000000"/>
            <w:sz w:val="20"/>
            <w:szCs w:val="20"/>
            <w:u w:color="FFFFFF"/>
          </w:rPr>
          <w:t>Darren L Asquith</w:t>
        </w:r>
      </w:hyperlink>
      <w:r w:rsidRPr="00A729F7">
        <w:rPr>
          <w:rStyle w:val="comma"/>
          <w:rFonts w:ascii="Times New Roman" w:hAnsi="Times New Roman" w:cs="Times New Roman"/>
          <w:color w:val="000000"/>
          <w:sz w:val="20"/>
          <w:szCs w:val="20"/>
          <w:u w:val="single" w:color="FFFFFF"/>
        </w:rPr>
        <w:t>, </w:t>
      </w:r>
      <w:hyperlink r:id="rId419" w:history="1">
        <w:r w:rsidRPr="00A729F7">
          <w:rPr>
            <w:rStyle w:val="Hyperlink"/>
            <w:rFonts w:ascii="Times New Roman" w:hAnsi="Times New Roman"/>
            <w:color w:val="000000"/>
            <w:sz w:val="20"/>
            <w:szCs w:val="20"/>
            <w:u w:color="FFFFFF"/>
          </w:rPr>
          <w:t>Axel J Hueber</w:t>
        </w:r>
      </w:hyperlink>
      <w:r w:rsidRPr="00A729F7">
        <w:rPr>
          <w:rStyle w:val="comma"/>
          <w:rFonts w:ascii="Times New Roman" w:hAnsi="Times New Roman" w:cs="Times New Roman"/>
          <w:color w:val="000000"/>
          <w:sz w:val="20"/>
          <w:szCs w:val="20"/>
          <w:u w:val="single" w:color="FFFFFF"/>
        </w:rPr>
        <w:t>, </w:t>
      </w:r>
      <w:hyperlink r:id="rId420" w:history="1">
        <w:r w:rsidRPr="00A729F7">
          <w:rPr>
            <w:rStyle w:val="Hyperlink"/>
            <w:rFonts w:ascii="Times New Roman" w:hAnsi="Times New Roman"/>
            <w:color w:val="000000"/>
            <w:sz w:val="20"/>
            <w:szCs w:val="20"/>
            <w:u w:color="FFFFFF"/>
          </w:rPr>
          <w:t>Lesley A Anderson</w:t>
        </w:r>
      </w:hyperlink>
      <w:r w:rsidRPr="00A729F7">
        <w:rPr>
          <w:rStyle w:val="comma"/>
          <w:rFonts w:ascii="Times New Roman" w:hAnsi="Times New Roman" w:cs="Times New Roman"/>
          <w:color w:val="000000"/>
          <w:sz w:val="20"/>
          <w:szCs w:val="20"/>
          <w:u w:val="single" w:color="FFFFFF"/>
        </w:rPr>
        <w:t>, </w:t>
      </w:r>
      <w:hyperlink r:id="rId421" w:history="1">
        <w:r w:rsidRPr="00A729F7">
          <w:rPr>
            <w:rStyle w:val="Hyperlink"/>
            <w:rFonts w:ascii="Times New Roman" w:hAnsi="Times New Roman"/>
            <w:color w:val="000000"/>
            <w:sz w:val="20"/>
            <w:szCs w:val="20"/>
            <w:u w:color="FFFFFF"/>
          </w:rPr>
          <w:t>William M Holmes</w:t>
        </w:r>
      </w:hyperlink>
      <w:r w:rsidRPr="00A729F7">
        <w:rPr>
          <w:rStyle w:val="comma"/>
          <w:rFonts w:ascii="Times New Roman" w:hAnsi="Times New Roman" w:cs="Times New Roman"/>
          <w:color w:val="000000"/>
          <w:sz w:val="20"/>
          <w:szCs w:val="20"/>
          <w:u w:val="single" w:color="FFFFFF"/>
        </w:rPr>
        <w:t>, </w:t>
      </w:r>
      <w:hyperlink r:id="rId422" w:history="1">
        <w:r w:rsidRPr="00A729F7">
          <w:rPr>
            <w:rStyle w:val="Hyperlink"/>
            <w:rFonts w:ascii="Times New Roman" w:hAnsi="Times New Roman"/>
            <w:color w:val="000000"/>
            <w:sz w:val="20"/>
            <w:szCs w:val="20"/>
            <w:u w:color="FFFFFF"/>
          </w:rPr>
          <w:t>Andrew N McKenzie</w:t>
        </w:r>
      </w:hyperlink>
      <w:r w:rsidRPr="00A729F7">
        <w:rPr>
          <w:rStyle w:val="comma"/>
          <w:rFonts w:ascii="Times New Roman" w:hAnsi="Times New Roman" w:cs="Times New Roman"/>
          <w:color w:val="000000"/>
          <w:sz w:val="20"/>
          <w:szCs w:val="20"/>
          <w:u w:val="single" w:color="FFFFFF"/>
        </w:rPr>
        <w:t>, </w:t>
      </w:r>
      <w:hyperlink r:id="rId423" w:history="1">
        <w:r w:rsidRPr="00A729F7">
          <w:rPr>
            <w:rStyle w:val="Hyperlink"/>
            <w:rFonts w:ascii="Times New Roman" w:hAnsi="Times New Roman"/>
            <w:color w:val="000000"/>
            <w:sz w:val="20"/>
            <w:szCs w:val="20"/>
            <w:u w:color="FFFFFF"/>
          </w:rPr>
          <w:t>Damo Xu</w:t>
        </w:r>
      </w:hyperlink>
      <w:r w:rsidRPr="00A729F7">
        <w:rPr>
          <w:rStyle w:val="comma"/>
          <w:rFonts w:ascii="Times New Roman" w:hAnsi="Times New Roman" w:cs="Times New Roman"/>
          <w:color w:val="000000"/>
          <w:sz w:val="20"/>
          <w:szCs w:val="20"/>
          <w:u w:val="single" w:color="FFFFFF"/>
        </w:rPr>
        <w:t>, </w:t>
      </w:r>
      <w:hyperlink r:id="rId424" w:history="1">
        <w:r w:rsidRPr="00A729F7">
          <w:rPr>
            <w:rStyle w:val="Hyperlink"/>
            <w:rFonts w:ascii="Times New Roman" w:hAnsi="Times New Roman"/>
            <w:color w:val="000000"/>
            <w:sz w:val="20"/>
            <w:szCs w:val="20"/>
            <w:u w:color="FFFFFF"/>
          </w:rPr>
          <w:t>Naveed Sattar</w:t>
        </w:r>
      </w:hyperlink>
      <w:r w:rsidRPr="00A729F7">
        <w:rPr>
          <w:rStyle w:val="comma"/>
          <w:rFonts w:ascii="Times New Roman" w:hAnsi="Times New Roman" w:cs="Times New Roman"/>
          <w:color w:val="000000"/>
          <w:sz w:val="20"/>
          <w:szCs w:val="20"/>
          <w:u w:val="single" w:color="FFFFFF"/>
        </w:rPr>
        <w:t>, </w:t>
      </w:r>
      <w:hyperlink r:id="rId425" w:history="1">
        <w:r w:rsidRPr="00A729F7">
          <w:rPr>
            <w:rStyle w:val="Hyperlink"/>
            <w:rFonts w:ascii="Times New Roman" w:hAnsi="Times New Roman"/>
            <w:color w:val="000000"/>
            <w:sz w:val="20"/>
            <w:szCs w:val="20"/>
            <w:u w:color="FFFFFF"/>
          </w:rPr>
          <w:t>Iain B McInnes</w:t>
        </w:r>
      </w:hyperlink>
      <w:r w:rsidRPr="00A729F7">
        <w:rPr>
          <w:rStyle w:val="comma"/>
          <w:rFonts w:ascii="Times New Roman" w:hAnsi="Times New Roman" w:cs="Times New Roman"/>
          <w:color w:val="000000"/>
          <w:sz w:val="20"/>
          <w:szCs w:val="20"/>
          <w:u w:val="single" w:color="FFFFFF"/>
        </w:rPr>
        <w:t>, </w:t>
      </w:r>
      <w:hyperlink r:id="rId426" w:history="1">
        <w:r w:rsidRPr="00A729F7">
          <w:rPr>
            <w:rStyle w:val="Hyperlink"/>
            <w:rFonts w:ascii="Times New Roman" w:hAnsi="Times New Roman"/>
            <w:color w:val="000000"/>
            <w:sz w:val="20"/>
            <w:szCs w:val="20"/>
            <w:u w:color="FFFFFF"/>
          </w:rPr>
          <w:t>Foo Y Liew</w:t>
        </w:r>
      </w:hyperlink>
      <w:r w:rsidRPr="00A729F7">
        <w:rPr>
          <w:rStyle w:val="authors-list-item"/>
          <w:rFonts w:ascii="Times New Roman" w:hAnsi="Times New Roman" w:cs="Times New Roman"/>
          <w:color w:val="000000"/>
          <w:sz w:val="20"/>
          <w:szCs w:val="20"/>
          <w:u w:val="single" w:color="FFFFFF"/>
        </w:rPr>
        <w:t>,</w:t>
      </w:r>
      <w:r w:rsidRPr="00A729F7">
        <w:rPr>
          <w:rFonts w:ascii="Times New Roman" w:hAnsi="Times New Roman" w:cs="Times New Roman"/>
          <w:color w:val="212121"/>
          <w:sz w:val="20"/>
          <w:szCs w:val="20"/>
        </w:rPr>
        <w:t xml:space="preserve"> Interleukin-33 induces protective effects in adipose tissue inflammation during obesity in mice, </w:t>
      </w:r>
      <w:r w:rsidRPr="00A729F7">
        <w:rPr>
          <w:rFonts w:ascii="Times New Roman" w:hAnsi="Times New Roman" w:cs="Times New Roman"/>
          <w:color w:val="000000"/>
          <w:sz w:val="20"/>
          <w:szCs w:val="20"/>
        </w:rPr>
        <w:t>Circ Res</w:t>
      </w:r>
      <w:r w:rsidRPr="00A729F7">
        <w:rPr>
          <w:rStyle w:val="period"/>
          <w:rFonts w:ascii="Times New Roman" w:hAnsi="Times New Roman" w:cs="Times New Roman"/>
          <w:color w:val="000000"/>
          <w:sz w:val="20"/>
          <w:szCs w:val="20"/>
        </w:rPr>
        <w:t>. </w:t>
      </w:r>
      <w:r w:rsidRPr="00A729F7">
        <w:rPr>
          <w:rStyle w:val="cit"/>
          <w:rFonts w:ascii="Times New Roman" w:hAnsi="Times New Roman" w:cs="Times New Roman"/>
          <w:color w:val="000000"/>
          <w:sz w:val="20"/>
          <w:szCs w:val="20"/>
        </w:rPr>
        <w:t xml:space="preserve">2010 Sep 3;107(5):650-8., </w:t>
      </w:r>
      <w:r w:rsidRPr="00A729F7">
        <w:rPr>
          <w:rStyle w:val="secondary-date"/>
          <w:rFonts w:ascii="Times New Roman" w:hAnsi="Times New Roman" w:cs="Times New Roman"/>
          <w:color w:val="000000"/>
          <w:sz w:val="20"/>
          <w:szCs w:val="20"/>
        </w:rPr>
        <w:t>Epub 2010</w:t>
      </w:r>
      <w:r w:rsidRPr="00A729F7">
        <w:rPr>
          <w:rStyle w:val="secondary-date"/>
          <w:rFonts w:ascii="Times New Roman" w:hAnsi="Times New Roman" w:cs="Times New Roman"/>
          <w:color w:val="5B616B"/>
          <w:sz w:val="20"/>
          <w:szCs w:val="20"/>
        </w:rPr>
        <w:t xml:space="preserve"> </w:t>
      </w:r>
      <w:r w:rsidRPr="00A729F7">
        <w:rPr>
          <w:rStyle w:val="secondary-date"/>
          <w:rFonts w:ascii="Times New Roman" w:hAnsi="Times New Roman" w:cs="Times New Roman"/>
          <w:color w:val="000000"/>
          <w:sz w:val="20"/>
          <w:szCs w:val="20"/>
        </w:rPr>
        <w:t>Jul 15.</w:t>
      </w:r>
      <w:r w:rsidRPr="00A729F7">
        <w:rPr>
          <w:rFonts w:ascii="Times New Roman" w:hAnsi="Times New Roman" w:cs="Times New Roman"/>
          <w:color w:val="212121"/>
          <w:sz w:val="20"/>
          <w:szCs w:val="20"/>
        </w:rPr>
        <w:t> </w:t>
      </w:r>
      <w:r w:rsidRPr="00A729F7">
        <w:rPr>
          <w:rStyle w:val="id-label"/>
          <w:rFonts w:ascii="Times New Roman" w:hAnsi="Times New Roman" w:cs="Times New Roman"/>
          <w:color w:val="212121"/>
          <w:sz w:val="20"/>
          <w:szCs w:val="20"/>
        </w:rPr>
        <w:t>DOI: </w:t>
      </w:r>
      <w:hyperlink r:id="rId427" w:tgtFrame="_blank" w:history="1">
        <w:r w:rsidRPr="00A729F7">
          <w:rPr>
            <w:rStyle w:val="Hyperlink"/>
            <w:rFonts w:ascii="Times New Roman" w:hAnsi="Times New Roman"/>
            <w:color w:val="0071BC"/>
            <w:sz w:val="20"/>
            <w:szCs w:val="20"/>
          </w:rPr>
          <w:t>10.1161/CIRCRESAHA.110.218867</w:t>
        </w:r>
      </w:hyperlink>
      <w:r w:rsidRPr="00A729F7">
        <w:rPr>
          <w:rFonts w:ascii="Times New Roman" w:hAnsi="Times New Roman" w:cs="Times New Roman"/>
          <w:color w:val="212121"/>
          <w:sz w:val="20"/>
          <w:szCs w:val="20"/>
        </w:rPr>
        <w:t>.</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201</w:t>
      </w:r>
      <w:r w:rsidRPr="00A729F7">
        <w:rPr>
          <w:rFonts w:ascii="Times New Roman" w:hAnsi="Times New Roman" w:cs="Times New Roman"/>
          <w:b/>
          <w:color w:val="212121"/>
          <w:sz w:val="20"/>
          <w:szCs w:val="20"/>
        </w:rPr>
        <w:t>.</w:t>
      </w:r>
      <w:r w:rsidRPr="00A729F7">
        <w:rPr>
          <w:rStyle w:val="element-citation"/>
          <w:rFonts w:ascii="Times New Roman" w:hAnsi="Times New Roman"/>
          <w:color w:val="212121"/>
          <w:sz w:val="20"/>
          <w:szCs w:val="20"/>
        </w:rPr>
        <w:t xml:space="preserve"> Ashlin TG, Buckley ML, Salter RC, Johnson JL, Kwan AP, Ramji DP. The anti-atherogenic cytokine interleukin-33 inhibits the expression of a disintegrin and metalloproteinase with thrombospondin motifs-1, −4 and −5 in human macrophages: requirement of extracellular signal-regulated kinase, c-Jun N-terminal kinase and phosphoinositide 3-kinase signaling pathways. </w:t>
      </w:r>
      <w:r w:rsidRPr="00A729F7">
        <w:rPr>
          <w:rStyle w:val="nowrap"/>
          <w:rFonts w:ascii="Times New Roman" w:hAnsi="Times New Roman"/>
          <w:i/>
          <w:iCs/>
          <w:color w:val="212121"/>
          <w:sz w:val="20"/>
          <w:szCs w:val="20"/>
        </w:rPr>
        <w:t>Int J Biochem Cell Biol. </w:t>
      </w:r>
      <w:r w:rsidRPr="00A729F7">
        <w:rPr>
          <w:rStyle w:val="element-citation"/>
          <w:rFonts w:ascii="Times New Roman" w:hAnsi="Times New Roman"/>
          <w:color w:val="212121"/>
          <w:sz w:val="20"/>
          <w:szCs w:val="20"/>
        </w:rPr>
        <w:t>2014;</w:t>
      </w:r>
      <w:r w:rsidRPr="00A729F7">
        <w:rPr>
          <w:rStyle w:val="ref-vol"/>
          <w:rFonts w:ascii="Times New Roman" w:hAnsi="Times New Roman"/>
          <w:color w:val="212121"/>
          <w:sz w:val="20"/>
          <w:szCs w:val="20"/>
        </w:rPr>
        <w:t>46</w:t>
      </w:r>
      <w:r w:rsidRPr="00A729F7">
        <w:rPr>
          <w:rStyle w:val="element-citation"/>
          <w:rFonts w:ascii="Times New Roman" w:hAnsi="Times New Roman"/>
          <w:color w:val="212121"/>
          <w:sz w:val="20"/>
          <w:szCs w:val="20"/>
        </w:rPr>
        <w:t>:113–123. doi: 10.1016/j.biocel.2013.11.008. </w:t>
      </w:r>
      <w:r w:rsidRPr="00A729F7">
        <w:rPr>
          <w:rStyle w:val="nowrap"/>
          <w:rFonts w:ascii="Times New Roman" w:hAnsi="Times New Roman"/>
          <w:color w:val="212121"/>
          <w:sz w:val="20"/>
          <w:szCs w:val="20"/>
        </w:rPr>
        <w:t>[</w:t>
      </w:r>
      <w:hyperlink r:id="rId428" w:history="1">
        <w:r w:rsidRPr="00A729F7">
          <w:rPr>
            <w:rStyle w:val="ref-journal"/>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element-citation"/>
          <w:rFonts w:ascii="Times New Roman" w:hAnsi="Times New Roman"/>
          <w:color w:val="212121"/>
          <w:sz w:val="20"/>
          <w:szCs w:val="20"/>
        </w:rPr>
        <w:t> [</w:t>
      </w:r>
      <w:hyperlink r:id="rId429" w:history="1">
        <w:r w:rsidRPr="00A729F7">
          <w:rPr>
            <w:rStyle w:val="ref-journal"/>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430" w:tgtFrame="_blank" w:history="1">
        <w:r w:rsidRPr="00A729F7">
          <w:rPr>
            <w:rStyle w:val="ref-journal"/>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431" w:tgtFrame="_blank" w:history="1">
        <w:r w:rsidRPr="00A729F7">
          <w:rPr>
            <w:rStyle w:val="ref-journal"/>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shd w:val="clear" w:color="auto" w:fill="FFFFFF"/>
        </w:rPr>
        <w:t xml:space="preserve">202. </w:t>
      </w:r>
      <w:r w:rsidRPr="00A729F7">
        <w:rPr>
          <w:rStyle w:val="mixed-citation"/>
          <w:rFonts w:ascii="Times New Roman" w:hAnsi="Times New Roman" w:cs="Times New Roman"/>
          <w:color w:val="212121"/>
          <w:sz w:val="20"/>
          <w:szCs w:val="20"/>
        </w:rPr>
        <w:t>Louten J., Rankin A. L., Li Y., Murphy E. E., Beaumont M., Moon C., et al.. (2011). </w:t>
      </w:r>
      <w:r w:rsidRPr="00A729F7">
        <w:rPr>
          <w:rStyle w:val="ref-title"/>
          <w:rFonts w:ascii="Times New Roman" w:hAnsi="Times New Roman" w:cs="Times New Roman"/>
          <w:color w:val="212121"/>
          <w:sz w:val="20"/>
          <w:szCs w:val="20"/>
        </w:rPr>
        <w:t>Endogenous IL-33 enhances Th2 cytokine production and T-cell responses during allergic airway inflammation</w:t>
      </w:r>
      <w:r w:rsidRPr="00A729F7">
        <w:rPr>
          <w:rStyle w:val="mixed-citation"/>
          <w:rFonts w:ascii="Times New Roman" w:hAnsi="Times New Roman" w:cs="Times New Roman"/>
          <w:color w:val="212121"/>
          <w:sz w:val="20"/>
          <w:szCs w:val="20"/>
        </w:rPr>
        <w:t>. </w:t>
      </w:r>
      <w:r w:rsidRPr="00A729F7">
        <w:rPr>
          <w:rStyle w:val="ref-journal"/>
          <w:rFonts w:ascii="Times New Roman" w:hAnsi="Times New Roman"/>
          <w:i/>
          <w:iCs/>
          <w:color w:val="212121"/>
          <w:sz w:val="20"/>
          <w:szCs w:val="20"/>
        </w:rPr>
        <w:t>Int. Immunol.</w:t>
      </w:r>
      <w:r w:rsidRPr="00A729F7">
        <w:rPr>
          <w:rStyle w:val="mixed-citation"/>
          <w:rFonts w:ascii="Times New Roman" w:hAnsi="Times New Roman" w:cs="Times New Roman"/>
          <w:color w:val="212121"/>
          <w:sz w:val="20"/>
          <w:szCs w:val="20"/>
        </w:rPr>
        <w:t> </w:t>
      </w:r>
      <w:r w:rsidRPr="00A729F7">
        <w:rPr>
          <w:rStyle w:val="ref-vol"/>
          <w:rFonts w:ascii="Times New Roman" w:hAnsi="Times New Roman"/>
          <w:color w:val="212121"/>
          <w:sz w:val="20"/>
          <w:szCs w:val="20"/>
        </w:rPr>
        <w:t>23</w:t>
      </w:r>
      <w:r w:rsidRPr="00A729F7">
        <w:rPr>
          <w:rStyle w:val="mixed-citation"/>
          <w:rFonts w:ascii="Times New Roman" w:hAnsi="Times New Roman" w:cs="Times New Roman"/>
          <w:color w:val="212121"/>
          <w:sz w:val="20"/>
          <w:szCs w:val="20"/>
        </w:rPr>
        <w:t>, 307–315. 10.1093/intimm/dxr006 [</w:t>
      </w:r>
      <w:hyperlink r:id="rId432"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hyperlink r:id="rId433" w:tgtFrame="_blank" w:history="1">
        <w:r w:rsidRPr="00A729F7">
          <w:rPr>
            <w:rStyle w:val="Hyperlink"/>
            <w:rFonts w:ascii="Times New Roman" w:hAnsi="Times New Roman"/>
            <w:color w:val="376FAA"/>
            <w:sz w:val="20"/>
            <w:szCs w:val="20"/>
          </w:rPr>
          <w:t>CrossRef</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434"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shd w:val="clear" w:color="auto" w:fill="FFFFFF"/>
        </w:rPr>
        <w:t xml:space="preserve">203. </w:t>
      </w:r>
      <w:r w:rsidRPr="00A729F7">
        <w:rPr>
          <w:rStyle w:val="mixed-citation"/>
          <w:rFonts w:ascii="Times New Roman" w:hAnsi="Times New Roman" w:cs="Times New Roman"/>
          <w:color w:val="212121"/>
          <w:sz w:val="20"/>
          <w:szCs w:val="20"/>
        </w:rPr>
        <w:t>Bartemes K. R., Iijima K., Kobayashi T., Kephart G. M., McKenzie A. N., Kita H. (2012). </w:t>
      </w:r>
      <w:r w:rsidRPr="00A729F7">
        <w:rPr>
          <w:rStyle w:val="ref-title"/>
          <w:rFonts w:ascii="Times New Roman" w:hAnsi="Times New Roman" w:cs="Times New Roman"/>
          <w:color w:val="212121"/>
          <w:sz w:val="20"/>
          <w:szCs w:val="20"/>
        </w:rPr>
        <w:t>IL-33-responsive lineage- CD25+ CD44(hi) lymphoid cells mediate innate type 2 immunity and allergic inflammation in the lungs</w:t>
      </w:r>
      <w:r w:rsidRPr="00A729F7">
        <w:rPr>
          <w:rStyle w:val="mixed-citation"/>
          <w:rFonts w:ascii="Times New Roman" w:hAnsi="Times New Roman" w:cs="Times New Roman"/>
          <w:color w:val="212121"/>
          <w:sz w:val="20"/>
          <w:szCs w:val="20"/>
        </w:rPr>
        <w:t>. </w:t>
      </w:r>
      <w:r w:rsidRPr="00A729F7">
        <w:rPr>
          <w:rStyle w:val="ref-journal"/>
          <w:rFonts w:ascii="Times New Roman" w:hAnsi="Times New Roman"/>
          <w:i/>
          <w:iCs/>
          <w:color w:val="212121"/>
          <w:sz w:val="20"/>
          <w:szCs w:val="20"/>
        </w:rPr>
        <w:t>J. Immunol.</w:t>
      </w:r>
      <w:r w:rsidRPr="00A729F7">
        <w:rPr>
          <w:rStyle w:val="mixed-citation"/>
          <w:rFonts w:ascii="Times New Roman" w:hAnsi="Times New Roman" w:cs="Times New Roman"/>
          <w:color w:val="212121"/>
          <w:sz w:val="20"/>
          <w:szCs w:val="20"/>
        </w:rPr>
        <w:t> </w:t>
      </w:r>
      <w:r w:rsidRPr="00A729F7">
        <w:rPr>
          <w:rStyle w:val="ref-vol"/>
          <w:rFonts w:ascii="Times New Roman" w:hAnsi="Times New Roman"/>
          <w:color w:val="212121"/>
          <w:sz w:val="20"/>
          <w:szCs w:val="20"/>
        </w:rPr>
        <w:t>188</w:t>
      </w:r>
      <w:r w:rsidRPr="00A729F7">
        <w:rPr>
          <w:rStyle w:val="mixed-citation"/>
          <w:rFonts w:ascii="Times New Roman" w:hAnsi="Times New Roman" w:cs="Times New Roman"/>
          <w:color w:val="212121"/>
          <w:sz w:val="20"/>
          <w:szCs w:val="20"/>
        </w:rPr>
        <w:t>, 1503–1513. 10.4049/jimmunol.1102832 </w:t>
      </w:r>
      <w:r w:rsidRPr="00A729F7">
        <w:rPr>
          <w:rStyle w:val="nowrap"/>
          <w:rFonts w:ascii="Times New Roman" w:hAnsi="Times New Roman"/>
          <w:color w:val="212121"/>
          <w:sz w:val="20"/>
          <w:szCs w:val="20"/>
        </w:rPr>
        <w:t>[</w:t>
      </w:r>
      <w:hyperlink r:id="rId435"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mixed-citation"/>
          <w:rFonts w:ascii="Times New Roman" w:hAnsi="Times New Roman" w:cs="Times New Roman"/>
          <w:color w:val="212121"/>
          <w:sz w:val="20"/>
          <w:szCs w:val="20"/>
        </w:rPr>
        <w:t> [</w:t>
      </w:r>
      <w:hyperlink r:id="rId436"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hyperlink r:id="rId437" w:tgtFrame="_blank" w:history="1">
        <w:r w:rsidRPr="00A729F7">
          <w:rPr>
            <w:rStyle w:val="Hyperlink"/>
            <w:rFonts w:ascii="Times New Roman" w:hAnsi="Times New Roman"/>
            <w:color w:val="376FAA"/>
            <w:sz w:val="20"/>
            <w:szCs w:val="20"/>
          </w:rPr>
          <w:t>CrossRef</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438"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shd w:val="clear" w:color="auto" w:fill="FFFFFF"/>
        </w:rPr>
        <w:t>204.</w:t>
      </w:r>
      <w:r w:rsidRPr="00A729F7">
        <w:rPr>
          <w:rStyle w:val="mixed-citation"/>
          <w:rFonts w:ascii="Times New Roman" w:hAnsi="Times New Roman" w:cs="Times New Roman"/>
          <w:color w:val="212121"/>
          <w:sz w:val="20"/>
          <w:szCs w:val="20"/>
        </w:rPr>
        <w:t xml:space="preserve"> Sjoberg L. C., Nilsson A. Z., Lei Y., Gregory J. A., Adner M., Nilsson G. P. (2017). </w:t>
      </w:r>
      <w:r w:rsidRPr="00A729F7">
        <w:rPr>
          <w:rStyle w:val="ref-title"/>
          <w:rFonts w:ascii="Times New Roman" w:hAnsi="Times New Roman" w:cs="Times New Roman"/>
          <w:color w:val="212121"/>
          <w:sz w:val="20"/>
          <w:szCs w:val="20"/>
        </w:rPr>
        <w:t>Interleukin 33 exacerbates antigen driven airway hyperresponsiveness, inflammation and remodeling in a mouse model of asthma</w:t>
      </w:r>
      <w:r w:rsidRPr="00A729F7">
        <w:rPr>
          <w:rStyle w:val="mixed-citation"/>
          <w:rFonts w:ascii="Times New Roman" w:hAnsi="Times New Roman" w:cs="Times New Roman"/>
          <w:color w:val="212121"/>
          <w:sz w:val="20"/>
          <w:szCs w:val="20"/>
        </w:rPr>
        <w:t>. </w:t>
      </w:r>
      <w:r w:rsidRPr="00A729F7">
        <w:rPr>
          <w:rStyle w:val="ref-journal"/>
          <w:rFonts w:ascii="Times New Roman" w:hAnsi="Times New Roman"/>
          <w:i/>
          <w:iCs/>
          <w:color w:val="212121"/>
          <w:sz w:val="20"/>
          <w:szCs w:val="20"/>
        </w:rPr>
        <w:t>Sci. Rep.</w:t>
      </w:r>
      <w:r w:rsidRPr="00A729F7">
        <w:rPr>
          <w:rStyle w:val="mixed-citation"/>
          <w:rFonts w:ascii="Times New Roman" w:hAnsi="Times New Roman" w:cs="Times New Roman"/>
          <w:color w:val="212121"/>
          <w:sz w:val="20"/>
          <w:szCs w:val="20"/>
        </w:rPr>
        <w:t> </w:t>
      </w:r>
      <w:r w:rsidRPr="00A729F7">
        <w:rPr>
          <w:rStyle w:val="ref-vol"/>
          <w:rFonts w:ascii="Times New Roman" w:hAnsi="Times New Roman"/>
          <w:color w:val="212121"/>
          <w:sz w:val="20"/>
          <w:szCs w:val="20"/>
        </w:rPr>
        <w:t>7</w:t>
      </w:r>
      <w:r w:rsidRPr="00A729F7">
        <w:rPr>
          <w:rStyle w:val="mixed-citation"/>
          <w:rFonts w:ascii="Times New Roman" w:hAnsi="Times New Roman" w:cs="Times New Roman"/>
          <w:color w:val="212121"/>
          <w:sz w:val="20"/>
          <w:szCs w:val="20"/>
        </w:rPr>
        <w:t>:4219. 10.1038/s41598-017-03674-0 </w:t>
      </w:r>
      <w:r w:rsidRPr="00A729F7">
        <w:rPr>
          <w:rStyle w:val="nowrap"/>
          <w:rFonts w:ascii="Times New Roman" w:hAnsi="Times New Roman"/>
          <w:color w:val="212121"/>
          <w:sz w:val="20"/>
          <w:szCs w:val="20"/>
        </w:rPr>
        <w:t>[</w:t>
      </w:r>
      <w:hyperlink r:id="rId439" w:history="1">
        <w:r w:rsidRPr="00A729F7">
          <w:rPr>
            <w:rStyle w:val="Hyperlink"/>
            <w:rFonts w:ascii="Times New Roman" w:hAnsi="Times New Roman"/>
            <w:color w:val="205493"/>
            <w:sz w:val="20"/>
            <w:szCs w:val="20"/>
          </w:rPr>
          <w:t>PMC free article</w:t>
        </w:r>
      </w:hyperlink>
      <w:r w:rsidRPr="00A729F7">
        <w:rPr>
          <w:rStyle w:val="nowrap"/>
          <w:rFonts w:ascii="Times New Roman" w:hAnsi="Times New Roman"/>
          <w:color w:val="212121"/>
          <w:sz w:val="20"/>
          <w:szCs w:val="20"/>
        </w:rPr>
        <w:t>]</w:t>
      </w:r>
      <w:r w:rsidRPr="00A729F7">
        <w:rPr>
          <w:rStyle w:val="mixed-citation"/>
          <w:rFonts w:ascii="Times New Roman" w:hAnsi="Times New Roman" w:cs="Times New Roman"/>
          <w:color w:val="212121"/>
          <w:sz w:val="20"/>
          <w:szCs w:val="20"/>
        </w:rPr>
        <w:t> [</w:t>
      </w:r>
      <w:hyperlink r:id="rId440"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hyperlink r:id="rId441" w:tgtFrame="_blank" w:history="1">
        <w:r w:rsidRPr="00A729F7">
          <w:rPr>
            <w:rStyle w:val="Hyperlink"/>
            <w:rFonts w:ascii="Times New Roman" w:hAnsi="Times New Roman"/>
            <w:color w:val="376FAA"/>
            <w:sz w:val="20"/>
            <w:szCs w:val="20"/>
          </w:rPr>
          <w:t>CrossRef</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44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shd w:val="clear" w:color="auto" w:fill="FFFFFF"/>
        </w:rPr>
        <w:t xml:space="preserve">205. </w:t>
      </w:r>
      <w:r w:rsidRPr="00A729F7">
        <w:rPr>
          <w:rStyle w:val="mixed-citation"/>
          <w:rFonts w:ascii="Times New Roman" w:hAnsi="Times New Roman" w:cs="Times New Roman"/>
          <w:color w:val="212121"/>
          <w:sz w:val="20"/>
          <w:szCs w:val="20"/>
        </w:rPr>
        <w:t>Chan B. C. L., Lam C. W. K., Tam L. S., Wong C. K. (2019). </w:t>
      </w:r>
      <w:r w:rsidRPr="00A729F7">
        <w:rPr>
          <w:rStyle w:val="ref-title"/>
          <w:rFonts w:ascii="Times New Roman" w:hAnsi="Times New Roman" w:cs="Times New Roman"/>
          <w:color w:val="212121"/>
          <w:sz w:val="20"/>
          <w:szCs w:val="20"/>
        </w:rPr>
        <w:t>IL33: roles in allergic inflammation and therapeutic perspectives</w:t>
      </w:r>
      <w:r w:rsidRPr="00A729F7">
        <w:rPr>
          <w:rStyle w:val="mixed-citation"/>
          <w:rFonts w:ascii="Times New Roman" w:hAnsi="Times New Roman" w:cs="Times New Roman"/>
          <w:color w:val="212121"/>
          <w:sz w:val="20"/>
          <w:szCs w:val="20"/>
        </w:rPr>
        <w:t>. </w:t>
      </w:r>
      <w:r w:rsidRPr="00A729F7">
        <w:rPr>
          <w:rStyle w:val="ref-journal"/>
          <w:rFonts w:ascii="Times New Roman" w:hAnsi="Times New Roman"/>
          <w:i/>
          <w:iCs/>
          <w:color w:val="212121"/>
          <w:sz w:val="20"/>
          <w:szCs w:val="20"/>
        </w:rPr>
        <w:t>Front. Immunol.</w:t>
      </w:r>
      <w:r w:rsidRPr="00A729F7">
        <w:rPr>
          <w:rStyle w:val="mixed-citation"/>
          <w:rFonts w:ascii="Times New Roman" w:hAnsi="Times New Roman" w:cs="Times New Roman"/>
          <w:color w:val="212121"/>
          <w:sz w:val="20"/>
          <w:szCs w:val="20"/>
        </w:rPr>
        <w:t> </w:t>
      </w:r>
      <w:r w:rsidRPr="00A729F7">
        <w:rPr>
          <w:rStyle w:val="ref-vol"/>
          <w:rFonts w:ascii="Times New Roman" w:hAnsi="Times New Roman"/>
          <w:color w:val="212121"/>
          <w:sz w:val="20"/>
          <w:szCs w:val="20"/>
        </w:rPr>
        <w:t>10</w:t>
      </w:r>
      <w:r w:rsidRPr="00A729F7">
        <w:rPr>
          <w:rStyle w:val="mixed-citation"/>
          <w:rFonts w:ascii="Times New Roman" w:hAnsi="Times New Roman" w:cs="Times New Roman"/>
          <w:color w:val="212121"/>
          <w:sz w:val="20"/>
          <w:szCs w:val="20"/>
        </w:rPr>
        <w:t>:364. 10.3389/fimmu.2019.00364 </w:t>
      </w:r>
      <w:r w:rsidRPr="00A729F7">
        <w:rPr>
          <w:rStyle w:val="nowrap"/>
          <w:rFonts w:ascii="Times New Roman" w:hAnsi="Times New Roman"/>
          <w:color w:val="212121"/>
          <w:sz w:val="20"/>
          <w:szCs w:val="20"/>
        </w:rPr>
        <w:t>[</w:t>
      </w:r>
      <w:hyperlink r:id="rId443"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mixed-citation"/>
          <w:rFonts w:ascii="Times New Roman" w:hAnsi="Times New Roman" w:cs="Times New Roman"/>
          <w:color w:val="212121"/>
          <w:sz w:val="20"/>
          <w:szCs w:val="20"/>
        </w:rPr>
        <w:t> [</w:t>
      </w:r>
      <w:hyperlink r:id="rId444"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 [</w:t>
      </w:r>
      <w:hyperlink r:id="rId445" w:tgtFrame="_blank" w:history="1">
        <w:r w:rsidRPr="00A729F7">
          <w:rPr>
            <w:rStyle w:val="Hyperlink"/>
            <w:rFonts w:ascii="Times New Roman" w:hAnsi="Times New Roman"/>
            <w:color w:val="376FAA"/>
            <w:sz w:val="20"/>
            <w:szCs w:val="20"/>
          </w:rPr>
          <w:t>CrossRef</w:t>
        </w:r>
      </w:hyperlink>
      <w:r w:rsidRPr="00A729F7">
        <w:rPr>
          <w:rStyle w:val="mixed-citation"/>
          <w:rFonts w:ascii="Times New Roman" w:hAnsi="Times New Roman" w:cs="Times New Roman"/>
          <w:color w:val="212121"/>
          <w:sz w:val="20"/>
          <w:szCs w:val="20"/>
        </w:rPr>
        <w:t>] </w:t>
      </w:r>
      <w:r w:rsidRPr="00A729F7">
        <w:rPr>
          <w:rStyle w:val="nowrap"/>
          <w:rFonts w:ascii="Times New Roman" w:hAnsi="Times New Roman"/>
          <w:color w:val="212121"/>
          <w:sz w:val="20"/>
          <w:szCs w:val="20"/>
        </w:rPr>
        <w:t>[</w:t>
      </w:r>
      <w:hyperlink r:id="rId446" w:tgtFrame="_blank" w:history="1">
        <w:r w:rsidRPr="00A729F7">
          <w:rPr>
            <w:rStyle w:val="Hyperlink"/>
            <w:rFonts w:ascii="Times New Roman" w:hAnsi="Times New Roman"/>
            <w:color w:val="205493"/>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rPr>
        <w:lastRenderedPageBreak/>
        <w:t>206.</w:t>
      </w:r>
      <w:r w:rsidRPr="00A729F7">
        <w:rPr>
          <w:rStyle w:val="element-citation"/>
          <w:rFonts w:ascii="Times New Roman" w:hAnsi="Times New Roman"/>
          <w:color w:val="212121"/>
          <w:sz w:val="20"/>
          <w:szCs w:val="20"/>
        </w:rPr>
        <w:t xml:space="preserve"> Shang J, Zhao J, Wu X, Xu Y, Xie J. Interleukin-33 promotes inflammatory cytokine production in chronic airway inflammation. </w:t>
      </w:r>
      <w:r w:rsidRPr="00A729F7">
        <w:rPr>
          <w:rStyle w:val="ref-journal"/>
          <w:rFonts w:ascii="Times New Roman" w:hAnsi="Times New Roman"/>
          <w:i/>
          <w:iCs/>
          <w:color w:val="212121"/>
          <w:sz w:val="20"/>
          <w:szCs w:val="20"/>
        </w:rPr>
        <w:t>Biochem Cell Biol. </w:t>
      </w:r>
      <w:r w:rsidRPr="00A729F7">
        <w:rPr>
          <w:rStyle w:val="element-citation"/>
          <w:rFonts w:ascii="Times New Roman" w:hAnsi="Times New Roman"/>
          <w:color w:val="212121"/>
          <w:sz w:val="20"/>
          <w:szCs w:val="20"/>
        </w:rPr>
        <w:t>2015;</w:t>
      </w:r>
      <w:r w:rsidRPr="00A729F7">
        <w:rPr>
          <w:rStyle w:val="ref-vol"/>
          <w:rFonts w:ascii="Times New Roman" w:hAnsi="Times New Roman"/>
          <w:color w:val="212121"/>
          <w:sz w:val="20"/>
          <w:szCs w:val="20"/>
        </w:rPr>
        <w:t>93</w:t>
      </w:r>
      <w:r w:rsidRPr="00A729F7">
        <w:rPr>
          <w:rStyle w:val="element-citation"/>
          <w:rFonts w:ascii="Times New Roman" w:hAnsi="Times New Roman"/>
          <w:color w:val="212121"/>
          <w:sz w:val="20"/>
          <w:szCs w:val="20"/>
        </w:rPr>
        <w:t>:359–366. doi: 10.1139/bcb-2014-0163. [</w:t>
      </w:r>
      <w:hyperlink r:id="rId447" w:history="1">
        <w:r w:rsidRPr="00A729F7">
          <w:rPr>
            <w:rStyle w:val="Hyperlink"/>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448" w:tgtFrame="_blank" w:history="1">
        <w:r w:rsidRPr="00A729F7">
          <w:rPr>
            <w:rStyle w:val="Hyperlink"/>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449"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207. Kurowska-Stolarska M, Stolarski B, Kewin P et al. IL-33 amplifies the polarization of alternatively activated macrophages that contribute to airway inflammation. J Immunol 2009;183:6469-77 101-103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208. Kuroiwa K, Li H, Tago K et al. Construction of ELISA system to quantify human ST2 protein in sera of patients. Hybridoma 2000;19:151-9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209. Prefontaine D, Lajoie-Kadoch S, Foley S et al. Increased expression of IL-33 in severe asthma: evidence of expression by airway smooth muscle cells. J Immunol 2009;183: 5094-103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210. Gudbjartsson DF, Bjornsdottir US, Halapi E et al. Sequence variants affecting eosinophil numbers associate with asthma and myocardial infarction. Nat Genet 2009; 41:342-7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211. Reijmerink NE, Postma DS, Bruinenberg M et al. Association of IL1RL1, IL18R1, and IL18RAP gene cluster polymorphisms with asthma and atopy. J Allergy Clin Immunol 2008;122:651-4. e8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212. Ali M, Zhang G, Thomas WR et al. Investigations into the role of ST2 in acute asthma in children. Tissue Antigens 2009;73:206-12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213. Kondo Y, Yoshimoto T, Yasuda K et al. Administration of IL-33 induces airway hyperresponsiveness and goblet cell hyperplasia in the lungs in the absence of adaptive immune system. Int Immunol 2008;20:791-800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214. Oshikawa K, Yanagisawa K, Tominaga S, Sugiyama Y. Expression and function of the ST2 gene in a murine model of allergic airway inflammation. Clin Exp Allergy 2002;32: 1520-6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215. Hayakawa H, Hayakawa M, Kume A, Tominaga S. Soluble ST2 blocks interleukin-33 signaling in allergic airway inflammation. J Biol Chem 2007;282:26369-80</w:t>
      </w:r>
    </w:p>
    <w:p w:rsidR="00A729F7" w:rsidRPr="00A729F7" w:rsidRDefault="00A729F7" w:rsidP="00A729F7">
      <w:pPr>
        <w:spacing w:line="360" w:lineRule="auto"/>
        <w:rPr>
          <w:rStyle w:val="nowrap"/>
          <w:rFonts w:ascii="Times New Roman" w:hAnsi="Times New Roman"/>
          <w:color w:val="212121"/>
          <w:sz w:val="20"/>
          <w:szCs w:val="20"/>
        </w:rPr>
      </w:pPr>
      <w:r w:rsidRPr="00A729F7">
        <w:rPr>
          <w:rFonts w:ascii="Times New Roman" w:hAnsi="Times New Roman" w:cs="Times New Roman"/>
          <w:color w:val="212121"/>
          <w:sz w:val="20"/>
          <w:szCs w:val="20"/>
        </w:rPr>
        <w:t>216.</w:t>
      </w:r>
      <w:r w:rsidRPr="00A729F7">
        <w:rPr>
          <w:rStyle w:val="element-citation"/>
          <w:rFonts w:ascii="Times New Roman" w:hAnsi="Times New Roman"/>
          <w:color w:val="212121"/>
          <w:sz w:val="20"/>
          <w:szCs w:val="20"/>
        </w:rPr>
        <w:t xml:space="preserve"> Wu H, Yang S, Wu X, Zhao J, Ning Q, Xu Y, Xie J. Interleukin-33/ST2 signaling promotes production of interleukin-6 and interleukin-8 in systemic inflammation in cigarette smoke-induced chronic obstructive pulmonary disease mice. </w:t>
      </w:r>
      <w:r w:rsidRPr="00A729F7">
        <w:rPr>
          <w:rStyle w:val="ref-journal"/>
          <w:rFonts w:ascii="Times New Roman" w:hAnsi="Times New Roman"/>
          <w:i/>
          <w:iCs/>
          <w:color w:val="212121"/>
          <w:sz w:val="20"/>
          <w:szCs w:val="20"/>
        </w:rPr>
        <w:t>Biochem Biophys Res Commun. </w:t>
      </w:r>
      <w:r w:rsidRPr="00A729F7">
        <w:rPr>
          <w:rStyle w:val="element-citation"/>
          <w:rFonts w:ascii="Times New Roman" w:hAnsi="Times New Roman"/>
          <w:color w:val="212121"/>
          <w:sz w:val="20"/>
          <w:szCs w:val="20"/>
        </w:rPr>
        <w:t>2014;</w:t>
      </w:r>
      <w:r w:rsidRPr="00A729F7">
        <w:rPr>
          <w:rStyle w:val="ref-vol"/>
          <w:rFonts w:ascii="Times New Roman" w:hAnsi="Times New Roman"/>
          <w:color w:val="212121"/>
          <w:sz w:val="20"/>
          <w:szCs w:val="20"/>
        </w:rPr>
        <w:t>450</w:t>
      </w:r>
      <w:r w:rsidRPr="00A729F7">
        <w:rPr>
          <w:rStyle w:val="element-citation"/>
          <w:rFonts w:ascii="Times New Roman" w:hAnsi="Times New Roman"/>
          <w:color w:val="212121"/>
          <w:sz w:val="20"/>
          <w:szCs w:val="20"/>
        </w:rPr>
        <w:t>:110–116. doi: 10.1016/j.bbrc.2014.05.073. [</w:t>
      </w:r>
      <w:hyperlink r:id="rId450" w:history="1">
        <w:r w:rsidRPr="00A729F7">
          <w:rPr>
            <w:rStyle w:val="Hyperlink"/>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451" w:tgtFrame="_blank" w:history="1">
        <w:r w:rsidRPr="00A729F7">
          <w:rPr>
            <w:rStyle w:val="Hyperlink"/>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45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217. </w:t>
      </w:r>
      <w:r w:rsidRPr="00A729F7">
        <w:rPr>
          <w:rFonts w:ascii="Times New Roman" w:hAnsi="Times New Roman" w:cs="Times New Roman"/>
          <w:color w:val="303030"/>
          <w:sz w:val="20"/>
          <w:szCs w:val="20"/>
          <w:shd w:val="clear" w:color="auto" w:fill="FFFFFF"/>
        </w:rPr>
        <w:t>Byers D. E., Alexander-Brett J., Patel A. C., Agapov E., Dang-Vu G., Jin X., et al. (2013). </w:t>
      </w:r>
      <w:r w:rsidRPr="00A729F7">
        <w:rPr>
          <w:rStyle w:val="ref-title"/>
          <w:rFonts w:ascii="Times New Roman" w:hAnsi="Times New Roman" w:cs="Times New Roman"/>
          <w:color w:val="303030"/>
          <w:sz w:val="20"/>
          <w:szCs w:val="20"/>
          <w:shd w:val="clear" w:color="auto" w:fill="FFFFFF"/>
        </w:rPr>
        <w:t>Long-term IL-33-producing epithelial progenitor cells in chronic obstructive lung disease</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J. Clin. Invest.</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123</w:t>
      </w:r>
      <w:r w:rsidRPr="00A729F7">
        <w:rPr>
          <w:rFonts w:ascii="Times New Roman" w:hAnsi="Times New Roman" w:cs="Times New Roman"/>
          <w:color w:val="303030"/>
          <w:sz w:val="20"/>
          <w:szCs w:val="20"/>
          <w:shd w:val="clear" w:color="auto" w:fill="FFFFFF"/>
        </w:rPr>
        <w:t>, 3967–3982</w:t>
      </w:r>
      <w:r w:rsidRPr="00A729F7">
        <w:rPr>
          <w:rStyle w:val="id-label"/>
          <w:rFonts w:ascii="Times New Roman" w:hAnsi="Times New Roman" w:cs="Times New Roman"/>
          <w:color w:val="212121"/>
          <w:sz w:val="20"/>
          <w:szCs w:val="20"/>
        </w:rPr>
        <w:t xml:space="preserve"> </w:t>
      </w:r>
      <w:r w:rsidRPr="00A729F7">
        <w:rPr>
          <w:rFonts w:ascii="Times New Roman" w:hAnsi="Times New Roman" w:cs="Times New Roman"/>
          <w:color w:val="212121"/>
          <w:sz w:val="20"/>
          <w:szCs w:val="20"/>
        </w:rPr>
        <w:t>DOI: </w:t>
      </w:r>
      <w:hyperlink r:id="rId453" w:tgtFrame="_blank" w:history="1">
        <w:r w:rsidRPr="00A729F7">
          <w:rPr>
            <w:rFonts w:ascii="Times New Roman" w:hAnsi="Times New Roman" w:cs="Times New Roman"/>
            <w:color w:val="205493"/>
            <w:sz w:val="20"/>
            <w:szCs w:val="20"/>
          </w:rPr>
          <w:t>10.1126/science.1215418</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218.</w:t>
      </w:r>
      <w:r w:rsidRPr="00A729F7">
        <w:rPr>
          <w:rFonts w:ascii="Times New Roman" w:hAnsi="Times New Roman" w:cs="Times New Roman"/>
          <w:color w:val="212121"/>
          <w:sz w:val="20"/>
          <w:szCs w:val="20"/>
        </w:rPr>
        <w:t xml:space="preserve"> </w:t>
      </w:r>
      <w:hyperlink r:id="rId454" w:history="1">
        <w:r w:rsidRPr="00A729F7">
          <w:rPr>
            <w:rFonts w:ascii="Times New Roman" w:hAnsi="Times New Roman" w:cs="Times New Roman"/>
            <w:color w:val="000000"/>
            <w:sz w:val="20"/>
            <w:szCs w:val="20"/>
            <w:u w:val="single" w:color="FFFFFF"/>
          </w:rPr>
          <w:t>Sujatha Pai Ballambettu</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55" w:history="1">
        <w:r w:rsidRPr="00A729F7">
          <w:rPr>
            <w:rFonts w:ascii="Times New Roman" w:hAnsi="Times New Roman" w:cs="Times New Roman"/>
            <w:color w:val="000000"/>
            <w:sz w:val="20"/>
            <w:szCs w:val="20"/>
            <w:u w:val="single" w:color="FFFFFF"/>
          </w:rPr>
          <w:t>AR Pradeep</w:t>
        </w:r>
      </w:hyperlink>
      <w:r w:rsidRPr="00A729F7">
        <w:rPr>
          <w:rFonts w:ascii="Times New Roman" w:hAnsi="Times New Roman" w:cs="Times New Roman"/>
          <w:color w:val="000000"/>
          <w:sz w:val="20"/>
          <w:szCs w:val="20"/>
          <w:u w:color="FFFFFF"/>
        </w:rPr>
        <w:t>, </w:t>
      </w:r>
      <w:hyperlink r:id="rId456" w:history="1">
        <w:r w:rsidRPr="00A729F7">
          <w:rPr>
            <w:rFonts w:ascii="Times New Roman" w:hAnsi="Times New Roman" w:cs="Times New Roman"/>
            <w:color w:val="000000"/>
            <w:sz w:val="20"/>
            <w:szCs w:val="20"/>
            <w:u w:val="single" w:color="FFFFFF"/>
          </w:rPr>
          <w:t>Meera Purushottam</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57" w:history="1">
        <w:r w:rsidRPr="00A729F7">
          <w:rPr>
            <w:rFonts w:ascii="Times New Roman" w:hAnsi="Times New Roman" w:cs="Times New Roman"/>
            <w:color w:val="000000"/>
            <w:sz w:val="20"/>
            <w:szCs w:val="20"/>
            <w:u w:val="single" w:color="FFFFFF"/>
          </w:rPr>
          <w:t>Somdatta Sen</w:t>
        </w:r>
      </w:hyperlink>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pacing w:val="-2"/>
          <w:kern w:val="36"/>
          <w:sz w:val="20"/>
          <w:szCs w:val="20"/>
          <w:u w:color="FFFFFF"/>
        </w:rPr>
        <w:t>Higher interleukin-33 levels in aggressive periodontitis cases</w:t>
      </w:r>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rPr>
        <w:t xml:space="preserve"> </w:t>
      </w:r>
      <w:hyperlink r:id="rId458" w:history="1">
        <w:r w:rsidRPr="00A729F7">
          <w:rPr>
            <w:rFonts w:ascii="Times New Roman" w:hAnsi="Times New Roman" w:cs="Times New Roman"/>
            <w:color w:val="000000"/>
            <w:sz w:val="20"/>
            <w:szCs w:val="20"/>
            <w:u w:val="single" w:color="FFFFFF"/>
          </w:rPr>
          <w:t>J Indian Soc Periodontol.</w:t>
        </w:r>
      </w:hyperlink>
      <w:r w:rsidRPr="00A729F7">
        <w:rPr>
          <w:rFonts w:ascii="Times New Roman" w:hAnsi="Times New Roman" w:cs="Times New Roman"/>
          <w:color w:val="000000"/>
          <w:sz w:val="20"/>
          <w:szCs w:val="20"/>
          <w:u w:color="FFFFFF"/>
        </w:rPr>
        <w:t> 2019 Sep-Oct; 23(5): 424–429., DOI</w:t>
      </w:r>
      <w:r w:rsidRPr="00A729F7">
        <w:rPr>
          <w:rFonts w:ascii="Times New Roman" w:hAnsi="Times New Roman" w:cs="Times New Roman"/>
          <w:color w:val="212121"/>
          <w:sz w:val="20"/>
          <w:szCs w:val="20"/>
        </w:rPr>
        <w:t>: </w:t>
      </w:r>
      <w:hyperlink r:id="rId459" w:tgtFrame="_blank" w:history="1">
        <w:r w:rsidRPr="00A729F7">
          <w:rPr>
            <w:rFonts w:ascii="Times New Roman" w:hAnsi="Times New Roman" w:cs="Times New Roman"/>
            <w:color w:val="205493"/>
            <w:sz w:val="20"/>
            <w:szCs w:val="20"/>
            <w:u w:val="single"/>
          </w:rPr>
          <w:t>10.4103/jisp.jisp_217_19</w:t>
        </w:r>
      </w:hyperlink>
    </w:p>
    <w:p w:rsidR="00A729F7" w:rsidRPr="00A729F7" w:rsidRDefault="00A729F7" w:rsidP="00A729F7">
      <w:pPr>
        <w:spacing w:line="360" w:lineRule="auto"/>
        <w:rPr>
          <w:rFonts w:ascii="Times New Roman" w:hAnsi="Times New Roman" w:cs="Times New Roman"/>
          <w:color w:val="303030"/>
          <w:sz w:val="20"/>
          <w:szCs w:val="20"/>
          <w:shd w:val="clear" w:color="auto" w:fill="FFFFFF"/>
        </w:rPr>
      </w:pPr>
      <w:r w:rsidRPr="00A729F7">
        <w:rPr>
          <w:rFonts w:ascii="Times New Roman" w:hAnsi="Times New Roman" w:cs="Times New Roman"/>
          <w:color w:val="212121"/>
          <w:sz w:val="20"/>
          <w:szCs w:val="20"/>
          <w:shd w:val="clear" w:color="auto" w:fill="FFFFFF"/>
        </w:rPr>
        <w:t xml:space="preserve">219. </w:t>
      </w:r>
      <w:hyperlink r:id="rId460" w:history="1">
        <w:r w:rsidRPr="00A729F7">
          <w:rPr>
            <w:rStyle w:val="Hyperlink"/>
            <w:rFonts w:ascii="Times New Roman" w:hAnsi="Times New Roman"/>
            <w:color w:val="000000"/>
            <w:sz w:val="20"/>
            <w:szCs w:val="20"/>
            <w:u w:color="FFFFFF"/>
            <w:shd w:val="clear" w:color="auto" w:fill="FFFFFF"/>
          </w:rPr>
          <w:t>Maria Fernanda Marques Silva de Carvalho</w:t>
        </w:r>
      </w:hyperlink>
      <w:r w:rsidRPr="00A729F7">
        <w:rPr>
          <w:rFonts w:ascii="Times New Roman" w:hAnsi="Times New Roman" w:cs="Times New Roman"/>
          <w:color w:val="000000"/>
          <w:sz w:val="20"/>
          <w:szCs w:val="20"/>
          <w:u w:color="FFFFFF"/>
          <w:shd w:val="clear" w:color="auto" w:fill="FFFFFF"/>
        </w:rPr>
        <w:t xml:space="preserve">, </w:t>
      </w:r>
      <w:hyperlink r:id="rId461" w:history="1">
        <w:r w:rsidRPr="00A729F7">
          <w:rPr>
            <w:rStyle w:val="Hyperlink"/>
            <w:rFonts w:ascii="Times New Roman" w:hAnsi="Times New Roman"/>
            <w:color w:val="000000"/>
            <w:sz w:val="20"/>
            <w:szCs w:val="20"/>
            <w:u w:color="FFFFFF"/>
            <w:shd w:val="clear" w:color="auto" w:fill="FFFFFF"/>
          </w:rPr>
          <w:t>Denise Cavalieri</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xml:space="preserve"> </w:t>
      </w:r>
      <w:hyperlink r:id="rId462" w:history="1">
        <w:r w:rsidRPr="00A729F7">
          <w:rPr>
            <w:rStyle w:val="Hyperlink"/>
            <w:rFonts w:ascii="Times New Roman" w:hAnsi="Times New Roman"/>
            <w:color w:val="000000"/>
            <w:sz w:val="20"/>
            <w:szCs w:val="20"/>
            <w:u w:color="FFFFFF"/>
            <w:shd w:val="clear" w:color="auto" w:fill="FFFFFF"/>
          </w:rPr>
          <w:t>Sabrina Do Nascimento</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xml:space="preserve"> </w:t>
      </w:r>
      <w:hyperlink r:id="rId463" w:history="1">
        <w:r w:rsidRPr="00A729F7">
          <w:rPr>
            <w:rStyle w:val="Hyperlink"/>
            <w:rFonts w:ascii="Times New Roman" w:hAnsi="Times New Roman"/>
            <w:color w:val="000000"/>
            <w:sz w:val="20"/>
            <w:szCs w:val="20"/>
            <w:u w:color="FFFFFF"/>
            <w:shd w:val="clear" w:color="auto" w:fill="FFFFFF"/>
          </w:rPr>
          <w:t>Talita Gomes Baeta Lourenço</w:t>
        </w:r>
      </w:hyperlink>
      <w:r w:rsidRPr="00A729F7">
        <w:rPr>
          <w:rFonts w:ascii="Times New Roman" w:hAnsi="Times New Roman" w:cs="Times New Roman"/>
          <w:color w:val="000000"/>
          <w:sz w:val="20"/>
          <w:szCs w:val="20"/>
          <w:u w:color="FFFFFF"/>
          <w:shd w:val="clear" w:color="auto" w:fill="FFFFFF"/>
        </w:rPr>
        <w:t xml:space="preserve">, </w:t>
      </w:r>
      <w:r w:rsidRPr="00A729F7">
        <w:rPr>
          <w:rFonts w:ascii="Times New Roman" w:hAnsi="Times New Roman" w:cs="Times New Roman"/>
          <w:color w:val="000000"/>
          <w:sz w:val="20"/>
          <w:szCs w:val="20"/>
          <w:u w:color="FFFFFF"/>
          <w:shd w:val="clear" w:color="auto" w:fill="FFFFFF"/>
          <w:vertAlign w:val="superscript"/>
        </w:rPr>
        <w:t xml:space="preserve"> </w:t>
      </w:r>
      <w:hyperlink r:id="rId464" w:history="1">
        <w:r w:rsidRPr="00A729F7">
          <w:rPr>
            <w:rStyle w:val="Hyperlink"/>
            <w:rFonts w:ascii="Times New Roman" w:hAnsi="Times New Roman"/>
            <w:color w:val="000000"/>
            <w:sz w:val="20"/>
            <w:szCs w:val="20"/>
            <w:u w:color="FFFFFF"/>
            <w:shd w:val="clear" w:color="auto" w:fill="FFFFFF"/>
          </w:rPr>
          <w:t>Danielle Viana Ribeiro Ramos</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xml:space="preserve"> </w:t>
      </w:r>
      <w:hyperlink r:id="rId465" w:history="1">
        <w:r w:rsidRPr="00A729F7">
          <w:rPr>
            <w:rStyle w:val="Hyperlink"/>
            <w:rFonts w:ascii="Times New Roman" w:hAnsi="Times New Roman"/>
            <w:color w:val="000000"/>
            <w:sz w:val="20"/>
            <w:szCs w:val="20"/>
            <w:u w:color="FFFFFF"/>
            <w:shd w:val="clear" w:color="auto" w:fill="FFFFFF"/>
          </w:rPr>
          <w:t>Denise da Cunha Pasqualin</w:t>
        </w:r>
      </w:hyperlink>
      <w:r w:rsidRPr="00A729F7">
        <w:rPr>
          <w:rFonts w:ascii="Times New Roman" w:hAnsi="Times New Roman" w:cs="Times New Roman"/>
          <w:color w:val="000000"/>
          <w:sz w:val="20"/>
          <w:szCs w:val="20"/>
          <w:u w:color="FFFFFF"/>
          <w:shd w:val="clear" w:color="auto" w:fill="FFFFFF"/>
        </w:rPr>
        <w:t>,</w:t>
      </w:r>
      <w:r w:rsidRPr="00A729F7">
        <w:rPr>
          <w:rFonts w:ascii="Times New Roman" w:hAnsi="Times New Roman" w:cs="Times New Roman"/>
          <w:color w:val="000000"/>
          <w:sz w:val="20"/>
          <w:szCs w:val="20"/>
          <w:u w:color="FFFFFF"/>
          <w:shd w:val="clear" w:color="auto" w:fill="FFFFFF"/>
          <w:vertAlign w:val="superscript"/>
        </w:rPr>
        <w:t xml:space="preserve"> </w:t>
      </w:r>
      <w:hyperlink r:id="rId466" w:history="1">
        <w:r w:rsidRPr="00A729F7">
          <w:rPr>
            <w:rStyle w:val="Hyperlink"/>
            <w:rFonts w:ascii="Times New Roman" w:hAnsi="Times New Roman"/>
            <w:color w:val="000000"/>
            <w:sz w:val="20"/>
            <w:szCs w:val="20"/>
            <w:u w:color="FFFFFF"/>
            <w:shd w:val="clear" w:color="auto" w:fill="FFFFFF"/>
          </w:rPr>
          <w:t>Leandro Aurélio Liporoni Martins</w:t>
        </w:r>
      </w:hyperlink>
      <w:r w:rsidRPr="00A729F7">
        <w:rPr>
          <w:rFonts w:ascii="Times New Roman" w:hAnsi="Times New Roman" w:cs="Times New Roman"/>
          <w:color w:val="000000"/>
          <w:sz w:val="20"/>
          <w:szCs w:val="20"/>
          <w:u w:color="FFFFFF"/>
          <w:shd w:val="clear" w:color="auto" w:fill="FFFFFF"/>
        </w:rPr>
        <w:t>, </w:t>
      </w:r>
      <w:hyperlink r:id="rId467" w:history="1">
        <w:r w:rsidRPr="00A729F7">
          <w:rPr>
            <w:rStyle w:val="Hyperlink"/>
            <w:rFonts w:ascii="Times New Roman" w:hAnsi="Times New Roman"/>
            <w:color w:val="000000"/>
            <w:sz w:val="20"/>
            <w:szCs w:val="20"/>
            <w:u w:color="FFFFFF"/>
            <w:shd w:val="clear" w:color="auto" w:fill="FFFFFF"/>
          </w:rPr>
          <w:t>Fernanda Agostini Rocha</w:t>
        </w:r>
      </w:hyperlink>
      <w:r w:rsidRPr="00A729F7">
        <w:rPr>
          <w:rFonts w:ascii="Times New Roman" w:hAnsi="Times New Roman" w:cs="Times New Roman"/>
          <w:color w:val="000000"/>
          <w:sz w:val="20"/>
          <w:szCs w:val="20"/>
          <w:u w:color="FFFFFF"/>
          <w:shd w:val="clear" w:color="auto" w:fill="FFFFFF"/>
        </w:rPr>
        <w:t>,</w:t>
      </w:r>
      <w:hyperlink r:id="rId468" w:history="1">
        <w:r w:rsidRPr="00A729F7">
          <w:rPr>
            <w:rStyle w:val="Hyperlink"/>
            <w:rFonts w:ascii="Times New Roman" w:hAnsi="Times New Roman"/>
            <w:color w:val="000000"/>
            <w:sz w:val="20"/>
            <w:szCs w:val="20"/>
            <w:u w:color="FFFFFF"/>
            <w:shd w:val="clear" w:color="auto" w:fill="FFFFFF"/>
          </w:rPr>
          <w:t>Débora Heller</w:t>
        </w:r>
      </w:hyperlink>
      <w:r w:rsidRPr="00A729F7">
        <w:rPr>
          <w:rFonts w:ascii="Times New Roman" w:hAnsi="Times New Roman" w:cs="Times New Roman"/>
          <w:color w:val="000000"/>
          <w:sz w:val="20"/>
          <w:szCs w:val="20"/>
          <w:u w:color="FFFFFF"/>
          <w:shd w:val="clear" w:color="auto" w:fill="FFFFFF"/>
        </w:rPr>
        <w:t>, Luciana Marti</w:t>
      </w:r>
      <w:r w:rsidRPr="00A729F7">
        <w:rPr>
          <w:rFonts w:ascii="Times New Roman" w:hAnsi="Times New Roman" w:cs="Times New Roman"/>
          <w:color w:val="000000"/>
          <w:sz w:val="20"/>
          <w:szCs w:val="20"/>
          <w:u w:val="single" w:color="FFFFFF"/>
          <w:shd w:val="clear" w:color="auto" w:fill="FFFFFF"/>
        </w:rPr>
        <w:t>,</w:t>
      </w:r>
      <w:r w:rsidRPr="00A729F7">
        <w:rPr>
          <w:rFonts w:ascii="Times New Roman" w:hAnsi="Times New Roman" w:cs="Times New Roman"/>
          <w:b/>
          <w:bCs/>
          <w:color w:val="000000"/>
          <w:spacing w:val="-2"/>
          <w:sz w:val="20"/>
          <w:szCs w:val="20"/>
          <w:u w:color="FFFFFF"/>
        </w:rPr>
        <w:t xml:space="preserve"> </w:t>
      </w:r>
      <w:r w:rsidRPr="00A729F7">
        <w:rPr>
          <w:rFonts w:ascii="Times New Roman" w:hAnsi="Times New Roman" w:cs="Times New Roman"/>
          <w:color w:val="000000"/>
          <w:spacing w:val="-2"/>
          <w:sz w:val="20"/>
          <w:szCs w:val="20"/>
          <w:u w:color="FFFFFF"/>
        </w:rPr>
        <w:t>Cytokines Levels and Salivary Microbiome Play A Potential Role in Oral Lichen Planus Diagnosis</w:t>
      </w:r>
      <w:r w:rsidRPr="00A729F7">
        <w:rPr>
          <w:rFonts w:ascii="Times New Roman" w:hAnsi="Times New Roman" w:cs="Times New Roman"/>
          <w:b/>
          <w:bCs/>
          <w:color w:val="000000"/>
          <w:spacing w:val="-2"/>
          <w:sz w:val="20"/>
          <w:szCs w:val="20"/>
          <w:u w:color="FFFFFF"/>
        </w:rPr>
        <w:t xml:space="preserve">, </w:t>
      </w:r>
      <w:hyperlink r:id="rId469" w:history="1">
        <w:r w:rsidRPr="00A729F7">
          <w:rPr>
            <w:rFonts w:ascii="Times New Roman" w:hAnsi="Times New Roman" w:cs="Times New Roman"/>
            <w:color w:val="000000"/>
            <w:sz w:val="20"/>
            <w:szCs w:val="20"/>
            <w:u w:val="single" w:color="FFFFFF"/>
          </w:rPr>
          <w:t>Sci Rep.</w:t>
        </w:r>
      </w:hyperlink>
      <w:r w:rsidRPr="00A729F7">
        <w:rPr>
          <w:rFonts w:ascii="Times New Roman" w:hAnsi="Times New Roman" w:cs="Times New Roman"/>
          <w:color w:val="212121"/>
          <w:sz w:val="20"/>
          <w:szCs w:val="20"/>
          <w:u w:color="FFFFFF"/>
        </w:rPr>
        <w:t> 2019; 9: 18137. DOI: </w:t>
      </w:r>
      <w:hyperlink r:id="rId470" w:tgtFrame="_blank" w:history="1">
        <w:r w:rsidRPr="00A729F7">
          <w:rPr>
            <w:rFonts w:ascii="Times New Roman" w:hAnsi="Times New Roman" w:cs="Times New Roman"/>
            <w:color w:val="376FAA"/>
            <w:sz w:val="20"/>
            <w:szCs w:val="20"/>
            <w:u w:val="single" w:color="FFFFFF"/>
          </w:rPr>
          <w:t>10.1038/s41598-019-54615-y</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000000"/>
          <w:sz w:val="20"/>
          <w:szCs w:val="20"/>
          <w:u w:color="FFFFFF"/>
        </w:rPr>
        <w:t>220. </w:t>
      </w:r>
      <w:hyperlink r:id="rId471" w:history="1">
        <w:r w:rsidRPr="00A729F7">
          <w:rPr>
            <w:rFonts w:ascii="Times New Roman" w:hAnsi="Times New Roman" w:cs="Times New Roman"/>
            <w:color w:val="000000"/>
            <w:sz w:val="20"/>
            <w:szCs w:val="20"/>
            <w:u w:val="single" w:color="FFFFFF"/>
          </w:rPr>
          <w:t>Yanxia Zhu</w:t>
        </w:r>
      </w:hyperlink>
      <w:r w:rsidRPr="00A729F7">
        <w:rPr>
          <w:rFonts w:ascii="Times New Roman" w:hAnsi="Times New Roman" w:cs="Times New Roman"/>
          <w:color w:val="000000"/>
          <w:sz w:val="20"/>
          <w:szCs w:val="20"/>
          <w:u w:color="FFFFFF"/>
        </w:rPr>
        <w:t xml:space="preserve">,  </w:t>
      </w:r>
      <w:hyperlink r:id="rId472" w:history="1">
        <w:r w:rsidRPr="00A729F7">
          <w:rPr>
            <w:rFonts w:ascii="Times New Roman" w:hAnsi="Times New Roman" w:cs="Times New Roman"/>
            <w:color w:val="000000"/>
            <w:sz w:val="20"/>
            <w:szCs w:val="20"/>
            <w:u w:val="single" w:color="FFFFFF"/>
          </w:rPr>
          <w:t>Qinnuan Sun</w:t>
        </w:r>
      </w:hyperlink>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z w:val="20"/>
          <w:szCs w:val="20"/>
          <w:u w:val="single" w:color="FFFFFF"/>
        </w:rPr>
        <w:t>Benxiang Hou</w:t>
      </w:r>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pacing w:val="-2"/>
          <w:kern w:val="36"/>
          <w:sz w:val="20"/>
          <w:szCs w:val="20"/>
          <w:u w:color="FFFFFF"/>
        </w:rPr>
        <w:t xml:space="preserve">Role of interleukin-33 in the clinical pathogenesis of chronic apical periodontitis, </w:t>
      </w:r>
      <w:hyperlink r:id="rId473" w:history="1">
        <w:r w:rsidRPr="00A729F7">
          <w:rPr>
            <w:rFonts w:ascii="Times New Roman" w:hAnsi="Times New Roman" w:cs="Times New Roman"/>
            <w:color w:val="000000"/>
            <w:sz w:val="20"/>
            <w:szCs w:val="20"/>
            <w:u w:val="single" w:color="FFFFFF"/>
          </w:rPr>
          <w:t>J Int Med Res.</w:t>
        </w:r>
      </w:hyperlink>
      <w:r w:rsidRPr="00A729F7">
        <w:rPr>
          <w:rFonts w:ascii="Times New Roman" w:hAnsi="Times New Roman" w:cs="Times New Roman"/>
          <w:color w:val="000000"/>
          <w:sz w:val="20"/>
          <w:szCs w:val="20"/>
          <w:u w:color="FFFFFF"/>
        </w:rPr>
        <w:t> 2019 Jul; 47(7): 3332–3343.</w:t>
      </w:r>
      <w:r w:rsidRPr="00A729F7">
        <w:rPr>
          <w:rFonts w:ascii="Times New Roman" w:hAnsi="Times New Roman" w:cs="Times New Roman"/>
          <w:color w:val="212121"/>
          <w:sz w:val="20"/>
          <w:szCs w:val="20"/>
        </w:rPr>
        <w:t xml:space="preserve"> DOI: </w:t>
      </w:r>
      <w:hyperlink r:id="rId474" w:tgtFrame="_blank" w:history="1">
        <w:r w:rsidRPr="00A729F7">
          <w:rPr>
            <w:rFonts w:ascii="Times New Roman" w:hAnsi="Times New Roman" w:cs="Times New Roman"/>
            <w:color w:val="376FAA"/>
            <w:sz w:val="20"/>
            <w:szCs w:val="20"/>
            <w:u w:val="single"/>
          </w:rPr>
          <w:t>10.1177/0300060519854630</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221. Seung Min Jung, Jaeseon Lee, Seung Ye Baek, Jae Ho Lee, Jennifer Lee, Kyung-Su Park, Sung-Hwan Park, Ho-Youn Kim and Seung-Ki Kwok, The Interleukin 33/ST2 Axis in Patients with Primary Sjögren </w:t>
      </w:r>
      <w:r w:rsidRPr="00A729F7">
        <w:rPr>
          <w:rFonts w:ascii="Times New Roman" w:hAnsi="Times New Roman" w:cs="Times New Roman"/>
          <w:sz w:val="20"/>
          <w:szCs w:val="20"/>
        </w:rPr>
        <w:lastRenderedPageBreak/>
        <w:t xml:space="preserve">Syndrome: Expression in Serum and Salivary Glands, and the Clinical Association, The Journal of Rheumatology February 2015, 42 (2) 264-271; DOI: </w:t>
      </w:r>
      <w:hyperlink r:id="rId475" w:history="1">
        <w:r w:rsidRPr="00A729F7">
          <w:rPr>
            <w:rStyle w:val="Hyperlink"/>
            <w:rFonts w:ascii="Times New Roman" w:hAnsi="Times New Roman"/>
            <w:sz w:val="20"/>
            <w:szCs w:val="20"/>
          </w:rPr>
          <w:t>https://doi.org/10.3899/jrheum.140234</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 xml:space="preserve">222. </w:t>
      </w:r>
      <w:hyperlink r:id="rId476" w:history="1">
        <w:r w:rsidRPr="00A729F7">
          <w:rPr>
            <w:rFonts w:ascii="Times New Roman" w:hAnsi="Times New Roman" w:cs="Times New Roman"/>
            <w:color w:val="000000"/>
            <w:sz w:val="20"/>
            <w:szCs w:val="20"/>
            <w:u w:val="single" w:color="FFFFFF"/>
          </w:rPr>
          <w:t>Pio Conti</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77" w:history="1">
        <w:r w:rsidRPr="00A729F7">
          <w:rPr>
            <w:rFonts w:ascii="Times New Roman" w:hAnsi="Times New Roman" w:cs="Times New Roman"/>
            <w:color w:val="000000"/>
            <w:sz w:val="20"/>
            <w:szCs w:val="20"/>
            <w:u w:val="single" w:color="FFFFFF"/>
          </w:rPr>
          <w:t>Luisa Stellin</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78" w:history="1">
        <w:r w:rsidRPr="00A729F7">
          <w:rPr>
            <w:rFonts w:ascii="Times New Roman" w:hAnsi="Times New Roman" w:cs="Times New Roman"/>
            <w:color w:val="000000"/>
            <w:sz w:val="20"/>
            <w:szCs w:val="20"/>
            <w:u w:val="single" w:color="FFFFFF"/>
          </w:rPr>
          <w:t>Alesssandro Caraffa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79" w:history="1">
        <w:r w:rsidRPr="00A729F7">
          <w:rPr>
            <w:rFonts w:ascii="Times New Roman" w:hAnsi="Times New Roman" w:cs="Times New Roman"/>
            <w:color w:val="000000"/>
            <w:sz w:val="20"/>
            <w:szCs w:val="20"/>
            <w:u w:val="single" w:color="FFFFFF"/>
          </w:rPr>
          <w:t>Carla E. Gallenga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r w:rsidRPr="00A729F7">
        <w:rPr>
          <w:rFonts w:ascii="Times New Roman" w:hAnsi="Times New Roman" w:cs="Times New Roman"/>
          <w:color w:val="000000"/>
          <w:sz w:val="20"/>
          <w:szCs w:val="20"/>
          <w:u w:color="FFFFFF"/>
        </w:rPr>
        <w:t xml:space="preserve"> </w:t>
      </w:r>
      <w:hyperlink r:id="rId480" w:history="1">
        <w:r w:rsidRPr="00A729F7">
          <w:rPr>
            <w:rFonts w:ascii="Times New Roman" w:hAnsi="Times New Roman" w:cs="Times New Roman"/>
            <w:color w:val="000000"/>
            <w:sz w:val="20"/>
            <w:szCs w:val="20"/>
            <w:u w:val="single" w:color="FFFFFF"/>
          </w:rPr>
          <w:t>Rhiannon Ross</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81" w:history="1">
        <w:r w:rsidRPr="00A729F7">
          <w:rPr>
            <w:rFonts w:ascii="Times New Roman" w:hAnsi="Times New Roman" w:cs="Times New Roman"/>
            <w:color w:val="000000"/>
            <w:sz w:val="20"/>
            <w:szCs w:val="20"/>
            <w:u w:val="single" w:color="FFFFFF"/>
          </w:rPr>
          <w:t>Spyros K. Kritas</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82" w:history="1">
        <w:r w:rsidRPr="00A729F7">
          <w:rPr>
            <w:rFonts w:ascii="Times New Roman" w:hAnsi="Times New Roman" w:cs="Times New Roman"/>
            <w:color w:val="000000"/>
            <w:sz w:val="20"/>
            <w:szCs w:val="20"/>
            <w:u w:val="single" w:color="FFFFFF"/>
          </w:rPr>
          <w:t>Ilias Frydas</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83" w:history="1">
        <w:r w:rsidRPr="00A729F7">
          <w:rPr>
            <w:rFonts w:ascii="Times New Roman" w:hAnsi="Times New Roman" w:cs="Times New Roman"/>
            <w:color w:val="000000"/>
            <w:sz w:val="20"/>
            <w:szCs w:val="20"/>
            <w:u w:val="single" w:color="FFFFFF"/>
          </w:rPr>
          <w:t>Ali Younes</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484" w:history="1">
        <w:r w:rsidRPr="00A729F7">
          <w:rPr>
            <w:rFonts w:ascii="Times New Roman" w:hAnsi="Times New Roman" w:cs="Times New Roman"/>
            <w:color w:val="000000"/>
            <w:sz w:val="20"/>
            <w:szCs w:val="20"/>
            <w:u w:val="single" w:color="FFFFFF"/>
          </w:rPr>
          <w:t>Paolo Di Emidio</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r w:rsidRPr="00A729F7">
        <w:rPr>
          <w:rFonts w:ascii="Times New Roman" w:hAnsi="Times New Roman" w:cs="Times New Roman"/>
          <w:color w:val="000000"/>
          <w:sz w:val="20"/>
          <w:szCs w:val="20"/>
          <w:u w:color="FFFFFF"/>
        </w:rPr>
        <w:t> </w:t>
      </w:r>
      <w:hyperlink r:id="rId485" w:history="1">
        <w:r w:rsidRPr="00A729F7">
          <w:rPr>
            <w:rFonts w:ascii="Times New Roman" w:hAnsi="Times New Roman" w:cs="Times New Roman"/>
            <w:color w:val="000000"/>
            <w:sz w:val="20"/>
            <w:szCs w:val="20"/>
            <w:u w:val="single" w:color="FFFFFF"/>
          </w:rPr>
          <w:t>Gianpaolo Ronconi</w:t>
        </w:r>
      </w:hyperlink>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pacing w:val="-2"/>
          <w:kern w:val="36"/>
          <w:sz w:val="20"/>
          <w:szCs w:val="20"/>
        </w:rPr>
        <w:t xml:space="preserve">Advances in Mast Cell Activation by IL-1 and IL-33 in Sjögren’s Syndrome: Promising Inhibitory Effect of IL-37, </w:t>
      </w:r>
      <w:hyperlink r:id="rId486" w:history="1">
        <w:r w:rsidRPr="00A729F7">
          <w:rPr>
            <w:rFonts w:ascii="Times New Roman" w:hAnsi="Times New Roman" w:cs="Times New Roman"/>
            <w:color w:val="000000"/>
            <w:sz w:val="20"/>
            <w:szCs w:val="20"/>
            <w:u w:val="single" w:color="FFFFFF"/>
          </w:rPr>
          <w:t>Int J Mol Sci.</w:t>
        </w:r>
      </w:hyperlink>
      <w:r w:rsidRPr="00A729F7">
        <w:rPr>
          <w:rFonts w:ascii="Times New Roman" w:hAnsi="Times New Roman" w:cs="Times New Roman"/>
          <w:color w:val="000000"/>
          <w:sz w:val="20"/>
          <w:szCs w:val="20"/>
          <w:u w:color="FFFFFF"/>
        </w:rPr>
        <w:t> 2020 Jun; 21(12): 4297.</w:t>
      </w:r>
      <w:r w:rsidRPr="00A729F7">
        <w:rPr>
          <w:rFonts w:ascii="Times New Roman" w:hAnsi="Times New Roman" w:cs="Times New Roman"/>
          <w:color w:val="212121"/>
          <w:sz w:val="20"/>
          <w:szCs w:val="20"/>
        </w:rPr>
        <w:t xml:space="preserve"> DOI: </w:t>
      </w:r>
      <w:hyperlink r:id="rId487" w:tgtFrame="_blank" w:history="1">
        <w:r w:rsidRPr="00A729F7">
          <w:rPr>
            <w:rFonts w:ascii="Times New Roman" w:hAnsi="Times New Roman" w:cs="Times New Roman"/>
            <w:color w:val="376FAA"/>
            <w:sz w:val="20"/>
            <w:szCs w:val="20"/>
            <w:u w:val="single"/>
          </w:rPr>
          <w:t>10.3390/ijms21124297</w:t>
        </w:r>
      </w:hyperlink>
    </w:p>
    <w:p w:rsidR="00A729F7" w:rsidRPr="00A729F7" w:rsidRDefault="00A729F7" w:rsidP="00A729F7">
      <w:pPr>
        <w:spacing w:line="360" w:lineRule="auto"/>
        <w:rPr>
          <w:rFonts w:ascii="Times New Roman" w:hAnsi="Times New Roman" w:cs="Times New Roman"/>
          <w:color w:val="212121"/>
          <w:sz w:val="20"/>
          <w:szCs w:val="20"/>
        </w:rPr>
      </w:pPr>
      <w:r w:rsidRPr="00A729F7">
        <w:rPr>
          <w:rStyle w:val="element-citation"/>
          <w:rFonts w:ascii="Times New Roman" w:hAnsi="Times New Roman"/>
          <w:color w:val="212121"/>
          <w:sz w:val="20"/>
          <w:szCs w:val="20"/>
        </w:rPr>
        <w:t>223. Miller AM, Xu D, Asquith DL, Denby L, Li Y, Sattar N, Baker AH, McInnes IB, Liew FY. IL-33 reduces the development of atherosclerosis. </w:t>
      </w:r>
      <w:r w:rsidRPr="00A729F7">
        <w:rPr>
          <w:rStyle w:val="nowrap"/>
          <w:rFonts w:ascii="Times New Roman" w:hAnsi="Times New Roman"/>
          <w:i/>
          <w:iCs/>
          <w:color w:val="212121"/>
          <w:sz w:val="20"/>
          <w:szCs w:val="20"/>
        </w:rPr>
        <w:t>J Exp Med. </w:t>
      </w:r>
      <w:r w:rsidRPr="00A729F7">
        <w:rPr>
          <w:rStyle w:val="element-citation"/>
          <w:rFonts w:ascii="Times New Roman" w:hAnsi="Times New Roman"/>
          <w:color w:val="212121"/>
          <w:sz w:val="20"/>
          <w:szCs w:val="20"/>
        </w:rPr>
        <w:t>2008;</w:t>
      </w:r>
      <w:r w:rsidRPr="00A729F7">
        <w:rPr>
          <w:rStyle w:val="ref-vol"/>
          <w:rFonts w:ascii="Times New Roman" w:hAnsi="Times New Roman"/>
          <w:color w:val="212121"/>
          <w:sz w:val="20"/>
          <w:szCs w:val="20"/>
        </w:rPr>
        <w:t>205</w:t>
      </w:r>
      <w:r w:rsidRPr="00A729F7">
        <w:rPr>
          <w:rStyle w:val="element-citation"/>
          <w:rFonts w:ascii="Times New Roman" w:hAnsi="Times New Roman"/>
          <w:color w:val="212121"/>
          <w:sz w:val="20"/>
          <w:szCs w:val="20"/>
        </w:rPr>
        <w:t>:339–346. doi: 10.1084/jem.20071868. </w:t>
      </w:r>
      <w:r w:rsidRPr="00A729F7">
        <w:rPr>
          <w:rStyle w:val="nowrap"/>
          <w:rFonts w:ascii="Times New Roman" w:hAnsi="Times New Roman"/>
          <w:color w:val="212121"/>
          <w:sz w:val="20"/>
          <w:szCs w:val="20"/>
        </w:rPr>
        <w:t>[</w:t>
      </w:r>
      <w:hyperlink r:id="rId488" w:history="1">
        <w:r w:rsidRPr="00A729F7">
          <w:rPr>
            <w:rStyle w:val="ref-journal"/>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element-citation"/>
          <w:rFonts w:ascii="Times New Roman" w:hAnsi="Times New Roman"/>
          <w:color w:val="212121"/>
          <w:sz w:val="20"/>
          <w:szCs w:val="20"/>
        </w:rPr>
        <w:t> [</w:t>
      </w:r>
      <w:hyperlink r:id="rId489" w:history="1">
        <w:r w:rsidRPr="00A729F7">
          <w:rPr>
            <w:rStyle w:val="ref-journal"/>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490" w:tgtFrame="_blank" w:history="1">
        <w:r w:rsidRPr="00A729F7">
          <w:rPr>
            <w:rStyle w:val="ref-journal"/>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491" w:tgtFrame="_blank" w:history="1">
        <w:r w:rsidRPr="00A729F7">
          <w:rPr>
            <w:rStyle w:val="ref-journal"/>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Style w:val="mixed-citation"/>
          <w:rFonts w:ascii="Times New Roman" w:hAnsi="Times New Roman" w:cs="Times New Roman"/>
          <w:color w:val="212121"/>
          <w:sz w:val="20"/>
          <w:szCs w:val="20"/>
        </w:rPr>
      </w:pPr>
      <w:r w:rsidRPr="00A729F7">
        <w:rPr>
          <w:rFonts w:ascii="Times New Roman" w:hAnsi="Times New Roman" w:cs="Times New Roman"/>
          <w:color w:val="212121"/>
          <w:sz w:val="20"/>
          <w:szCs w:val="20"/>
        </w:rPr>
        <w:t>224.</w:t>
      </w:r>
      <w:r w:rsidRPr="00A729F7">
        <w:rPr>
          <w:rStyle w:val="mixed-citation"/>
          <w:rFonts w:ascii="Times New Roman" w:hAnsi="Times New Roman" w:cs="Times New Roman"/>
          <w:color w:val="212121"/>
          <w:sz w:val="20"/>
          <w:szCs w:val="20"/>
        </w:rPr>
        <w:t xml:space="preserve"> Robinson KM, Ramanan K, Clay ME, McHugh KJ, Rich HE, Alcorn JF (2017) Novel protective mechanism for interleukin-33 at the mucosal barrier during influenza-associated bacterial superinfection. Mucosal Immunol </w:t>
      </w:r>
      <w:r w:rsidRPr="00A729F7">
        <w:rPr>
          <w:rStyle w:val="nowrap"/>
          <w:rFonts w:ascii="Times New Roman" w:hAnsi="Times New Roman"/>
          <w:color w:val="212121"/>
          <w:sz w:val="20"/>
          <w:szCs w:val="20"/>
        </w:rPr>
        <w:t>[</w:t>
      </w:r>
      <w:hyperlink r:id="rId492"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mixed-citation"/>
          <w:rFonts w:ascii="Times New Roman" w:hAnsi="Times New Roman" w:cs="Times New Roman"/>
          <w:color w:val="212121"/>
          <w:sz w:val="20"/>
          <w:szCs w:val="20"/>
        </w:rPr>
        <w:t> [</w:t>
      </w:r>
      <w:hyperlink r:id="rId493" w:history="1">
        <w:r w:rsidRPr="00A729F7">
          <w:rPr>
            <w:rStyle w:val="Hyperlink"/>
            <w:rFonts w:ascii="Times New Roman" w:hAnsi="Times New Roman"/>
            <w:color w:val="376FAA"/>
            <w:sz w:val="20"/>
            <w:szCs w:val="20"/>
          </w:rPr>
          <w:t>PubMed</w:t>
        </w:r>
      </w:hyperlink>
      <w:r w:rsidRPr="00A729F7">
        <w:rPr>
          <w:rStyle w:val="mixed-citation"/>
          <w:rFonts w:ascii="Times New Roman" w:hAnsi="Times New Roman" w:cs="Times New Roman"/>
          <w:color w:val="212121"/>
          <w:sz w:val="20"/>
          <w:szCs w:val="20"/>
        </w:rPr>
        <w:t>]</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shd w:val="clear" w:color="auto" w:fill="FFFFFF"/>
        </w:rPr>
        <w:t>225.</w:t>
      </w:r>
      <w:r w:rsidRPr="00A729F7">
        <w:rPr>
          <w:rFonts w:ascii="Times New Roman" w:hAnsi="Times New Roman" w:cs="Times New Roman"/>
          <w:color w:val="303030"/>
          <w:sz w:val="20"/>
          <w:szCs w:val="20"/>
          <w:shd w:val="clear" w:color="auto" w:fill="FFFFFF"/>
        </w:rPr>
        <w:t xml:space="preserve"> Hentschke I., Graser A., Melichar V. O., Kiefer A., Zimmermann T., Kroß B., et al.. (2017). </w:t>
      </w:r>
      <w:r w:rsidRPr="00A729F7">
        <w:rPr>
          <w:rStyle w:val="ref-title"/>
          <w:rFonts w:ascii="Times New Roman" w:hAnsi="Times New Roman" w:cs="Times New Roman"/>
          <w:color w:val="303030"/>
          <w:sz w:val="20"/>
          <w:szCs w:val="20"/>
          <w:shd w:val="clear" w:color="auto" w:fill="FFFFFF"/>
        </w:rPr>
        <w:t>Corrigendum: IL-33/ST2 immune responses to respiratory bacteria in pediatric asthma</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Sci. Rep.</w:t>
      </w:r>
      <w:r w:rsidRPr="00A729F7">
        <w:rPr>
          <w:rFonts w:ascii="Times New Roman" w:hAnsi="Times New Roman" w:cs="Times New Roman"/>
          <w:color w:val="303030"/>
          <w:sz w:val="20"/>
          <w:szCs w:val="20"/>
          <w:shd w:val="clear" w:color="auto" w:fill="FFFFFF"/>
        </w:rPr>
        <w:t> </w:t>
      </w:r>
      <w:r w:rsidRPr="00A729F7">
        <w:rPr>
          <w:rStyle w:val="id-label"/>
          <w:rFonts w:ascii="Times New Roman" w:hAnsi="Times New Roman" w:cs="Times New Roman"/>
          <w:color w:val="212121"/>
          <w:sz w:val="20"/>
          <w:szCs w:val="20"/>
        </w:rPr>
        <w:t>DOI: </w:t>
      </w:r>
      <w:hyperlink r:id="rId494" w:tgtFrame="_blank" w:history="1">
        <w:r w:rsidRPr="00A729F7">
          <w:rPr>
            <w:rStyle w:val="identifier"/>
            <w:rFonts w:ascii="Times New Roman" w:hAnsi="Times New Roman" w:cs="Times New Roman"/>
            <w:color w:val="0071BC"/>
            <w:sz w:val="20"/>
            <w:szCs w:val="20"/>
          </w:rPr>
          <w:t>10.1038/srep46897</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226. Staurengo-Ferrari et al., </w:t>
      </w:r>
      <w:hyperlink r:id="rId495" w:anchor="B114" w:history="1">
        <w:r w:rsidRPr="00A729F7">
          <w:rPr>
            <w:rStyle w:val="identifier"/>
            <w:rFonts w:ascii="Times New Roman" w:hAnsi="Times New Roman" w:cs="Times New Roman"/>
            <w:color w:val="376FAA"/>
            <w:sz w:val="20"/>
            <w:szCs w:val="20"/>
            <w:shd w:val="clear" w:color="auto" w:fill="FFFFFF"/>
          </w:rPr>
          <w:t>2018</w:t>
        </w:r>
      </w:hyperlink>
      <w:r w:rsidRPr="00A729F7">
        <w:rPr>
          <w:rFonts w:ascii="Times New Roman" w:hAnsi="Times New Roman" w:cs="Times New Roman"/>
          <w:color w:val="212121"/>
          <w:sz w:val="20"/>
          <w:szCs w:val="20"/>
          <w:shd w:val="clear" w:color="auto" w:fill="FFFFFF"/>
        </w:rPr>
        <w:t>).</w:t>
      </w:r>
      <w:r w:rsidRPr="00A729F7">
        <w:rPr>
          <w:rFonts w:ascii="Times New Roman" w:hAnsi="Times New Roman" w:cs="Times New Roman"/>
          <w:color w:val="303030"/>
          <w:sz w:val="20"/>
          <w:szCs w:val="20"/>
          <w:shd w:val="clear" w:color="auto" w:fill="FFFFFF"/>
        </w:rPr>
        <w:t xml:space="preserve"> Staurengo-Ferrari L., Trevelin S. C., Fattori V., Nascimento D. C., de Lima K. A., Pelayo J. S., et al.. (2018). </w:t>
      </w:r>
      <w:r w:rsidRPr="00A729F7">
        <w:rPr>
          <w:rStyle w:val="ref-title"/>
          <w:rFonts w:ascii="Times New Roman" w:hAnsi="Times New Roman" w:cs="Times New Roman"/>
          <w:color w:val="303030"/>
          <w:sz w:val="20"/>
          <w:szCs w:val="20"/>
          <w:shd w:val="clear" w:color="auto" w:fill="FFFFFF"/>
        </w:rPr>
        <w:t>Interleukin-33 receptor (ST2) deficiency improves the outcome of </w:t>
      </w:r>
      <w:r w:rsidRPr="00A729F7">
        <w:rPr>
          <w:rStyle w:val="Emphasis"/>
          <w:rFonts w:ascii="Times New Roman" w:hAnsi="Times New Roman"/>
          <w:color w:val="303030"/>
          <w:sz w:val="20"/>
          <w:szCs w:val="20"/>
          <w:shd w:val="clear" w:color="auto" w:fill="FFFFFF"/>
        </w:rPr>
        <w:t>Staphylococcus aureus</w:t>
      </w:r>
      <w:r w:rsidRPr="00A729F7">
        <w:rPr>
          <w:rStyle w:val="ref-title"/>
          <w:rFonts w:ascii="Times New Roman" w:hAnsi="Times New Roman" w:cs="Times New Roman"/>
          <w:color w:val="303030"/>
          <w:sz w:val="20"/>
          <w:szCs w:val="20"/>
          <w:shd w:val="clear" w:color="auto" w:fill="FFFFFF"/>
        </w:rPr>
        <w:t>-induced septic arthritis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Front.Immunol.</w:t>
      </w:r>
      <w:r w:rsidRPr="00A729F7">
        <w:rPr>
          <w:rFonts w:ascii="Times New Roman" w:hAnsi="Times New Roman" w:cs="Times New Roman"/>
          <w:color w:val="303030"/>
          <w:sz w:val="20"/>
          <w:szCs w:val="20"/>
          <w:shd w:val="clear" w:color="auto" w:fill="FFFFFF"/>
        </w:rPr>
        <w:t> </w:t>
      </w:r>
      <w:r w:rsidRPr="00A729F7">
        <w:rPr>
          <w:rFonts w:ascii="Times New Roman" w:hAnsi="Times New Roman" w:cs="Times New Roman"/>
          <w:color w:val="212121"/>
          <w:sz w:val="20"/>
          <w:szCs w:val="20"/>
          <w:shd w:val="clear" w:color="auto" w:fill="FFFFFF"/>
        </w:rPr>
        <w:t xml:space="preserve"> </w:t>
      </w:r>
      <w:r w:rsidRPr="00A729F7">
        <w:rPr>
          <w:rStyle w:val="id-label"/>
          <w:rFonts w:ascii="Times New Roman" w:hAnsi="Times New Roman" w:cs="Times New Roman"/>
          <w:color w:val="212121"/>
          <w:sz w:val="20"/>
          <w:szCs w:val="20"/>
        </w:rPr>
        <w:t>DOI: </w:t>
      </w:r>
      <w:hyperlink r:id="rId496" w:tgtFrame="_blank" w:history="1">
        <w:r w:rsidRPr="00A729F7">
          <w:rPr>
            <w:rStyle w:val="Hyperlink"/>
            <w:rFonts w:ascii="Times New Roman" w:hAnsi="Times New Roman"/>
            <w:color w:val="0071BC"/>
            <w:sz w:val="20"/>
            <w:szCs w:val="20"/>
          </w:rPr>
          <w:t>10.3389/fimmu.2018.00962</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227. Huang X, Du W, Barrett RP, Hazlett LD. ST2 is essential for Th2 responsiveness and resistance to pseudomonas aeruginosa keratitis. Invest Ophthalmol Vis Sci 2007;48: 4626-33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228. Hazlett LD, McClellan SA, Barrett RP et al. IL-33 shifts macrophage polarization, promoting resistance against Pseudomonas aeruginosa keratitis. Invest Ophthalmol Vis Sci 2010;51:1524-32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229. Cooper AM. Cell-mediated immune responses in tuberculosis. Annu Rev Immunol 2009;27:393-422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230. Wieland CW, van der Windt GJ, Florquin S, McKenzie AN, van der Poll T. ST2 deficient mice display a normal host defense against pulmonary infection with Mycobacterium tuberculosis. Microbes Infect 2009;11:524-30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231. Garlanda C, Di Liberto D, Vecchi A et al. Damping excessive inflammation and tissue damage in Mycobacterium tuberculosis infection by Toll IL-1 receptor 8single Ig IL1-related receptor, a negative regulator of IL-1/TLR signaling. J Immunol 2007;179:3119-25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232. Wagenaar JF, Gasem MH, Goris MG et al. Soluble ST2 levels are associated with bleeding in patients with severe Leptospirosis. PLoS Negl Trop Dis 2009;3:e453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303030"/>
          <w:sz w:val="20"/>
          <w:szCs w:val="20"/>
          <w:shd w:val="clear" w:color="auto" w:fill="FFFFFF"/>
        </w:rPr>
        <w:t>233. Bonilla W. V., Fröhlich A., Senn K., Kallert S., Fernandez M., Johnson S.. (2012). </w:t>
      </w:r>
      <w:r w:rsidRPr="00A729F7">
        <w:rPr>
          <w:rStyle w:val="ref-title"/>
          <w:rFonts w:ascii="Times New Roman" w:hAnsi="Times New Roman" w:cs="Times New Roman"/>
          <w:color w:val="303030"/>
          <w:sz w:val="20"/>
          <w:szCs w:val="20"/>
          <w:shd w:val="clear" w:color="auto" w:fill="FFFFFF"/>
        </w:rPr>
        <w:t>The alarmin interleukin-33 drives protective antiviral CD8? T cell responses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Science</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335</w:t>
      </w:r>
      <w:r w:rsidRPr="00A729F7">
        <w:rPr>
          <w:rFonts w:ascii="Times New Roman" w:hAnsi="Times New Roman" w:cs="Times New Roman"/>
          <w:color w:val="303030"/>
          <w:sz w:val="20"/>
          <w:szCs w:val="20"/>
          <w:shd w:val="clear" w:color="auto" w:fill="FFFFFF"/>
        </w:rPr>
        <w:t xml:space="preserve">, 984–989. </w:t>
      </w:r>
      <w:r w:rsidRPr="00A729F7">
        <w:rPr>
          <w:rStyle w:val="id-label"/>
          <w:rFonts w:ascii="Times New Roman" w:hAnsi="Times New Roman" w:cs="Times New Roman"/>
          <w:color w:val="212121"/>
          <w:sz w:val="20"/>
          <w:szCs w:val="20"/>
        </w:rPr>
        <w:t>DOI: </w:t>
      </w:r>
      <w:hyperlink r:id="rId497" w:tgtFrame="_blank" w:history="1">
        <w:r w:rsidRPr="00A729F7">
          <w:rPr>
            <w:rStyle w:val="Hyperlink"/>
            <w:rFonts w:ascii="Times New Roman" w:hAnsi="Times New Roman"/>
            <w:color w:val="205493"/>
            <w:sz w:val="20"/>
            <w:szCs w:val="20"/>
          </w:rPr>
          <w:t>10.1126/science.1215418</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234.</w:t>
      </w:r>
      <w:r w:rsidRPr="00A729F7">
        <w:rPr>
          <w:rFonts w:ascii="Times New Roman" w:hAnsi="Times New Roman" w:cs="Times New Roman"/>
          <w:color w:val="303030"/>
          <w:sz w:val="20"/>
          <w:szCs w:val="20"/>
          <w:shd w:val="clear" w:color="auto" w:fill="FFFFFF"/>
        </w:rPr>
        <w:t xml:space="preserve"> Monticelli L. A., Sonnenberg G. F., Abt M. C., Alenghat T., Ziegler C. G., Doering T. A., et al.. (2011). </w:t>
      </w:r>
      <w:r w:rsidRPr="00A729F7">
        <w:rPr>
          <w:rStyle w:val="ref-title"/>
          <w:rFonts w:ascii="Times New Roman" w:hAnsi="Times New Roman" w:cs="Times New Roman"/>
          <w:color w:val="303030"/>
          <w:sz w:val="20"/>
          <w:szCs w:val="20"/>
          <w:shd w:val="clear" w:color="auto" w:fill="FFFFFF"/>
        </w:rPr>
        <w:t>Innate lymphoid cells promote lung-tissue homeostasis after infection with influenza virus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Nat. Immunol.</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12</w:t>
      </w:r>
      <w:r w:rsidRPr="00A729F7">
        <w:rPr>
          <w:rFonts w:ascii="Times New Roman" w:hAnsi="Times New Roman" w:cs="Times New Roman"/>
          <w:color w:val="303030"/>
          <w:sz w:val="20"/>
          <w:szCs w:val="20"/>
          <w:shd w:val="clear" w:color="auto" w:fill="FFFFFF"/>
        </w:rPr>
        <w:t>, 1045–1054.</w:t>
      </w:r>
      <w:r w:rsidRPr="00A729F7">
        <w:rPr>
          <w:rFonts w:ascii="Times New Roman" w:hAnsi="Times New Roman" w:cs="Times New Roman"/>
          <w:color w:val="212121"/>
          <w:sz w:val="20"/>
          <w:szCs w:val="20"/>
          <w:shd w:val="clear" w:color="auto" w:fill="FFFFFF"/>
        </w:rPr>
        <w:t xml:space="preserve"> </w:t>
      </w:r>
      <w:r w:rsidRPr="00A729F7">
        <w:rPr>
          <w:rStyle w:val="id-label"/>
          <w:rFonts w:ascii="Times New Roman" w:hAnsi="Times New Roman" w:cs="Times New Roman"/>
          <w:color w:val="212121"/>
          <w:sz w:val="20"/>
          <w:szCs w:val="20"/>
        </w:rPr>
        <w:t>DOI: </w:t>
      </w:r>
      <w:hyperlink r:id="rId498" w:tgtFrame="_blank" w:history="1">
        <w:r w:rsidRPr="00A729F7">
          <w:rPr>
            <w:rStyle w:val="Hyperlink"/>
            <w:rFonts w:ascii="Times New Roman" w:hAnsi="Times New Roman"/>
            <w:color w:val="205493"/>
            <w:sz w:val="20"/>
            <w:szCs w:val="20"/>
          </w:rPr>
          <w:t>10.1031/ni.2131</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235.</w:t>
      </w:r>
      <w:r w:rsidRPr="00A729F7">
        <w:rPr>
          <w:rFonts w:ascii="Times New Roman" w:hAnsi="Times New Roman" w:cs="Times New Roman"/>
          <w:color w:val="303030"/>
          <w:sz w:val="20"/>
          <w:szCs w:val="20"/>
          <w:shd w:val="clear" w:color="auto" w:fill="FFFFFF"/>
        </w:rPr>
        <w:t xml:space="preserve"> Park S. J., Cho H. R., Kwon B. (2016). </w:t>
      </w:r>
      <w:r w:rsidRPr="00A729F7">
        <w:rPr>
          <w:rStyle w:val="ref-title"/>
          <w:rFonts w:ascii="Times New Roman" w:hAnsi="Times New Roman" w:cs="Times New Roman"/>
          <w:color w:val="303030"/>
          <w:sz w:val="20"/>
          <w:szCs w:val="20"/>
          <w:shd w:val="clear" w:color="auto" w:fill="FFFFFF"/>
        </w:rPr>
        <w:t>Roles of IL-33 in resistance and tolerance to systemic candida albicans infections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Immune Netw.</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16</w:t>
      </w:r>
      <w:r w:rsidRPr="00A729F7">
        <w:rPr>
          <w:rFonts w:ascii="Times New Roman" w:hAnsi="Times New Roman" w:cs="Times New Roman"/>
          <w:color w:val="303030"/>
          <w:sz w:val="20"/>
          <w:szCs w:val="20"/>
          <w:shd w:val="clear" w:color="auto" w:fill="FFFFFF"/>
        </w:rPr>
        <w:t>, 159–164</w:t>
      </w:r>
      <w:r w:rsidRPr="00A729F7">
        <w:rPr>
          <w:rStyle w:val="id-label"/>
          <w:rFonts w:ascii="Times New Roman" w:hAnsi="Times New Roman" w:cs="Times New Roman"/>
          <w:color w:val="212121"/>
          <w:sz w:val="20"/>
          <w:szCs w:val="20"/>
        </w:rPr>
        <w:t xml:space="preserve"> </w:t>
      </w:r>
      <w:r w:rsidRPr="00A729F7">
        <w:rPr>
          <w:rFonts w:ascii="Times New Roman" w:hAnsi="Times New Roman" w:cs="Times New Roman"/>
          <w:color w:val="212121"/>
          <w:sz w:val="20"/>
          <w:szCs w:val="20"/>
        </w:rPr>
        <w:t>DOI: </w:t>
      </w:r>
      <w:hyperlink r:id="rId499" w:tgtFrame="_blank" w:history="1">
        <w:r w:rsidRPr="00A729F7">
          <w:rPr>
            <w:rFonts w:ascii="Times New Roman" w:hAnsi="Times New Roman" w:cs="Times New Roman"/>
            <w:color w:val="0071BC"/>
            <w:sz w:val="20"/>
            <w:szCs w:val="20"/>
          </w:rPr>
          <w:t>10.4110/in.2016.16.3.159</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303030"/>
          <w:sz w:val="20"/>
          <w:szCs w:val="20"/>
          <w:shd w:val="clear" w:color="auto" w:fill="FFFFFF"/>
        </w:rPr>
        <w:t>236. Garth J. M., Reeder K. M., Godwin M. S., Mackel J. J., Dunaway C. W., Blackburn J. P., et al. (2017). </w:t>
      </w:r>
      <w:r w:rsidRPr="00A729F7">
        <w:rPr>
          <w:rStyle w:val="ref-title"/>
          <w:rFonts w:ascii="Times New Roman" w:hAnsi="Times New Roman" w:cs="Times New Roman"/>
          <w:color w:val="303030"/>
          <w:sz w:val="20"/>
          <w:szCs w:val="20"/>
          <w:shd w:val="clear" w:color="auto" w:fill="FFFFFF"/>
        </w:rPr>
        <w:t>IL-33 signaling regulates innate IL-17A and IL-22 production via suppression of prostaglandin E</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J. Immunol.</w:t>
      </w:r>
      <w:r w:rsidRPr="00A729F7">
        <w:rPr>
          <w:rFonts w:ascii="Times New Roman" w:hAnsi="Times New Roman" w:cs="Times New Roman"/>
          <w:color w:val="212121"/>
          <w:sz w:val="20"/>
          <w:szCs w:val="20"/>
          <w:shd w:val="clear" w:color="auto" w:fill="FFFFFF"/>
        </w:rPr>
        <w:t>.</w:t>
      </w:r>
      <w:r w:rsidRPr="00A729F7">
        <w:rPr>
          <w:rStyle w:val="id-label"/>
          <w:rFonts w:ascii="Times New Roman" w:hAnsi="Times New Roman" w:cs="Times New Roman"/>
          <w:color w:val="212121"/>
          <w:sz w:val="20"/>
          <w:szCs w:val="20"/>
        </w:rPr>
        <w:t xml:space="preserve"> </w:t>
      </w:r>
      <w:r w:rsidRPr="00A729F7">
        <w:rPr>
          <w:rFonts w:ascii="Times New Roman" w:hAnsi="Times New Roman" w:cs="Times New Roman"/>
          <w:color w:val="212121"/>
          <w:sz w:val="20"/>
          <w:szCs w:val="20"/>
        </w:rPr>
        <w:t>DOI: </w:t>
      </w:r>
      <w:hyperlink r:id="rId500" w:tgtFrame="_blank" w:history="1">
        <w:r w:rsidRPr="00A729F7">
          <w:rPr>
            <w:rFonts w:ascii="Times New Roman" w:hAnsi="Times New Roman" w:cs="Times New Roman"/>
            <w:color w:val="0071BC"/>
            <w:sz w:val="20"/>
            <w:szCs w:val="20"/>
          </w:rPr>
          <w:t>10.4049/jimmunol.1602186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lastRenderedPageBreak/>
        <w:t>237.</w:t>
      </w:r>
      <w:r w:rsidRPr="00A729F7">
        <w:rPr>
          <w:rFonts w:ascii="Times New Roman" w:hAnsi="Times New Roman" w:cs="Times New Roman"/>
          <w:color w:val="303030"/>
          <w:sz w:val="20"/>
          <w:szCs w:val="20"/>
          <w:shd w:val="clear" w:color="auto" w:fill="FFFFFF"/>
        </w:rPr>
        <w:t xml:space="preserve"> Li C., Li H., Jiang Z., Zhang T., Wang Y., Li Z., et al.. (2014). </w:t>
      </w:r>
      <w:r w:rsidRPr="00A729F7">
        <w:rPr>
          <w:rStyle w:val="ref-title"/>
          <w:rFonts w:ascii="Times New Roman" w:hAnsi="Times New Roman" w:cs="Times New Roman"/>
          <w:color w:val="303030"/>
          <w:sz w:val="20"/>
          <w:szCs w:val="20"/>
          <w:shd w:val="clear" w:color="auto" w:fill="FFFFFF"/>
        </w:rPr>
        <w:t>Interleukin-33 increases antibacterial defense by activation of inducible nitric oxide synthase in skin</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PLoS Pathog.</w:t>
      </w:r>
      <w:r w:rsidRPr="00A729F7">
        <w:rPr>
          <w:rFonts w:ascii="Times New Roman" w:hAnsi="Times New Roman" w:cs="Times New Roman"/>
          <w:color w:val="303030"/>
          <w:sz w:val="20"/>
          <w:szCs w:val="20"/>
          <w:shd w:val="clear" w:color="auto" w:fill="FFFFFF"/>
        </w:rPr>
        <w:t> </w:t>
      </w:r>
      <w:r w:rsidRPr="00A729F7">
        <w:rPr>
          <w:rStyle w:val="id-label"/>
          <w:rFonts w:ascii="Times New Roman" w:hAnsi="Times New Roman" w:cs="Times New Roman"/>
          <w:color w:val="212121"/>
          <w:sz w:val="20"/>
          <w:szCs w:val="20"/>
        </w:rPr>
        <w:t>DOI: </w:t>
      </w:r>
      <w:hyperlink r:id="rId501" w:tgtFrame="_blank" w:history="1">
        <w:r w:rsidRPr="00A729F7">
          <w:rPr>
            <w:rStyle w:val="identifier"/>
            <w:rFonts w:ascii="Times New Roman" w:hAnsi="Times New Roman" w:cs="Times New Roman"/>
            <w:color w:val="0071BC"/>
            <w:sz w:val="20"/>
            <w:szCs w:val="20"/>
          </w:rPr>
          <w:t>10.1371/journal.ppat.1003918</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238. Shimizu M, Matsuda A, Yanagisawa K et al. Functional SNPs in the distal promoter of the ST2 gene are associated with atopic dermatitis. Hum Mol Genet 2005;14:2919-27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239. Sakashita M, Yoshimoto T, Hirota T et al. Association of serum interleukin-33 level and the interleukin-33 genetic variant with Japanese cedar pollinosis. Clin Exp Allergy 2008;38:1875-81 </w:t>
      </w:r>
    </w:p>
    <w:p w:rsidR="00A729F7" w:rsidRPr="00A729F7" w:rsidRDefault="00A729F7" w:rsidP="00A729F7">
      <w:pPr>
        <w:shd w:val="clear" w:color="auto" w:fill="FFFFFF"/>
        <w:spacing w:line="360" w:lineRule="auto"/>
        <w:rPr>
          <w:rFonts w:ascii="Times New Roman" w:hAnsi="Times New Roman" w:cs="Times New Roman"/>
          <w:color w:val="212121"/>
          <w:sz w:val="20"/>
          <w:szCs w:val="20"/>
        </w:rPr>
      </w:pPr>
      <w:r w:rsidRPr="00A729F7">
        <w:rPr>
          <w:rFonts w:ascii="Times New Roman" w:hAnsi="Times New Roman" w:cs="Times New Roman"/>
          <w:sz w:val="20"/>
          <w:szCs w:val="20"/>
        </w:rPr>
        <w:t xml:space="preserve">240. Castano R, Bosse Y, Endam LM, Desrosiers M. Evidence of association of interleukin-1 receptor-like 1 gene polymorphisms with chronic rhinosinusitis. Am J Rhinol Allergy </w:t>
      </w:r>
      <w:r w:rsidRPr="00A729F7">
        <w:rPr>
          <w:rFonts w:ascii="Times New Roman" w:hAnsi="Times New Roman" w:cs="Times New Roman"/>
          <w:color w:val="000000"/>
          <w:sz w:val="20"/>
          <w:szCs w:val="20"/>
          <w:shd w:val="clear" w:color="auto" w:fill="FFFFFF"/>
        </w:rPr>
        <w:t xml:space="preserve"> 2009 Jul-Aug;23(4):377-84.</w:t>
      </w:r>
      <w:r w:rsidRPr="00A729F7">
        <w:rPr>
          <w:rFonts w:ascii="Times New Roman" w:hAnsi="Times New Roman" w:cs="Times New Roman"/>
          <w:color w:val="000000"/>
          <w:sz w:val="20"/>
          <w:szCs w:val="20"/>
        </w:rPr>
        <w:t xml:space="preserve">  </w:t>
      </w:r>
      <w:r w:rsidRPr="00A729F7">
        <w:rPr>
          <w:rStyle w:val="id-label"/>
          <w:rFonts w:ascii="Times New Roman" w:hAnsi="Times New Roman" w:cs="Times New Roman"/>
          <w:color w:val="000000"/>
          <w:sz w:val="20"/>
          <w:szCs w:val="20"/>
        </w:rPr>
        <w:t>DOI: </w:t>
      </w:r>
      <w:hyperlink r:id="rId502" w:tgtFrame="_blank" w:history="1">
        <w:r w:rsidRPr="00A729F7">
          <w:rPr>
            <w:rStyle w:val="Hyperlink"/>
            <w:rFonts w:ascii="Times New Roman" w:hAnsi="Times New Roman"/>
            <w:color w:val="0071BC"/>
            <w:sz w:val="20"/>
            <w:szCs w:val="20"/>
          </w:rPr>
          <w:t>10.2500/ajra.2009.23.3303</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241. Hartmann B, Staedtler F, Hartmann N, Meingassner J, Firat H. Gene expression profiling of skin and draining lymph nodes of rats affected with cutaneous contact hypersensitivity. Inflamm Res 2006;55:322-34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242. Matsuda A, Okayama Y, Terai N et al. The Role of interleukin-33 in chronic allergic conjunctivitis. Invest Ophthalmol Vis Sci 2009;50:4646-52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243. Pushparaj PN, Tay HK, H’Ng SC et al. The cytokine interleukin-33 mediates anaphylactic shock. Proc Natl Acad Sci U S A 2009;106:9773-8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244. Wang Y, Chen Z, Huang Y, Yafei L, Tu S. Prognostic Signifcance of serum interleukins and soluble ST2 in Traditional Chinese Medicine (TCM) syndrome-diferentiated rheumatoid arthritis. Med Sci Monit Int Med J Exp Clin Res. 2018.</w:t>
      </w:r>
      <w:r w:rsidRPr="00A729F7">
        <w:rPr>
          <w:rFonts w:ascii="Times New Roman" w:hAnsi="Times New Roman" w:cs="Times New Roman"/>
          <w:b/>
          <w:sz w:val="20"/>
          <w:szCs w:val="20"/>
        </w:rPr>
        <w:t xml:space="preserve"> </w:t>
      </w:r>
      <w:hyperlink r:id="rId503" w:history="1">
        <w:r w:rsidRPr="00A729F7">
          <w:rPr>
            <w:rStyle w:val="Heading1Char"/>
            <w:rFonts w:ascii="Times New Roman" w:hAnsi="Times New Roman"/>
            <w:b w:val="0"/>
            <w:sz w:val="20"/>
            <w:szCs w:val="20"/>
          </w:rPr>
          <w:t xml:space="preserve">https://doi.org/10.12659/msm.907540 </w:t>
        </w:r>
        <w:r w:rsidRPr="00A729F7">
          <w:rPr>
            <w:rStyle w:val="Heading1Char"/>
            <w:rFonts w:ascii="Times New Roman" w:hAnsi="Times New Roman"/>
            <w:b w:val="0"/>
            <w:sz w:val="20"/>
            <w:szCs w:val="20"/>
            <w:shd w:val="clear" w:color="auto" w:fill="FFFFFF"/>
          </w:rPr>
          <w:t xml:space="preserve"> </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245. Fraser A, Moore M, Jongbloed S, Gracie A, McInnes IB. Elevated soluble ST2 and cytokine levels in synovial fluids of patients with inflammatory synovitis. Ann Rheum Dis 2006;65(Suppl 1):A1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246. Xu D, Jiang HR, Kewin P et al. IL-33 exacerbates antigeninduced arthritis by activating mast cells. Proc Natl Acad Sci U S A 2008;105:10913-8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247. Palmer G, Talabot-Ayer D, Lamacchia C et al. Inhibition of interleukin-33 signaling attenuates the severity of experimental arthritis. Arthritis Rheum 2009;60:738-49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248. Matsuyama Y, Okazaki H, Tamemoto H et al. Increased levels of interleukin 33 in sera and synovial fluid from patients with active rheumatoid arthritis. J Rheumatol 2010; 37:18-25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249. Xu D, Chan WL, Leung BP et al. Selective expression of a stable cell surface molecule on type 2 but not type 1 helper T cells. J Exp Med 1998;187:787-94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250. Leung BP, Xu D, Culshaw S, McInnes IB, Liew FY. A novel therapy of murine collagen-induced arthritis with soluble T1ST2. J Immunol 2004;173:145-50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251. Zdravkovic N, Shahin A, Arsenijevic N, Lukic ML, Mensah-Brown EP. Regulatory T cells and ST2 signaling control diabetes induction with multiple low doses of streptozotocin. Mol Immunol 2009;47:28-36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252. Zhao YN, Li H, Zhao C, Liu GH. ST2 silencing aggravates ventricular remodeling and chronic heart failure in rats by mediating the IL-33/ST2 axis. J Tissue Eng Regen Med. 2020. </w:t>
      </w:r>
      <w:hyperlink r:id="rId504" w:history="1">
        <w:r w:rsidRPr="00A729F7">
          <w:rPr>
            <w:rStyle w:val="Hyperlink"/>
            <w:rFonts w:ascii="Times New Roman" w:hAnsi="Times New Roman"/>
            <w:sz w:val="20"/>
            <w:szCs w:val="20"/>
          </w:rPr>
          <w:t>https://doi.org/10.1002/term.3091</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253.  </w:t>
      </w:r>
      <w:hyperlink r:id="rId505" w:history="1">
        <w:r w:rsidRPr="00A729F7">
          <w:rPr>
            <w:rFonts w:ascii="Times New Roman" w:hAnsi="Times New Roman" w:cs="Times New Roman"/>
            <w:color w:val="000000"/>
            <w:sz w:val="20"/>
            <w:szCs w:val="20"/>
            <w:u w:val="single" w:color="FFFFFF"/>
          </w:rPr>
          <w:t>Kosuke Minaga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06" w:history="1">
        <w:r w:rsidRPr="00A729F7">
          <w:rPr>
            <w:rFonts w:ascii="Times New Roman" w:hAnsi="Times New Roman" w:cs="Times New Roman"/>
            <w:color w:val="000000"/>
            <w:sz w:val="20"/>
            <w:szCs w:val="20"/>
            <w:u w:val="single" w:color="FFFFFF"/>
          </w:rPr>
          <w:t>Tomohiro Watanabe</w:t>
        </w:r>
      </w:hyperlink>
      <w:r w:rsidRPr="00A729F7">
        <w:rPr>
          <w:rFonts w:ascii="Times New Roman" w:hAnsi="Times New Roman" w:cs="Times New Roman"/>
          <w:color w:val="000000"/>
          <w:sz w:val="20"/>
          <w:szCs w:val="20"/>
          <w:u w:color="FFFFFF"/>
        </w:rPr>
        <w:t xml:space="preserve">, </w:t>
      </w:r>
      <w:hyperlink r:id="rId507" w:history="1">
        <w:r w:rsidRPr="00A729F7">
          <w:rPr>
            <w:rFonts w:ascii="Times New Roman" w:hAnsi="Times New Roman" w:cs="Times New Roman"/>
            <w:color w:val="000000"/>
            <w:sz w:val="20"/>
            <w:szCs w:val="20"/>
            <w:u w:val="single" w:color="FFFFFF"/>
          </w:rPr>
          <w:t>Akane Hara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r w:rsidRPr="00A729F7">
        <w:rPr>
          <w:rFonts w:ascii="Times New Roman" w:hAnsi="Times New Roman" w:cs="Times New Roman"/>
          <w:color w:val="000000"/>
          <w:sz w:val="20"/>
          <w:szCs w:val="20"/>
          <w:u w:color="FFFFFF"/>
        </w:rPr>
        <w:t xml:space="preserve"> </w:t>
      </w:r>
      <w:hyperlink r:id="rId508" w:history="1">
        <w:r w:rsidRPr="00A729F7">
          <w:rPr>
            <w:rFonts w:ascii="Times New Roman" w:hAnsi="Times New Roman" w:cs="Times New Roman"/>
            <w:color w:val="000000"/>
            <w:sz w:val="20"/>
            <w:szCs w:val="20"/>
            <w:u w:val="single" w:color="FFFFFF"/>
          </w:rPr>
          <w:t>Ken Kamata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r w:rsidRPr="00A729F7">
        <w:rPr>
          <w:rFonts w:ascii="Times New Roman" w:hAnsi="Times New Roman" w:cs="Times New Roman"/>
          <w:color w:val="000000"/>
          <w:sz w:val="20"/>
          <w:szCs w:val="20"/>
          <w:u w:color="FFFFFF"/>
        </w:rPr>
        <w:t xml:space="preserve"> </w:t>
      </w:r>
      <w:hyperlink r:id="rId509" w:history="1">
        <w:r w:rsidRPr="00A729F7">
          <w:rPr>
            <w:rFonts w:ascii="Times New Roman" w:hAnsi="Times New Roman" w:cs="Times New Roman"/>
            <w:color w:val="000000"/>
            <w:sz w:val="20"/>
            <w:szCs w:val="20"/>
            <w:u w:val="single" w:color="FFFFFF"/>
          </w:rPr>
          <w:t>Shunsuke Omoto</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r w:rsidRPr="00A729F7">
        <w:rPr>
          <w:rFonts w:ascii="Times New Roman" w:hAnsi="Times New Roman" w:cs="Times New Roman"/>
          <w:color w:val="000000"/>
          <w:sz w:val="20"/>
          <w:szCs w:val="20"/>
          <w:u w:color="FFFFFF"/>
        </w:rPr>
        <w:t xml:space="preserve"> </w:t>
      </w:r>
      <w:hyperlink r:id="rId510" w:history="1">
        <w:r w:rsidRPr="00A729F7">
          <w:rPr>
            <w:rFonts w:ascii="Times New Roman" w:hAnsi="Times New Roman" w:cs="Times New Roman"/>
            <w:color w:val="000000"/>
            <w:sz w:val="20"/>
            <w:szCs w:val="20"/>
            <w:u w:val="single" w:color="FFFFFF"/>
          </w:rPr>
          <w:t>Atsushi Nakai</w:t>
        </w:r>
      </w:hyperlink>
      <w:r w:rsidRPr="00A729F7">
        <w:rPr>
          <w:rFonts w:ascii="Times New Roman" w:hAnsi="Times New Roman" w:cs="Times New Roman"/>
          <w:color w:val="000000"/>
          <w:sz w:val="20"/>
          <w:szCs w:val="20"/>
          <w:u w:color="FFFFFF"/>
        </w:rPr>
        <w:t xml:space="preserve">  </w:t>
      </w:r>
      <w:hyperlink r:id="rId511" w:history="1">
        <w:r w:rsidRPr="00A729F7">
          <w:rPr>
            <w:rFonts w:ascii="Times New Roman" w:hAnsi="Times New Roman" w:cs="Times New Roman"/>
            <w:color w:val="000000"/>
            <w:sz w:val="20"/>
            <w:szCs w:val="20"/>
            <w:u w:val="single" w:color="FFFFFF"/>
          </w:rPr>
          <w:t>Yasuo Otsuka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2" w:history="1">
        <w:r w:rsidRPr="00A729F7">
          <w:rPr>
            <w:rFonts w:ascii="Times New Roman" w:hAnsi="Times New Roman" w:cs="Times New Roman"/>
            <w:color w:val="000000"/>
            <w:sz w:val="20"/>
            <w:szCs w:val="20"/>
            <w:u w:val="single" w:color="FFFFFF"/>
          </w:rPr>
          <w:t>Ikue Sekai</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3" w:history="1">
        <w:r w:rsidRPr="00A729F7">
          <w:rPr>
            <w:rFonts w:ascii="Times New Roman" w:hAnsi="Times New Roman" w:cs="Times New Roman"/>
            <w:color w:val="000000"/>
            <w:sz w:val="20"/>
            <w:szCs w:val="20"/>
            <w:u w:val="single" w:color="FFFFFF"/>
          </w:rPr>
          <w:t>Tomoe Yoshikawa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4" w:history="1">
        <w:r w:rsidRPr="00A729F7">
          <w:rPr>
            <w:rFonts w:ascii="Times New Roman" w:hAnsi="Times New Roman" w:cs="Times New Roman"/>
            <w:color w:val="000000"/>
            <w:sz w:val="20"/>
            <w:szCs w:val="20"/>
            <w:u w:val="single" w:color="FFFFFF"/>
          </w:rPr>
          <w:t>Kentaro Yamao</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5" w:history="1">
        <w:r w:rsidRPr="00A729F7">
          <w:rPr>
            <w:rFonts w:ascii="Times New Roman" w:hAnsi="Times New Roman" w:cs="Times New Roman"/>
            <w:color w:val="000000"/>
            <w:sz w:val="20"/>
            <w:szCs w:val="20"/>
            <w:u w:val="single" w:color="FFFFFF"/>
          </w:rPr>
          <w:t>Mamoru Takenaka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6" w:history="1">
        <w:r w:rsidRPr="00A729F7">
          <w:rPr>
            <w:rFonts w:ascii="Times New Roman" w:hAnsi="Times New Roman" w:cs="Times New Roman"/>
            <w:color w:val="000000"/>
            <w:sz w:val="20"/>
            <w:szCs w:val="20"/>
            <w:u w:val="single" w:color="FFFFFF"/>
          </w:rPr>
          <w:t>Yasutaka Chiba</w:t>
        </w:r>
      </w:hyperlink>
      <w:r w:rsidRPr="00A729F7">
        <w:rPr>
          <w:rFonts w:ascii="Times New Roman" w:hAnsi="Times New Roman" w:cs="Times New Roman"/>
          <w:color w:val="000000"/>
          <w:sz w:val="20"/>
          <w:szCs w:val="20"/>
          <w:u w:color="FFFFFF"/>
        </w:rPr>
        <w:t>,</w:t>
      </w:r>
      <w:r w:rsidRPr="00A729F7">
        <w:rPr>
          <w:rFonts w:ascii="Times New Roman" w:hAnsi="Times New Roman" w:cs="Times New Roman"/>
          <w:color w:val="000000"/>
          <w:sz w:val="20"/>
          <w:szCs w:val="20"/>
          <w:u w:color="FFFFFF"/>
          <w:vertAlign w:val="superscript"/>
        </w:rPr>
        <w:t xml:space="preserve"> </w:t>
      </w:r>
      <w:hyperlink r:id="rId517" w:history="1">
        <w:r w:rsidRPr="00A729F7">
          <w:rPr>
            <w:rFonts w:ascii="Times New Roman" w:hAnsi="Times New Roman" w:cs="Times New Roman"/>
            <w:color w:val="000000"/>
            <w:sz w:val="20"/>
            <w:szCs w:val="20"/>
            <w:u w:val="single" w:color="FFFFFF"/>
          </w:rPr>
          <w:t>Masatoshi Kudo</w:t>
        </w:r>
      </w:hyperlink>
      <w:r w:rsidRPr="00A729F7">
        <w:rPr>
          <w:rFonts w:ascii="Times New Roman" w:hAnsi="Times New Roman" w:cs="Times New Roman"/>
          <w:color w:val="000000"/>
          <w:sz w:val="20"/>
          <w:szCs w:val="20"/>
          <w:u w:color="FFFFFF"/>
        </w:rPr>
        <w:t xml:space="preserve">, </w:t>
      </w:r>
      <w:r w:rsidRPr="00A729F7">
        <w:rPr>
          <w:rFonts w:ascii="Times New Roman" w:hAnsi="Times New Roman" w:cs="Times New Roman"/>
          <w:color w:val="000000"/>
          <w:spacing w:val="-2"/>
          <w:kern w:val="36"/>
          <w:sz w:val="20"/>
          <w:szCs w:val="20"/>
        </w:rPr>
        <w:t xml:space="preserve">Identification of serum IFN-α and IL-33 as novel biomarkers for type 1 autoimmune pancreatitis and IgG4-related disease, </w:t>
      </w:r>
      <w:hyperlink r:id="rId518" w:history="1">
        <w:r w:rsidRPr="00A729F7">
          <w:rPr>
            <w:rFonts w:ascii="Times New Roman" w:hAnsi="Times New Roman" w:cs="Times New Roman"/>
            <w:color w:val="000000"/>
            <w:sz w:val="20"/>
            <w:szCs w:val="20"/>
            <w:u w:val="single" w:color="FFFFFF"/>
          </w:rPr>
          <w:t>Sci Rep.</w:t>
        </w:r>
      </w:hyperlink>
      <w:r w:rsidRPr="00A729F7">
        <w:rPr>
          <w:rFonts w:ascii="Times New Roman" w:hAnsi="Times New Roman" w:cs="Times New Roman"/>
          <w:color w:val="000000"/>
          <w:sz w:val="20"/>
          <w:szCs w:val="20"/>
          <w:u w:color="FFFFFF"/>
        </w:rPr>
        <w:t> 2020; 10: 14879.</w:t>
      </w:r>
      <w:r w:rsidRPr="00A729F7">
        <w:rPr>
          <w:rFonts w:ascii="Times New Roman" w:hAnsi="Times New Roman" w:cs="Times New Roman"/>
          <w:color w:val="212121"/>
          <w:sz w:val="20"/>
          <w:szCs w:val="20"/>
        </w:rPr>
        <w:t xml:space="preserve"> Published online 2020 Sep 16. DOI: </w:t>
      </w:r>
      <w:hyperlink r:id="rId519" w:tgtFrame="_blank" w:history="1">
        <w:r w:rsidRPr="00A729F7">
          <w:rPr>
            <w:rFonts w:ascii="Times New Roman" w:hAnsi="Times New Roman" w:cs="Times New Roman"/>
            <w:color w:val="376FAA"/>
            <w:sz w:val="20"/>
            <w:szCs w:val="20"/>
            <w:u w:val="single"/>
          </w:rPr>
          <w:t>10.1038/s41598-020-71848-4</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254. Seidelin JB, Bjerrum JT, Coskun M, Widjaya B, Vainer B, Nielsen OH. IL-33 is upregulated in colonocytes of ulcerative colitis. Immunol Lett 2010;128:80-5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255. Beltran CJ, Nunez LE, Diaz-Jimenez D et al. Characterization of the novel ST2/IL-33 system in patients with inflammatory bowel disease. Inflamm Bowel Dis 2010. In press.</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256. Axelsson LG, Landstrom E, Goldschmidt TJ, Gronberg A, Bylund-Fellenius AC. Dextran sulfate sodium (DSS) induced experimental colitis in immunodeficient mice: effects in CD4(+)-cell depleted, athymic and NK-cell depleted SCID mice. Inflamm Res 1996;45:181-91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257. Ueno Y, Tanaka S, Sumii M et al. Single dose of OCH improves mucosal T helper type 1T helper type 2 cytokine balance and prevents experimental colitis in the presence of valpha14 natural killer T cells in mice. Inflamm Bowel Dis 2005;11:35-41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258. Minocha A, Thomas C, Omar R. Lack of crucial role of mast cells in pathogenesis of experimental colitis in mice. Dig Dis Sci 1995;40:1757-62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259. Heimesaat MM, Fischer A, Siegmund B et al. Shift towards pro-inflammatory intestinal bacteria aggravates acute murine colitis via Toll-like receptors 2 and 4. PLoS One 2007;2:e662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260. Garlanda C, Riva F, Polentarutti N et al. Intestinal inflammation in mice deficient in Tir8, an inhibitory member of the IL-1 receptor family. Proc Natl Acad Sci U S A 2004; 101:3522-6 139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261. Xiao H, Gulen MF, Qin J et al. The Toll-interleukin-1 receptor member SIGIRR regulates colonic epithelial homeostasis, inflammation, and tumorigenesis. Immunity 2007;26:461-75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262. Manetti M, Ibba-Manneschi L, Liakouli V et al. The IL-1- like cytokine IL-33 and its receptor ST2 are abnormally expressed in the affected skin and visceral organs of patients with systemic sclerosis. Ann Rheum Dis 2010;69: 598-605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263. Rankin AL, Mumm JB, Murphy E et al. IL-33 Induces IL13-Dependent Cutaneous Fibrosis. J Immunol 2010;184: 1526-35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264. Kuroiwa K, Arai T, Okazaki H, Minota S, Tominaga S. Identification of human ST2 protein in the sera of patients with autoimmune diseases. Biochem Biophys Res Commun 2001;284:1104-8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265. Mok MY, Huang FP, Ip WK et al. Serum levels of IL-33 and soluble ST2 and their association with disease activity in systemic lupus erythematosus. Rheumatology (Oxford) 2010;49:520-7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266. Lech M, Kulkarni OP, Pfeiffer S et al. Tir8Sigirr prevents murine lupus by suppressing the immunostimulatory effects of lupus autoantigens. J Exp Med 2008;205:1879-88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267. Weinberg EO, Shimpo M, Hurwitz S, Tominaga S, Rouleau JL, Lee RT. Identification of serum soluble ST2 receptor as a novel heart failure biomarker. Circulation 2003;107:721-6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268. Shimpo M, Morrow DA, Weinberg EO et al. Serum levels of the interleukin-1 receptor family member ST2 predict mortality and clinical outcome in acute myocardial infarction. Circulation 2004;109:2186-90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269. Bartunek J, Delrue L, Van Durme F et al. Nonmyocardial production of ST2 protein in human hypertrophy and failure is related to diastolic load. J Am Coll Cardiol 2008;52: 2166-74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270. Sanada S, Hakuno D, Higgins LJ, Schreiter ER, McKenzie AN, Lee RT. IL-33 and ST2 comprise a critical biomechanically induced and cardioprotective signaling system. J Clin Invest 2007;117:1538-49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271. Seki K, Sanada S, Kudinova AY et al. Interleukin-33 prevents apoptosis and improves survival after experimental myocardial infarction through ST2 signaling. Circ Heart Fail 2009;2:684-91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272. Marvie P, Lisbonne M, L’Helgoualc’h A et al. Interleukin33 overexpression is associated with liver fibrosis in mice and humans. J Cell Mol Med. Epub 2009 Jun 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273. Amatucci A, Novobrantseva T, Gilbride K, Brickelmaier M, Hochman P, Ibraghimov A. Recombinant ST2 boosts hepatic Th2 response in vivo. J Leukoc Biol 2007;82:124-32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274. A. Mitsui, Y. Tada, T. Takahashi, S. Shibata, M. Kamata, T. Miyagaki,H. Fujita, M. Sugaya,T. Kadono, S. Sato,Y. Asano, Serum IL‐33 levels are increased in patients with psoriasis, CED, vol. 41,pages 183-189, May 2015 </w:t>
      </w:r>
      <w:hyperlink r:id="rId520" w:history="1">
        <w:r w:rsidRPr="00A729F7">
          <w:rPr>
            <w:rStyle w:val="Hyperlink"/>
            <w:rFonts w:ascii="Times New Roman" w:hAnsi="Times New Roman"/>
            <w:b/>
            <w:bCs/>
            <w:sz w:val="20"/>
            <w:szCs w:val="20"/>
          </w:rPr>
          <w:t>https://doi.org/10.1111/ced.12670</w:t>
        </w:r>
      </w:hyperlink>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275.  Guo-Wei Han, Li-Wen Zeng, Chun-Xiang Liang, Bai-Ling Cheng, Bing-Sheng Yu, Hao-Miao Li, Fang Fang Zeng &amp; Shao-Yu Liu, Serum levels of IL-33 is increased in patients with ankylosing spondylitis, Clinical Rheumatology ,volume 30, pages 1583–1588, October 2011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000000"/>
          <w:kern w:val="24"/>
          <w:sz w:val="20"/>
          <w:szCs w:val="20"/>
        </w:rPr>
        <w:t>276</w:t>
      </w:r>
      <w:r w:rsidRPr="00A729F7">
        <w:rPr>
          <w:rFonts w:ascii="Times New Roman" w:hAnsi="Times New Roman" w:cs="Times New Roman"/>
          <w:sz w:val="20"/>
          <w:szCs w:val="20"/>
        </w:rPr>
        <w:t xml:space="preserve">.Rong Mu,H e-Qing Huang, Yu-Hui Li, Chun Li, Hua Ye, Zhan-Guo Li, Elevated Serum Interleukin 33 Is Associated with Autoantibody Production in Patients with Rheumatoid Arthritis,T he Journal of Rheumatology October 2010, 37 (10) 2006-2013; DOI: </w:t>
      </w:r>
      <w:hyperlink r:id="rId521" w:history="1">
        <w:r w:rsidRPr="00A729F7">
          <w:rPr>
            <w:rStyle w:val="Hyperlink"/>
            <w:rFonts w:ascii="Times New Roman" w:hAnsi="Times New Roman"/>
            <w:sz w:val="20"/>
            <w:szCs w:val="20"/>
          </w:rPr>
          <w:t>https://doi.org/10.3899/jrheum.100184</w:t>
        </w:r>
      </w:hyperlink>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277. Krychtiuk K, Stojkovic S, Lenz M, Brekalo M, Huber K, Wojta J, Heinz G, Demyanets S, Speidl WS,Predictive value of low interleukin-33 in critically ill patients,Cytokine,</w:t>
      </w:r>
      <w:r w:rsidRPr="00A729F7">
        <w:rPr>
          <w:rFonts w:ascii="Times New Roman" w:hAnsi="Times New Roman" w:cs="Times New Roman"/>
          <w:color w:val="000000"/>
          <w:kern w:val="24"/>
          <w:sz w:val="20"/>
          <w:szCs w:val="20"/>
          <w:lang w:val="pt-BR"/>
        </w:rPr>
        <w:t>2018 Mar;103:109-113. doi: 10.1016/j.cyto.2017.09.017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278. Wynn TA (2008) Cellular and molecular mechanisms of fibrosis. J Pathol 214:199–210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279. McHedlidze T, Waldner M, Zopf S et al (2013) Interleukin-33- dependent innate lymphoid cells mediate hepatic fibrosis. Immunity 39:357–371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280. Hammerich L, Tacke F (2014) Interleukins in chronic liver disease: lessons learned from experimental mouse models. Clin Exp Gastroenterol 7:297–306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281. Kobori A, Yagi Y, Imaeda H, Ban H, Bamba S, Tsujikawa T, Saito Y, Fujiyama Y, Andoh A (2010) Interleukin-33 expression is specifically enhanced in inflamed mucosa of ulcerative colitis. J Gastroenterol 45:999–1007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282. Sponheim J, Pollheimer J, Olsen T et al (2010) Inflammatory bowel disease-associated interleukin-33 is preferentially expressed in ulceration-associated myofibroblasts. Am J Pathol 177:2804–2815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283. Yanaba K, Yoshizaki A, Asano Y, Kadono T, Sato S (2011) Serum IL-33 levels are raised in patients with systemic sclerosis: association with extent of skin sclerosis and severity of pulmonary fibrosis. Clin Rheumatol 30:825–830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284. Wagner A, Kohm M, Nordin A, Svenungsson E, Pfeilschifter JM, Radeke HH (2015) Increased serum levels of the IL-33 neutralizing sST2 in limited cutaneous systemic sclerosis. Scand J Immunol 82: 269–274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285. Luzina IG, Kopach P, Lockatell V, Kang PH, Nagarsekar A, Burke AP, Hasday JD, Todd NW, Atamas SP (2013) Interleukin-33 potentiates bleomycin-induced lung injury. Am J Respir Cell Mol Biol 49:999–1008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286. Li D, Guabiraba R, Besnard AG et al (2014) IL-33 promotes ST2- dependent lung fibrosis by the induction of alternatively activated macrophages and innate lymphoid cells in mice. J Allergy Clin Immunol 134(1422–1432), e1411.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287. Kristen M. Larsen,  Maydelis Karla Minaya, Vivek Vaish and Maria Marjorette O. Peña, The Role of IL-33/ST2 Pathway in Tumorigenesis,Int J Mol Sci, 2018 Sep; 19(9): 2676, doi: </w:t>
      </w:r>
      <w:hyperlink r:id="rId522" w:tgtFrame="pmc_ext" w:history="1">
        <w:r w:rsidRPr="00A729F7">
          <w:rPr>
            <w:rStyle w:val="Hyperlink"/>
            <w:rFonts w:ascii="Times New Roman" w:hAnsi="Times New Roman"/>
            <w:sz w:val="20"/>
            <w:szCs w:val="20"/>
          </w:rPr>
          <w:t>10.3390/ijms19092676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288. Sun P, Ben Q, Tu S, Dong W, Qi X, Wu Y (2011) Serum interleukin-33 levels in patients with gastric cancer. Dig Dis Sci 4:4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 xml:space="preserve">289. Bergis D, Kassis V, Ranglack A, Koeberle V, Piiper A, Kronenberger B, Zeuzem S, Waidmann O, Radeke HH (2013) High serum levels of the interleukin-33 receptor soluble ST2 as a negative prognostic factor in hepatocellular carcinoma. Transl Oncol 6:311–318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290. Ishikawa K, Yagi-Nakanishi S, Nakanishi Y, Kondo S, Tsuji A, Endo K, Wakisaka N, Murono S, Yoshizaki T (2014) Expression of interleukin-33 is correlated with poor prognosis of patients with squamous cell carcinoma of the tongue. Auris Nasus Larynx 41: 552–557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291. Liu J, Shen JX, Hu JL, Huang WH, Zhang GJ (2014) Significance of interleukin-33 and its related cytokines in patients with breast cancers. Front Immunol 5:141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292. Hu LA, Fu Y, Zhang DN, Zhang J (2013) Serum IL-33 as a diagnostic and prognostic marker in non-small cell lung cancer. Asian Pac J Cancer Prev 14:2563–2566.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293. I.P. Jovanovic, N.N. Pejnovic, G.D. Radosavljevic, J.M. Pan- 295 tic, M.Z. Milovanovic, N.N. Arsenijevic and M.L. Lukic, Interleukin-33/ST2 axis promotes breast cancer growth and  metastases by facilitating intratumoral accumulation of immunosuppressive and innate lymphoid cells, International  Journal of Cancer 134 (2014), 1669–1682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294. Yang Z.-P., Ling D.-Y., Xie Y.-H., Wu W.-X., Li J.-R., Jiang J., Zheng J.-L., Fan Y.-H., Zhang Y. 2015. The association of serum IL-33 and sST2 with breast cancer. Dis. Markers 2015, 1–6</w:t>
      </w:r>
    </w:p>
    <w:p w:rsidR="00A729F7" w:rsidRPr="00A729F7" w:rsidRDefault="00A729F7" w:rsidP="00A729F7">
      <w:pPr>
        <w:spacing w:line="360" w:lineRule="auto"/>
        <w:rPr>
          <w:rStyle w:val="nowrap"/>
          <w:rFonts w:ascii="Times New Roman" w:hAnsi="Times New Roman"/>
          <w:color w:val="212121"/>
          <w:sz w:val="20"/>
          <w:szCs w:val="20"/>
          <w:shd w:val="clear" w:color="auto" w:fill="FFFFFF"/>
        </w:rPr>
      </w:pPr>
      <w:r w:rsidRPr="00A729F7">
        <w:rPr>
          <w:rFonts w:ascii="Times New Roman" w:hAnsi="Times New Roman" w:cs="Times New Roman"/>
          <w:sz w:val="20"/>
          <w:szCs w:val="20"/>
        </w:rPr>
        <w:t>295. Jovanovic I, Radosavljevic G, Mitrovic M, Lisnic Juranic V, McKenzie A, Arsenijevic N, Jonjic S, Lukic M (2011) ST2 deletion enhances innate and acquired immunity to murine mammary carcinoma. Eur J Immunol 12:20.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296. Kim JY, Lim SC, Kim G, Yun HJ, Ahn SG, Choi HS. Interleukin-33/ST2 axis promotes epithelial cell transformation and breast tumorigenesis via upregulation of COT activity. Oncogene (2015) 34:4928–38. doi: 10.1038/onc.2014.418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297. Noordhuis MG, Fehrmann RS, Wisman GB et al (2011) Involvement of the TGF-beta and beta-catenin pathways in pelvic lymph node metastasis in early-stage cervical cancer. Clin Cancer Res 17:1317–1330</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sz w:val="20"/>
          <w:szCs w:val="20"/>
        </w:rPr>
        <w:t>298. Wang L, Li H, Liang F, Hong Y, Jiang S, Xiao L (2014) Examining IL-33 expression in the cervix of HPV-infected patients: a preliminary study comparing IL-33 levels in different stages of disease and analyzing its potential association with IFN-gamma. Med Oncol 31:143.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299. Saied E.M., El-Etreby N.M. 2017. The role and prognostic value of inducible nitric oxide synthase (iNOS) and interleukin-33 (IL-33) in serous and mucinous epithelial ovarian tumours. Ann. Diagn. Pathol. 27, 62–68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300. Tong X., Barbour M., Hou K., Gao C., Zhao Y., Mu R., Cao S., Zheng J., Jiang H.-R. 2016. Interleukin-33 predicts poor prognosis and promotes ovarian cancer cell growth and metastasis through regulating ERK and JNK signaling pathways. Mol. Oncol. 10, 113–125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301. C. O’donnell, A. Mahmoud, J. Keane, C. Murphy, D. White, S. Carey, M. O’riordain, M.W. Bennett, E. Brint and A. Houston, An antitumorigenic role for the IL-33 receptor, ST2L, in 274 colon cancer, British Journal of Cancer (2016), 37–43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302. Katkoori VR, Shanmugam C, Jia X et al (2012) Prognostic significance and gene expression profiles of p53 mutations in microsatellite-stable stage III colorectal adenocarcinomas. PLoS One 7, e30020</w:t>
      </w:r>
    </w:p>
    <w:p w:rsidR="00A729F7" w:rsidRPr="00A729F7" w:rsidRDefault="00A729F7" w:rsidP="00A729F7">
      <w:pPr>
        <w:spacing w:line="360" w:lineRule="auto"/>
        <w:rPr>
          <w:rStyle w:val="nowrap"/>
          <w:rFonts w:ascii="Times New Roman" w:hAnsi="Times New Roman"/>
          <w:color w:val="212121"/>
          <w:sz w:val="20"/>
          <w:szCs w:val="20"/>
        </w:rPr>
      </w:pPr>
      <w:r w:rsidRPr="00A729F7">
        <w:rPr>
          <w:rStyle w:val="element-citation"/>
          <w:rFonts w:ascii="Times New Roman" w:hAnsi="Times New Roman"/>
          <w:color w:val="212121"/>
          <w:sz w:val="20"/>
          <w:szCs w:val="20"/>
        </w:rPr>
        <w:t>303. Liu X, Zhu L, Lu X, Bian H, Wu X, Yang W, Qin Q. IL-33/ST2 pathway contributes to metastasis of human colorectal cancer. </w:t>
      </w:r>
      <w:r w:rsidRPr="00A729F7">
        <w:rPr>
          <w:rStyle w:val="ref-journal"/>
          <w:rFonts w:ascii="Times New Roman" w:hAnsi="Times New Roman"/>
          <w:i/>
          <w:iCs/>
          <w:color w:val="212121"/>
          <w:sz w:val="20"/>
          <w:szCs w:val="20"/>
        </w:rPr>
        <w:t>Biochem Biophys Res Commun. </w:t>
      </w:r>
      <w:r w:rsidRPr="00A729F7">
        <w:rPr>
          <w:rStyle w:val="element-citation"/>
          <w:rFonts w:ascii="Times New Roman" w:hAnsi="Times New Roman"/>
          <w:color w:val="212121"/>
          <w:sz w:val="20"/>
          <w:szCs w:val="20"/>
        </w:rPr>
        <w:t>2014;</w:t>
      </w:r>
      <w:r w:rsidRPr="00A729F7">
        <w:rPr>
          <w:rStyle w:val="ref-vol"/>
          <w:rFonts w:ascii="Times New Roman" w:hAnsi="Times New Roman"/>
          <w:color w:val="212121"/>
          <w:sz w:val="20"/>
          <w:szCs w:val="20"/>
        </w:rPr>
        <w:t>453</w:t>
      </w:r>
      <w:r w:rsidRPr="00A729F7">
        <w:rPr>
          <w:rStyle w:val="element-citation"/>
          <w:rFonts w:ascii="Times New Roman" w:hAnsi="Times New Roman"/>
          <w:color w:val="212121"/>
          <w:sz w:val="20"/>
          <w:szCs w:val="20"/>
        </w:rPr>
        <w:t>:486–492. doi: 10.1016/j.bbrc.2014.09.106. [</w:t>
      </w:r>
      <w:hyperlink r:id="rId523" w:history="1">
        <w:r w:rsidRPr="00A729F7">
          <w:rPr>
            <w:rStyle w:val="Hyperlink"/>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524" w:tgtFrame="_blank" w:history="1">
        <w:r w:rsidRPr="00A729F7">
          <w:rPr>
            <w:rStyle w:val="Hyperlink"/>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525"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304. Q. Xie, D. Zhang, W. Hu, X. Deng, J. Jiang and C. Wu, Expression of IL-33 in colorectal cancer and its association with clinical features, International Journal of Clinical and Experimental Pathology 9 (2016), 7172–7179</w:t>
      </w:r>
    </w:p>
    <w:p w:rsidR="00A729F7" w:rsidRPr="00A729F7" w:rsidRDefault="00A729F7" w:rsidP="00A729F7">
      <w:pPr>
        <w:spacing w:line="360" w:lineRule="auto"/>
        <w:rPr>
          <w:rFonts w:ascii="Times New Roman" w:hAnsi="Times New Roman" w:cs="Times New Roman"/>
          <w:sz w:val="20"/>
          <w:szCs w:val="20"/>
          <w:lang w:val="en-US"/>
        </w:rPr>
      </w:pPr>
      <w:r w:rsidRPr="00A729F7">
        <w:rPr>
          <w:rFonts w:ascii="Times New Roman" w:hAnsi="Times New Roman" w:cs="Times New Roman"/>
          <w:sz w:val="20"/>
          <w:szCs w:val="20"/>
        </w:rPr>
        <w:t xml:space="preserve">305. Fang M., Li Y., Huang K., Qi S., Zhang J., Zgodzinski W., Majewski M., Wallner G., Gozdz S., Macek P., Kowalik A., Pasiarski M., Grywalska E., Vatan L., Nagarsheth N., et al., </w:t>
      </w:r>
      <w:r w:rsidRPr="00A729F7">
        <w:rPr>
          <w:rFonts w:ascii="Times New Roman" w:hAnsi="Times New Roman" w:cs="Times New Roman"/>
          <w:bCs/>
          <w:color w:val="000000"/>
          <w:spacing w:val="-2"/>
          <w:sz w:val="20"/>
          <w:szCs w:val="20"/>
        </w:rPr>
        <w:t>IL33 Promotes Colon Cancer Cell Stemness via JNK Activation and Macrophage Recruitment ,</w:t>
      </w:r>
      <w:r w:rsidRPr="00A729F7">
        <w:rPr>
          <w:rFonts w:ascii="Times New Roman" w:hAnsi="Times New Roman" w:cs="Times New Roman"/>
          <w:color w:val="000000"/>
          <w:sz w:val="20"/>
          <w:szCs w:val="20"/>
          <w:u w:color="FFFFFF"/>
        </w:rPr>
        <w:t xml:space="preserve">Cancer Res. 2017 May 15; 77(10): 2735–2745, </w:t>
      </w:r>
      <w:r w:rsidRPr="00A729F7">
        <w:rPr>
          <w:rStyle w:val="doi"/>
          <w:rFonts w:ascii="Times New Roman" w:hAnsi="Times New Roman"/>
          <w:color w:val="212121"/>
          <w:sz w:val="20"/>
          <w:szCs w:val="20"/>
        </w:rPr>
        <w:t>DOI: </w:t>
      </w:r>
      <w:hyperlink r:id="rId526" w:tgtFrame="_blank" w:history="1">
        <w:r w:rsidRPr="00A729F7">
          <w:rPr>
            <w:rStyle w:val="Hyperlink"/>
            <w:rFonts w:ascii="Times New Roman" w:hAnsi="Times New Roman"/>
            <w:color w:val="376FAA"/>
            <w:sz w:val="20"/>
            <w:szCs w:val="20"/>
          </w:rPr>
          <w:t>10.1158/0008-5472.CAN-16-1602</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306. Luo P, Deng S, Ye H, Yu X, Deng Q, Zhang Y, et al. The IL-33/ST2 pathway suppresses murine colon cancer growth and metastasis by upregulating CD40 L signaling. Biomed Pharmacother Biomed Pharmacother. 2020. </w:t>
      </w:r>
      <w:hyperlink r:id="rId527" w:history="1">
        <w:r w:rsidRPr="00A729F7">
          <w:rPr>
            <w:rStyle w:val="Hyperlink"/>
            <w:rFonts w:ascii="Times New Roman" w:hAnsi="Times New Roman"/>
            <w:sz w:val="20"/>
            <w:szCs w:val="20"/>
          </w:rPr>
          <w:t>https://doi.org/10.1016/j.biopha.2020.110232</w:t>
        </w:r>
      </w:hyperlink>
      <w:r w:rsidRPr="00A729F7">
        <w:rPr>
          <w:rFonts w:ascii="Times New Roman" w:hAnsi="Times New Roman" w:cs="Times New Roman"/>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307. Zhang Y, Davis C, Shah S, Hughes D, Ryan JC, Altomare D, et al. IL-33 promotes growth and liver metastasis of colorectal cancer in mice by remodeling the tumor microenvironment and inducing angiogenesis. Mol Carcinogenesis. 2017;1:272–87. </w:t>
      </w:r>
      <w:hyperlink r:id="rId528" w:history="1">
        <w:r w:rsidRPr="00A729F7">
          <w:rPr>
            <w:rStyle w:val="Hyperlink"/>
            <w:rFonts w:ascii="Times New Roman" w:hAnsi="Times New Roman"/>
            <w:sz w:val="20"/>
            <w:szCs w:val="20"/>
          </w:rPr>
          <w:t>https://doi.org/10.1002/mc.22491</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308. Van der Jeught K, Sun Y, Fang Y, Zhou Z, Jiang H, Yu T, et al. ST2 as checkpoint target for colorectal cancer immunotherapy. JCI Insight. 2020. </w:t>
      </w:r>
      <w:hyperlink r:id="rId529" w:history="1">
        <w:r w:rsidRPr="00A729F7">
          <w:rPr>
            <w:rStyle w:val="Hyperlink"/>
            <w:rFonts w:ascii="Times New Roman" w:hAnsi="Times New Roman"/>
            <w:sz w:val="20"/>
            <w:szCs w:val="20"/>
          </w:rPr>
          <w:t>https://doi.org/10.1172/jci.insight.136073</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309. Meinicke H, Bremser A, Brack M, Akeus P, Pearson C, Bullers S, et al. Tumour-associated changes in intestinal epithelial cells cause local accumulation of KLRG1+ GATA3+ regulatory T cells in mice. Immunology (2017) 152:74–88. doi: 10.1111/imm.12750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310. He Z, Chen L, Souto FO, Canasto-Chibuque C, Bongers G, Deshpande M, et al. Epithelial-derived IL-33 promotes intestinal tumorigenesis in Apc (Min/+) mice. Sci Rep. (2017) 7:5520. doi: 10.1038/s41598-017-05716-z</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311. L. Barrera, E. Montes-Servín, A. Barrera, L. Ramirez-Tirado, F. Salinas-Parra, J. Banales-Mendez, M. Sandoval-Ríos and Ó. Arrieta, Cytokine profile determined by data-mining analysis set into clusters of non-small-cell lung cancer patients according to prognosis, Annals of Oncology 26 (2014), 428–435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312.Yang M., Feng Y., Yue C., Xu B., Chen L., Jiang J., Lu B., Zhu Y. 2018. Lower expression level of IL-33 is associated with poor prognosis of pulmonary adenocarcinoma. PLoS One 13, 1–13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313. Kim M.S., Kim E., Heo J.S., Bae D.J., Lee J.U.W., Lee T.H., Lee H.J., Chang H.S., Park J.S., Jang A.S., Koh E.S., Hwang H.G., Lim G., Kim S., Park C.S. 2015. Circulating IL-33 level is associated with the progression of lung cancer. Lung Cancer. 6–11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314. Hsu Y.-L., Hung J.-Y., Lee Y.-L., Chang W.-A., Chong I.-W., Chen F.-W., Chang K.-F., Tsai Y.-M., Kuo P.-L. 2017 Identification of novel gene expression signature in lung adenocarcinoma by using nextgeneration sequencing data and bioinformatics analysis. Oncotarget. 8, 104831–104854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315. Gao X, Wang X, Yang Q, Zhao X, Wen W, Li G, et al. Tumoral expression of IL-33 inhibits tumor growth and modifes the tumor microenvironment through CD8+ T and NK cells. J Immunol (Baltimore, Md:1950). 2015;1:438–45. </w:t>
      </w:r>
      <w:hyperlink r:id="rId530" w:history="1">
        <w:r w:rsidRPr="00A729F7">
          <w:rPr>
            <w:rStyle w:val="Hyperlink"/>
            <w:rFonts w:ascii="Times New Roman" w:hAnsi="Times New Roman"/>
            <w:sz w:val="20"/>
            <w:szCs w:val="20"/>
          </w:rPr>
          <w:t>https://doi.org/10.4049/jimmunol.1401344</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316. P. Sun, Q. Ben, S. Tu, W. Dong, X. Qi and Y. Wu, Serum interleukin-33 levels in patients with gastric cancer, Digestive Diseases and Sciences 56 (2011), 3596–3601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317. Eissmann MF, Dijkstra C, Jarnicki A, Phesse T, Brunnberg J, Poh AR, et al. IL-33-mediated mast cell activation promotes gastric cancer through macrophage mobilization. Nat Commun. 2019;1:2735. https://doi. org/10.1038/s41467-019-10676-1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 xml:space="preserve">318. Wei ZH, Li YY, Huang SQ, Tan ZQ. Genetic variants in IL-33/ST2 pathway with the susceptibility to hepatocellular carcinoma in a Chinese population. Cytokine. 2019. </w:t>
      </w:r>
      <w:hyperlink r:id="rId531" w:history="1">
        <w:r w:rsidRPr="00A729F7">
          <w:rPr>
            <w:rStyle w:val="Hyperlink"/>
            <w:rFonts w:ascii="Times New Roman" w:hAnsi="Times New Roman"/>
            <w:sz w:val="20"/>
            <w:szCs w:val="20"/>
          </w:rPr>
          <w:t>https://doi.org/10.1016/j.cyto.2018.03.036</w:t>
        </w:r>
      </w:hyperlink>
      <w:r w:rsidRPr="00A729F7">
        <w:rPr>
          <w:rFonts w:ascii="Times New Roman" w:hAnsi="Times New Roman" w:cs="Times New Roman"/>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319. Yang Y, Andersson P, Hosaka K, Zhang Y, Cao R, Iwamoto H, et al. The PDGF-BB-SOX7 axis-modulated IL-33 in pericytes and stromal cells promotes metastasis through tumour-associated macrophages. Nat Commun. 2016. </w:t>
      </w:r>
      <w:hyperlink r:id="rId532" w:history="1">
        <w:r w:rsidRPr="00A729F7">
          <w:rPr>
            <w:rStyle w:val="Hyperlink"/>
            <w:rFonts w:ascii="Times New Roman" w:hAnsi="Times New Roman"/>
            <w:sz w:val="20"/>
            <w:szCs w:val="20"/>
          </w:rPr>
          <w:t>https://doi.org/10.1038/ncomms11385</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320.</w:t>
      </w:r>
      <w:hyperlink r:id="rId533" w:history="1">
        <w:r w:rsidRPr="00A729F7">
          <w:rPr>
            <w:rFonts w:ascii="Times New Roman" w:hAnsi="Times New Roman" w:cs="Times New Roman"/>
            <w:color w:val="000000"/>
            <w:sz w:val="20"/>
            <w:szCs w:val="20"/>
            <w:u w:val="single" w:color="FFFFFF"/>
          </w:rPr>
          <w:t>Wenxiu Wang</w:t>
        </w:r>
      </w:hyperlink>
      <w:r w:rsidRPr="00A729F7">
        <w:rPr>
          <w:rFonts w:ascii="Times New Roman" w:hAnsi="Times New Roman" w:cs="Times New Roman"/>
          <w:color w:val="000000"/>
          <w:sz w:val="20"/>
          <w:szCs w:val="20"/>
          <w:u w:val="single" w:color="FFFFFF"/>
        </w:rPr>
        <w:t>,</w:t>
      </w:r>
      <w:hyperlink r:id="rId534" w:history="1">
        <w:r w:rsidRPr="00A729F7">
          <w:rPr>
            <w:rFonts w:ascii="Times New Roman" w:hAnsi="Times New Roman" w:cs="Times New Roman"/>
            <w:color w:val="000000"/>
            <w:sz w:val="20"/>
            <w:szCs w:val="20"/>
            <w:u w:val="single" w:color="FFFFFF"/>
          </w:rPr>
          <w:t>Jun Wu</w:t>
        </w:r>
      </w:hyperlink>
      <w:r w:rsidRPr="00A729F7">
        <w:rPr>
          <w:rFonts w:ascii="Times New Roman" w:hAnsi="Times New Roman" w:cs="Times New Roman"/>
          <w:color w:val="000000"/>
          <w:sz w:val="20"/>
          <w:szCs w:val="20"/>
          <w:u w:val="single" w:color="FFFFFF"/>
        </w:rPr>
        <w:t>,</w:t>
      </w:r>
      <w:hyperlink r:id="rId535" w:history="1">
        <w:r w:rsidRPr="00A729F7">
          <w:rPr>
            <w:rFonts w:ascii="Times New Roman" w:hAnsi="Times New Roman" w:cs="Times New Roman"/>
            <w:color w:val="000000"/>
            <w:sz w:val="20"/>
            <w:szCs w:val="20"/>
            <w:u w:val="single" w:color="FFFFFF"/>
          </w:rPr>
          <w:t>Mei Ji</w:t>
        </w:r>
      </w:hyperlink>
      <w:r w:rsidRPr="00A729F7">
        <w:rPr>
          <w:rFonts w:ascii="Times New Roman" w:hAnsi="Times New Roman" w:cs="Times New Roman"/>
          <w:color w:val="000000"/>
          <w:sz w:val="20"/>
          <w:szCs w:val="20"/>
          <w:u w:val="single" w:color="FFFFFF"/>
        </w:rPr>
        <w:t>,</w:t>
      </w:r>
      <w:hyperlink r:id="rId536" w:history="1">
        <w:r w:rsidRPr="00A729F7">
          <w:rPr>
            <w:rFonts w:ascii="Times New Roman" w:hAnsi="Times New Roman" w:cs="Times New Roman"/>
            <w:color w:val="000000"/>
            <w:sz w:val="20"/>
            <w:szCs w:val="20"/>
            <w:u w:val="single" w:color="FFFFFF"/>
          </w:rPr>
          <w:t>Changping Wu</w:t>
        </w:r>
      </w:hyperlink>
      <w:r w:rsidRPr="00A729F7">
        <w:rPr>
          <w:rFonts w:ascii="Times New Roman" w:hAnsi="Times New Roman" w:cs="Times New Roman"/>
          <w:color w:val="000000"/>
          <w:sz w:val="20"/>
          <w:szCs w:val="20"/>
          <w:u w:val="single" w:color="FFFFFF"/>
        </w:rPr>
        <w:t>,</w:t>
      </w:r>
      <w:r w:rsidRPr="00A729F7">
        <w:rPr>
          <w:rFonts w:ascii="Times New Roman" w:hAnsi="Times New Roman" w:cs="Times New Roman"/>
          <w:color w:val="000000"/>
          <w:spacing w:val="-2"/>
          <w:kern w:val="36"/>
          <w:sz w:val="20"/>
          <w:szCs w:val="20"/>
          <w:u w:val="single" w:color="FFFFFF"/>
        </w:rPr>
        <w:t xml:space="preserve"> Exogenous interleukin-33 promotes hepatocellular carcinoma growth by remodelling the tumour microenvironment, </w:t>
      </w:r>
      <w:hyperlink r:id="rId537" w:history="1">
        <w:r w:rsidRPr="00A729F7">
          <w:rPr>
            <w:rFonts w:ascii="Times New Roman" w:hAnsi="Times New Roman" w:cs="Times New Roman"/>
            <w:sz w:val="20"/>
            <w:szCs w:val="20"/>
            <w:u w:val="single" w:color="FFFFFF"/>
          </w:rPr>
          <w:t xml:space="preserve">Ј </w:t>
        </w:r>
        <w:r w:rsidRPr="00A729F7">
          <w:rPr>
            <w:rFonts w:ascii="Times New Roman" w:hAnsi="Times New Roman" w:cs="Times New Roman"/>
            <w:color w:val="000000"/>
            <w:sz w:val="20"/>
            <w:szCs w:val="20"/>
            <w:u w:val="single" w:color="FFFFFF"/>
          </w:rPr>
          <w:t>Transl Med.</w:t>
        </w:r>
      </w:hyperlink>
      <w:r w:rsidRPr="00A729F7">
        <w:rPr>
          <w:rFonts w:ascii="Times New Roman" w:hAnsi="Times New Roman" w:cs="Times New Roman"/>
          <w:color w:val="212121"/>
          <w:sz w:val="20"/>
          <w:szCs w:val="20"/>
          <w:u w:val="single" w:color="FFFFFF"/>
        </w:rPr>
        <w:t> 2020; 18: 477. doi: </w:t>
      </w:r>
      <w:hyperlink r:id="rId538" w:tgtFrame="_blank" w:history="1">
        <w:r w:rsidRPr="00A729F7">
          <w:rPr>
            <w:rFonts w:ascii="Times New Roman" w:hAnsi="Times New Roman" w:cs="Times New Roman"/>
            <w:color w:val="376FAA"/>
            <w:sz w:val="20"/>
            <w:szCs w:val="20"/>
            <w:u w:val="single" w:color="FFFFFF"/>
          </w:rPr>
          <w:t>10.1186/s12967-020-02661-w</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321. Brunner S.M., Rubner C., Kesselring R., Martin M., Griesshammer E., Ruemmele P., Stempfl T., Teufel A., Schlitt H.J., Fichtner-Feigl S. 2015. Tumor-infiltrating, interleukin-33-producing effector-memory CD8+ T cells in resected hepatocellular carcinoma prolong patient survival. Hepatology. 61, 1957–1967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322. Bergis D., Kassis V., Ranglack A., Koeberle V., Piiper A., Kronenberger B., Zeuzem S., Waidmann O., Radeke H.H. 2013. High serum levels of the Interleukin-33 receptor soluble ST2 as a negative prognostic factor in hepatocellular carcinoma. Transl. Oncol. 6, 311–318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323. Schmieder A, Multhof G, Radons J. Interleukin-33 acts as a pro-infammatory cytokine and modulates its receptor gene expression in highly metastatic human pancreatic carcinoma cells. Cytokine. 2012;2:514–21, </w:t>
      </w:r>
      <w:hyperlink r:id="rId539" w:history="1">
        <w:r w:rsidRPr="00A729F7">
          <w:rPr>
            <w:rStyle w:val="Hyperlink"/>
            <w:rFonts w:ascii="Times New Roman" w:hAnsi="Times New Roman"/>
            <w:sz w:val="20"/>
            <w:szCs w:val="20"/>
          </w:rPr>
          <w:t>https://doi.org/10.1016/j.cyto.2012.06.286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324. Mager LF, Riether C, Schürch CM, et al. IL-33 signaling contributes to the pathogenesis of myeloproliferative neoplasms. J Clin Invest 2015; 125: 2579–2591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325. Levescot A., Flamant S., Turhan A., Basbous S., Barra A., Bonnet M.-L., Giraud C., Chomel J.-C., Guilhot F., Roy L., Feraud O., Girard J.-P., Jacomet F., Gombert J.-M., Anne Bourgeois E., Herbelin A. 2014. BCR-ABL-induced deregulation of the IL-33/ST2 pathway in CD34+ progenitors from chronic myeloid leukemia patients. Cancer Res. 74, 2669–2676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326. C. Musolino, A. Allegra, M. Profita, A. Alonci, S. Saitta, S.Russo, A. Bonanno, V. Innao and S. Gangemi, Reduced IL-33 plasma levels in multiple myeloma patients are associated with more advanced stage of disease, British Journal of Haematology 160 (2013), 709–710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327. Zhang P., Liu X.K., Chu Z., Ye J.C., Li K.L., Zhuang W.L., Jiang Y.F., Jiang Y.F. 2012. Detection of interleukin-33 in serum and carcinoma tissue from patients with hepatocellular carcinoma and its clinical implications. J. Int. Med. Res. 40, 1654–1661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328. Wu C.W., Wu Y.G., Cheng C., Hong Z.D., Shi Z.M., Lin S.Q., Li J., He X.Y., Zhu A.Y. 2018. Interleukin33 predicts poor prognosis and promotes renal cell carcinoma cell growth through its receptor ST2 and the JNK signaling pathway. Cell. Physiol. Biochem. 47, 191–200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329. Saranchova I., Han J., Huang H., Fenninger F., Choi K.B., Munro L., Pfeifer C., Welch I., Wyatt A.W., Fazli L., Gleave M.E., Jefferies W.A. 2016. Discovery of a metastatic immune escape mechanism initiated by the loss of expression of the tumour biomarker Interleukin-33. Sci. Rep. 6, 1–14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330. Chen S.-F., Nieh S., Jao S.-W., Wu M.-Z., Liu C.-L., Chang Y.-C., Lin Y.-S. 2013. The paracrine effect of cancer-associated fibroblast-induced interleukin-33 regulates the invasiveness of head and neck squamous cell carcinoma. J. Pathol. 231, 180–189</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331. Zhang J., Ji W., Wang P., Lu X., Ding Y. 2016. Int. J. Neurosci. 127, 210–217.154, 154. Gramatzki D., Frei K., Cathomas G., Moch H., Weller M., Mertz K.D. 2016. Interleukin-33 in human gliomas: Expression and prognostic significance. Oncol. Lett. 12, 445–452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332. Koster R., Panagiotou O., Wheeler W., Karlins E., Gastier-Foster M., Caminada de Toledo S., Petrilli A., Flanagan A., Tirabosco R., Andrulis I., Wunder J., Savage S., Mirabello L. 2013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333. Galon J, Costes A, Sanchez-Cabo F et al (2006) Type, density, and location of immune cells within human colorectal tumors predict clinical outcome. Science 313:1960–1964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334. Zhu Y, Ju S, Chen E, Dai S, Li C, Morel P, Liu L, Zhang X, Lu B (2010) T-bet and eomesodermin are required for T cell-mediated antitumor immune responses. J Immunol 185:3174–3183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335. Braumuller H, Wieder T, Brenner E, Assmann S, Hahn M, Alkhaled M, Schilbach K, Essmann F, Kneilling M, Griessinger C, Ranta F, Ullrich S, Mocikat R, Braungart K, Mehra T, Fehrenbacher B, Berdel J, Niessner H, Meier F, van den Broek M, Haring HU, Handgretinger R, Quintanilla-Martinez L, Fend F, Pesic M, Bauer J, Zender L, Schaller M, Schulze-Osthoff K, Rocken M. T-helper-1-cell cytokines drive cancer into senescence. Nature. 2013. February 21;494(7437):361–5. Epub 2013/02/05. eng. [</w:t>
      </w:r>
      <w:hyperlink r:id="rId540"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541"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336. Smyth MT, Thia KY, Street SE, Cretney E, Trapani JA, Taniguchi M, Kawano T, Pelikan SB, Crowe NY, Godfrey DI. Differential tumor surveillance by natural killer (NK) and NKT cells. J Exper Med. 2000. February 21;191(4):661–8. Epub 2000/02/24. eng. [</w:t>
      </w:r>
      <w:hyperlink r:id="rId542" w:history="1">
        <w:r w:rsidRPr="00A729F7">
          <w:rPr>
            <w:rStyle w:val="Hyperlink"/>
            <w:rFonts w:ascii="Times New Roman" w:hAnsi="Times New Roman"/>
            <w:sz w:val="20"/>
            <w:szCs w:val="20"/>
          </w:rPr>
          <w:t>PMC free article</w:t>
        </w:r>
      </w:hyperlink>
      <w:r w:rsidRPr="00A729F7">
        <w:rPr>
          <w:rFonts w:ascii="Times New Roman" w:hAnsi="Times New Roman" w:cs="Times New Roman"/>
          <w:sz w:val="20"/>
          <w:szCs w:val="20"/>
        </w:rPr>
        <w:t>] [</w:t>
      </w:r>
      <w:hyperlink r:id="rId543"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544"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337. Banow AD, Edeling MA, Trifonov V, Luo J, Goyal P, Bohl B, Bando JK, Kim AH, Walker J, Andahazy M, Bugatti M, Melocchi L, Vermi W, Fremont DH, Cox S, Cella M, Schmedt C, Colonna M. Natural killer cells control tumor growth by sensing a growth factor. Cell. 2018. January 25;172(3):534–48.e19. Epub 2017/12/26. eng. [</w:t>
      </w:r>
      <w:hyperlink r:id="rId545" w:history="1">
        <w:r w:rsidRPr="00A729F7">
          <w:rPr>
            <w:rStyle w:val="Hyperlink"/>
            <w:rFonts w:ascii="Times New Roman" w:hAnsi="Times New Roman"/>
            <w:sz w:val="20"/>
            <w:szCs w:val="20"/>
          </w:rPr>
          <w:t>PMC free article</w:t>
        </w:r>
      </w:hyperlink>
      <w:r w:rsidRPr="00A729F7">
        <w:rPr>
          <w:rFonts w:ascii="Times New Roman" w:hAnsi="Times New Roman" w:cs="Times New Roman"/>
          <w:sz w:val="20"/>
          <w:szCs w:val="20"/>
        </w:rPr>
        <w:t>] [</w:t>
      </w:r>
      <w:hyperlink r:id="rId546" w:tgtFrame="_blank" w:history="1">
        <w:r w:rsidRPr="00A729F7">
          <w:rPr>
            <w:rStyle w:val="Hyperlink"/>
            <w:rFonts w:ascii="Times New Roman" w:hAnsi="Times New Roman"/>
            <w:sz w:val="20"/>
            <w:szCs w:val="20"/>
          </w:rPr>
          <w:t>PubMed</w:t>
        </w:r>
      </w:hyperlink>
      <w:r w:rsidRPr="00A729F7">
        <w:rPr>
          <w:rFonts w:ascii="Times New Roman" w:hAnsi="Times New Roman" w:cs="Times New Roman"/>
          <w:sz w:val="20"/>
          <w:szCs w:val="20"/>
        </w:rPr>
        <w:t>] [</w:t>
      </w:r>
      <w:hyperlink r:id="rId547" w:tgtFrame="_blank" w:history="1">
        <w:r w:rsidRPr="00A729F7">
          <w:rPr>
            <w:rStyle w:val="Hyperlink"/>
            <w:rFonts w:ascii="Times New Roman" w:hAnsi="Times New Roman"/>
            <w:sz w:val="20"/>
            <w:szCs w:val="20"/>
          </w:rPr>
          <w:t>Google Scholar</w:t>
        </w:r>
      </w:hyperlink>
      <w:r w:rsidRPr="00A729F7">
        <w:rPr>
          <w:rFonts w:ascii="Times New Roman" w:hAnsi="Times New Roman" w:cs="Times New Roman"/>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338. Zou W (2005) Immunosuppressive networks in the tumour environment and their therapeutic relevance. Nat Rev Cancer 5:263– 274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339. Zou W (2006) Regulatory T cells, tumour immunity and immunotherapy. Nat Rev Immunol 6:295–307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340. Kundu JK, Surh YJ (2008) Inflammation: gearing the journey to cancer. Mutat Res 659:15–30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shd w:val="clear" w:color="auto" w:fill="FFFFFF"/>
        </w:rPr>
        <w:t>341</w:t>
      </w:r>
      <w:r w:rsidRPr="00A729F7">
        <w:rPr>
          <w:rFonts w:ascii="Times New Roman" w:hAnsi="Times New Roman" w:cs="Times New Roman"/>
          <w:b/>
          <w:color w:val="212121"/>
          <w:sz w:val="20"/>
          <w:szCs w:val="20"/>
          <w:shd w:val="clear" w:color="auto" w:fill="FFFFFF"/>
        </w:rPr>
        <w:t>.</w:t>
      </w:r>
      <w:r w:rsidRPr="00A729F7">
        <w:rPr>
          <w:rFonts w:ascii="Times New Roman" w:hAnsi="Times New Roman" w:cs="Times New Roman"/>
          <w:color w:val="303030"/>
          <w:sz w:val="20"/>
          <w:szCs w:val="20"/>
          <w:shd w:val="clear" w:color="auto" w:fill="FFFFFF"/>
        </w:rPr>
        <w:t xml:space="preserve"> Allegra A., Innao V., Tartarisco G., Pioggia G., Casciaro M., Musolino C., et al.. (2019). </w:t>
      </w:r>
      <w:r w:rsidRPr="00A729F7">
        <w:rPr>
          <w:rStyle w:val="ref-title"/>
          <w:rFonts w:ascii="Times New Roman" w:hAnsi="Times New Roman" w:cs="Times New Roman"/>
          <w:color w:val="303030"/>
          <w:sz w:val="20"/>
          <w:szCs w:val="20"/>
          <w:shd w:val="clear" w:color="auto" w:fill="FFFFFF"/>
        </w:rPr>
        <w:t>The ST2/interleukin-33 axis in hematologic malignancies: the IL-33 paradox</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Cs/>
          <w:color w:val="303030"/>
          <w:sz w:val="20"/>
          <w:szCs w:val="20"/>
          <w:shd w:val="clear" w:color="auto" w:fill="FFFFFF"/>
        </w:rPr>
        <w:t>Int. J. Mol. Sci</w:t>
      </w:r>
      <w:r w:rsidRPr="00A729F7">
        <w:rPr>
          <w:rStyle w:val="ref-journal"/>
          <w:rFonts w:ascii="Times New Roman" w:hAnsi="Times New Roman"/>
          <w:b/>
          <w:i/>
          <w:iCs/>
          <w:color w:val="303030"/>
          <w:sz w:val="20"/>
          <w:szCs w:val="20"/>
          <w:shd w:val="clear" w:color="auto" w:fill="FFFFFF"/>
        </w:rPr>
        <w:t>.</w:t>
      </w:r>
      <w:r w:rsidRPr="00A729F7">
        <w:rPr>
          <w:rFonts w:ascii="Times New Roman" w:hAnsi="Times New Roman" w:cs="Times New Roman"/>
          <w:color w:val="303030"/>
          <w:sz w:val="20"/>
          <w:szCs w:val="20"/>
          <w:shd w:val="clear" w:color="auto" w:fill="FFFFFF"/>
        </w:rPr>
        <w:t> </w:t>
      </w:r>
      <w:r w:rsidRPr="00A729F7">
        <w:rPr>
          <w:rFonts w:ascii="Times New Roman" w:hAnsi="Times New Roman" w:cs="Times New Roman"/>
          <w:color w:val="212121"/>
          <w:sz w:val="20"/>
          <w:szCs w:val="20"/>
          <w:shd w:val="clear" w:color="auto" w:fill="FFFFFF"/>
        </w:rPr>
        <w:t xml:space="preserve"> </w:t>
      </w:r>
      <w:r w:rsidRPr="00A729F7">
        <w:rPr>
          <w:rStyle w:val="id-label"/>
          <w:rFonts w:ascii="Times New Roman" w:hAnsi="Times New Roman" w:cs="Times New Roman"/>
          <w:color w:val="212121"/>
          <w:sz w:val="20"/>
          <w:szCs w:val="20"/>
        </w:rPr>
        <w:t>DOI: </w:t>
      </w:r>
      <w:hyperlink r:id="rId548" w:tgtFrame="_blank" w:history="1">
        <w:r w:rsidRPr="00A729F7">
          <w:rPr>
            <w:rStyle w:val="identifier"/>
            <w:rFonts w:ascii="Times New Roman" w:hAnsi="Times New Roman" w:cs="Times New Roman"/>
            <w:color w:val="205493"/>
            <w:sz w:val="20"/>
            <w:szCs w:val="20"/>
          </w:rPr>
          <w:t>10.3390/ijms20205226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303030"/>
          <w:sz w:val="20"/>
          <w:szCs w:val="20"/>
          <w:shd w:val="clear" w:color="auto" w:fill="FFFFFF"/>
        </w:rPr>
        <w:t>342.</w:t>
      </w:r>
      <w:r w:rsidRPr="00A729F7">
        <w:rPr>
          <w:rFonts w:ascii="Times New Roman" w:hAnsi="Times New Roman" w:cs="Times New Roman"/>
          <w:b/>
          <w:color w:val="303030"/>
          <w:sz w:val="20"/>
          <w:szCs w:val="20"/>
          <w:shd w:val="clear" w:color="auto" w:fill="FFFFFF"/>
        </w:rPr>
        <w:t xml:space="preserve"> </w:t>
      </w:r>
      <w:r w:rsidRPr="00A729F7">
        <w:rPr>
          <w:rFonts w:ascii="Times New Roman" w:hAnsi="Times New Roman" w:cs="Times New Roman"/>
          <w:color w:val="303030"/>
          <w:sz w:val="20"/>
          <w:szCs w:val="20"/>
          <w:shd w:val="clear" w:color="auto" w:fill="FFFFFF"/>
        </w:rPr>
        <w:t>Gorbacheva A. M., Mitkin N. A. (2019). </w:t>
      </w:r>
      <w:r w:rsidRPr="00A729F7">
        <w:rPr>
          <w:rStyle w:val="ref-title"/>
          <w:rFonts w:ascii="Times New Roman" w:hAnsi="Times New Roman" w:cs="Times New Roman"/>
          <w:color w:val="303030"/>
          <w:sz w:val="20"/>
          <w:szCs w:val="20"/>
          <w:shd w:val="clear" w:color="auto" w:fill="FFFFFF"/>
        </w:rPr>
        <w:t>[Interleukin-33: Friend or Enemy in the Fight against Tumors?]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Cs/>
          <w:color w:val="303030"/>
          <w:sz w:val="20"/>
          <w:szCs w:val="20"/>
          <w:shd w:val="clear" w:color="auto" w:fill="FFFFFF"/>
        </w:rPr>
        <w:t>Mol. Biol. (Mosk).</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53</w:t>
      </w:r>
      <w:r w:rsidRPr="00A729F7">
        <w:rPr>
          <w:rFonts w:ascii="Times New Roman" w:hAnsi="Times New Roman" w:cs="Times New Roman"/>
          <w:color w:val="303030"/>
          <w:sz w:val="20"/>
          <w:szCs w:val="20"/>
          <w:shd w:val="clear" w:color="auto" w:fill="FFFFFF"/>
        </w:rPr>
        <w:t xml:space="preserve">, 774–789., </w:t>
      </w:r>
      <w:r w:rsidRPr="00A729F7">
        <w:rPr>
          <w:rFonts w:ascii="Times New Roman" w:hAnsi="Times New Roman" w:cs="Times New Roman"/>
          <w:color w:val="212121"/>
          <w:sz w:val="20"/>
          <w:szCs w:val="20"/>
        </w:rPr>
        <w:t>DOI: </w:t>
      </w:r>
      <w:hyperlink r:id="rId549" w:tgtFrame="_blank" w:history="1">
        <w:r w:rsidRPr="00A729F7">
          <w:rPr>
            <w:rFonts w:ascii="Times New Roman" w:hAnsi="Times New Roman" w:cs="Times New Roman"/>
            <w:color w:val="205493"/>
            <w:sz w:val="20"/>
            <w:szCs w:val="20"/>
          </w:rPr>
          <w:t>10.1134/S0026898419050069</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343.</w:t>
      </w:r>
      <w:r w:rsidRPr="00A729F7">
        <w:rPr>
          <w:rFonts w:ascii="Times New Roman" w:hAnsi="Times New Roman" w:cs="Times New Roman"/>
          <w:b/>
          <w:sz w:val="20"/>
          <w:szCs w:val="20"/>
        </w:rPr>
        <w:t xml:space="preserve"> </w:t>
      </w:r>
      <w:r w:rsidRPr="00A729F7">
        <w:rPr>
          <w:rFonts w:ascii="Times New Roman" w:hAnsi="Times New Roman" w:cs="Times New Roman"/>
          <w:sz w:val="20"/>
          <w:szCs w:val="20"/>
        </w:rPr>
        <w:t>Q. Yang, G. Li, Y. Zhu, L. Liu, E. Chen, H. Turnquist, X. Zhang, O.J. Finn, X. Chen and B. Lu, IL-33 synergizes with TCR and IL-12 signaling to promote the effector function of  CD8+ T cells, European Journal of Immunology 41 (2011), 3351–3360</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344. Matzinger P (2002) The danger model: a renewed sense of self. Science 296:301–305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345. Xiao P, Wan X, Cui B, Liu Y, Qiu C, Rong J, Zheng M, Song Y, Chen L, He J et al. (2016) Interleukin 33 in tumor microenvironment is crucial for the accumulation and function of myeloidderived suppressor cells. Oncolmmunology 5(1). doi:10.1080/ 2162402x.2015.1063772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346. Kuchler AM, Pollheimer J, Balogh J et al. Nuclear interleukin-33 is generally expressed in resting endothelium but rapidly lost upon angiogenic or proinflammatory activation. Am J Pathol 2008;173:1229-42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lastRenderedPageBreak/>
        <w:t>347. Choi YS, Choi HJ, Min JK et al. IL-33 induces angiogenesis and vascular permeability through ST2/TRAF6- mediated endothelial NO production. Blood 2009;114: 3117-26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348. Silistino-Souza, R.; Rodrigues-Lisoni, F.C.; Cury, P.M.; Maniglia, J.V.; Raposo, L.S.; Tajara, E.H.; Christian, H.C.; Oliani, S.M. Annexin 1: Differential expression in tumor and mast cells in human larynx cancer. Int. J. Cancer 200</w:t>
      </w:r>
      <w:r w:rsidRPr="00A729F7">
        <w:rPr>
          <w:rFonts w:ascii="Times New Roman" w:hAnsi="Times New Roman" w:cs="Times New Roman"/>
          <w:b/>
          <w:sz w:val="20"/>
          <w:szCs w:val="20"/>
        </w:rPr>
        <w:t xml:space="preserve">7, </w:t>
      </w:r>
      <w:r w:rsidRPr="00A729F7">
        <w:rPr>
          <w:rFonts w:ascii="Times New Roman" w:hAnsi="Times New Roman" w:cs="Times New Roman"/>
          <w:sz w:val="20"/>
          <w:szCs w:val="20"/>
        </w:rPr>
        <w:t xml:space="preserve">120, 2582–2589. [CrossRef]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349. Sahibzada, H.A.; Khurshid, Z.; Khan, R.S.; Naseem, M.; Siddique, K.M.; Mali, M.; Zafar, M.S. Salivary IL-8, IL-6 and TNF-α as potential diagnostic biomarkers for oral cancer. Diagnostics 2017, 7, 21. [CrossRef]</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350. Gao K, Li X, Zhang L, Bai L, Dong W, Gao K, Shi G, Xia X, Wu L, Zhang L (2013) Transgenic expression of IL-33 activates CD8(+) T cells and NK cells and inhibits tumor growth and metastasis in mice. Cancer Lett 335:463–471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351. Dominguez D, Ye C, Geng Z, Chen S, Qin L, Fan J, Long A, Zhang B (2015) Induction of robust antitumor immunity by exogenous interleukin-33. J Immunol 194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212121"/>
          <w:sz w:val="20"/>
          <w:szCs w:val="20"/>
        </w:rPr>
        <w:t>352.</w:t>
      </w:r>
      <w:r w:rsidRPr="00A729F7">
        <w:rPr>
          <w:rStyle w:val="element-citation"/>
          <w:rFonts w:ascii="Times New Roman" w:hAnsi="Times New Roman"/>
          <w:color w:val="212121"/>
          <w:sz w:val="20"/>
          <w:szCs w:val="20"/>
        </w:rPr>
        <w:t xml:space="preserve"> Wasmer MH, Krebs P. The role of IL-33-dependent inflammation in the tumor microenvironment. </w:t>
      </w:r>
      <w:r w:rsidRPr="00A729F7">
        <w:rPr>
          <w:rStyle w:val="ref-journal"/>
          <w:rFonts w:ascii="Times New Roman" w:hAnsi="Times New Roman"/>
          <w:i/>
          <w:iCs/>
          <w:color w:val="212121"/>
          <w:sz w:val="20"/>
          <w:szCs w:val="20"/>
        </w:rPr>
        <w:t>Front Immunol. </w:t>
      </w:r>
      <w:r w:rsidRPr="00A729F7">
        <w:rPr>
          <w:rStyle w:val="element-citation"/>
          <w:rFonts w:ascii="Times New Roman" w:hAnsi="Times New Roman"/>
          <w:color w:val="212121"/>
          <w:sz w:val="20"/>
          <w:szCs w:val="20"/>
        </w:rPr>
        <w:t>2016;</w:t>
      </w:r>
      <w:r w:rsidRPr="00A729F7">
        <w:rPr>
          <w:rStyle w:val="ref-vol"/>
          <w:rFonts w:ascii="Times New Roman" w:hAnsi="Times New Roman"/>
          <w:color w:val="212121"/>
          <w:sz w:val="20"/>
          <w:szCs w:val="20"/>
        </w:rPr>
        <w:t>7</w:t>
      </w:r>
      <w:r w:rsidRPr="00A729F7">
        <w:rPr>
          <w:rStyle w:val="element-citation"/>
          <w:rFonts w:ascii="Times New Roman" w:hAnsi="Times New Roman"/>
          <w:color w:val="212121"/>
          <w:sz w:val="20"/>
          <w:szCs w:val="20"/>
        </w:rPr>
        <w:t>:682. </w:t>
      </w:r>
      <w:r w:rsidRPr="00A729F7">
        <w:rPr>
          <w:rStyle w:val="nowrap"/>
          <w:rFonts w:ascii="Times New Roman" w:hAnsi="Times New Roman"/>
          <w:color w:val="212121"/>
          <w:sz w:val="20"/>
          <w:szCs w:val="20"/>
        </w:rPr>
        <w:t>[</w:t>
      </w:r>
      <w:hyperlink r:id="rId550" w:history="1">
        <w:r w:rsidRPr="00A729F7">
          <w:rPr>
            <w:rStyle w:val="Hyperlink"/>
            <w:rFonts w:ascii="Times New Roman" w:hAnsi="Times New Roman"/>
            <w:color w:val="376FAA"/>
            <w:sz w:val="20"/>
            <w:szCs w:val="20"/>
          </w:rPr>
          <w:t>PMC free article</w:t>
        </w:r>
      </w:hyperlink>
      <w:r w:rsidRPr="00A729F7">
        <w:rPr>
          <w:rStyle w:val="nowrap"/>
          <w:rFonts w:ascii="Times New Roman" w:hAnsi="Times New Roman"/>
          <w:color w:val="212121"/>
          <w:sz w:val="20"/>
          <w:szCs w:val="20"/>
        </w:rPr>
        <w:t>]</w:t>
      </w:r>
      <w:r w:rsidRPr="00A729F7">
        <w:rPr>
          <w:rStyle w:val="element-citation"/>
          <w:rFonts w:ascii="Times New Roman" w:hAnsi="Times New Roman"/>
          <w:color w:val="212121"/>
          <w:sz w:val="20"/>
          <w:szCs w:val="20"/>
        </w:rPr>
        <w:t> [</w:t>
      </w:r>
      <w:hyperlink r:id="rId551" w:history="1">
        <w:r w:rsidRPr="00A729F7">
          <w:rPr>
            <w:rStyle w:val="Hyperlink"/>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552"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r w:rsidRPr="00A729F7">
        <w:rPr>
          <w:rFonts w:ascii="Times New Roman" w:hAnsi="Times New Roman" w:cs="Times New Roman"/>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353. Tu L, Yang L. IL-33 at the Crossroads of Metabolic Disorders and Immunity. Front Endocrinol. 2019. </w:t>
      </w:r>
      <w:hyperlink r:id="rId553" w:history="1">
        <w:r w:rsidRPr="00A729F7">
          <w:rPr>
            <w:rStyle w:val="Hyperlink"/>
            <w:rFonts w:ascii="Times New Roman" w:hAnsi="Times New Roman"/>
            <w:sz w:val="20"/>
            <w:szCs w:val="20"/>
          </w:rPr>
          <w:t>https://doi.org/10.3389/fendo.2019.00026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354. Lu B., Yang M., Wang Q. 2016. Interleukin-33 in tumorigenesis, tumor immune evasion, and cancer immunotherapy. J. Mol. Med. 94 (5), 535‒543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355. I.P. Jovanovic, N.N. Pejnovic, G.D. Radosavljevic, N.N. Arsenijevic and M.L. Lukic, IL-33/ST2 axis in innate and acquired immunity to tumors, Oncoimmunology 1 (2012), 229–231</w:t>
      </w:r>
    </w:p>
    <w:p w:rsidR="00A729F7" w:rsidRPr="00A729F7" w:rsidRDefault="00A729F7" w:rsidP="00A729F7">
      <w:pPr>
        <w:spacing w:line="360" w:lineRule="auto"/>
        <w:rPr>
          <w:rStyle w:val="nowrap"/>
          <w:rFonts w:ascii="Times New Roman" w:hAnsi="Times New Roman"/>
          <w:color w:val="212121"/>
          <w:sz w:val="20"/>
          <w:szCs w:val="20"/>
        </w:rPr>
      </w:pPr>
      <w:r w:rsidRPr="00A729F7">
        <w:rPr>
          <w:rStyle w:val="element-citation"/>
          <w:rFonts w:ascii="Times New Roman" w:hAnsi="Times New Roman"/>
          <w:color w:val="212121"/>
          <w:sz w:val="20"/>
          <w:szCs w:val="20"/>
        </w:rPr>
        <w:t>356. Hu WT, Li MQ, Liu W, Jin LP, Li DJ, Zhu XY. IL-33 enhances proliferation and invasiveness of decidual stromal cells by up-regulation of CCL2/CCR2 via NF-kappaB and ERK1/2 signaling. </w:t>
      </w:r>
      <w:r w:rsidRPr="00A729F7">
        <w:rPr>
          <w:rStyle w:val="nowrap"/>
          <w:rFonts w:ascii="Times New Roman" w:hAnsi="Times New Roman"/>
          <w:i/>
          <w:iCs/>
          <w:color w:val="212121"/>
          <w:sz w:val="20"/>
          <w:szCs w:val="20"/>
        </w:rPr>
        <w:t>Mol Hum Reprod. </w:t>
      </w:r>
      <w:r w:rsidRPr="00A729F7">
        <w:rPr>
          <w:rStyle w:val="element-citation"/>
          <w:rFonts w:ascii="Times New Roman" w:hAnsi="Times New Roman"/>
          <w:color w:val="212121"/>
          <w:sz w:val="20"/>
          <w:szCs w:val="20"/>
        </w:rPr>
        <w:t>2014;</w:t>
      </w:r>
      <w:r w:rsidRPr="00A729F7">
        <w:rPr>
          <w:rStyle w:val="ref-vol"/>
          <w:rFonts w:ascii="Times New Roman" w:hAnsi="Times New Roman"/>
          <w:color w:val="212121"/>
          <w:sz w:val="20"/>
          <w:szCs w:val="20"/>
        </w:rPr>
        <w:t>20</w:t>
      </w:r>
      <w:r w:rsidRPr="00A729F7">
        <w:rPr>
          <w:rStyle w:val="element-citation"/>
          <w:rFonts w:ascii="Times New Roman" w:hAnsi="Times New Roman"/>
          <w:color w:val="212121"/>
          <w:sz w:val="20"/>
          <w:szCs w:val="20"/>
        </w:rPr>
        <w:t>:358–372. doi: 10.1093/molehr/gat094. [</w:t>
      </w:r>
      <w:hyperlink r:id="rId554" w:history="1">
        <w:r w:rsidRPr="00A729F7">
          <w:rPr>
            <w:rStyle w:val="Hyperlink"/>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555" w:tgtFrame="_blank" w:history="1">
        <w:r w:rsidRPr="00A729F7">
          <w:rPr>
            <w:rStyle w:val="Hyperlink"/>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556" w:tgtFrame="_blank" w:history="1">
        <w:r w:rsidRPr="00A729F7">
          <w:rPr>
            <w:rStyle w:val="Hyperlink"/>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 xml:space="preserve">357. </w:t>
      </w:r>
      <w:r w:rsidRPr="00A729F7">
        <w:rPr>
          <w:rStyle w:val="element-citation"/>
          <w:rFonts w:ascii="Times New Roman" w:hAnsi="Times New Roman"/>
          <w:color w:val="212121"/>
          <w:sz w:val="20"/>
          <w:szCs w:val="20"/>
        </w:rPr>
        <w:t>Fang Y, Zhao L, Xiao H, Cook KM, Bai Q, Herrick EJ, Chen X, Qin C, Zhu Z, Wakefield MR, Nicholl MB. IL-33 acts as a foe to MIA PaCa-2 pancreatic cancer. </w:t>
      </w:r>
      <w:r w:rsidRPr="00A729F7">
        <w:rPr>
          <w:rStyle w:val="Hyperlink"/>
          <w:rFonts w:ascii="Times New Roman" w:hAnsi="Times New Roman"/>
          <w:i/>
          <w:iCs/>
          <w:color w:val="212121"/>
          <w:sz w:val="20"/>
          <w:szCs w:val="20"/>
        </w:rPr>
        <w:t>Med Oncol. </w:t>
      </w:r>
      <w:r w:rsidRPr="00A729F7">
        <w:rPr>
          <w:rStyle w:val="element-citation"/>
          <w:rFonts w:ascii="Times New Roman" w:hAnsi="Times New Roman"/>
          <w:color w:val="212121"/>
          <w:sz w:val="20"/>
          <w:szCs w:val="20"/>
        </w:rPr>
        <w:t>2017;</w:t>
      </w:r>
      <w:r w:rsidRPr="00A729F7">
        <w:rPr>
          <w:rStyle w:val="ref-vol"/>
          <w:rFonts w:ascii="Times New Roman" w:hAnsi="Times New Roman"/>
          <w:color w:val="212121"/>
          <w:sz w:val="20"/>
          <w:szCs w:val="20"/>
        </w:rPr>
        <w:t>34</w:t>
      </w:r>
      <w:r w:rsidRPr="00A729F7">
        <w:rPr>
          <w:rStyle w:val="element-citation"/>
          <w:rFonts w:ascii="Times New Roman" w:hAnsi="Times New Roman"/>
          <w:color w:val="212121"/>
          <w:sz w:val="20"/>
          <w:szCs w:val="20"/>
        </w:rPr>
        <w:t>:23. doi: 10.1007/s12032-016-0880-3. [</w:t>
      </w:r>
      <w:hyperlink r:id="rId557" w:history="1">
        <w:r w:rsidRPr="00A729F7">
          <w:rPr>
            <w:rStyle w:val="ref-journal"/>
            <w:rFonts w:ascii="Times New Roman" w:hAnsi="Times New Roman"/>
            <w:color w:val="376FAA"/>
            <w:sz w:val="20"/>
            <w:szCs w:val="20"/>
          </w:rPr>
          <w:t>PubMed</w:t>
        </w:r>
      </w:hyperlink>
      <w:r w:rsidRPr="00A729F7">
        <w:rPr>
          <w:rStyle w:val="element-citation"/>
          <w:rFonts w:ascii="Times New Roman" w:hAnsi="Times New Roman"/>
          <w:color w:val="212121"/>
          <w:sz w:val="20"/>
          <w:szCs w:val="20"/>
        </w:rPr>
        <w:t>] [</w:t>
      </w:r>
      <w:hyperlink r:id="rId558" w:tgtFrame="_blank" w:history="1">
        <w:r w:rsidRPr="00A729F7">
          <w:rPr>
            <w:rStyle w:val="ref-journal"/>
            <w:rFonts w:ascii="Times New Roman" w:hAnsi="Times New Roman"/>
            <w:color w:val="376FAA"/>
            <w:sz w:val="20"/>
            <w:szCs w:val="20"/>
          </w:rPr>
          <w:t>CrossRef</w:t>
        </w:r>
      </w:hyperlink>
      <w:r w:rsidRPr="00A729F7">
        <w:rPr>
          <w:rStyle w:val="element-citation"/>
          <w:rFonts w:ascii="Times New Roman" w:hAnsi="Times New Roman"/>
          <w:color w:val="212121"/>
          <w:sz w:val="20"/>
          <w:szCs w:val="20"/>
        </w:rPr>
        <w:t>] </w:t>
      </w:r>
      <w:r w:rsidRPr="00A729F7">
        <w:rPr>
          <w:rStyle w:val="nowrap"/>
          <w:rFonts w:ascii="Times New Roman" w:hAnsi="Times New Roman"/>
          <w:color w:val="212121"/>
          <w:sz w:val="20"/>
          <w:szCs w:val="20"/>
        </w:rPr>
        <w:t>[</w:t>
      </w:r>
      <w:hyperlink r:id="rId559" w:tgtFrame="_blank" w:history="1">
        <w:r w:rsidRPr="00A729F7">
          <w:rPr>
            <w:rStyle w:val="ref-journal"/>
            <w:rFonts w:ascii="Times New Roman" w:hAnsi="Times New Roman"/>
            <w:color w:val="376FAA"/>
            <w:sz w:val="20"/>
            <w:szCs w:val="20"/>
          </w:rPr>
          <w:t>Google Scholar</w:t>
        </w:r>
      </w:hyperlink>
      <w:r w:rsidRPr="00A729F7">
        <w:rPr>
          <w:rStyle w:val="nowrap"/>
          <w:rFonts w:ascii="Times New Roman" w:hAnsi="Times New Roman"/>
          <w:color w:val="212121"/>
          <w:sz w:val="20"/>
          <w:szCs w:val="20"/>
        </w:rPr>
        <w:t>]</w:t>
      </w:r>
      <w:r w:rsidRPr="00A729F7">
        <w:rPr>
          <w:rFonts w:ascii="Times New Roman" w:hAnsi="Times New Roman" w:cs="Times New Roman"/>
          <w:color w:val="212121"/>
          <w:sz w:val="20"/>
          <w:szCs w:val="20"/>
        </w:rPr>
        <w:t xml:space="preserve"> </w:t>
      </w:r>
      <w:r w:rsidRPr="00A729F7">
        <w:rPr>
          <w:rFonts w:ascii="Times New Roman" w:hAnsi="Times New Roman" w:cs="Times New Roman"/>
          <w:sz w:val="20"/>
          <w:szCs w:val="20"/>
        </w:rPr>
        <w:t xml:space="preserve"> </w:t>
      </w:r>
      <w:r w:rsidRPr="00A729F7">
        <w:rPr>
          <w:rFonts w:ascii="Times New Roman" w:hAnsi="Times New Roman" w:cs="Times New Roman"/>
          <w:color w:val="212121"/>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303030"/>
          <w:sz w:val="20"/>
          <w:szCs w:val="20"/>
          <w:shd w:val="clear" w:color="auto" w:fill="FFFFFF"/>
        </w:rPr>
        <w:t xml:space="preserve">358. Xiao P., Wan X., Cui B., Liu Y., Qiu C., Rong J., et al., </w:t>
      </w:r>
      <w:r w:rsidRPr="00A729F7">
        <w:rPr>
          <w:rStyle w:val="ref-title"/>
          <w:rFonts w:ascii="Times New Roman" w:hAnsi="Times New Roman" w:cs="Times New Roman"/>
          <w:color w:val="303030"/>
          <w:sz w:val="20"/>
          <w:szCs w:val="20"/>
          <w:shd w:val="clear" w:color="auto" w:fill="FFFFFF"/>
        </w:rPr>
        <w:t>Interleukin 33 in tumor microenvironment is crucial for the accumulation and function of myeloid-derived suppressor cells</w:t>
      </w:r>
      <w:r w:rsidRPr="00A729F7">
        <w:rPr>
          <w:rFonts w:ascii="Times New Roman" w:hAnsi="Times New Roman" w:cs="Times New Roman"/>
          <w:color w:val="303030"/>
          <w:sz w:val="20"/>
          <w:szCs w:val="20"/>
          <w:shd w:val="clear" w:color="auto" w:fill="FFFFFF"/>
        </w:rPr>
        <w:t>. </w:t>
      </w:r>
      <w:r w:rsidRPr="00A729F7">
        <w:rPr>
          <w:rStyle w:val="ref-journal"/>
          <w:rFonts w:ascii="Times New Roman" w:hAnsi="Times New Roman"/>
          <w:i/>
          <w:iCs/>
          <w:color w:val="303030"/>
          <w:sz w:val="20"/>
          <w:szCs w:val="20"/>
          <w:shd w:val="clear" w:color="auto" w:fill="FFFFFF"/>
        </w:rPr>
        <w:t>Oncoimmunology</w:t>
      </w:r>
      <w:r w:rsidRPr="00A729F7">
        <w:rPr>
          <w:rFonts w:ascii="Times New Roman" w:hAnsi="Times New Roman" w:cs="Times New Roman"/>
          <w:color w:val="303030"/>
          <w:sz w:val="20"/>
          <w:szCs w:val="20"/>
          <w:shd w:val="clear" w:color="auto" w:fill="FFFFFF"/>
        </w:rPr>
        <w:t> </w:t>
      </w:r>
      <w:r w:rsidRPr="00A729F7">
        <w:rPr>
          <w:rStyle w:val="ref-vol"/>
          <w:rFonts w:ascii="Times New Roman" w:hAnsi="Times New Roman"/>
          <w:color w:val="303030"/>
          <w:sz w:val="20"/>
          <w:szCs w:val="20"/>
          <w:shd w:val="clear" w:color="auto" w:fill="FFFFFF"/>
        </w:rPr>
        <w:t>5</w:t>
      </w:r>
      <w:r w:rsidRPr="00A729F7">
        <w:rPr>
          <w:rFonts w:ascii="Times New Roman" w:hAnsi="Times New Roman" w:cs="Times New Roman"/>
          <w:color w:val="303030"/>
          <w:sz w:val="20"/>
          <w:szCs w:val="20"/>
          <w:shd w:val="clear" w:color="auto" w:fill="FFFFFF"/>
        </w:rPr>
        <w:t>,</w:t>
      </w:r>
      <w:r w:rsidRPr="00A729F7">
        <w:rPr>
          <w:rFonts w:ascii="Times New Roman" w:hAnsi="Times New Roman" w:cs="Times New Roman"/>
          <w:color w:val="212121"/>
          <w:sz w:val="20"/>
          <w:szCs w:val="20"/>
          <w:shd w:val="clear" w:color="auto" w:fill="FFFFFF"/>
        </w:rPr>
        <w:t xml:space="preserve"> </w:t>
      </w:r>
      <w:r w:rsidRPr="00A729F7">
        <w:rPr>
          <w:rStyle w:val="id-label"/>
          <w:rFonts w:ascii="Times New Roman" w:hAnsi="Times New Roman" w:cs="Times New Roman"/>
          <w:color w:val="212121"/>
          <w:sz w:val="20"/>
          <w:szCs w:val="20"/>
        </w:rPr>
        <w:t>DOI: </w:t>
      </w:r>
      <w:hyperlink r:id="rId560" w:tgtFrame="_blank" w:history="1">
        <w:r w:rsidRPr="00A729F7">
          <w:rPr>
            <w:rStyle w:val="Hyperlink"/>
            <w:rFonts w:ascii="Times New Roman" w:hAnsi="Times New Roman"/>
            <w:color w:val="0071BC"/>
            <w:sz w:val="20"/>
            <w:szCs w:val="20"/>
          </w:rPr>
          <w:t>10.1080/2162402X.2015.1063772</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359. Li J, Razumilava N, Gores GJ et al (2014) Biliary repair and carcinogenesis are mediated by IL-33-dependent cholangiocyte proliferation. J Clin Invest 124:3241–3251</w:t>
      </w:r>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360. Schrama D, Reisfeld RA, Becker JC. 2006. Antibody targeted drugs as cancer therapeutics. </w:t>
      </w:r>
      <w:r w:rsidRPr="00A729F7">
        <w:rPr>
          <w:rFonts w:ascii="Times New Roman" w:hAnsi="Times New Roman" w:cs="Times New Roman"/>
          <w:i/>
          <w:iCs/>
          <w:color w:val="212121"/>
          <w:sz w:val="20"/>
          <w:szCs w:val="20"/>
        </w:rPr>
        <w:t>Nat Rev Drug Discov</w:t>
      </w:r>
      <w:r w:rsidRPr="00A729F7">
        <w:rPr>
          <w:rFonts w:ascii="Times New Roman" w:hAnsi="Times New Roman" w:cs="Times New Roman"/>
          <w:color w:val="212121"/>
          <w:sz w:val="20"/>
          <w:szCs w:val="20"/>
        </w:rPr>
        <w:t> 5(2):147–159 [</w:t>
      </w:r>
      <w:hyperlink r:id="rId561" w:history="1">
        <w:r w:rsidRPr="00A729F7">
          <w:rPr>
            <w:rFonts w:ascii="Times New Roman" w:hAnsi="Times New Roman" w:cs="Times New Roman"/>
            <w:color w:val="376FAA"/>
            <w:sz w:val="20"/>
            <w:szCs w:val="20"/>
            <w:u w:val="single"/>
          </w:rPr>
          <w:t>PubMed</w:t>
        </w:r>
      </w:hyperlink>
      <w:r w:rsidRPr="00A729F7">
        <w:rPr>
          <w:rFonts w:ascii="Times New Roman" w:hAnsi="Times New Roman" w:cs="Times New Roman"/>
          <w:color w:val="212121"/>
          <w:sz w:val="20"/>
          <w:szCs w:val="20"/>
        </w:rPr>
        <w:t>] [</w:t>
      </w:r>
      <w:hyperlink r:id="rId562" w:tgtFrame="_blank" w:history="1">
        <w:r w:rsidRPr="00A729F7">
          <w:rPr>
            <w:rFonts w:ascii="Times New Roman" w:hAnsi="Times New Roman" w:cs="Times New Roman"/>
            <w:color w:val="376FAA"/>
            <w:sz w:val="20"/>
            <w:szCs w:val="20"/>
            <w:u w:val="single"/>
          </w:rPr>
          <w:t>Google Scholar</w:t>
        </w:r>
      </w:hyperlink>
      <w:r w:rsidRPr="00A729F7">
        <w:rPr>
          <w:rFonts w:ascii="Times New Roman" w:hAnsi="Times New Roman" w:cs="Times New Roman"/>
          <w:color w:val="212121"/>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361. Andtbacka RH, Kaufman HL, Collichio F et al (2015) Talimogene Laherparepvec improves durable response rate in patients with advanced melanoma. J Clin Oncol 33:2780–2788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362. Kerkar SP, Muranski P, Kaiser A et al (2010) Tumor-specific CD8+ T cells expressing interleukin-12 eradicate established cancers in lymphodepleted hosts. Cancer Res 70:6725–6734</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363. Kallert S.M., Darbre S., Kreppel F., Bonilla W. V., Kreutzfeldt M., Page N., Löhning M., Lu M., Favre S., Zippelius A., Merkler D., Kreuzaler M., Müller P., Luther S.A., Pinschewer D.D. 2017. Replicating viral vector </w:t>
      </w:r>
      <w:r w:rsidRPr="00A729F7">
        <w:rPr>
          <w:rFonts w:ascii="Times New Roman" w:hAnsi="Times New Roman" w:cs="Times New Roman"/>
          <w:sz w:val="20"/>
          <w:szCs w:val="20"/>
        </w:rPr>
        <w:lastRenderedPageBreak/>
        <w:t>platform exploits alarmin signals for potent CD8+ T cell-mediated tumour immunotherapy. Nat. Commun. 8, 15327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364. Akimoto M., Maruyama R., Takamaru H., Ochiya T., Takenaga K. 2016. Soluble IL-33 receptor sST2 inhibits colorectal cancer malignant growth by modifying the tumour microenvironment. Nat. Commun. 7, 1–15</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365. Wang K., Shan S., Yang Z., Gu X., Wang Y., Wang C., Ren T., Wang K., Shan S., Yang Z., Gu X., Wang Y., Wang C., Ren T. 2017. IL-33 blockade suppresses tumor growth of human lung cancer through direct and indirect pathways in a preclinical model. Oncotarget. 8, 68571–68582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366. </w:t>
      </w:r>
      <w:hyperlink r:id="rId563" w:history="1">
        <w:r w:rsidRPr="00A729F7">
          <w:rPr>
            <w:rStyle w:val="id-label"/>
            <w:rFonts w:ascii="Times New Roman" w:hAnsi="Times New Roman" w:cs="Times New Roman"/>
            <w:sz w:val="20"/>
            <w:szCs w:val="20"/>
            <w:u w:color="FFFFFF"/>
          </w:rPr>
          <w:t>Amir H Ameri</w:t>
        </w:r>
      </w:hyperlink>
      <w:r w:rsidRPr="00A729F7">
        <w:rPr>
          <w:rStyle w:val="authors-list-item"/>
          <w:rFonts w:ascii="Times New Roman" w:hAnsi="Times New Roman" w:cs="Times New Roman"/>
          <w:sz w:val="20"/>
          <w:szCs w:val="20"/>
          <w:u w:color="FFFFFF"/>
        </w:rPr>
        <w:t>,</w:t>
      </w:r>
      <w:r w:rsidRPr="00A729F7">
        <w:rPr>
          <w:rStyle w:val="comma"/>
          <w:rFonts w:ascii="Times New Roman" w:hAnsi="Times New Roman" w:cs="Times New Roman"/>
          <w:sz w:val="20"/>
          <w:szCs w:val="20"/>
          <w:u w:color="FFFFFF"/>
        </w:rPr>
        <w:t> </w:t>
      </w:r>
      <w:hyperlink r:id="rId564" w:history="1">
        <w:r w:rsidRPr="00A729F7">
          <w:rPr>
            <w:rStyle w:val="id-label"/>
            <w:rFonts w:ascii="Times New Roman" w:hAnsi="Times New Roman" w:cs="Times New Roman"/>
            <w:sz w:val="20"/>
            <w:szCs w:val="20"/>
            <w:u w:color="FFFFFF"/>
          </w:rPr>
          <w:t>Sara Moradi Tuchayi</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65" w:history="1">
        <w:r w:rsidRPr="00A729F7">
          <w:rPr>
            <w:rStyle w:val="id-label"/>
            <w:rFonts w:ascii="Times New Roman" w:hAnsi="Times New Roman" w:cs="Times New Roman"/>
            <w:sz w:val="20"/>
            <w:szCs w:val="20"/>
            <w:u w:color="FFFFFF"/>
          </w:rPr>
          <w:t>Anniek Zaalberg</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66" w:history="1">
        <w:r w:rsidRPr="00A729F7">
          <w:rPr>
            <w:rStyle w:val="id-label"/>
            <w:rFonts w:ascii="Times New Roman" w:hAnsi="Times New Roman" w:cs="Times New Roman"/>
            <w:sz w:val="20"/>
            <w:szCs w:val="20"/>
            <w:u w:color="FFFFFF"/>
          </w:rPr>
          <w:t>Jong Ho Park</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67" w:history="1">
        <w:r w:rsidRPr="00A729F7">
          <w:rPr>
            <w:rStyle w:val="id-label"/>
            <w:rFonts w:ascii="Times New Roman" w:hAnsi="Times New Roman" w:cs="Times New Roman"/>
            <w:sz w:val="20"/>
            <w:szCs w:val="20"/>
            <w:u w:color="FFFFFF"/>
          </w:rPr>
          <w:t>Kenneth H Ngo</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68" w:history="1">
        <w:r w:rsidRPr="00A729F7">
          <w:rPr>
            <w:rStyle w:val="id-label"/>
            <w:rFonts w:ascii="Times New Roman" w:hAnsi="Times New Roman" w:cs="Times New Roman"/>
            <w:sz w:val="20"/>
            <w:szCs w:val="20"/>
            <w:u w:color="FFFFFF"/>
          </w:rPr>
          <w:t>Tiancheng Li</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69" w:history="1">
        <w:r w:rsidRPr="00A729F7">
          <w:rPr>
            <w:rStyle w:val="id-label"/>
            <w:rFonts w:ascii="Times New Roman" w:hAnsi="Times New Roman" w:cs="Times New Roman"/>
            <w:sz w:val="20"/>
            <w:szCs w:val="20"/>
            <w:u w:color="FFFFFF"/>
          </w:rPr>
          <w:t>Elena Lopez</w:t>
        </w:r>
      </w:hyperlink>
      <w:r w:rsidRPr="00A729F7">
        <w:rPr>
          <w:rStyle w:val="comma"/>
          <w:rFonts w:ascii="Times New Roman" w:hAnsi="Times New Roman" w:cs="Times New Roman"/>
          <w:sz w:val="20"/>
          <w:szCs w:val="20"/>
          <w:u w:color="FFFFFF"/>
        </w:rPr>
        <w:t>, </w:t>
      </w:r>
      <w:hyperlink r:id="rId570" w:history="1">
        <w:r w:rsidRPr="00A729F7">
          <w:rPr>
            <w:rStyle w:val="id-label"/>
            <w:rFonts w:ascii="Times New Roman" w:hAnsi="Times New Roman" w:cs="Times New Roman"/>
            <w:sz w:val="20"/>
            <w:szCs w:val="20"/>
            <w:u w:color="FFFFFF"/>
          </w:rPr>
          <w:t>Marco Colonna</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71" w:history="1">
        <w:r w:rsidRPr="00A729F7">
          <w:rPr>
            <w:rStyle w:val="id-label"/>
            <w:rFonts w:ascii="Times New Roman" w:hAnsi="Times New Roman" w:cs="Times New Roman"/>
            <w:sz w:val="20"/>
            <w:szCs w:val="20"/>
            <w:u w:color="FFFFFF"/>
          </w:rPr>
          <w:t>Richard T Lee</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72" w:history="1">
        <w:r w:rsidRPr="00A729F7">
          <w:rPr>
            <w:rStyle w:val="id-label"/>
            <w:rFonts w:ascii="Times New Roman" w:hAnsi="Times New Roman" w:cs="Times New Roman"/>
            <w:sz w:val="20"/>
            <w:szCs w:val="20"/>
            <w:u w:color="FFFFFF"/>
          </w:rPr>
          <w:t>Mari Mino-Kenudson</w:t>
        </w:r>
      </w:hyperlink>
      <w:r w:rsidRPr="00A729F7">
        <w:rPr>
          <w:rStyle w:val="author-sup-separator"/>
          <w:rFonts w:ascii="Times New Roman" w:hAnsi="Times New Roman" w:cs="Times New Roman"/>
          <w:sz w:val="20"/>
          <w:szCs w:val="20"/>
          <w:u w:color="FFFFFF"/>
          <w:vertAlign w:val="superscript"/>
        </w:rPr>
        <w:t> </w:t>
      </w:r>
      <w:r w:rsidRPr="00A729F7">
        <w:rPr>
          <w:rStyle w:val="comma"/>
          <w:rFonts w:ascii="Times New Roman" w:hAnsi="Times New Roman" w:cs="Times New Roman"/>
          <w:sz w:val="20"/>
          <w:szCs w:val="20"/>
          <w:u w:color="FFFFFF"/>
        </w:rPr>
        <w:t>, </w:t>
      </w:r>
      <w:hyperlink r:id="rId573" w:history="1">
        <w:r w:rsidRPr="00A729F7">
          <w:rPr>
            <w:rStyle w:val="id-label"/>
            <w:rFonts w:ascii="Times New Roman" w:hAnsi="Times New Roman" w:cs="Times New Roman"/>
            <w:sz w:val="20"/>
            <w:szCs w:val="20"/>
            <w:u w:color="FFFFFF"/>
          </w:rPr>
          <w:t>Shadmehr Demehri</w:t>
        </w:r>
      </w:hyperlink>
      <w:r w:rsidRPr="00A729F7">
        <w:rPr>
          <w:rStyle w:val="authors-list-item"/>
          <w:rFonts w:ascii="Times New Roman" w:hAnsi="Times New Roman" w:cs="Times New Roman"/>
          <w:sz w:val="20"/>
          <w:szCs w:val="20"/>
          <w:u w:color="FFFFFF"/>
        </w:rPr>
        <w:t>,</w:t>
      </w:r>
      <w:r w:rsidRPr="00A729F7">
        <w:rPr>
          <w:rFonts w:ascii="Times New Roman" w:hAnsi="Times New Roman" w:cs="Times New Roman"/>
          <w:color w:val="212121"/>
          <w:sz w:val="20"/>
          <w:szCs w:val="20"/>
        </w:rPr>
        <w:t xml:space="preserve"> IL-33/regulatory T cell axis triggers the development of a tumor-promoting immune environment in chronic inflammation, </w:t>
      </w:r>
      <w:r w:rsidRPr="00A729F7">
        <w:rPr>
          <w:rFonts w:ascii="Times New Roman" w:hAnsi="Times New Roman" w:cs="Times New Roman"/>
          <w:sz w:val="20"/>
          <w:szCs w:val="20"/>
        </w:rPr>
        <w:t>Proc Natl Acad Sci U S A</w:t>
      </w:r>
      <w:r w:rsidRPr="00A729F7">
        <w:rPr>
          <w:rStyle w:val="period"/>
          <w:rFonts w:ascii="Times New Roman" w:hAnsi="Times New Roman" w:cs="Times New Roman"/>
          <w:sz w:val="20"/>
          <w:szCs w:val="20"/>
        </w:rPr>
        <w:t>. </w:t>
      </w:r>
      <w:r w:rsidRPr="00A729F7">
        <w:rPr>
          <w:rStyle w:val="cit"/>
          <w:rFonts w:ascii="Times New Roman" w:hAnsi="Times New Roman" w:cs="Times New Roman"/>
          <w:sz w:val="20"/>
          <w:szCs w:val="20"/>
        </w:rPr>
        <w:t>2019 Feb 12;116(7):2646-2651.</w:t>
      </w:r>
      <w:r w:rsidRPr="00A729F7">
        <w:rPr>
          <w:rStyle w:val="id-label"/>
          <w:rFonts w:ascii="Times New Roman" w:hAnsi="Times New Roman" w:cs="Times New Roman"/>
          <w:color w:val="212121"/>
          <w:sz w:val="20"/>
          <w:szCs w:val="20"/>
        </w:rPr>
        <w:t xml:space="preserve"> DOI: </w:t>
      </w:r>
      <w:hyperlink r:id="rId574" w:tgtFrame="_blank" w:history="1">
        <w:r w:rsidRPr="00A729F7">
          <w:rPr>
            <w:rStyle w:val="Hyperlink"/>
            <w:rFonts w:ascii="Times New Roman" w:hAnsi="Times New Roman"/>
            <w:color w:val="205493"/>
            <w:sz w:val="20"/>
            <w:szCs w:val="20"/>
          </w:rPr>
          <w:t>10.1073/pnas.1815016116</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367. Eissmann MF, Dijkstra C, Wouters MA, Baloyan D, Mouradov D, Nguyen PM, et al. Interleukin 33 signaling restrains sporadic colon cancer in an interferon-gamma-dependent manner. Cancer Immunol Res. (2018) 6:409–21. doi: 10.1158/2326-6066.CIR-17-0218</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368. Poh AR, Ernst M. Targeting macrophages in cancer: from bench to bedside. Front Oncol. (2018) 8:49. doi: 10.3389/fonc.2018.00049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369. Pfaffe, T.; Cooper-White, J.; Beyerlein, P.; Kostner, K.; Punyadeera, C. Diagnostic potential of saliva: Current state and future applications. Clin. Chem. 2011, 57, 675–687. [CrossRef]</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370. Narasimhan, M.; Sabesan, M.; Vasanthi, H.R. Salivary Diagnostics: A Brief Review. ISRN Dent. 2014, 158786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371. Wang, Q.; Gao, P.; Wang, X.; Duan, Y. Investigation and identification of potential biomarkers in human saliva for the early diagnosis of oral squamous cell carcinoma. Clin. Chim. Acta 2014, 427, 79–85. [CrossRef]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372. Lee, L.T.; Wong, Y.K.; Hsiao, H.Y.; Wang, Y.W.; Chan, M.Y.; Chang, K.W. Evaluation of saliva and plasma cytokine biomarkers in patients with oral squamous cell carcinoma. Int. J. Oral Maxillofac. Surg. 2017. [CrossRef] </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373. Dinarello CA. Why not treat human cancer with interleukin-1 blockade? Cancer Metastasis Rev. 2010;29(2):317–329.[</w:t>
      </w:r>
      <w:hyperlink r:id="rId575" w:history="1">
        <w:r w:rsidRPr="00A729F7">
          <w:rPr>
            <w:rStyle w:val="Hyperlink"/>
            <w:rFonts w:ascii="Times New Roman" w:hAnsi="Times New Roman"/>
            <w:color w:val="642A8F"/>
            <w:kern w:val="24"/>
            <w:sz w:val="20"/>
            <w:szCs w:val="20"/>
          </w:rPr>
          <w:t>PMC free article</w:t>
        </w:r>
      </w:hyperlink>
      <w:r w:rsidRPr="00A729F7">
        <w:rPr>
          <w:rFonts w:ascii="Times New Roman" w:hAnsi="Times New Roman" w:cs="Times New Roman"/>
          <w:color w:val="000000"/>
          <w:kern w:val="24"/>
          <w:sz w:val="20"/>
          <w:szCs w:val="20"/>
        </w:rPr>
        <w:t>] [</w:t>
      </w:r>
      <w:hyperlink r:id="rId576" w:history="1">
        <w:r w:rsidRPr="00A729F7">
          <w:rPr>
            <w:rStyle w:val="Hyperlink"/>
            <w:rFonts w:ascii="Times New Roman" w:hAnsi="Times New Roman"/>
            <w:color w:val="642A8F"/>
            <w:kern w:val="24"/>
            <w:sz w:val="20"/>
            <w:szCs w:val="20"/>
          </w:rPr>
          <w:t>PubMed</w:t>
        </w:r>
      </w:hyperlink>
      <w:r w:rsidRPr="00A729F7">
        <w:rPr>
          <w:rFonts w:ascii="Times New Roman" w:hAnsi="Times New Roman" w:cs="Times New Roman"/>
          <w:color w:val="000000"/>
          <w:kern w:val="24"/>
          <w:sz w:val="20"/>
          <w:szCs w:val="20"/>
        </w:rPr>
        <w:t>] [</w:t>
      </w:r>
      <w:hyperlink r:id="rId577" w:history="1">
        <w:r w:rsidRPr="00A729F7">
          <w:rPr>
            <w:rStyle w:val="Hyperlink"/>
            <w:rFonts w:ascii="Times New Roman" w:hAnsi="Times New Roman"/>
            <w:color w:val="642A8F"/>
            <w:kern w:val="24"/>
            <w:sz w:val="20"/>
            <w:szCs w:val="20"/>
          </w:rPr>
          <w:t xml:space="preserve">Google Scholar </w:t>
        </w:r>
      </w:hyperlink>
      <w:r w:rsidRPr="00A729F7">
        <w:rPr>
          <w:rFonts w:ascii="Times New Roman" w:hAnsi="Times New Roman" w:cs="Times New Roman"/>
          <w:color w:val="000000"/>
          <w:kern w:val="24"/>
          <w:sz w:val="20"/>
          <w:szCs w:val="20"/>
        </w:rPr>
        <w:t>]</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374. Shah FD, Begum R, Vajaria BN, et al. A review on salivary genomics and proteomics biomarkers in oral cancer. Indian J Clin Biochem. 2011;26(4):326–334. [</w:t>
      </w:r>
      <w:hyperlink r:id="rId578" w:history="1">
        <w:r w:rsidRPr="00A729F7">
          <w:rPr>
            <w:rStyle w:val="Hyperlink"/>
            <w:rFonts w:ascii="Times New Roman" w:hAnsi="Times New Roman"/>
            <w:color w:val="642A8F"/>
            <w:kern w:val="24"/>
            <w:sz w:val="20"/>
            <w:szCs w:val="20"/>
          </w:rPr>
          <w:t>PMC free article</w:t>
        </w:r>
      </w:hyperlink>
      <w:r w:rsidRPr="00A729F7">
        <w:rPr>
          <w:rFonts w:ascii="Times New Roman" w:hAnsi="Times New Roman" w:cs="Times New Roman"/>
          <w:color w:val="000000"/>
          <w:kern w:val="24"/>
          <w:sz w:val="20"/>
          <w:szCs w:val="20"/>
        </w:rPr>
        <w:t>] [</w:t>
      </w:r>
      <w:hyperlink r:id="rId579" w:history="1">
        <w:r w:rsidRPr="00A729F7">
          <w:rPr>
            <w:rStyle w:val="Hyperlink"/>
            <w:rFonts w:ascii="Times New Roman" w:hAnsi="Times New Roman"/>
            <w:color w:val="642A8F"/>
            <w:kern w:val="24"/>
            <w:sz w:val="20"/>
            <w:szCs w:val="20"/>
          </w:rPr>
          <w:t>PubMed</w:t>
        </w:r>
      </w:hyperlink>
      <w:r w:rsidRPr="00A729F7">
        <w:rPr>
          <w:rFonts w:ascii="Times New Roman" w:hAnsi="Times New Roman" w:cs="Times New Roman"/>
          <w:color w:val="000000"/>
          <w:kern w:val="24"/>
          <w:sz w:val="20"/>
          <w:szCs w:val="20"/>
        </w:rPr>
        <w:t>] [</w:t>
      </w:r>
      <w:hyperlink r:id="rId580" w:history="1">
        <w:r w:rsidRPr="00A729F7">
          <w:rPr>
            <w:rStyle w:val="Hyperlink"/>
            <w:rFonts w:ascii="Times New Roman" w:hAnsi="Times New Roman"/>
            <w:color w:val="642A8F"/>
            <w:kern w:val="24"/>
            <w:sz w:val="20"/>
            <w:szCs w:val="20"/>
          </w:rPr>
          <w:t>Google Scholar</w:t>
        </w:r>
      </w:hyperlink>
      <w:r w:rsidRPr="00A729F7">
        <w:rPr>
          <w:rFonts w:ascii="Times New Roman" w:hAnsi="Times New Roman" w:cs="Times New Roman"/>
          <w:color w:val="000000"/>
          <w:kern w:val="24"/>
          <w:sz w:val="20"/>
          <w:szCs w:val="20"/>
        </w:rPr>
        <w:t>]</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375. Yoshizawa, J.M.; Schafer, C.A.; Schafer, J.J.; Farrell, J.J.; Paster, B.J.; Wong, D.T. Salivary biomarkers: Toward future clinical and diagnostic utilities. Clin. Microbiol. Rev. 2013, 26, 781–791. [CrossRef] [PubMed]</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376. St John MA, Li Y, Zhou X, et al. Interleukin 6 and interleukin 8 as potential biomarkers for oral cavity and oropharyngeal squamous cell carcinoma. Arch Otolaryngol Head Neck Surg. 2004;130(8):929–935. [</w:t>
      </w:r>
      <w:hyperlink r:id="rId581" w:history="1">
        <w:r w:rsidRPr="00A729F7">
          <w:rPr>
            <w:rFonts w:ascii="Times New Roman" w:hAnsi="Times New Roman" w:cs="Times New Roman"/>
            <w:color w:val="4F81BD"/>
            <w:kern w:val="24"/>
            <w:sz w:val="20"/>
            <w:szCs w:val="20"/>
            <w:u w:val="single"/>
          </w:rPr>
          <w:t>PubMed</w:t>
        </w:r>
      </w:hyperlink>
      <w:r w:rsidRPr="00A729F7">
        <w:rPr>
          <w:rFonts w:ascii="Times New Roman" w:hAnsi="Times New Roman" w:cs="Times New Roman"/>
          <w:color w:val="000000"/>
          <w:kern w:val="24"/>
          <w:sz w:val="20"/>
          <w:szCs w:val="20"/>
        </w:rPr>
        <w:t>] [</w:t>
      </w:r>
      <w:hyperlink r:id="rId582" w:history="1">
        <w:r w:rsidRPr="00A729F7">
          <w:rPr>
            <w:rFonts w:ascii="Times New Roman" w:hAnsi="Times New Roman" w:cs="Times New Roman"/>
            <w:color w:val="4F81BD"/>
            <w:kern w:val="24"/>
            <w:sz w:val="20"/>
            <w:szCs w:val="20"/>
            <w:u w:val="single"/>
          </w:rPr>
          <w:t>Google Scholar</w:t>
        </w:r>
      </w:hyperlink>
      <w:r w:rsidRPr="00A729F7">
        <w:rPr>
          <w:rFonts w:ascii="Times New Roman" w:hAnsi="Times New Roman" w:cs="Times New Roman"/>
          <w:color w:val="000000"/>
          <w:kern w:val="24"/>
          <w:sz w:val="20"/>
          <w:szCs w:val="20"/>
        </w:rPr>
        <w:t>]</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color w:val="000000"/>
          <w:kern w:val="24"/>
          <w:sz w:val="20"/>
          <w:szCs w:val="20"/>
        </w:rPr>
        <w:t>377. Cheng Y-SL, Rees T, Wright J. A review of research on salivary biomarkers for oral cancer detection. Clin Transl Med. 2014;3:3–3.[</w:t>
      </w:r>
      <w:hyperlink r:id="rId583" w:history="1">
        <w:r w:rsidRPr="00A729F7">
          <w:rPr>
            <w:rFonts w:ascii="Times New Roman" w:hAnsi="Times New Roman" w:cs="Times New Roman"/>
            <w:color w:val="4F81BD"/>
            <w:kern w:val="24"/>
            <w:sz w:val="20"/>
            <w:szCs w:val="20"/>
            <w:u w:val="single"/>
          </w:rPr>
          <w:t>PMC free article</w:t>
        </w:r>
      </w:hyperlink>
      <w:r w:rsidRPr="00A729F7">
        <w:rPr>
          <w:rFonts w:ascii="Times New Roman" w:hAnsi="Times New Roman" w:cs="Times New Roman"/>
          <w:color w:val="000000"/>
          <w:kern w:val="24"/>
          <w:sz w:val="20"/>
          <w:szCs w:val="20"/>
        </w:rPr>
        <w:t>] [</w:t>
      </w:r>
      <w:hyperlink r:id="rId584" w:history="1">
        <w:r w:rsidRPr="00A729F7">
          <w:rPr>
            <w:rFonts w:ascii="Times New Roman" w:hAnsi="Times New Roman" w:cs="Times New Roman"/>
            <w:color w:val="4F81BD"/>
            <w:kern w:val="24"/>
            <w:sz w:val="20"/>
            <w:szCs w:val="20"/>
            <w:u w:val="single"/>
          </w:rPr>
          <w:t>PubMed</w:t>
        </w:r>
      </w:hyperlink>
      <w:r w:rsidRPr="00A729F7">
        <w:rPr>
          <w:rFonts w:ascii="Times New Roman" w:hAnsi="Times New Roman" w:cs="Times New Roman"/>
          <w:color w:val="000000"/>
          <w:kern w:val="24"/>
          <w:sz w:val="20"/>
          <w:szCs w:val="20"/>
        </w:rPr>
        <w:t>] [</w:t>
      </w:r>
      <w:hyperlink r:id="rId585" w:history="1">
        <w:r w:rsidRPr="00A729F7">
          <w:rPr>
            <w:rFonts w:ascii="Times New Roman" w:hAnsi="Times New Roman" w:cs="Times New Roman"/>
            <w:color w:val="4F81BD"/>
            <w:kern w:val="24"/>
            <w:sz w:val="20"/>
            <w:szCs w:val="20"/>
            <w:u w:val="single"/>
          </w:rPr>
          <w:t>Google Scholar</w:t>
        </w:r>
      </w:hyperlink>
      <w:r w:rsidRPr="00A729F7">
        <w:rPr>
          <w:rFonts w:ascii="Times New Roman" w:hAnsi="Times New Roman" w:cs="Times New Roman"/>
          <w:color w:val="000000"/>
          <w:kern w:val="24"/>
          <w:sz w:val="20"/>
          <w:szCs w:val="20"/>
        </w:rPr>
        <w:t>]</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color w:val="000000"/>
          <w:kern w:val="24"/>
          <w:sz w:val="20"/>
          <w:szCs w:val="20"/>
        </w:rPr>
        <w:t>378. Castanon-Cervantes O, Wu M, Ehlen JC, et al. Dysregulation of inflammatory responses by chronic circadian disruption. J Immunol. 2010;185(10):5796–5805. [</w:t>
      </w:r>
      <w:hyperlink r:id="rId586" w:history="1">
        <w:r w:rsidRPr="00A729F7">
          <w:rPr>
            <w:rFonts w:ascii="Times New Roman" w:hAnsi="Times New Roman" w:cs="Times New Roman"/>
            <w:color w:val="4F81BD"/>
            <w:kern w:val="24"/>
            <w:sz w:val="20"/>
            <w:szCs w:val="20"/>
            <w:u w:val="single"/>
          </w:rPr>
          <w:t>PMC free article</w:t>
        </w:r>
      </w:hyperlink>
      <w:r w:rsidRPr="00A729F7">
        <w:rPr>
          <w:rFonts w:ascii="Times New Roman" w:hAnsi="Times New Roman" w:cs="Times New Roman"/>
          <w:color w:val="000000"/>
          <w:kern w:val="24"/>
          <w:sz w:val="20"/>
          <w:szCs w:val="20"/>
        </w:rPr>
        <w:t>] [</w:t>
      </w:r>
      <w:hyperlink r:id="rId587" w:history="1">
        <w:r w:rsidRPr="00A729F7">
          <w:rPr>
            <w:rFonts w:ascii="Times New Roman" w:hAnsi="Times New Roman" w:cs="Times New Roman"/>
            <w:color w:val="4F81BD"/>
            <w:kern w:val="24"/>
            <w:sz w:val="20"/>
            <w:szCs w:val="20"/>
            <w:u w:val="single"/>
          </w:rPr>
          <w:t>PubMed</w:t>
        </w:r>
      </w:hyperlink>
      <w:r w:rsidRPr="00A729F7">
        <w:rPr>
          <w:rFonts w:ascii="Times New Roman" w:hAnsi="Times New Roman" w:cs="Times New Roman"/>
          <w:color w:val="000000"/>
          <w:kern w:val="24"/>
          <w:sz w:val="20"/>
          <w:szCs w:val="20"/>
        </w:rPr>
        <w:t>] [</w:t>
      </w:r>
      <w:hyperlink r:id="rId588" w:history="1">
        <w:r w:rsidRPr="00A729F7">
          <w:rPr>
            <w:rFonts w:ascii="Times New Roman" w:hAnsi="Times New Roman" w:cs="Times New Roman"/>
            <w:color w:val="4F81BD"/>
            <w:kern w:val="24"/>
            <w:sz w:val="20"/>
            <w:szCs w:val="20"/>
            <w:u w:val="single"/>
          </w:rPr>
          <w:t xml:space="preserve">Google </w:t>
        </w:r>
      </w:hyperlink>
      <w:hyperlink r:id="rId589" w:history="1">
        <w:r w:rsidRPr="00A729F7">
          <w:rPr>
            <w:rFonts w:ascii="Times New Roman" w:hAnsi="Times New Roman" w:cs="Times New Roman"/>
            <w:color w:val="4F81BD"/>
            <w:kern w:val="24"/>
            <w:sz w:val="20"/>
            <w:szCs w:val="20"/>
            <w:u w:val="single"/>
          </w:rPr>
          <w:t>Scholar</w:t>
        </w:r>
      </w:hyperlink>
      <w:r w:rsidRPr="00A729F7">
        <w:rPr>
          <w:rFonts w:ascii="Times New Roman" w:hAnsi="Times New Roman" w:cs="Times New Roman"/>
          <w:color w:val="000000"/>
          <w:kern w:val="24"/>
          <w:sz w:val="20"/>
          <w:szCs w:val="20"/>
        </w:rPr>
        <w:t>]</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379. Jasim, H.; Olausson, P.; Hedenberg-Magnusson, B.; Ernberg, M.; Ghafouri, B. The proteomic profile of whole and glandular saliva in healthy pain-free subjects. Sci. Rep. 2016, 6, 39073. [CrossRef] [PubMed]</w:t>
      </w:r>
    </w:p>
    <w:p w:rsidR="00A729F7" w:rsidRPr="00A729F7" w:rsidRDefault="00A729F7" w:rsidP="00A729F7">
      <w:pPr>
        <w:spacing w:line="360" w:lineRule="auto"/>
        <w:rPr>
          <w:rFonts w:ascii="Times New Roman" w:hAnsi="Times New Roman" w:cs="Times New Roman"/>
          <w:sz w:val="20"/>
          <w:szCs w:val="20"/>
          <w:lang w:val="en-US"/>
        </w:rPr>
      </w:pPr>
      <w:r w:rsidRPr="00A729F7">
        <w:rPr>
          <w:rFonts w:ascii="Times New Roman" w:hAnsi="Times New Roman" w:cs="Times New Roman"/>
          <w:sz w:val="20"/>
          <w:szCs w:val="20"/>
        </w:rPr>
        <w:lastRenderedPageBreak/>
        <w:t>380. Panta, P.; Wong, D.T.W. Salivary Biomarkers in Oral Cancer; Springer: Cham, Switzerland, 2019. [CrossRef]</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 xml:space="preserve">381. Katsiougiannis, S.; Wong, D.T.W. The Proteomics of Saliva in Sjögren’s Syndrome. Rheum. Dis. Clin. N. Am. 2016, 42, 449–456. [CrossRef] </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sz w:val="20"/>
          <w:szCs w:val="20"/>
        </w:rPr>
        <w:t xml:space="preserve">382. Castaldo, A.; Iacotucci, P.; Carnovale, V.; Cimino, R.; Liguori, R.; Comegna, M.; Raia, V.; Corso, G.; Castaldo, G.; Gelzo, M. Salivary Cytokines and Airways Disease Severity in Patients with Cystic Fibrosis. Diagnostics 2020, 10, 222. [CrossRef] </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 xml:space="preserve">383. Kosaka, T.; Kokubo, Y.; Ono, T.; Sekine, S.; Kida, M.; Kikui, M.; Yamamoto, M.; Watanabe, M.; Amano, A.; Maeda, Y.; et al. Salivary inflammatory cytokines may be novel markers of carotid atherosclerosis in a Japanese general population: The Suita study. Atherosclerosis 2014, 237, 123–128. [CrossRef] </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 xml:space="preserve">384. Koizumi, T.; Shetty, V.; Yamaguchi, M. Salivary cytokine panel indicative of non-small cell lung cancer. J. Int. Med. Res. 2018, 46, 3570–3582. [CrossRef]  </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 xml:space="preserve">385. Morgan, E.; Varro, R.; Sepulveda, H.; Ember, J.A.; Apgar, J.; Wilson, J.; Lowe, L.; Chen, R.; Shivraj, L.; Agadir, A.; et al. Cytometric bead array: A multiplexed assay platform with applications in various areas of biology. Clin. Immunol. 2004, 110, 252–266. [CrossRef] </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sz w:val="20"/>
          <w:szCs w:val="20"/>
        </w:rPr>
        <w:t>386. Zhang, J.M.; An, J. Cytokines, Inflammation and Pain. Int. Anesth. Clin. 2007, 45, 27–37. [CrossRef]</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 xml:space="preserve">387. Giusti, L.; Baldini, C.; Bazzichi, L.; Bombardieri, S.; Lucacchini, A. Proteomic diagnosis of Sjogren’s syndrome. Expert Rev. Proteom. 2007, 4, 757–767. [CrossRef] </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sz w:val="20"/>
          <w:szCs w:val="20"/>
        </w:rPr>
        <w:t>388. Denny, P.; Hagen, F.K.; Hardt, M.; Liao, L.; Yan, W.; Arellanno, M.; Bassilian, S.; Bedi, G.S.; Boontheung, P.; Cociorva, D.; et al. The proteomes of human parotid and submandibular/sublingual gland salivas collected as the ductal secretions. J. Proteome Res. 2008, 7, 1994–2006. [CrossRef]</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sz w:val="20"/>
          <w:szCs w:val="20"/>
        </w:rPr>
        <w:t>389. Ohyama, K.; Moriyama, M.; Hayashida, J.N.; Tanaka, A.; Maehara, T.; Ieda, S.; Furukawa, S.; Ohta, M.; Imabayashi, Y.; Nakamura, S. Saliva as a potential tool for diagnosis of dry mouth including Sjogren’s syndrome. Oral Dis. 2015, 21, 224–231. [CrossRef] [PubMed]</w:t>
      </w:r>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color w:val="000000"/>
          <w:kern w:val="24"/>
          <w:sz w:val="20"/>
          <w:szCs w:val="20"/>
        </w:rPr>
        <w:t>390</w:t>
      </w:r>
      <w:r w:rsidRPr="00A729F7">
        <w:rPr>
          <w:rFonts w:ascii="Times New Roman" w:hAnsi="Times New Roman" w:cs="Times New Roman"/>
          <w:sz w:val="20"/>
          <w:szCs w:val="20"/>
        </w:rPr>
        <w:t xml:space="preserve">. Narasimhan Malathi, Sabesan Mythili and Hannah R. Vasanthi, Salivary Diagnostics: A Brief Review, ISRN Dent. 2014; 2014: 158786. doi: </w:t>
      </w:r>
      <w:hyperlink r:id="rId590" w:tgtFrame="pmc_ext" w:history="1">
        <w:r w:rsidRPr="00A729F7">
          <w:rPr>
            <w:rStyle w:val="Hyperlink"/>
            <w:rFonts w:ascii="Times New Roman" w:hAnsi="Times New Roman"/>
            <w:sz w:val="20"/>
            <w:szCs w:val="20"/>
          </w:rPr>
          <w:t>10.1155/2014/158786</w:t>
        </w:r>
      </w:hyperlink>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color w:val="000000"/>
          <w:kern w:val="24"/>
          <w:sz w:val="20"/>
          <w:szCs w:val="20"/>
        </w:rPr>
        <w:t>391</w:t>
      </w:r>
      <w:r w:rsidRPr="00A729F7">
        <w:rPr>
          <w:rFonts w:ascii="Times New Roman" w:hAnsi="Times New Roman" w:cs="Times New Roman"/>
          <w:sz w:val="20"/>
          <w:szCs w:val="20"/>
        </w:rPr>
        <w:t>. Adi Idris, Nur B Ghazali, and David Koh, Interleukin 1β—A Potential Salivary Biomarker for Cancer Progression?, Biomark Cancer 2015; 7: 25–29, doi:</w:t>
      </w:r>
      <w:hyperlink r:id="rId591" w:tgtFrame="pmc_ext" w:history="1">
        <w:r w:rsidRPr="00A729F7">
          <w:rPr>
            <w:rStyle w:val="Hyperlink"/>
            <w:rFonts w:ascii="Times New Roman" w:hAnsi="Times New Roman"/>
            <w:sz w:val="20"/>
            <w:szCs w:val="20"/>
          </w:rPr>
          <w:t>10.4137/BIC.S25375</w:t>
        </w:r>
      </w:hyperlink>
    </w:p>
    <w:p w:rsidR="00A729F7" w:rsidRPr="00A729F7" w:rsidRDefault="00A729F7" w:rsidP="00A729F7">
      <w:pPr>
        <w:spacing w:line="360" w:lineRule="auto"/>
        <w:rPr>
          <w:rFonts w:ascii="Times New Roman" w:hAnsi="Times New Roman" w:cs="Times New Roman"/>
          <w:color w:val="000000"/>
          <w:kern w:val="24"/>
          <w:sz w:val="20"/>
          <w:szCs w:val="20"/>
          <w:lang w:val="en-US"/>
        </w:rPr>
      </w:pPr>
      <w:r w:rsidRPr="00A729F7">
        <w:rPr>
          <w:rFonts w:ascii="Times New Roman" w:hAnsi="Times New Roman" w:cs="Times New Roman"/>
          <w:color w:val="000000"/>
          <w:kern w:val="24"/>
          <w:sz w:val="20"/>
          <w:szCs w:val="20"/>
        </w:rPr>
        <w:t xml:space="preserve">392. Mirco Schapher, Olaf Wendler, Michael Gröschl, Renate Schäfer, Heinrich Iro, Johannes Zenk, Salivary Leptin as a Candidate Diagnostic Marker in Salivary Gland Tumors, Clinical Chemistry, Volume 55, Issue 5, 1 May 2009, Pages 914–922, </w:t>
      </w:r>
      <w:hyperlink r:id="rId592" w:history="1">
        <w:r w:rsidRPr="00A729F7">
          <w:rPr>
            <w:rStyle w:val="Hyperlink"/>
            <w:rFonts w:ascii="Times New Roman" w:hAnsi="Times New Roman"/>
            <w:kern w:val="24"/>
            <w:sz w:val="20"/>
            <w:szCs w:val="20"/>
          </w:rPr>
          <w:t>https://doi.org/10.1373/clinchem.2008.116939</w:t>
        </w:r>
      </w:hyperlink>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393. Błochowiak K, Sokalski J, Golusińska E, Trzybulska D, Witmanowski H, Bodnar M,Marszałek A, Salivary levels and immunohistochemical expression of selected angiogenic factors in benign and malignant parotid gland tumours,</w:t>
      </w:r>
      <w:r w:rsidRPr="00A729F7">
        <w:rPr>
          <w:rFonts w:ascii="Times New Roman" w:hAnsi="Times New Roman" w:cs="Times New Roman"/>
          <w:color w:val="000000"/>
          <w:kern w:val="24"/>
          <w:sz w:val="20"/>
          <w:szCs w:val="20"/>
          <w:lang w:val="pt-BR"/>
        </w:rPr>
        <w:t>Clin Oral Investig. 2019 Mar;23(3):995-1006. doi: 10.1007/s00784-018-2524-9</w:t>
      </w:r>
    </w:p>
    <w:p w:rsidR="00A729F7" w:rsidRPr="00A729F7" w:rsidRDefault="00A729F7" w:rsidP="00A729F7">
      <w:pPr>
        <w:spacing w:line="360" w:lineRule="auto"/>
        <w:rPr>
          <w:rFonts w:ascii="Times New Roman" w:hAnsi="Times New Roman" w:cs="Times New Roman"/>
          <w:color w:val="000000"/>
          <w:kern w:val="24"/>
          <w:sz w:val="20"/>
          <w:szCs w:val="20"/>
        </w:rPr>
      </w:pPr>
      <w:r w:rsidRPr="00A729F7">
        <w:rPr>
          <w:rFonts w:ascii="Times New Roman" w:hAnsi="Times New Roman" w:cs="Times New Roman"/>
          <w:color w:val="000000"/>
          <w:kern w:val="24"/>
          <w:sz w:val="20"/>
          <w:szCs w:val="20"/>
        </w:rPr>
        <w:t>394</w:t>
      </w:r>
      <w:r w:rsidRPr="00A729F7">
        <w:rPr>
          <w:rFonts w:ascii="Times New Roman" w:hAnsi="Times New Roman" w:cs="Times New Roman"/>
          <w:sz w:val="20"/>
          <w:szCs w:val="20"/>
        </w:rPr>
        <w:t>. Xiangbing Wu, Jun Yu,Guilin Gao,Xin Wang,Yang Liu,Shengrong Zhu and Zhongjian Gong ,Salivary Heparanase Level Is a Potential Biomarker to Diagnose and Prognose the Malignant Salivary Gland Tumor, PLoS One2015; 10(11): e0143009. doi:</w:t>
      </w:r>
      <w:hyperlink r:id="rId593" w:tgtFrame="pmc_ext" w:history="1">
        <w:r w:rsidRPr="00A729F7">
          <w:rPr>
            <w:rStyle w:val="Hyperlink"/>
            <w:rFonts w:ascii="Times New Roman" w:hAnsi="Times New Roman"/>
            <w:sz w:val="20"/>
            <w:szCs w:val="20"/>
          </w:rPr>
          <w:t>10.1371/journal.pone.0143009</w:t>
        </w:r>
      </w:hyperlink>
    </w:p>
    <w:p w:rsidR="00A729F7" w:rsidRPr="00A729F7" w:rsidRDefault="00A729F7" w:rsidP="00A729F7">
      <w:pPr>
        <w:spacing w:line="360" w:lineRule="auto"/>
        <w:rPr>
          <w:rFonts w:ascii="Times New Roman" w:hAnsi="Times New Roman" w:cs="Times New Roman"/>
          <w:sz w:val="20"/>
          <w:szCs w:val="20"/>
          <w:lang w:val="de-DE"/>
        </w:rPr>
      </w:pPr>
      <w:r w:rsidRPr="00A729F7">
        <w:rPr>
          <w:rFonts w:ascii="Times New Roman" w:hAnsi="Times New Roman" w:cs="Times New Roman"/>
          <w:sz w:val="20"/>
          <w:szCs w:val="20"/>
        </w:rPr>
        <w:t>422</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Mübeccel Akdis, MD, PhD</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 xml:space="preserve"> Alar Aab, MSc</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Can Altunbulakli, MSc</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Oliver F. Wirz, MSc</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Josefina Sierra Zakzuk, MD</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Cezmi A. Akdis, MD</w:t>
      </w:r>
      <w:r w:rsidRPr="00A729F7">
        <w:rPr>
          <w:rFonts w:ascii="Times New Roman" w:hAnsi="Times New Roman" w:cs="Times New Roman"/>
          <w:sz w:val="20"/>
          <w:szCs w:val="20"/>
          <w:lang w:val="de-DE"/>
        </w:rPr>
        <w:t xml:space="preserve">, </w:t>
      </w:r>
      <w:r w:rsidRPr="00A729F7">
        <w:rPr>
          <w:rFonts w:ascii="Times New Roman" w:hAnsi="Times New Roman" w:cs="Times New Roman"/>
          <w:sz w:val="20"/>
          <w:szCs w:val="20"/>
        </w:rPr>
        <w:t xml:space="preserve">Interleukins (from IL-1 to IL-38), interferons, transforming growth factor β, </w:t>
      </w:r>
      <w:r w:rsidRPr="00A729F7">
        <w:rPr>
          <w:rFonts w:ascii="Times New Roman" w:hAnsi="Times New Roman" w:cs="Times New Roman"/>
          <w:sz w:val="20"/>
          <w:szCs w:val="20"/>
        </w:rPr>
        <w:lastRenderedPageBreak/>
        <w:t>and TNF-α: Receptors, functions, and roles in diseases</w:t>
      </w:r>
      <w:r w:rsidRPr="00A729F7">
        <w:rPr>
          <w:rFonts w:ascii="Times New Roman" w:hAnsi="Times New Roman" w:cs="Times New Roman"/>
          <w:sz w:val="20"/>
          <w:szCs w:val="20"/>
          <w:lang w:val="de-DE"/>
        </w:rPr>
        <w:t>, VOLUME 138, ISSUE 4, DOI:https://doi.org/10.1016/j.jaci.2016.06.033</w:t>
      </w:r>
    </w:p>
    <w:p w:rsidR="00A729F7" w:rsidRPr="00A729F7" w:rsidRDefault="00A729F7" w:rsidP="00A729F7">
      <w:pPr>
        <w:spacing w:line="360" w:lineRule="auto"/>
        <w:rPr>
          <w:rStyle w:val="identifier"/>
          <w:rFonts w:ascii="Times New Roman" w:hAnsi="Times New Roman" w:cs="Times New Roman"/>
          <w:color w:val="212121"/>
          <w:sz w:val="20"/>
          <w:szCs w:val="20"/>
        </w:rPr>
      </w:pPr>
      <w:r w:rsidRPr="00A729F7">
        <w:rPr>
          <w:rFonts w:ascii="Times New Roman" w:hAnsi="Times New Roman" w:cs="Times New Roman"/>
          <w:sz w:val="20"/>
          <w:szCs w:val="20"/>
        </w:rPr>
        <w:t>423</w:t>
      </w:r>
      <w:r w:rsidRPr="00A729F7">
        <w:rPr>
          <w:rFonts w:ascii="Times New Roman" w:hAnsi="Times New Roman" w:cs="Times New Roman"/>
          <w:sz w:val="20"/>
          <w:szCs w:val="20"/>
          <w:lang w:val="de-DE"/>
        </w:rPr>
        <w:t>. Tumor related interleukins: old validated targets for new anti-cancer drug development, Sarra Setrerrahmane &amp; Hanmei Xu,</w:t>
      </w:r>
      <w:r w:rsidRPr="00A729F7">
        <w:rPr>
          <w:rFonts w:ascii="Times New Roman" w:hAnsi="Times New Roman" w:cs="Times New Roman"/>
          <w:color w:val="5B616B"/>
          <w:sz w:val="20"/>
          <w:szCs w:val="20"/>
        </w:rPr>
        <w:t xml:space="preserve"> </w:t>
      </w:r>
      <w:r w:rsidRPr="00A729F7">
        <w:rPr>
          <w:rFonts w:ascii="Times New Roman" w:hAnsi="Times New Roman" w:cs="Times New Roman"/>
          <w:color w:val="000000"/>
          <w:sz w:val="20"/>
          <w:szCs w:val="20"/>
        </w:rPr>
        <w:t>Mol Cancer. 2017 Sep 19;16(1):153.,</w:t>
      </w:r>
      <w:r w:rsidRPr="00A729F7">
        <w:rPr>
          <w:rFonts w:ascii="Times New Roman" w:hAnsi="Times New Roman" w:cs="Times New Roman"/>
          <w:sz w:val="20"/>
          <w:szCs w:val="20"/>
          <w:lang w:val="de-DE"/>
        </w:rPr>
        <w:t xml:space="preserve"> </w:t>
      </w:r>
      <w:r w:rsidRPr="00A729F7">
        <w:rPr>
          <w:rStyle w:val="id-label"/>
          <w:rFonts w:ascii="Times New Roman" w:hAnsi="Times New Roman" w:cs="Times New Roman"/>
          <w:color w:val="212121"/>
          <w:sz w:val="20"/>
          <w:szCs w:val="20"/>
        </w:rPr>
        <w:t>DOI: </w:t>
      </w:r>
      <w:hyperlink r:id="rId594" w:tgtFrame="_blank" w:history="1">
        <w:r w:rsidRPr="00A729F7">
          <w:rPr>
            <w:rStyle w:val="Hyperlink"/>
            <w:rFonts w:ascii="Times New Roman" w:hAnsi="Times New Roman"/>
            <w:color w:val="0071BC"/>
            <w:sz w:val="20"/>
            <w:szCs w:val="20"/>
          </w:rPr>
          <w:t>10.1186/s12943-017-0721-9</w:t>
        </w:r>
      </w:hyperlink>
    </w:p>
    <w:p w:rsidR="00A729F7" w:rsidRPr="00A729F7" w:rsidRDefault="00A729F7" w:rsidP="00A729F7">
      <w:pPr>
        <w:spacing w:line="360" w:lineRule="auto"/>
        <w:rPr>
          <w:rFonts w:ascii="Times New Roman" w:hAnsi="Times New Roman" w:cs="Times New Roman"/>
          <w:sz w:val="20"/>
          <w:szCs w:val="20"/>
        </w:rPr>
      </w:pPr>
      <w:r w:rsidRPr="00A729F7">
        <w:rPr>
          <w:rStyle w:val="HTMLCite"/>
          <w:rFonts w:ascii="Times New Roman" w:hAnsi="Times New Roman"/>
          <w:i w:val="0"/>
          <w:iCs w:val="0"/>
          <w:color w:val="000000"/>
          <w:sz w:val="20"/>
          <w:szCs w:val="20"/>
          <w:bdr w:val="none" w:sz="0" w:space="0" w:color="auto" w:frame="1"/>
        </w:rPr>
        <w:t>424</w:t>
      </w:r>
      <w:r w:rsidRPr="00A729F7">
        <w:rPr>
          <w:rStyle w:val="HTMLCite"/>
          <w:rFonts w:ascii="Times New Roman" w:hAnsi="Times New Roman"/>
          <w:i w:val="0"/>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lang w:val="en-US"/>
        </w:rPr>
        <w:t xml:space="preserve"> </w:t>
      </w:r>
      <w:r w:rsidRPr="00A729F7">
        <w:rPr>
          <w:rStyle w:val="HTMLCite"/>
          <w:rFonts w:ascii="Times New Roman" w:hAnsi="Times New Roman"/>
          <w:i w:val="0"/>
          <w:color w:val="000000"/>
          <w:sz w:val="20"/>
          <w:szCs w:val="20"/>
          <w:bdr w:val="none" w:sz="0" w:space="0" w:color="auto" w:frame="1"/>
        </w:rPr>
        <w:t>Harrington, L. E., R. D. Hatton, P. R. Mangan, H. Turner, T. L. Murphy, K. M. Murphy, C. T. Weaver. </w:t>
      </w:r>
      <w:r w:rsidRPr="00A729F7">
        <w:rPr>
          <w:rStyle w:val="cit-pub-date"/>
          <w:rFonts w:ascii="Times New Roman" w:hAnsi="Times New Roman" w:cs="Times New Roman"/>
          <w:color w:val="000000"/>
          <w:sz w:val="20"/>
          <w:szCs w:val="20"/>
          <w:bdr w:val="none" w:sz="0" w:space="0" w:color="auto" w:frame="1"/>
        </w:rPr>
        <w:t>2005</w:t>
      </w:r>
      <w:r w:rsidRPr="00A729F7">
        <w:rPr>
          <w:rStyle w:val="HTMLCite"/>
          <w:rFonts w:ascii="Times New Roman" w:hAnsi="Times New Roman"/>
          <w:i w:val="0"/>
          <w:color w:val="000000"/>
          <w:sz w:val="20"/>
          <w:szCs w:val="20"/>
          <w:bdr w:val="none" w:sz="0" w:space="0" w:color="auto" w:frame="1"/>
        </w:rPr>
        <w:t>. Interleukin 17-producing CD4</w:t>
      </w:r>
      <w:r w:rsidRPr="00A729F7">
        <w:rPr>
          <w:rStyle w:val="HTMLCite"/>
          <w:rFonts w:ascii="Times New Roman" w:hAnsi="Times New Roman"/>
          <w:i w:val="0"/>
          <w:color w:val="000000"/>
          <w:sz w:val="20"/>
          <w:szCs w:val="20"/>
          <w:bdr w:val="none" w:sz="0" w:space="0" w:color="auto" w:frame="1"/>
          <w:vertAlign w:val="superscript"/>
        </w:rPr>
        <w:t>+</w:t>
      </w:r>
      <w:r w:rsidRPr="00A729F7">
        <w:rPr>
          <w:rStyle w:val="HTMLCite"/>
          <w:rFonts w:ascii="Times New Roman" w:hAnsi="Times New Roman"/>
          <w:i w:val="0"/>
          <w:color w:val="000000"/>
          <w:sz w:val="20"/>
          <w:szCs w:val="20"/>
          <w:bdr w:val="none" w:sz="0" w:space="0" w:color="auto" w:frame="1"/>
        </w:rPr>
        <w:t> effector T cells develop via a lineage distinct from the T helper type 1 and 2 lineages. </w:t>
      </w:r>
      <w:r w:rsidRPr="00A729F7">
        <w:rPr>
          <w:rStyle w:val="cit-source"/>
          <w:rFonts w:ascii="Times New Roman" w:hAnsi="Times New Roman" w:cs="Times New Roman"/>
          <w:color w:val="000000"/>
          <w:sz w:val="20"/>
          <w:szCs w:val="20"/>
          <w:bdr w:val="none" w:sz="0" w:space="0" w:color="auto" w:frame="1"/>
        </w:rPr>
        <w:t>Nat. Immunol.</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
          <w:bCs/>
          <w:color w:val="000000"/>
          <w:sz w:val="20"/>
          <w:szCs w:val="20"/>
          <w:bdr w:val="none" w:sz="0" w:space="0" w:color="auto" w:frame="1"/>
        </w:rPr>
        <w:t>6</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1123</w:t>
      </w:r>
      <w:r w:rsidRPr="00A729F7">
        <w:rPr>
          <w:rStyle w:val="HTMLCite"/>
          <w:rFonts w:ascii="Times New Roman" w:hAnsi="Times New Roman"/>
          <w:i w:val="0"/>
          <w:color w:val="000000"/>
          <w:sz w:val="20"/>
          <w:szCs w:val="20"/>
          <w:bdr w:val="none" w:sz="0" w:space="0" w:color="auto" w:frame="1"/>
        </w:rPr>
        <w:t>-1132. </w:t>
      </w:r>
      <w:hyperlink r:id="rId595" w:history="1">
        <w:r w:rsidRPr="00A729F7">
          <w:rPr>
            <w:rStyle w:val="Hyperlink"/>
            <w:rFonts w:ascii="Times New Roman" w:hAnsi="Times New Roman"/>
            <w:bCs/>
            <w:color w:val="2A7191"/>
            <w:sz w:val="20"/>
            <w:szCs w:val="20"/>
            <w:bdr w:val="none" w:sz="0" w:space="0" w:color="auto" w:frame="1"/>
          </w:rPr>
          <w:t>CrossRef</w:t>
        </w:r>
      </w:hyperlink>
      <w:hyperlink r:id="rId596" w:history="1">
        <w:r w:rsidRPr="00A729F7">
          <w:rPr>
            <w:rStyle w:val="Hyperlink"/>
            <w:rFonts w:ascii="Times New Roman" w:hAnsi="Times New Roman"/>
            <w:bCs/>
            <w:color w:val="2A7191"/>
            <w:sz w:val="20"/>
            <w:szCs w:val="20"/>
            <w:bdr w:val="none" w:sz="0" w:space="0" w:color="auto" w:frame="1"/>
          </w:rPr>
          <w:t>PubMed</w:t>
        </w:r>
      </w:hyperlink>
      <w:hyperlink r:id="rId597"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color w:val="000000"/>
          <w:sz w:val="20"/>
          <w:szCs w:val="20"/>
        </w:rPr>
      </w:pPr>
      <w:r w:rsidRPr="00A729F7">
        <w:rPr>
          <w:rFonts w:ascii="Times New Roman" w:hAnsi="Times New Roman" w:cs="Times New Roman"/>
          <w:sz w:val="20"/>
          <w:szCs w:val="20"/>
        </w:rPr>
        <w:t>42</w:t>
      </w:r>
      <w:r w:rsidRPr="00A729F7">
        <w:rPr>
          <w:rFonts w:ascii="Times New Roman" w:hAnsi="Times New Roman" w:cs="Times New Roman"/>
          <w:sz w:val="20"/>
          <w:szCs w:val="20"/>
          <w:lang w:val="en-US"/>
        </w:rPr>
        <w:t>5</w:t>
      </w:r>
      <w:r w:rsidRPr="00A729F7">
        <w:rPr>
          <w:rStyle w:val="HTMLCite"/>
          <w:rFonts w:ascii="Times New Roman" w:hAnsi="Times New Roman"/>
          <w:i w:val="0"/>
          <w:color w:val="000000"/>
          <w:sz w:val="20"/>
          <w:szCs w:val="20"/>
          <w:bdr w:val="none" w:sz="0" w:space="0" w:color="auto" w:frame="1"/>
        </w:rPr>
        <w:t>. Park, H., Z. Li, X. O. Yang, S. H. Chang, R. Nurieva, Y. H. Wang, Y. Wang, L. Hood, Z. Zhu, Q. Tian, C. Dong. </w:t>
      </w:r>
      <w:r w:rsidRPr="00A729F7">
        <w:rPr>
          <w:rStyle w:val="cit-pub-date"/>
          <w:rFonts w:ascii="Times New Roman" w:hAnsi="Times New Roman" w:cs="Times New Roman"/>
          <w:color w:val="000000"/>
          <w:sz w:val="20"/>
          <w:szCs w:val="20"/>
          <w:bdr w:val="none" w:sz="0" w:space="0" w:color="auto" w:frame="1"/>
        </w:rPr>
        <w:t>2005</w:t>
      </w:r>
      <w:r w:rsidRPr="00A729F7">
        <w:rPr>
          <w:rStyle w:val="HTMLCite"/>
          <w:rFonts w:ascii="Times New Roman" w:hAnsi="Times New Roman"/>
          <w:i w:val="0"/>
          <w:color w:val="000000"/>
          <w:sz w:val="20"/>
          <w:szCs w:val="20"/>
          <w:bdr w:val="none" w:sz="0" w:space="0" w:color="auto" w:frame="1"/>
        </w:rPr>
        <w:t>. A distinct lineage of CD4 T cells regulates tissue inflammation by producing interleukin 17. </w:t>
      </w:r>
      <w:r w:rsidRPr="00A729F7">
        <w:rPr>
          <w:rStyle w:val="cit-source"/>
          <w:rFonts w:ascii="Times New Roman" w:hAnsi="Times New Roman" w:cs="Times New Roman"/>
          <w:color w:val="000000"/>
          <w:sz w:val="20"/>
          <w:szCs w:val="20"/>
          <w:bdr w:val="none" w:sz="0" w:space="0" w:color="auto" w:frame="1"/>
        </w:rPr>
        <w:t>Nat. Immunol.</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
          <w:bCs/>
          <w:color w:val="000000"/>
          <w:sz w:val="20"/>
          <w:szCs w:val="20"/>
          <w:bdr w:val="none" w:sz="0" w:space="0" w:color="auto" w:frame="1"/>
        </w:rPr>
        <w:t>6</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1133</w:t>
      </w:r>
      <w:r w:rsidRPr="00A729F7">
        <w:rPr>
          <w:rStyle w:val="HTMLCite"/>
          <w:rFonts w:ascii="Times New Roman" w:hAnsi="Times New Roman"/>
          <w:i w:val="0"/>
          <w:color w:val="000000"/>
          <w:sz w:val="20"/>
          <w:szCs w:val="20"/>
          <w:bdr w:val="none" w:sz="0" w:space="0" w:color="auto" w:frame="1"/>
        </w:rPr>
        <w:t>-1141. </w:t>
      </w:r>
      <w:hyperlink r:id="rId598" w:history="1">
        <w:r w:rsidRPr="00A729F7">
          <w:rPr>
            <w:rStyle w:val="Hyperlink"/>
            <w:rFonts w:ascii="Times New Roman" w:hAnsi="Times New Roman"/>
            <w:bCs/>
            <w:color w:val="2A7191"/>
            <w:sz w:val="20"/>
            <w:szCs w:val="20"/>
            <w:bdr w:val="none" w:sz="0" w:space="0" w:color="auto" w:frame="1"/>
          </w:rPr>
          <w:t>CrossRef</w:t>
        </w:r>
      </w:hyperlink>
      <w:hyperlink r:id="rId599" w:history="1">
        <w:r w:rsidRPr="00A729F7">
          <w:rPr>
            <w:rStyle w:val="Hyperlink"/>
            <w:rFonts w:ascii="Times New Roman" w:hAnsi="Times New Roman"/>
            <w:bCs/>
            <w:color w:val="2A7191"/>
            <w:sz w:val="20"/>
            <w:szCs w:val="20"/>
            <w:bdr w:val="none" w:sz="0" w:space="0" w:color="auto" w:frame="1"/>
          </w:rPr>
          <w:t>PubMed</w:t>
        </w:r>
      </w:hyperlink>
      <w:hyperlink r:id="rId600"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hd w:val="clear" w:color="auto" w:fill="FFFFFF"/>
        <w:spacing w:line="360" w:lineRule="auto"/>
        <w:textAlignment w:val="baseline"/>
        <w:rPr>
          <w:rFonts w:ascii="Times New Roman" w:hAnsi="Times New Roman" w:cs="Times New Roman"/>
          <w:color w:val="000000"/>
          <w:sz w:val="20"/>
          <w:szCs w:val="20"/>
        </w:rPr>
      </w:pPr>
      <w:r w:rsidRPr="00A729F7">
        <w:rPr>
          <w:rFonts w:ascii="Times New Roman" w:hAnsi="Times New Roman" w:cs="Times New Roman"/>
          <w:color w:val="000000"/>
          <w:sz w:val="20"/>
          <w:szCs w:val="20"/>
        </w:rPr>
        <w:t xml:space="preserve">426. </w:t>
      </w:r>
      <w:r w:rsidRPr="00A729F7">
        <w:rPr>
          <w:rStyle w:val="HTMLCite"/>
          <w:rFonts w:ascii="Times New Roman" w:hAnsi="Times New Roman"/>
          <w:i w:val="0"/>
          <w:color w:val="000000"/>
          <w:sz w:val="20"/>
          <w:szCs w:val="20"/>
          <w:bdr w:val="none" w:sz="0" w:space="0" w:color="auto" w:frame="1"/>
        </w:rPr>
        <w:t>Mangan, P. R., L. E. Harrington, D. B. O'Quinn, W. S. Helms, D. C. Bullard, C. O. Elson, R. D. Hatton, S. M. Wahl, T. R. Schoeb, C. T. Weaver. </w:t>
      </w:r>
      <w:r w:rsidRPr="00A729F7">
        <w:rPr>
          <w:rStyle w:val="cit-pub-date"/>
          <w:rFonts w:ascii="Times New Roman" w:hAnsi="Times New Roman" w:cs="Times New Roman"/>
          <w:color w:val="000000"/>
          <w:sz w:val="20"/>
          <w:szCs w:val="20"/>
          <w:bdr w:val="none" w:sz="0" w:space="0" w:color="auto" w:frame="1"/>
        </w:rPr>
        <w:t>2006</w:t>
      </w:r>
      <w:r w:rsidRPr="00A729F7">
        <w:rPr>
          <w:rStyle w:val="HTMLCite"/>
          <w:rFonts w:ascii="Times New Roman" w:hAnsi="Times New Roman"/>
          <w:i w:val="0"/>
          <w:color w:val="000000"/>
          <w:sz w:val="20"/>
          <w:szCs w:val="20"/>
          <w:bdr w:val="none" w:sz="0" w:space="0" w:color="auto" w:frame="1"/>
        </w:rPr>
        <w:t>. Transforming growth factor-β induces development of the T</w:t>
      </w:r>
      <w:r w:rsidRPr="00A729F7">
        <w:rPr>
          <w:rStyle w:val="HTMLCite"/>
          <w:rFonts w:ascii="Times New Roman" w:hAnsi="Times New Roman"/>
          <w:i w:val="0"/>
          <w:color w:val="000000"/>
          <w:sz w:val="20"/>
          <w:szCs w:val="20"/>
          <w:bdr w:val="none" w:sz="0" w:space="0" w:color="auto" w:frame="1"/>
          <w:vertAlign w:val="subscript"/>
        </w:rPr>
        <w:t>H</w:t>
      </w:r>
      <w:r w:rsidRPr="00A729F7">
        <w:rPr>
          <w:rStyle w:val="HTMLCite"/>
          <w:rFonts w:ascii="Times New Roman" w:hAnsi="Times New Roman"/>
          <w:i w:val="0"/>
          <w:color w:val="000000"/>
          <w:sz w:val="20"/>
          <w:szCs w:val="20"/>
          <w:bdr w:val="none" w:sz="0" w:space="0" w:color="auto" w:frame="1"/>
        </w:rPr>
        <w:t>17 lineage. </w:t>
      </w:r>
      <w:r w:rsidRPr="00A729F7">
        <w:rPr>
          <w:rStyle w:val="cit-source"/>
          <w:rFonts w:ascii="Times New Roman" w:hAnsi="Times New Roman" w:cs="Times New Roman"/>
          <w:color w:val="000000"/>
          <w:sz w:val="20"/>
          <w:szCs w:val="20"/>
          <w:bdr w:val="none" w:sz="0" w:space="0" w:color="auto" w:frame="1"/>
        </w:rPr>
        <w:t>Nature</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
          <w:bCs/>
          <w:color w:val="000000"/>
          <w:sz w:val="20"/>
          <w:szCs w:val="20"/>
          <w:bdr w:val="none" w:sz="0" w:space="0" w:color="auto" w:frame="1"/>
        </w:rPr>
        <w:t>441</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231</w:t>
      </w:r>
      <w:r w:rsidRPr="00A729F7">
        <w:rPr>
          <w:rStyle w:val="HTMLCite"/>
          <w:rFonts w:ascii="Times New Roman" w:hAnsi="Times New Roman"/>
          <w:i w:val="0"/>
          <w:color w:val="000000"/>
          <w:sz w:val="20"/>
          <w:szCs w:val="20"/>
          <w:bdr w:val="none" w:sz="0" w:space="0" w:color="auto" w:frame="1"/>
        </w:rPr>
        <w:t>-234. </w:t>
      </w:r>
      <w:hyperlink r:id="rId601" w:history="1">
        <w:r w:rsidRPr="00A729F7">
          <w:rPr>
            <w:rStyle w:val="Hyperlink"/>
            <w:rFonts w:ascii="Times New Roman" w:hAnsi="Times New Roman"/>
            <w:bCs/>
            <w:color w:val="2A7191"/>
            <w:sz w:val="20"/>
            <w:szCs w:val="20"/>
            <w:bdr w:val="none" w:sz="0" w:space="0" w:color="auto" w:frame="1"/>
          </w:rPr>
          <w:t>CrossRef</w:t>
        </w:r>
      </w:hyperlink>
      <w:hyperlink r:id="rId602" w:history="1">
        <w:r w:rsidRPr="00A729F7">
          <w:rPr>
            <w:rStyle w:val="Hyperlink"/>
            <w:rFonts w:ascii="Times New Roman" w:hAnsi="Times New Roman"/>
            <w:bCs/>
            <w:color w:val="2A7191"/>
            <w:sz w:val="20"/>
            <w:szCs w:val="20"/>
            <w:bdr w:val="none" w:sz="0" w:space="0" w:color="auto" w:frame="1"/>
          </w:rPr>
          <w:t>PubMed</w:t>
        </w:r>
      </w:hyperlink>
      <w:hyperlink r:id="rId603"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Style w:val="HTMLCite"/>
          <w:rFonts w:ascii="Times New Roman" w:hAnsi="Times New Roman"/>
          <w:i w:val="0"/>
          <w:iCs w:val="0"/>
          <w:color w:val="000000"/>
          <w:sz w:val="20"/>
          <w:szCs w:val="20"/>
          <w:bdr w:val="none" w:sz="0" w:space="0" w:color="auto" w:frame="1"/>
        </w:rPr>
        <w:t>427</w:t>
      </w:r>
      <w:r w:rsidRPr="00A729F7">
        <w:rPr>
          <w:rStyle w:val="HTMLCite"/>
          <w:rFonts w:ascii="Times New Roman" w:hAnsi="Times New Roman"/>
          <w:i w:val="0"/>
          <w:color w:val="000000"/>
          <w:sz w:val="20"/>
          <w:szCs w:val="20"/>
          <w:bdr w:val="none" w:sz="0" w:space="0" w:color="auto" w:frame="1"/>
        </w:rPr>
        <w:t>.</w:t>
      </w:r>
      <w:r w:rsidRPr="00A729F7">
        <w:rPr>
          <w:rStyle w:val="HTMLCite"/>
          <w:rFonts w:ascii="Times New Roman" w:hAnsi="Times New Roman"/>
          <w:i w:val="0"/>
          <w:iCs w:val="0"/>
          <w:color w:val="000000"/>
          <w:sz w:val="20"/>
          <w:szCs w:val="20"/>
          <w:bdr w:val="none" w:sz="0" w:space="0" w:color="auto" w:frame="1"/>
        </w:rPr>
        <w:t xml:space="preserve"> </w:t>
      </w:r>
      <w:r w:rsidRPr="00A729F7">
        <w:rPr>
          <w:rStyle w:val="HTMLCite"/>
          <w:rFonts w:ascii="Times New Roman" w:hAnsi="Times New Roman"/>
          <w:i w:val="0"/>
          <w:color w:val="000000"/>
          <w:sz w:val="20"/>
          <w:szCs w:val="20"/>
          <w:bdr w:val="none" w:sz="0" w:space="0" w:color="auto" w:frame="1"/>
        </w:rPr>
        <w:t>Veldhoen, M., R. J. Hocking, C. J. Atkins, R. M. Locksley, B. Stockinger. </w:t>
      </w:r>
      <w:r w:rsidRPr="00A729F7">
        <w:rPr>
          <w:rStyle w:val="cit-pub-date"/>
          <w:rFonts w:ascii="Times New Roman" w:hAnsi="Times New Roman" w:cs="Times New Roman"/>
          <w:color w:val="000000"/>
          <w:sz w:val="20"/>
          <w:szCs w:val="20"/>
          <w:bdr w:val="none" w:sz="0" w:space="0" w:color="auto" w:frame="1"/>
        </w:rPr>
        <w:t>2006</w:t>
      </w:r>
      <w:r w:rsidRPr="00A729F7">
        <w:rPr>
          <w:rStyle w:val="HTMLCite"/>
          <w:rFonts w:ascii="Times New Roman" w:hAnsi="Times New Roman"/>
          <w:i w:val="0"/>
          <w:color w:val="000000"/>
          <w:sz w:val="20"/>
          <w:szCs w:val="20"/>
          <w:bdr w:val="none" w:sz="0" w:space="0" w:color="auto" w:frame="1"/>
        </w:rPr>
        <w:t>. TGFβ in the context of an inflammatory cytokine milieu supports de novo differentiation of IL-17-producing T cells. </w:t>
      </w:r>
      <w:r w:rsidRPr="00A729F7">
        <w:rPr>
          <w:rStyle w:val="cit-source"/>
          <w:rFonts w:ascii="Times New Roman" w:hAnsi="Times New Roman" w:cs="Times New Roman"/>
          <w:color w:val="000000"/>
          <w:sz w:val="20"/>
          <w:szCs w:val="20"/>
          <w:bdr w:val="none" w:sz="0" w:space="0" w:color="auto" w:frame="1"/>
        </w:rPr>
        <w:t>Immunity</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
          <w:bCs/>
          <w:color w:val="000000"/>
          <w:sz w:val="20"/>
          <w:szCs w:val="20"/>
          <w:bdr w:val="none" w:sz="0" w:space="0" w:color="auto" w:frame="1"/>
        </w:rPr>
        <w:t>24</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179</w:t>
      </w:r>
      <w:r w:rsidRPr="00A729F7">
        <w:rPr>
          <w:rStyle w:val="HTMLCite"/>
          <w:rFonts w:ascii="Times New Roman" w:hAnsi="Times New Roman"/>
          <w:i w:val="0"/>
          <w:color w:val="000000"/>
          <w:sz w:val="20"/>
          <w:szCs w:val="20"/>
          <w:bdr w:val="none" w:sz="0" w:space="0" w:color="auto" w:frame="1"/>
        </w:rPr>
        <w:t>-189. </w:t>
      </w:r>
      <w:hyperlink r:id="rId604" w:history="1">
        <w:r w:rsidRPr="00A729F7">
          <w:rPr>
            <w:rStyle w:val="Hyperlink"/>
            <w:rFonts w:ascii="Times New Roman" w:hAnsi="Times New Roman"/>
            <w:bCs/>
            <w:color w:val="2A7191"/>
            <w:sz w:val="20"/>
            <w:szCs w:val="20"/>
            <w:bdr w:val="none" w:sz="0" w:space="0" w:color="auto" w:frame="1"/>
          </w:rPr>
          <w:t>CrossRef</w:t>
        </w:r>
      </w:hyperlink>
      <w:hyperlink r:id="rId605" w:history="1">
        <w:r w:rsidRPr="00A729F7">
          <w:rPr>
            <w:rStyle w:val="Hyperlink"/>
            <w:rFonts w:ascii="Times New Roman" w:hAnsi="Times New Roman"/>
            <w:bCs/>
            <w:color w:val="2A7191"/>
            <w:sz w:val="20"/>
            <w:szCs w:val="20"/>
            <w:bdr w:val="none" w:sz="0" w:space="0" w:color="auto" w:frame="1"/>
          </w:rPr>
          <w:t>PubMed</w:t>
        </w:r>
      </w:hyperlink>
      <w:hyperlink r:id="rId606"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i/>
          <w:color w:val="000000"/>
          <w:sz w:val="20"/>
          <w:szCs w:val="20"/>
        </w:rPr>
      </w:pPr>
      <w:r w:rsidRPr="00A729F7">
        <w:rPr>
          <w:rFonts w:ascii="Times New Roman" w:hAnsi="Times New Roman" w:cs="Times New Roman"/>
          <w:bCs/>
          <w:color w:val="000000"/>
          <w:sz w:val="20"/>
          <w:szCs w:val="20"/>
          <w:bdr w:val="none" w:sz="0" w:space="0" w:color="auto" w:frame="1"/>
        </w:rPr>
        <w:t>428</w:t>
      </w:r>
      <w:r w:rsidRPr="00A729F7">
        <w:rPr>
          <w:rFonts w:ascii="Times New Roman" w:hAnsi="Times New Roman" w:cs="Times New Roman"/>
          <w:bCs/>
          <w:color w:val="000000"/>
          <w:sz w:val="20"/>
          <w:szCs w:val="20"/>
          <w:bdr w:val="none" w:sz="0" w:space="0" w:color="auto" w:frame="1"/>
          <w:lang w:val="en-US"/>
        </w:rPr>
        <w:t xml:space="preserve">. </w:t>
      </w:r>
      <w:r w:rsidRPr="00A729F7">
        <w:rPr>
          <w:rFonts w:ascii="Times New Roman" w:hAnsi="Times New Roman" w:cs="Times New Roman"/>
          <w:bCs/>
          <w:i/>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Bettelli, E., Y. Carrier, W. Gao, T. Korn, T. B. Strom, M. Oukka, H. L. Weiner, V. K. Kuchroo. </w:t>
      </w:r>
      <w:r w:rsidRPr="00A729F7">
        <w:rPr>
          <w:rStyle w:val="cit-pub-date"/>
          <w:rFonts w:ascii="Times New Roman" w:hAnsi="Times New Roman" w:cs="Times New Roman"/>
          <w:i/>
          <w:color w:val="000000"/>
          <w:sz w:val="20"/>
          <w:szCs w:val="20"/>
          <w:bdr w:val="none" w:sz="0" w:space="0" w:color="auto" w:frame="1"/>
        </w:rPr>
        <w:t>2006</w:t>
      </w:r>
      <w:r w:rsidRPr="00A729F7">
        <w:rPr>
          <w:rStyle w:val="HTMLCite"/>
          <w:rFonts w:ascii="Times New Roman" w:hAnsi="Times New Roman"/>
          <w:i w:val="0"/>
          <w:color w:val="000000"/>
          <w:sz w:val="20"/>
          <w:szCs w:val="20"/>
          <w:bdr w:val="none" w:sz="0" w:space="0" w:color="auto" w:frame="1"/>
        </w:rPr>
        <w:t>. Reciprocal developmental pathways for the generation of pathogenic effector T</w:t>
      </w:r>
      <w:r w:rsidRPr="00A729F7">
        <w:rPr>
          <w:rStyle w:val="HTMLCite"/>
          <w:rFonts w:ascii="Times New Roman" w:hAnsi="Times New Roman"/>
          <w:i w:val="0"/>
          <w:color w:val="000000"/>
          <w:sz w:val="20"/>
          <w:szCs w:val="20"/>
          <w:bdr w:val="none" w:sz="0" w:space="0" w:color="auto" w:frame="1"/>
          <w:vertAlign w:val="subscript"/>
        </w:rPr>
        <w:t>H</w:t>
      </w:r>
      <w:r w:rsidRPr="00A729F7">
        <w:rPr>
          <w:rStyle w:val="HTMLCite"/>
          <w:rFonts w:ascii="Times New Roman" w:hAnsi="Times New Roman"/>
          <w:i w:val="0"/>
          <w:color w:val="000000"/>
          <w:sz w:val="20"/>
          <w:szCs w:val="20"/>
          <w:bdr w:val="none" w:sz="0" w:space="0" w:color="auto" w:frame="1"/>
        </w:rPr>
        <w:t>17 and regulatory T cells. </w:t>
      </w:r>
      <w:r w:rsidRPr="00A729F7">
        <w:rPr>
          <w:rStyle w:val="cit-source"/>
          <w:rFonts w:ascii="Times New Roman" w:hAnsi="Times New Roman" w:cs="Times New Roman"/>
          <w:i/>
          <w:color w:val="000000"/>
          <w:sz w:val="20"/>
          <w:szCs w:val="20"/>
          <w:bdr w:val="none" w:sz="0" w:space="0" w:color="auto" w:frame="1"/>
        </w:rPr>
        <w:t>Nature</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i/>
          <w:color w:val="000000"/>
          <w:sz w:val="20"/>
          <w:szCs w:val="20"/>
          <w:bdr w:val="none" w:sz="0" w:space="0" w:color="auto" w:frame="1"/>
        </w:rPr>
        <w:t>441</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i/>
          <w:color w:val="000000"/>
          <w:sz w:val="20"/>
          <w:szCs w:val="20"/>
          <w:bdr w:val="none" w:sz="0" w:space="0" w:color="auto" w:frame="1"/>
        </w:rPr>
        <w:t>235</w:t>
      </w:r>
      <w:r w:rsidRPr="00A729F7">
        <w:rPr>
          <w:rStyle w:val="HTMLCite"/>
          <w:rFonts w:ascii="Times New Roman" w:hAnsi="Times New Roman"/>
          <w:i w:val="0"/>
          <w:color w:val="000000"/>
          <w:sz w:val="20"/>
          <w:szCs w:val="20"/>
          <w:bdr w:val="none" w:sz="0" w:space="0" w:color="auto" w:frame="1"/>
        </w:rPr>
        <w:t>-238. </w:t>
      </w:r>
      <w:hyperlink r:id="rId607" w:history="1">
        <w:r w:rsidRPr="00A729F7">
          <w:rPr>
            <w:rStyle w:val="Hyperlink"/>
            <w:rFonts w:ascii="Times New Roman" w:hAnsi="Times New Roman"/>
            <w:bCs/>
            <w:color w:val="2A7191"/>
            <w:sz w:val="20"/>
            <w:szCs w:val="20"/>
            <w:bdr w:val="none" w:sz="0" w:space="0" w:color="auto" w:frame="1"/>
          </w:rPr>
          <w:t>CrossRef</w:t>
        </w:r>
      </w:hyperlink>
      <w:hyperlink r:id="rId608" w:history="1">
        <w:r w:rsidRPr="00A729F7">
          <w:rPr>
            <w:rStyle w:val="Hyperlink"/>
            <w:rFonts w:ascii="Times New Roman" w:hAnsi="Times New Roman"/>
            <w:bCs/>
            <w:color w:val="2A7191"/>
            <w:sz w:val="20"/>
            <w:szCs w:val="20"/>
            <w:bdr w:val="none" w:sz="0" w:space="0" w:color="auto" w:frame="1"/>
          </w:rPr>
          <w:t>PubMed</w:t>
        </w:r>
      </w:hyperlink>
      <w:hyperlink r:id="rId609" w:history="1">
        <w:r w:rsidRPr="00A729F7">
          <w:rPr>
            <w:rStyle w:val="Hyperlink"/>
            <w:rFonts w:ascii="Times New Roman" w:hAnsi="Times New Roman"/>
            <w:bCs/>
            <w:color w:val="2A7191"/>
            <w:sz w:val="20"/>
            <w:szCs w:val="20"/>
            <w:bdr w:val="none" w:sz="0" w:space="0" w:color="auto" w:frame="1"/>
          </w:rPr>
          <w:t>Google Scholar</w:t>
        </w:r>
      </w:hyperlink>
      <w:r w:rsidRPr="00A729F7">
        <w:rPr>
          <w:rFonts w:ascii="Times New Roman" w:hAnsi="Times New Roman" w:cs="Times New Roman"/>
          <w:i/>
          <w:color w:val="000000"/>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Style w:val="HTMLCite"/>
          <w:rFonts w:ascii="Times New Roman" w:hAnsi="Times New Roman"/>
          <w:i w:val="0"/>
          <w:iCs w:val="0"/>
          <w:color w:val="000000"/>
          <w:sz w:val="20"/>
          <w:szCs w:val="20"/>
          <w:bdr w:val="none" w:sz="0" w:space="0" w:color="auto" w:frame="1"/>
        </w:rPr>
        <w:t xml:space="preserve">429. </w:t>
      </w:r>
      <w:r w:rsidRPr="00A729F7">
        <w:rPr>
          <w:rStyle w:val="HTMLCite"/>
          <w:rFonts w:ascii="Times New Roman" w:hAnsi="Times New Roman"/>
          <w:i w:val="0"/>
          <w:color w:val="000000"/>
          <w:sz w:val="20"/>
          <w:szCs w:val="20"/>
          <w:bdr w:val="none" w:sz="0" w:space="0" w:color="auto" w:frame="1"/>
        </w:rPr>
        <w:t>Laurence, A., C. M. Tato, T. S. Davidson, Y. Kanno, Z. Chen, Z. Yao, R. B. Blank, F. Meylan, R. Siegel, L. Hennighausen, et al </w:t>
      </w:r>
      <w:r w:rsidRPr="00A729F7">
        <w:rPr>
          <w:rStyle w:val="cit-pub-date"/>
          <w:rFonts w:ascii="Times New Roman" w:hAnsi="Times New Roman" w:cs="Times New Roman"/>
          <w:i/>
          <w:color w:val="000000"/>
          <w:sz w:val="20"/>
          <w:szCs w:val="20"/>
          <w:bdr w:val="none" w:sz="0" w:space="0" w:color="auto" w:frame="1"/>
        </w:rPr>
        <w:t>2007</w:t>
      </w:r>
      <w:r w:rsidRPr="00A729F7">
        <w:rPr>
          <w:rStyle w:val="HTMLCite"/>
          <w:rFonts w:ascii="Times New Roman" w:hAnsi="Times New Roman"/>
          <w:i w:val="0"/>
          <w:color w:val="000000"/>
          <w:sz w:val="20"/>
          <w:szCs w:val="20"/>
          <w:bdr w:val="none" w:sz="0" w:space="0" w:color="auto" w:frame="1"/>
        </w:rPr>
        <w:t>. Interleukin-2 signaling via STAT5 constrains T helper 17 cell generation. </w:t>
      </w:r>
      <w:r w:rsidRPr="00A729F7">
        <w:rPr>
          <w:rStyle w:val="cit-source"/>
          <w:rFonts w:ascii="Times New Roman" w:hAnsi="Times New Roman" w:cs="Times New Roman"/>
          <w:i/>
          <w:color w:val="000000"/>
          <w:sz w:val="20"/>
          <w:szCs w:val="20"/>
          <w:bdr w:val="none" w:sz="0" w:space="0" w:color="auto" w:frame="1"/>
        </w:rPr>
        <w:t>Immunity</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i/>
          <w:color w:val="000000"/>
          <w:sz w:val="20"/>
          <w:szCs w:val="20"/>
          <w:bdr w:val="none" w:sz="0" w:space="0" w:color="auto" w:frame="1"/>
        </w:rPr>
        <w:t>26</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i/>
          <w:color w:val="000000"/>
          <w:sz w:val="20"/>
          <w:szCs w:val="20"/>
          <w:bdr w:val="none" w:sz="0" w:space="0" w:color="auto" w:frame="1"/>
        </w:rPr>
        <w:t>371</w:t>
      </w:r>
      <w:r w:rsidRPr="00A729F7">
        <w:rPr>
          <w:rStyle w:val="HTMLCite"/>
          <w:rFonts w:ascii="Times New Roman" w:hAnsi="Times New Roman"/>
          <w:i w:val="0"/>
          <w:color w:val="000000"/>
          <w:sz w:val="20"/>
          <w:szCs w:val="20"/>
          <w:bdr w:val="none" w:sz="0" w:space="0" w:color="auto" w:frame="1"/>
        </w:rPr>
        <w:t>-381. </w:t>
      </w:r>
      <w:hyperlink r:id="rId610" w:history="1">
        <w:r w:rsidRPr="00A729F7">
          <w:rPr>
            <w:rStyle w:val="Hyperlink"/>
            <w:rFonts w:ascii="Times New Roman" w:hAnsi="Times New Roman"/>
            <w:bCs/>
            <w:color w:val="2A7191"/>
            <w:sz w:val="20"/>
            <w:szCs w:val="20"/>
            <w:bdr w:val="none" w:sz="0" w:space="0" w:color="auto" w:frame="1"/>
          </w:rPr>
          <w:t>CrossRef</w:t>
        </w:r>
      </w:hyperlink>
      <w:hyperlink r:id="rId611" w:history="1">
        <w:r w:rsidRPr="00A729F7">
          <w:rPr>
            <w:rStyle w:val="Hyperlink"/>
            <w:rFonts w:ascii="Times New Roman" w:hAnsi="Times New Roman"/>
            <w:bCs/>
            <w:color w:val="2A7191"/>
            <w:sz w:val="20"/>
            <w:szCs w:val="20"/>
            <w:bdr w:val="none" w:sz="0" w:space="0" w:color="auto" w:frame="1"/>
          </w:rPr>
          <w:t>PubMed</w:t>
        </w:r>
      </w:hyperlink>
      <w:hyperlink r:id="rId612"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430. Laura A. Tesmer, Steven K. Lundy, Sujata Sarkar, David A. Fox, The role of Th17 cells in this diverse group of diseases is the subject of this review. Th17 cells in human disease, Immunol Rev. 2008 Jun; 223: 87–113, doi: 10.1111/j.1600-065X.2008.00628.x</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000000"/>
          <w:sz w:val="20"/>
          <w:szCs w:val="20"/>
        </w:rPr>
        <w:t xml:space="preserve">431. </w:t>
      </w:r>
      <w:r w:rsidRPr="00A729F7">
        <w:rPr>
          <w:rStyle w:val="HTMLCite"/>
          <w:rFonts w:ascii="Times New Roman" w:hAnsi="Times New Roman"/>
          <w:i w:val="0"/>
          <w:color w:val="000000"/>
          <w:sz w:val="20"/>
          <w:szCs w:val="20"/>
          <w:bdr w:val="none" w:sz="0" w:space="0" w:color="auto" w:frame="1"/>
        </w:rPr>
        <w:t>Aggarwal, S., A. L. Gurney. </w:t>
      </w:r>
      <w:r w:rsidRPr="00A729F7">
        <w:rPr>
          <w:rStyle w:val="cit-pub-date"/>
          <w:rFonts w:ascii="Times New Roman" w:hAnsi="Times New Roman" w:cs="Times New Roman"/>
          <w:color w:val="000000"/>
          <w:sz w:val="20"/>
          <w:szCs w:val="20"/>
          <w:bdr w:val="none" w:sz="0" w:space="0" w:color="auto" w:frame="1"/>
        </w:rPr>
        <w:t>2002</w:t>
      </w:r>
      <w:r w:rsidRPr="00A729F7">
        <w:rPr>
          <w:rStyle w:val="HTMLCite"/>
          <w:rFonts w:ascii="Times New Roman" w:hAnsi="Times New Roman"/>
          <w:i w:val="0"/>
          <w:color w:val="000000"/>
          <w:sz w:val="20"/>
          <w:szCs w:val="20"/>
          <w:bdr w:val="none" w:sz="0" w:space="0" w:color="auto" w:frame="1"/>
        </w:rPr>
        <w:t>. IL-17: prototype member of an emerging cytokine family. </w:t>
      </w:r>
      <w:r w:rsidRPr="00A729F7">
        <w:rPr>
          <w:rStyle w:val="cit-source"/>
          <w:rFonts w:ascii="Times New Roman" w:hAnsi="Times New Roman" w:cs="Times New Roman"/>
          <w:color w:val="000000"/>
          <w:sz w:val="20"/>
          <w:szCs w:val="20"/>
          <w:bdr w:val="none" w:sz="0" w:space="0" w:color="auto" w:frame="1"/>
        </w:rPr>
        <w:t>J. Leukocyte Biol.</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71</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w:t>
      </w:r>
      <w:r w:rsidRPr="00A729F7">
        <w:rPr>
          <w:rStyle w:val="HTMLCite"/>
          <w:rFonts w:ascii="Times New Roman" w:hAnsi="Times New Roman"/>
          <w:i w:val="0"/>
          <w:color w:val="000000"/>
          <w:sz w:val="20"/>
          <w:szCs w:val="20"/>
          <w:bdr w:val="none" w:sz="0" w:space="0" w:color="auto" w:frame="1"/>
        </w:rPr>
        <w:t>-8. </w:t>
      </w:r>
      <w:hyperlink r:id="rId613" w:history="1">
        <w:r w:rsidRPr="00A729F7">
          <w:rPr>
            <w:rStyle w:val="cit-reflinks-abstract"/>
            <w:rFonts w:ascii="Times New Roman" w:hAnsi="Times New Roman" w:cs="Times New Roman"/>
            <w:bCs/>
            <w:color w:val="2A7191"/>
            <w:sz w:val="20"/>
            <w:szCs w:val="20"/>
            <w:bdr w:val="none" w:sz="0" w:space="0" w:color="auto" w:frame="1"/>
          </w:rPr>
          <w:t>Abstract</w:t>
        </w:r>
        <w:r w:rsidRPr="00A729F7">
          <w:rPr>
            <w:rStyle w:val="cit-sep"/>
            <w:rFonts w:ascii="Times New Roman" w:hAnsi="Times New Roman" w:cs="Times New Roman"/>
            <w:bCs/>
            <w:color w:val="2A7191"/>
            <w:sz w:val="20"/>
            <w:szCs w:val="20"/>
            <w:bdr w:val="none" w:sz="0" w:space="0" w:color="auto" w:frame="1"/>
          </w:rPr>
          <w:t>/</w:t>
        </w:r>
        <w:r w:rsidRPr="00A729F7">
          <w:rPr>
            <w:rStyle w:val="free-full-text"/>
            <w:rFonts w:ascii="Times New Roman" w:hAnsi="Times New Roman" w:cs="Times New Roman"/>
            <w:bCs/>
            <w:color w:val="2A7191"/>
            <w:sz w:val="20"/>
            <w:szCs w:val="20"/>
            <w:bdr w:val="none" w:sz="0" w:space="0" w:color="auto" w:frame="1"/>
          </w:rPr>
          <w:t>FREE </w:t>
        </w:r>
        <w:r w:rsidRPr="00A729F7">
          <w:rPr>
            <w:rStyle w:val="cit-reflinks-full-text"/>
            <w:rFonts w:ascii="Times New Roman" w:hAnsi="Times New Roman" w:cs="Times New Roman"/>
            <w:bCs/>
            <w:color w:val="2A7191"/>
            <w:sz w:val="20"/>
            <w:szCs w:val="20"/>
            <w:bdr w:val="none" w:sz="0" w:space="0" w:color="auto" w:frame="1"/>
          </w:rPr>
          <w:t>Full Text</w:t>
        </w:r>
      </w:hyperlink>
    </w:p>
    <w:p w:rsidR="00A729F7" w:rsidRPr="00A729F7" w:rsidRDefault="00A729F7" w:rsidP="00A729F7">
      <w:pPr>
        <w:spacing w:line="360" w:lineRule="auto"/>
        <w:rPr>
          <w:rFonts w:ascii="Times New Roman" w:hAnsi="Times New Roman" w:cs="Times New Roman"/>
          <w:color w:val="000000"/>
          <w:sz w:val="20"/>
          <w:szCs w:val="20"/>
          <w:bdr w:val="none" w:sz="0" w:space="0" w:color="auto" w:frame="1"/>
        </w:rPr>
      </w:pPr>
      <w:r w:rsidRPr="00A729F7">
        <w:rPr>
          <w:rStyle w:val="HTMLCite"/>
          <w:rFonts w:ascii="Times New Roman" w:hAnsi="Times New Roman"/>
          <w:i w:val="0"/>
          <w:iCs w:val="0"/>
          <w:color w:val="000000"/>
          <w:sz w:val="20"/>
          <w:szCs w:val="20"/>
          <w:bdr w:val="none" w:sz="0" w:space="0" w:color="auto" w:frame="1"/>
        </w:rPr>
        <w:t>432</w:t>
      </w:r>
      <w:r w:rsidRPr="00A729F7">
        <w:rPr>
          <w:rStyle w:val="HTMLCite"/>
          <w:rFonts w:ascii="Times New Roman" w:hAnsi="Times New Roman"/>
          <w:i w:val="0"/>
          <w:color w:val="000000"/>
          <w:sz w:val="20"/>
          <w:szCs w:val="20"/>
          <w:bdr w:val="none" w:sz="0" w:space="0" w:color="auto" w:frame="1"/>
        </w:rPr>
        <w:t>.</w:t>
      </w:r>
      <w:r w:rsidRPr="00A729F7">
        <w:rPr>
          <w:rStyle w:val="HTMLCite"/>
          <w:rFonts w:ascii="Times New Roman" w:hAnsi="Times New Roman"/>
          <w:i w:val="0"/>
          <w:iCs w:val="0"/>
          <w:color w:val="000000"/>
          <w:sz w:val="20"/>
          <w:szCs w:val="20"/>
          <w:bdr w:val="none" w:sz="0" w:space="0" w:color="auto" w:frame="1"/>
        </w:rPr>
        <w:t xml:space="preserve"> </w:t>
      </w:r>
      <w:r w:rsidRPr="00A729F7">
        <w:rPr>
          <w:rStyle w:val="HTMLCite"/>
          <w:rFonts w:ascii="Times New Roman" w:hAnsi="Times New Roman"/>
          <w:i w:val="0"/>
          <w:color w:val="000000"/>
          <w:sz w:val="20"/>
          <w:szCs w:val="20"/>
          <w:bdr w:val="none" w:sz="0" w:space="0" w:color="auto" w:frame="1"/>
        </w:rPr>
        <w:t>Moseley, T. A., D. R. Haudenschild, L. Rose, A. H. Reddi. </w:t>
      </w:r>
      <w:r w:rsidRPr="00A729F7">
        <w:rPr>
          <w:rStyle w:val="cit-pub-date"/>
          <w:rFonts w:ascii="Times New Roman" w:hAnsi="Times New Roman" w:cs="Times New Roman"/>
          <w:color w:val="000000"/>
          <w:sz w:val="20"/>
          <w:szCs w:val="20"/>
          <w:bdr w:val="none" w:sz="0" w:space="0" w:color="auto" w:frame="1"/>
        </w:rPr>
        <w:t>2003</w:t>
      </w:r>
      <w:r w:rsidRPr="00A729F7">
        <w:rPr>
          <w:rStyle w:val="HTMLCite"/>
          <w:rFonts w:ascii="Times New Roman" w:hAnsi="Times New Roman"/>
          <w:i w:val="0"/>
          <w:color w:val="000000"/>
          <w:sz w:val="20"/>
          <w:szCs w:val="20"/>
          <w:bdr w:val="none" w:sz="0" w:space="0" w:color="auto" w:frame="1"/>
        </w:rPr>
        <w:t>. Interleukin-17 family and IL-17 receptors. </w:t>
      </w:r>
      <w:r w:rsidRPr="00A729F7">
        <w:rPr>
          <w:rStyle w:val="cit-source"/>
          <w:rFonts w:ascii="Times New Roman" w:hAnsi="Times New Roman" w:cs="Times New Roman"/>
          <w:color w:val="000000"/>
          <w:sz w:val="20"/>
          <w:szCs w:val="20"/>
          <w:bdr w:val="none" w:sz="0" w:space="0" w:color="auto" w:frame="1"/>
        </w:rPr>
        <w:t>Cytokine Growth Factor Rev.</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14</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155</w:t>
      </w:r>
      <w:r w:rsidRPr="00A729F7">
        <w:rPr>
          <w:rStyle w:val="HTMLCite"/>
          <w:rFonts w:ascii="Times New Roman" w:hAnsi="Times New Roman"/>
          <w:i w:val="0"/>
          <w:color w:val="000000"/>
          <w:sz w:val="20"/>
          <w:szCs w:val="20"/>
          <w:bdr w:val="none" w:sz="0" w:space="0" w:color="auto" w:frame="1"/>
        </w:rPr>
        <w:t>-174. </w:t>
      </w:r>
      <w:hyperlink r:id="rId614" w:history="1">
        <w:r w:rsidRPr="00A729F7">
          <w:rPr>
            <w:rStyle w:val="Hyperlink"/>
            <w:rFonts w:ascii="Times New Roman" w:hAnsi="Times New Roman"/>
            <w:bCs/>
            <w:color w:val="2A7191"/>
            <w:sz w:val="20"/>
            <w:szCs w:val="20"/>
            <w:bdr w:val="none" w:sz="0" w:space="0" w:color="auto" w:frame="1"/>
          </w:rPr>
          <w:t>CrossRef</w:t>
        </w:r>
      </w:hyperlink>
      <w:hyperlink r:id="rId615" w:history="1">
        <w:r w:rsidRPr="00A729F7">
          <w:rPr>
            <w:rStyle w:val="Hyperlink"/>
            <w:rFonts w:ascii="Times New Roman" w:hAnsi="Times New Roman"/>
            <w:bCs/>
            <w:color w:val="2A7191"/>
            <w:sz w:val="20"/>
            <w:szCs w:val="20"/>
            <w:bdr w:val="none" w:sz="0" w:space="0" w:color="auto" w:frame="1"/>
          </w:rPr>
          <w:t>PubMed</w:t>
        </w:r>
      </w:hyperlink>
      <w:hyperlink r:id="rId616"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Style w:val="HTMLCite"/>
          <w:rFonts w:ascii="Times New Roman" w:hAnsi="Times New Roman"/>
          <w:i w:val="0"/>
          <w:iCs w:val="0"/>
          <w:color w:val="000000"/>
          <w:sz w:val="20"/>
          <w:szCs w:val="20"/>
          <w:bdr w:val="none" w:sz="0" w:space="0" w:color="auto" w:frame="1"/>
        </w:rPr>
        <w:t>433</w:t>
      </w:r>
      <w:r w:rsidRPr="00A729F7">
        <w:rPr>
          <w:rStyle w:val="HTMLCite"/>
          <w:rFonts w:ascii="Times New Roman" w:hAnsi="Times New Roman"/>
          <w:i w:val="0"/>
          <w:color w:val="000000"/>
          <w:sz w:val="20"/>
          <w:szCs w:val="20"/>
          <w:bdr w:val="none" w:sz="0" w:space="0" w:color="auto" w:frame="1"/>
        </w:rPr>
        <w:t>.</w:t>
      </w:r>
      <w:r w:rsidRPr="00A729F7">
        <w:rPr>
          <w:rStyle w:val="HTMLCite"/>
          <w:rFonts w:ascii="Times New Roman" w:hAnsi="Times New Roman"/>
          <w:i w:val="0"/>
          <w:iCs w:val="0"/>
          <w:color w:val="000000"/>
          <w:sz w:val="20"/>
          <w:szCs w:val="20"/>
          <w:bdr w:val="none" w:sz="0" w:space="0" w:color="auto" w:frame="1"/>
        </w:rPr>
        <w:t xml:space="preserve"> </w:t>
      </w:r>
      <w:r w:rsidRPr="00A729F7">
        <w:rPr>
          <w:rStyle w:val="HTMLCite"/>
          <w:rFonts w:ascii="Times New Roman" w:hAnsi="Times New Roman"/>
          <w:i w:val="0"/>
          <w:color w:val="000000"/>
          <w:sz w:val="20"/>
          <w:szCs w:val="20"/>
          <w:bdr w:val="none" w:sz="0" w:space="0" w:color="auto" w:frame="1"/>
        </w:rPr>
        <w:t>Kolls, J. K., A. Lindén. </w:t>
      </w:r>
      <w:r w:rsidRPr="00A729F7">
        <w:rPr>
          <w:rStyle w:val="cit-pub-date"/>
          <w:rFonts w:ascii="Times New Roman" w:hAnsi="Times New Roman" w:cs="Times New Roman"/>
          <w:color w:val="000000"/>
          <w:sz w:val="20"/>
          <w:szCs w:val="20"/>
          <w:bdr w:val="none" w:sz="0" w:space="0" w:color="auto" w:frame="1"/>
        </w:rPr>
        <w:t>2004</w:t>
      </w:r>
      <w:r w:rsidRPr="00A729F7">
        <w:rPr>
          <w:rStyle w:val="HTMLCite"/>
          <w:rFonts w:ascii="Times New Roman" w:hAnsi="Times New Roman"/>
          <w:i w:val="0"/>
          <w:color w:val="000000"/>
          <w:sz w:val="20"/>
          <w:szCs w:val="20"/>
          <w:bdr w:val="none" w:sz="0" w:space="0" w:color="auto" w:frame="1"/>
        </w:rPr>
        <w:t>. Interleukin-17 family members and inflammation. </w:t>
      </w:r>
      <w:r w:rsidRPr="00A729F7">
        <w:rPr>
          <w:rStyle w:val="cit-source"/>
          <w:rFonts w:ascii="Times New Roman" w:hAnsi="Times New Roman" w:cs="Times New Roman"/>
          <w:color w:val="000000"/>
          <w:sz w:val="20"/>
          <w:szCs w:val="20"/>
          <w:bdr w:val="none" w:sz="0" w:space="0" w:color="auto" w:frame="1"/>
        </w:rPr>
        <w:t>Immunity</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21</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467</w:t>
      </w:r>
      <w:r w:rsidRPr="00A729F7">
        <w:rPr>
          <w:rStyle w:val="HTMLCite"/>
          <w:rFonts w:ascii="Times New Roman" w:hAnsi="Times New Roman"/>
          <w:i w:val="0"/>
          <w:color w:val="000000"/>
          <w:sz w:val="20"/>
          <w:szCs w:val="20"/>
          <w:bdr w:val="none" w:sz="0" w:space="0" w:color="auto" w:frame="1"/>
        </w:rPr>
        <w:t>-476. </w:t>
      </w:r>
      <w:hyperlink r:id="rId617" w:history="1">
        <w:r w:rsidRPr="00A729F7">
          <w:rPr>
            <w:rStyle w:val="Hyperlink"/>
            <w:rFonts w:ascii="Times New Roman" w:hAnsi="Times New Roman"/>
            <w:bCs/>
            <w:color w:val="2A7191"/>
            <w:sz w:val="20"/>
            <w:szCs w:val="20"/>
            <w:bdr w:val="none" w:sz="0" w:space="0" w:color="auto" w:frame="1"/>
          </w:rPr>
          <w:t>CrossRef</w:t>
        </w:r>
      </w:hyperlink>
      <w:hyperlink r:id="rId618" w:history="1">
        <w:r w:rsidRPr="00A729F7">
          <w:rPr>
            <w:rStyle w:val="Hyperlink"/>
            <w:rFonts w:ascii="Times New Roman" w:hAnsi="Times New Roman"/>
            <w:bCs/>
            <w:color w:val="2A7191"/>
            <w:sz w:val="20"/>
            <w:szCs w:val="20"/>
            <w:bdr w:val="none" w:sz="0" w:space="0" w:color="auto" w:frame="1"/>
          </w:rPr>
          <w:t>PubMed</w:t>
        </w:r>
      </w:hyperlink>
      <w:hyperlink r:id="rId619"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color w:val="1C1D1E"/>
          <w:sz w:val="20"/>
          <w:szCs w:val="20"/>
        </w:rPr>
      </w:pPr>
      <w:r w:rsidRPr="00A729F7">
        <w:rPr>
          <w:rFonts w:ascii="Times New Roman" w:hAnsi="Times New Roman" w:cs="Times New Roman"/>
          <w:sz w:val="20"/>
          <w:szCs w:val="20"/>
        </w:rPr>
        <w:t>434.</w:t>
      </w:r>
      <w:r w:rsidRPr="00A729F7">
        <w:rPr>
          <w:rFonts w:ascii="Times New Roman" w:hAnsi="Times New Roman" w:cs="Times New Roman"/>
          <w:color w:val="1C1D1E"/>
          <w:sz w:val="20"/>
          <w:szCs w:val="20"/>
          <w:shd w:val="clear" w:color="auto" w:fill="FFFFFF"/>
        </w:rPr>
        <w:t xml:space="preserve"> Harrison, O. J., Linehan, J. L., Shih, H. Y., Bouladoux, N., Han, S. J., Smelkinson, M. and Sen, S.K., Commensal‐specific T cell plasticity promotes rapid tissue adaptation to injury, </w:t>
      </w:r>
      <w:r w:rsidRPr="00A729F7">
        <w:rPr>
          <w:rFonts w:ascii="Times New Roman" w:hAnsi="Times New Roman" w:cs="Times New Roman"/>
          <w:i/>
          <w:iCs/>
          <w:color w:val="1C1D1E"/>
          <w:sz w:val="20"/>
          <w:szCs w:val="20"/>
          <w:shd w:val="clear" w:color="auto" w:fill="FFFFFF"/>
        </w:rPr>
        <w:t>Science</w:t>
      </w:r>
      <w:r w:rsidRPr="00A729F7">
        <w:rPr>
          <w:rFonts w:ascii="Times New Roman" w:hAnsi="Times New Roman" w:cs="Times New Roman"/>
          <w:color w:val="1C1D1E"/>
          <w:sz w:val="20"/>
          <w:szCs w:val="20"/>
          <w:shd w:val="clear" w:color="auto" w:fill="FFFFFF"/>
        </w:rPr>
        <w:t> 2019. </w:t>
      </w:r>
      <w:r w:rsidRPr="00A729F7">
        <w:rPr>
          <w:rFonts w:ascii="Times New Roman" w:hAnsi="Times New Roman" w:cs="Times New Roman"/>
          <w:bCs/>
          <w:color w:val="1C1D1E"/>
          <w:sz w:val="20"/>
          <w:szCs w:val="20"/>
          <w:shd w:val="clear" w:color="auto" w:fill="FFFFFF"/>
        </w:rPr>
        <w:t>363</w:t>
      </w:r>
      <w:r w:rsidRPr="00A729F7">
        <w:rPr>
          <w:rFonts w:ascii="Times New Roman" w:hAnsi="Times New Roman" w:cs="Times New Roman"/>
          <w:color w:val="1C1D1E"/>
          <w:sz w:val="20"/>
          <w:szCs w:val="20"/>
          <w:shd w:val="clear" w:color="auto" w:fill="FFFFFF"/>
        </w:rPr>
        <w:t>.doi: </w:t>
      </w:r>
      <w:hyperlink r:id="rId620" w:history="1">
        <w:r w:rsidRPr="00A729F7">
          <w:rPr>
            <w:rFonts w:ascii="Times New Roman" w:hAnsi="Times New Roman" w:cs="Times New Roman"/>
            <w:color w:val="005274"/>
            <w:sz w:val="20"/>
            <w:szCs w:val="20"/>
            <w:u w:val="single"/>
            <w:shd w:val="clear" w:color="auto" w:fill="FFFFFF"/>
          </w:rPr>
          <w:t>10.1126/science.aat6280</w:t>
        </w:r>
      </w:hyperlink>
      <w:hyperlink r:id="rId621" w:history="1">
        <w:r w:rsidRPr="00A729F7">
          <w:rPr>
            <w:rFonts w:ascii="Times New Roman" w:hAnsi="Times New Roman" w:cs="Times New Roman"/>
            <w:color w:val="0000FF"/>
            <w:sz w:val="20"/>
            <w:szCs w:val="20"/>
            <w:u w:val="single"/>
          </w:rPr>
          <w:t>Crossref</w:t>
        </w:r>
      </w:hyperlink>
      <w:r w:rsidRPr="00A729F7">
        <w:rPr>
          <w:rFonts w:ascii="Times New Roman" w:hAnsi="Times New Roman" w:cs="Times New Roman"/>
          <w:color w:val="1C1D1E"/>
          <w:sz w:val="20"/>
          <w:szCs w:val="20"/>
        </w:rPr>
        <w:t> </w:t>
      </w:r>
      <w:hyperlink r:id="rId622" w:history="1">
        <w:r w:rsidRPr="00A729F7">
          <w:rPr>
            <w:rFonts w:ascii="Times New Roman" w:hAnsi="Times New Roman" w:cs="Times New Roman"/>
            <w:color w:val="0000FF"/>
            <w:sz w:val="20"/>
            <w:szCs w:val="20"/>
            <w:u w:val="single"/>
          </w:rPr>
          <w:t>Web of Science®</w:t>
        </w:r>
      </w:hyperlink>
      <w:hyperlink r:id="rId623" w:tgtFrame="_blank" w:history="1">
        <w:r w:rsidRPr="00A729F7">
          <w:rPr>
            <w:rFonts w:ascii="Times New Roman" w:hAnsi="Times New Roman" w:cs="Times New Roman"/>
            <w:color w:val="0000FF"/>
            <w:sz w:val="20"/>
            <w:szCs w:val="20"/>
            <w:u w:val="single"/>
          </w:rPr>
          <w:t>Google Scholar</w:t>
        </w:r>
      </w:hyperlink>
      <w:r w:rsidRPr="00A729F7">
        <w:rPr>
          <w:rFonts w:ascii="Times New Roman" w:hAnsi="Times New Roman" w:cs="Times New Roman"/>
          <w:color w:val="1C1D1E"/>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1C1D1E"/>
          <w:sz w:val="20"/>
          <w:szCs w:val="20"/>
        </w:rPr>
        <w:t>435.</w:t>
      </w:r>
      <w:r w:rsidRPr="00A729F7">
        <w:rPr>
          <w:rFonts w:ascii="Times New Roman" w:hAnsi="Times New Roman" w:cs="Times New Roman"/>
          <w:color w:val="1C1D1E"/>
          <w:sz w:val="20"/>
          <w:szCs w:val="20"/>
          <w:shd w:val="clear" w:color="auto" w:fill="FFFFFF"/>
        </w:rPr>
        <w:t xml:space="preserve"> Liang, Y., Pan, H. F. and Ye, D. Q., Tc17 cells in immunity and systemic autoimmunity,</w:t>
      </w:r>
      <w:r w:rsidRPr="00A729F7">
        <w:rPr>
          <w:rFonts w:ascii="Times New Roman" w:hAnsi="Times New Roman" w:cs="Times New Roman"/>
          <w:i/>
          <w:iCs/>
          <w:color w:val="1C1D1E"/>
          <w:sz w:val="20"/>
          <w:szCs w:val="20"/>
          <w:shd w:val="clear" w:color="auto" w:fill="FFFFFF"/>
        </w:rPr>
        <w:t xml:space="preserve"> Int. Rev. Immunol.</w:t>
      </w:r>
      <w:r w:rsidRPr="00A729F7">
        <w:rPr>
          <w:rFonts w:ascii="Times New Roman" w:hAnsi="Times New Roman" w:cs="Times New Roman"/>
          <w:color w:val="1C1D1E"/>
          <w:sz w:val="20"/>
          <w:szCs w:val="20"/>
          <w:shd w:val="clear" w:color="auto" w:fill="FFFFFF"/>
        </w:rPr>
        <w:t> 2015. </w:t>
      </w:r>
      <w:r w:rsidRPr="00A729F7">
        <w:rPr>
          <w:rFonts w:ascii="Times New Roman" w:hAnsi="Times New Roman" w:cs="Times New Roman"/>
          <w:bCs/>
          <w:color w:val="1C1D1E"/>
          <w:sz w:val="20"/>
          <w:szCs w:val="20"/>
          <w:shd w:val="clear" w:color="auto" w:fill="FFFFFF"/>
        </w:rPr>
        <w:t>34</w:t>
      </w:r>
      <w:r w:rsidRPr="00A729F7">
        <w:rPr>
          <w:rFonts w:ascii="Times New Roman" w:hAnsi="Times New Roman" w:cs="Times New Roman"/>
          <w:color w:val="1C1D1E"/>
          <w:sz w:val="20"/>
          <w:szCs w:val="20"/>
          <w:shd w:val="clear" w:color="auto" w:fill="FFFFFF"/>
        </w:rPr>
        <w:t>: 318– 331.</w:t>
      </w:r>
      <w:hyperlink r:id="rId624" w:history="1">
        <w:r w:rsidRPr="00A729F7">
          <w:rPr>
            <w:rFonts w:ascii="Times New Roman" w:hAnsi="Times New Roman" w:cs="Times New Roman"/>
            <w:color w:val="0000FF"/>
            <w:sz w:val="20"/>
            <w:szCs w:val="20"/>
            <w:u w:val="single"/>
          </w:rPr>
          <w:t>Crossref</w:t>
        </w:r>
      </w:hyperlink>
      <w:r w:rsidRPr="00A729F7">
        <w:rPr>
          <w:rFonts w:ascii="Times New Roman" w:hAnsi="Times New Roman" w:cs="Times New Roman"/>
          <w:color w:val="1C1D1E"/>
          <w:sz w:val="20"/>
          <w:szCs w:val="20"/>
        </w:rPr>
        <w:t> </w:t>
      </w:r>
      <w:hyperlink r:id="rId625" w:history="1">
        <w:r w:rsidRPr="00A729F7">
          <w:rPr>
            <w:rFonts w:ascii="Times New Roman" w:hAnsi="Times New Roman" w:cs="Times New Roman"/>
            <w:color w:val="0000FF"/>
            <w:sz w:val="20"/>
            <w:szCs w:val="20"/>
            <w:u w:val="single"/>
          </w:rPr>
          <w:t>CAS</w:t>
        </w:r>
      </w:hyperlink>
      <w:r w:rsidRPr="00A729F7">
        <w:rPr>
          <w:rFonts w:ascii="Times New Roman" w:hAnsi="Times New Roman" w:cs="Times New Roman"/>
          <w:color w:val="1C1D1E"/>
          <w:sz w:val="20"/>
          <w:szCs w:val="20"/>
        </w:rPr>
        <w:t> </w:t>
      </w:r>
      <w:hyperlink r:id="rId626" w:history="1">
        <w:r w:rsidRPr="00A729F7">
          <w:rPr>
            <w:rFonts w:ascii="Times New Roman" w:hAnsi="Times New Roman" w:cs="Times New Roman"/>
            <w:color w:val="0000FF"/>
            <w:sz w:val="20"/>
            <w:szCs w:val="20"/>
            <w:u w:val="single"/>
          </w:rPr>
          <w:t>PubMed</w:t>
        </w:r>
      </w:hyperlink>
      <w:r w:rsidRPr="00A729F7">
        <w:rPr>
          <w:rFonts w:ascii="Times New Roman" w:hAnsi="Times New Roman" w:cs="Times New Roman"/>
          <w:color w:val="1C1D1E"/>
          <w:sz w:val="20"/>
          <w:szCs w:val="20"/>
        </w:rPr>
        <w:t> </w:t>
      </w:r>
      <w:hyperlink r:id="rId627" w:history="1">
        <w:r w:rsidRPr="00A729F7">
          <w:rPr>
            <w:rFonts w:ascii="Times New Roman" w:hAnsi="Times New Roman" w:cs="Times New Roman"/>
            <w:color w:val="0000FF"/>
            <w:sz w:val="20"/>
            <w:szCs w:val="20"/>
            <w:u w:val="single"/>
          </w:rPr>
          <w:t>Web of Science®</w:t>
        </w:r>
      </w:hyperlink>
      <w:hyperlink r:id="rId628" w:tgtFrame="_blank" w:history="1">
        <w:r w:rsidRPr="00A729F7">
          <w:rPr>
            <w:rFonts w:ascii="Times New Roman" w:hAnsi="Times New Roman" w:cs="Times New Roman"/>
            <w:color w:val="0000FF"/>
            <w:sz w:val="20"/>
            <w:szCs w:val="20"/>
            <w:u w:val="single"/>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color w:val="131313"/>
          <w:spacing w:val="-7"/>
          <w:sz w:val="20"/>
          <w:szCs w:val="20"/>
        </w:rPr>
        <w:t xml:space="preserve">436. </w:t>
      </w:r>
      <w:r w:rsidRPr="00A729F7">
        <w:rPr>
          <w:rFonts w:ascii="Times New Roman" w:hAnsi="Times New Roman" w:cs="Times New Roman"/>
          <w:color w:val="000000"/>
          <w:sz w:val="20"/>
          <w:szCs w:val="20"/>
        </w:rPr>
        <w:t>Azusa Sakai, Yumiko Sugawara, Toshinobu Kuroishi, Takashi Sasano and Shunji Sugawara,</w:t>
      </w:r>
      <w:r w:rsidRPr="00A729F7">
        <w:rPr>
          <w:rFonts w:ascii="Times New Roman" w:hAnsi="Times New Roman" w:cs="Times New Roman"/>
          <w:color w:val="131313"/>
          <w:spacing w:val="-7"/>
          <w:sz w:val="20"/>
          <w:szCs w:val="20"/>
        </w:rPr>
        <w:t>Identification of IL-18 and Th17 Cells in Salivary Glands of Patients with Sjögren’s Syndrome, and Amplification of IL-17-Mediated Secretion of Inflammatory Cytokines from Salivary Gland Cells by IL-18,</w:t>
      </w:r>
      <w:r w:rsidRPr="00A729F7">
        <w:rPr>
          <w:rFonts w:ascii="Times New Roman" w:hAnsi="Times New Roman" w:cs="Times New Roman"/>
          <w:color w:val="000000"/>
          <w:sz w:val="20"/>
          <w:szCs w:val="20"/>
        </w:rPr>
        <w:t xml:space="preserve"> J Immunol August 15, 2008, 181 (4) 2898-2906; </w:t>
      </w:r>
      <w:r w:rsidRPr="00A729F7">
        <w:rPr>
          <w:rStyle w:val="id-label"/>
          <w:rFonts w:ascii="Times New Roman" w:hAnsi="Times New Roman" w:cs="Times New Roman"/>
          <w:color w:val="212121"/>
          <w:sz w:val="20"/>
          <w:szCs w:val="20"/>
        </w:rPr>
        <w:t>DOI: </w:t>
      </w:r>
      <w:hyperlink r:id="rId629" w:tgtFrame="_blank" w:history="1">
        <w:r w:rsidRPr="00A729F7">
          <w:rPr>
            <w:rStyle w:val="Hyperlink"/>
            <w:rFonts w:ascii="Times New Roman" w:hAnsi="Times New Roman"/>
            <w:color w:val="0071BC"/>
            <w:sz w:val="20"/>
            <w:szCs w:val="20"/>
          </w:rPr>
          <w:t>10.4049/jimmunol.181.4.2898</w:t>
        </w:r>
      </w:hyperlink>
    </w:p>
    <w:p w:rsidR="00A729F7" w:rsidRPr="00A729F7" w:rsidRDefault="00A729F7" w:rsidP="00A729F7">
      <w:pPr>
        <w:spacing w:line="360" w:lineRule="auto"/>
        <w:rPr>
          <w:rFonts w:ascii="Times New Roman" w:hAnsi="Times New Roman" w:cs="Times New Roman"/>
          <w:i/>
          <w:sz w:val="20"/>
          <w:szCs w:val="20"/>
        </w:rPr>
      </w:pPr>
      <w:r w:rsidRPr="00A729F7">
        <w:rPr>
          <w:rFonts w:ascii="Times New Roman" w:hAnsi="Times New Roman" w:cs="Times New Roman"/>
          <w:color w:val="000000"/>
          <w:sz w:val="20"/>
          <w:szCs w:val="20"/>
        </w:rPr>
        <w:lastRenderedPageBreak/>
        <w:t>437</w:t>
      </w:r>
      <w:r w:rsidRPr="00A729F7">
        <w:rPr>
          <w:rFonts w:ascii="Times New Roman" w:hAnsi="Times New Roman" w:cs="Times New Roman"/>
          <w:i/>
          <w:color w:val="000000"/>
          <w:sz w:val="20"/>
          <w:szCs w:val="20"/>
        </w:rPr>
        <w:t xml:space="preserve">. </w:t>
      </w:r>
      <w:r w:rsidRPr="00A729F7">
        <w:rPr>
          <w:rStyle w:val="HTMLCite"/>
          <w:rFonts w:ascii="Times New Roman" w:hAnsi="Times New Roman"/>
          <w:i w:val="0"/>
          <w:color w:val="000000"/>
          <w:sz w:val="20"/>
          <w:szCs w:val="20"/>
          <w:bdr w:val="none" w:sz="0" w:space="0" w:color="auto" w:frame="1"/>
        </w:rPr>
        <w:t>Wilson, N. J., K. Boniface, J. R. Chan, B. S. McKenzie, W. M. Blumenschein, J. D. Mattson, B. Basham, K. Smith, T. Chen, F. Morel, et al </w:t>
      </w:r>
      <w:r w:rsidRPr="00A729F7">
        <w:rPr>
          <w:rStyle w:val="cit-pub-date"/>
          <w:rFonts w:ascii="Times New Roman" w:hAnsi="Times New Roman" w:cs="Times New Roman"/>
          <w:i/>
          <w:color w:val="000000"/>
          <w:sz w:val="20"/>
          <w:szCs w:val="20"/>
          <w:bdr w:val="none" w:sz="0" w:space="0" w:color="auto" w:frame="1"/>
        </w:rPr>
        <w:t>2007</w:t>
      </w:r>
      <w:r w:rsidRPr="00A729F7">
        <w:rPr>
          <w:rStyle w:val="HTMLCite"/>
          <w:rFonts w:ascii="Times New Roman" w:hAnsi="Times New Roman"/>
          <w:i w:val="0"/>
          <w:color w:val="000000"/>
          <w:sz w:val="20"/>
          <w:szCs w:val="20"/>
          <w:bdr w:val="none" w:sz="0" w:space="0" w:color="auto" w:frame="1"/>
        </w:rPr>
        <w:t>. Development, cytokine profile and function of human interleukin 17-producing helper T cells. </w:t>
      </w:r>
      <w:r w:rsidRPr="00A729F7">
        <w:rPr>
          <w:rStyle w:val="cit-source"/>
          <w:rFonts w:ascii="Times New Roman" w:hAnsi="Times New Roman" w:cs="Times New Roman"/>
          <w:i/>
          <w:color w:val="000000"/>
          <w:sz w:val="20"/>
          <w:szCs w:val="20"/>
          <w:bdr w:val="none" w:sz="0" w:space="0" w:color="auto" w:frame="1"/>
        </w:rPr>
        <w:t>Nat. Immunol.</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i/>
          <w:color w:val="000000"/>
          <w:sz w:val="20"/>
          <w:szCs w:val="20"/>
          <w:bdr w:val="none" w:sz="0" w:space="0" w:color="auto" w:frame="1"/>
        </w:rPr>
        <w:t>8</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i/>
          <w:color w:val="000000"/>
          <w:sz w:val="20"/>
          <w:szCs w:val="20"/>
          <w:bdr w:val="none" w:sz="0" w:space="0" w:color="auto" w:frame="1"/>
        </w:rPr>
        <w:t>950</w:t>
      </w:r>
      <w:r w:rsidRPr="00A729F7">
        <w:rPr>
          <w:rStyle w:val="HTMLCite"/>
          <w:rFonts w:ascii="Times New Roman" w:hAnsi="Times New Roman"/>
          <w:i w:val="0"/>
          <w:color w:val="000000"/>
          <w:sz w:val="20"/>
          <w:szCs w:val="20"/>
          <w:bdr w:val="none" w:sz="0" w:space="0" w:color="auto" w:frame="1"/>
        </w:rPr>
        <w:t>-957. </w:t>
      </w:r>
      <w:hyperlink r:id="rId630" w:history="1">
        <w:r w:rsidRPr="00A729F7">
          <w:rPr>
            <w:rStyle w:val="Hyperlink"/>
            <w:rFonts w:ascii="Times New Roman" w:hAnsi="Times New Roman"/>
            <w:bCs/>
            <w:color w:val="2A7191"/>
            <w:sz w:val="20"/>
            <w:szCs w:val="20"/>
            <w:bdr w:val="none" w:sz="0" w:space="0" w:color="auto" w:frame="1"/>
          </w:rPr>
          <w:t>CrossRef</w:t>
        </w:r>
      </w:hyperlink>
      <w:hyperlink r:id="rId631" w:history="1">
        <w:r w:rsidRPr="00A729F7">
          <w:rPr>
            <w:rStyle w:val="Hyperlink"/>
            <w:rFonts w:ascii="Times New Roman" w:hAnsi="Times New Roman"/>
            <w:bCs/>
            <w:color w:val="2A7191"/>
            <w:sz w:val="20"/>
            <w:szCs w:val="20"/>
            <w:bdr w:val="none" w:sz="0" w:space="0" w:color="auto" w:frame="1"/>
          </w:rPr>
          <w:t>PubMed</w:t>
        </w:r>
      </w:hyperlink>
      <w:hyperlink r:id="rId632"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438. Mohammad Reza Haghshenas, Bijan Khademi, Zahra Faghih, Abbas Ghaderi, Nasrollah Erfani, Immune regulatory cells and IL17-producing lymphocytes in patients with benign and malignant salivary gland tumors, 2015 Apr;164(2):109-16. Epub 2015 Mar 1.doi: </w:t>
      </w:r>
      <w:hyperlink r:id="rId633" w:tgtFrame="_blank" w:history="1">
        <w:r w:rsidRPr="00A729F7">
          <w:rPr>
            <w:rFonts w:ascii="Times New Roman" w:hAnsi="Times New Roman" w:cs="Times New Roman"/>
            <w:color w:val="205493"/>
            <w:sz w:val="20"/>
            <w:szCs w:val="20"/>
            <w:u w:val="single"/>
          </w:rPr>
          <w:t>10.1016/j.imlet.2015.02.008</w:t>
        </w:r>
      </w:hyperlink>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212121"/>
          <w:sz w:val="20"/>
          <w:szCs w:val="20"/>
        </w:rPr>
        <w:t xml:space="preserve">439. Novel interleukin-33 and its soluble ST2 receptor as potential serum biomarkers in parotid gland tumors, Pawel Sowa, Maciej Misiolek, Maciej Zielinsk, Bogdan Mazur, Monika Adamczyk-Sowa, Exp Biol Med (Maywood).2018 May;243(9):762-769 DOI: </w:t>
      </w:r>
      <w:hyperlink r:id="rId634" w:tgtFrame="_blank" w:history="1">
        <w:r w:rsidRPr="00A729F7">
          <w:rPr>
            <w:rStyle w:val="Hyperlink"/>
            <w:rFonts w:ascii="Times New Roman" w:hAnsi="Times New Roman"/>
            <w:sz w:val="20"/>
            <w:szCs w:val="20"/>
          </w:rPr>
          <w:t>10.1177/1535370218774539</w:t>
        </w:r>
      </w:hyperlink>
    </w:p>
    <w:p w:rsidR="00A729F7" w:rsidRPr="00A729F7" w:rsidRDefault="00A729F7" w:rsidP="00A729F7">
      <w:pPr>
        <w:spacing w:line="360" w:lineRule="auto"/>
        <w:rPr>
          <w:rFonts w:ascii="Times New Roman" w:hAnsi="Times New Roman" w:cs="Times New Roman"/>
          <w:i/>
          <w:color w:val="212121"/>
          <w:sz w:val="20"/>
          <w:szCs w:val="20"/>
        </w:rPr>
      </w:pPr>
      <w:r w:rsidRPr="00A729F7">
        <w:rPr>
          <w:rFonts w:ascii="Times New Roman" w:hAnsi="Times New Roman" w:cs="Times New Roman"/>
          <w:color w:val="000000"/>
          <w:sz w:val="20"/>
          <w:szCs w:val="20"/>
        </w:rPr>
        <w:t>440</w:t>
      </w:r>
      <w:r w:rsidRPr="00A729F7">
        <w:rPr>
          <w:rFonts w:ascii="Times New Roman" w:hAnsi="Times New Roman" w:cs="Times New Roman"/>
          <w:i/>
          <w:color w:val="000000"/>
          <w:sz w:val="20"/>
          <w:szCs w:val="20"/>
        </w:rPr>
        <w:t xml:space="preserve">. </w:t>
      </w:r>
      <w:r w:rsidRPr="00A729F7">
        <w:rPr>
          <w:rStyle w:val="HTMLCite"/>
          <w:rFonts w:ascii="Times New Roman" w:hAnsi="Times New Roman"/>
          <w:i w:val="0"/>
          <w:color w:val="000000"/>
          <w:sz w:val="20"/>
          <w:szCs w:val="20"/>
          <w:bdr w:val="none" w:sz="0" w:space="0" w:color="auto" w:frame="1"/>
        </w:rPr>
        <w:t>Ishihara, K., T. Hirano. </w:t>
      </w:r>
      <w:r w:rsidRPr="00A729F7">
        <w:rPr>
          <w:rStyle w:val="cit-pub-date"/>
          <w:rFonts w:ascii="Times New Roman" w:hAnsi="Times New Roman" w:cs="Times New Roman"/>
          <w:i/>
          <w:color w:val="000000"/>
          <w:sz w:val="20"/>
          <w:szCs w:val="20"/>
          <w:bdr w:val="none" w:sz="0" w:space="0" w:color="auto" w:frame="1"/>
        </w:rPr>
        <w:t>2002</w:t>
      </w:r>
      <w:r w:rsidRPr="00A729F7">
        <w:rPr>
          <w:rStyle w:val="HTMLCite"/>
          <w:rFonts w:ascii="Times New Roman" w:hAnsi="Times New Roman"/>
          <w:i w:val="0"/>
          <w:color w:val="000000"/>
          <w:sz w:val="20"/>
          <w:szCs w:val="20"/>
          <w:bdr w:val="none" w:sz="0" w:space="0" w:color="auto" w:frame="1"/>
        </w:rPr>
        <w:t>. IL-6 in autoimmune disease and chronic inflammatory proliferative disease. </w:t>
      </w:r>
      <w:r w:rsidRPr="00A729F7">
        <w:rPr>
          <w:rStyle w:val="cit-source"/>
          <w:rFonts w:ascii="Times New Roman" w:hAnsi="Times New Roman" w:cs="Times New Roman"/>
          <w:color w:val="000000"/>
          <w:sz w:val="20"/>
          <w:szCs w:val="20"/>
          <w:bdr w:val="none" w:sz="0" w:space="0" w:color="auto" w:frame="1"/>
        </w:rPr>
        <w:t>Cytokine Growth Factor Rev.</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13</w:t>
      </w:r>
      <w:r w:rsidRPr="00A729F7">
        <w:rPr>
          <w:rStyle w:val="HTMLCite"/>
          <w:rFonts w:ascii="Times New Roman" w:hAnsi="Times New Roman"/>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357</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368. </w:t>
      </w:r>
      <w:hyperlink r:id="rId635" w:history="1">
        <w:r w:rsidRPr="00A729F7">
          <w:rPr>
            <w:rStyle w:val="Hyperlink"/>
            <w:rFonts w:ascii="Times New Roman" w:hAnsi="Times New Roman"/>
            <w:bCs/>
            <w:color w:val="2A7191"/>
            <w:sz w:val="20"/>
            <w:szCs w:val="20"/>
            <w:bdr w:val="none" w:sz="0" w:space="0" w:color="auto" w:frame="1"/>
          </w:rPr>
          <w:t>CrossRef</w:t>
        </w:r>
      </w:hyperlink>
      <w:hyperlink r:id="rId636" w:history="1">
        <w:r w:rsidRPr="00A729F7">
          <w:rPr>
            <w:rStyle w:val="Hyperlink"/>
            <w:rFonts w:ascii="Times New Roman" w:hAnsi="Times New Roman"/>
            <w:bCs/>
            <w:color w:val="2A7191"/>
            <w:sz w:val="20"/>
            <w:szCs w:val="20"/>
            <w:bdr w:val="none" w:sz="0" w:space="0" w:color="auto" w:frame="1"/>
          </w:rPr>
          <w:t>PubMed</w:t>
        </w:r>
      </w:hyperlink>
      <w:hyperlink r:id="rId637"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441</w:t>
      </w:r>
      <w:r w:rsidRPr="00A729F7">
        <w:rPr>
          <w:rFonts w:ascii="Times New Roman" w:hAnsi="Times New Roman" w:cs="Times New Roman"/>
          <w:i/>
          <w:color w:val="000000"/>
          <w:sz w:val="20"/>
          <w:szCs w:val="20"/>
        </w:rPr>
        <w:t xml:space="preserve">. </w:t>
      </w:r>
      <w:r w:rsidRPr="00A729F7">
        <w:rPr>
          <w:rStyle w:val="HTMLCite"/>
          <w:rFonts w:ascii="Times New Roman" w:hAnsi="Times New Roman"/>
          <w:i w:val="0"/>
          <w:color w:val="000000"/>
          <w:sz w:val="20"/>
          <w:szCs w:val="20"/>
          <w:bdr w:val="none" w:sz="0" w:space="0" w:color="auto" w:frame="1"/>
        </w:rPr>
        <w:t>Bettelli, E., Y. Carrier, W. Gao, T. Korn, T. B. Strom, M. Oukka, H. L. Weiner, V. K. Kuchroo. </w:t>
      </w:r>
      <w:r w:rsidRPr="00A729F7">
        <w:rPr>
          <w:rStyle w:val="cit-pub-date"/>
          <w:rFonts w:ascii="Times New Roman" w:hAnsi="Times New Roman" w:cs="Times New Roman"/>
          <w:i/>
          <w:color w:val="000000"/>
          <w:sz w:val="20"/>
          <w:szCs w:val="20"/>
          <w:bdr w:val="none" w:sz="0" w:space="0" w:color="auto" w:frame="1"/>
        </w:rPr>
        <w:t>2006</w:t>
      </w:r>
      <w:r w:rsidRPr="00A729F7">
        <w:rPr>
          <w:rStyle w:val="HTMLCite"/>
          <w:rFonts w:ascii="Times New Roman" w:hAnsi="Times New Roman"/>
          <w:i w:val="0"/>
          <w:color w:val="000000"/>
          <w:sz w:val="20"/>
          <w:szCs w:val="20"/>
          <w:bdr w:val="none" w:sz="0" w:space="0" w:color="auto" w:frame="1"/>
        </w:rPr>
        <w:t>. Reciprocal developmental pathways for the generation of pathogenic effector T</w:t>
      </w:r>
      <w:r w:rsidRPr="00A729F7">
        <w:rPr>
          <w:rStyle w:val="HTMLCite"/>
          <w:rFonts w:ascii="Times New Roman" w:hAnsi="Times New Roman"/>
          <w:i w:val="0"/>
          <w:color w:val="000000"/>
          <w:sz w:val="20"/>
          <w:szCs w:val="20"/>
          <w:bdr w:val="none" w:sz="0" w:space="0" w:color="auto" w:frame="1"/>
          <w:vertAlign w:val="subscript"/>
        </w:rPr>
        <w:t>H</w:t>
      </w:r>
      <w:r w:rsidRPr="00A729F7">
        <w:rPr>
          <w:rStyle w:val="HTMLCite"/>
          <w:rFonts w:ascii="Times New Roman" w:hAnsi="Times New Roman"/>
          <w:i w:val="0"/>
          <w:color w:val="000000"/>
          <w:sz w:val="20"/>
          <w:szCs w:val="20"/>
          <w:bdr w:val="none" w:sz="0" w:space="0" w:color="auto" w:frame="1"/>
        </w:rPr>
        <w:t>17 and regulatory T cells. </w:t>
      </w:r>
      <w:r w:rsidRPr="00A729F7">
        <w:rPr>
          <w:rStyle w:val="cit-source"/>
          <w:rFonts w:ascii="Times New Roman" w:hAnsi="Times New Roman" w:cs="Times New Roman"/>
          <w:i/>
          <w:color w:val="000000"/>
          <w:sz w:val="20"/>
          <w:szCs w:val="20"/>
          <w:bdr w:val="none" w:sz="0" w:space="0" w:color="auto" w:frame="1"/>
        </w:rPr>
        <w:t>Nature</w:t>
      </w:r>
      <w:r w:rsidRPr="00A729F7">
        <w:rPr>
          <w:rStyle w:val="HTMLCite"/>
          <w:rFonts w:ascii="Times New Roman" w:hAnsi="Times New Roman"/>
          <w:i w:val="0"/>
          <w:color w:val="000000"/>
          <w:sz w:val="20"/>
          <w:szCs w:val="20"/>
          <w:bdr w:val="none" w:sz="0" w:space="0" w:color="auto" w:frame="1"/>
        </w:rPr>
        <w:t> </w:t>
      </w:r>
      <w:r w:rsidRPr="00A729F7">
        <w:rPr>
          <w:rStyle w:val="cit-vol"/>
          <w:rFonts w:ascii="Times New Roman" w:hAnsi="Times New Roman" w:cs="Times New Roman"/>
          <w:bCs/>
          <w:i/>
          <w:color w:val="000000"/>
          <w:sz w:val="20"/>
          <w:szCs w:val="20"/>
          <w:bdr w:val="none" w:sz="0" w:space="0" w:color="auto" w:frame="1"/>
        </w:rPr>
        <w:t>441</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i/>
          <w:color w:val="000000"/>
          <w:sz w:val="20"/>
          <w:szCs w:val="20"/>
          <w:bdr w:val="none" w:sz="0" w:space="0" w:color="auto" w:frame="1"/>
        </w:rPr>
        <w:t>235</w:t>
      </w:r>
      <w:r w:rsidRPr="00A729F7">
        <w:rPr>
          <w:rStyle w:val="HTMLCite"/>
          <w:rFonts w:ascii="Times New Roman" w:hAnsi="Times New Roman"/>
          <w:i w:val="0"/>
          <w:color w:val="000000"/>
          <w:sz w:val="20"/>
          <w:szCs w:val="20"/>
          <w:bdr w:val="none" w:sz="0" w:space="0" w:color="auto" w:frame="1"/>
        </w:rPr>
        <w:t>-238.</w:t>
      </w:r>
      <w:r w:rsidRPr="00A729F7">
        <w:rPr>
          <w:rStyle w:val="HTMLCite"/>
          <w:rFonts w:ascii="Times New Roman" w:hAnsi="Times New Roman"/>
          <w:color w:val="000000"/>
          <w:sz w:val="20"/>
          <w:szCs w:val="20"/>
          <w:bdr w:val="none" w:sz="0" w:space="0" w:color="auto" w:frame="1"/>
        </w:rPr>
        <w:t> </w:t>
      </w:r>
      <w:hyperlink r:id="rId638" w:history="1">
        <w:r w:rsidRPr="00A729F7">
          <w:rPr>
            <w:rStyle w:val="Hyperlink"/>
            <w:rFonts w:ascii="Times New Roman" w:hAnsi="Times New Roman"/>
            <w:bCs/>
            <w:color w:val="2A7191"/>
            <w:sz w:val="20"/>
            <w:szCs w:val="20"/>
            <w:bdr w:val="none" w:sz="0" w:space="0" w:color="auto" w:frame="1"/>
          </w:rPr>
          <w:t>CrossRef</w:t>
        </w:r>
      </w:hyperlink>
      <w:hyperlink r:id="rId639" w:history="1">
        <w:r w:rsidRPr="00A729F7">
          <w:rPr>
            <w:rStyle w:val="Hyperlink"/>
            <w:rFonts w:ascii="Times New Roman" w:hAnsi="Times New Roman"/>
            <w:bCs/>
            <w:color w:val="2A7191"/>
            <w:sz w:val="20"/>
            <w:szCs w:val="20"/>
            <w:bdr w:val="none" w:sz="0" w:space="0" w:color="auto" w:frame="1"/>
          </w:rPr>
          <w:t>PubMed</w:t>
        </w:r>
      </w:hyperlink>
      <w:hyperlink r:id="rId640"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442</w:t>
      </w:r>
      <w:r w:rsidRPr="00A729F7">
        <w:rPr>
          <w:rFonts w:ascii="Times New Roman" w:hAnsi="Times New Roman" w:cs="Times New Roman"/>
          <w:color w:val="000000"/>
          <w:sz w:val="20"/>
          <w:szCs w:val="20"/>
        </w:rPr>
        <w:t xml:space="preserve">. </w:t>
      </w:r>
      <w:r w:rsidRPr="00A729F7">
        <w:rPr>
          <w:rStyle w:val="HTMLCite"/>
          <w:rFonts w:ascii="Times New Roman" w:hAnsi="Times New Roman"/>
          <w:i w:val="0"/>
          <w:color w:val="000000"/>
          <w:sz w:val="20"/>
          <w:szCs w:val="20"/>
          <w:bdr w:val="none" w:sz="0" w:space="0" w:color="auto" w:frame="1"/>
        </w:rPr>
        <w:t>Fox, R. I., H. I. Kang, D. Ando, J. Abrams, E. Pisa. </w:t>
      </w:r>
      <w:r w:rsidRPr="00A729F7">
        <w:rPr>
          <w:rStyle w:val="cit-pub-date"/>
          <w:rFonts w:ascii="Times New Roman" w:hAnsi="Times New Roman" w:cs="Times New Roman"/>
          <w:color w:val="000000"/>
          <w:sz w:val="20"/>
          <w:szCs w:val="20"/>
          <w:bdr w:val="none" w:sz="0" w:space="0" w:color="auto" w:frame="1"/>
        </w:rPr>
        <w:t>1994</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 xml:space="preserve"> Cytokine mRNA expression in salivary gland biopsies of Sjögren’s syndrome. </w:t>
      </w:r>
      <w:r w:rsidRPr="00A729F7">
        <w:rPr>
          <w:rStyle w:val="cit-source"/>
          <w:rFonts w:ascii="Times New Roman" w:hAnsi="Times New Roman" w:cs="Times New Roman"/>
          <w:color w:val="000000"/>
          <w:sz w:val="20"/>
          <w:szCs w:val="20"/>
          <w:bdr w:val="none" w:sz="0" w:space="0" w:color="auto" w:frame="1"/>
        </w:rPr>
        <w:t>J. Immunol.</w:t>
      </w:r>
      <w:r w:rsidRPr="00A729F7">
        <w:rPr>
          <w:rStyle w:val="HTMLCite"/>
          <w:rFonts w:ascii="Times New Roman" w:hAnsi="Times New Roman"/>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152</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5532</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5539</w:t>
      </w:r>
      <w:r w:rsidRPr="00A729F7">
        <w:rPr>
          <w:rStyle w:val="HTMLCite"/>
          <w:rFonts w:ascii="Times New Roman" w:hAnsi="Times New Roman"/>
          <w:color w:val="000000"/>
          <w:sz w:val="20"/>
          <w:szCs w:val="20"/>
          <w:bdr w:val="none" w:sz="0" w:space="0" w:color="auto" w:frame="1"/>
        </w:rPr>
        <w:t>. </w:t>
      </w:r>
      <w:hyperlink r:id="rId641" w:history="1">
        <w:r w:rsidRPr="00A729F7">
          <w:rPr>
            <w:rStyle w:val="cit-reflinks-abstract"/>
            <w:rFonts w:ascii="Times New Roman" w:hAnsi="Times New Roman" w:cs="Times New Roman"/>
            <w:bCs/>
            <w:color w:val="2A7191"/>
            <w:sz w:val="20"/>
            <w:szCs w:val="20"/>
            <w:bdr w:val="none" w:sz="0" w:space="0" w:color="auto" w:frame="1"/>
          </w:rPr>
          <w:t>Abstract</w:t>
        </w:r>
      </w:hyperlink>
      <w:hyperlink r:id="rId642"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color w:val="000000"/>
          <w:sz w:val="20"/>
          <w:szCs w:val="20"/>
        </w:rPr>
      </w:pPr>
      <w:r w:rsidRPr="00A729F7">
        <w:rPr>
          <w:rFonts w:ascii="Times New Roman" w:hAnsi="Times New Roman" w:cs="Times New Roman"/>
          <w:color w:val="000000"/>
          <w:sz w:val="20"/>
          <w:szCs w:val="20"/>
        </w:rPr>
        <w:t xml:space="preserve">443. </w:t>
      </w:r>
      <w:r w:rsidRPr="00A729F7">
        <w:rPr>
          <w:rStyle w:val="HTMLCite"/>
          <w:rFonts w:ascii="Times New Roman" w:hAnsi="Times New Roman"/>
          <w:i w:val="0"/>
          <w:color w:val="000000"/>
          <w:sz w:val="20"/>
          <w:szCs w:val="20"/>
          <w:bdr w:val="none" w:sz="0" w:space="0" w:color="auto" w:frame="1"/>
        </w:rPr>
        <w:t>Kolkowski, E. C., P. Reth, F. Pelusa, J. Bosch, R. Pujol-Borrell, J. Coll, D. Jaraquemada. </w:t>
      </w:r>
      <w:r w:rsidRPr="00A729F7">
        <w:rPr>
          <w:rStyle w:val="cit-pub-date"/>
          <w:rFonts w:ascii="Times New Roman" w:hAnsi="Times New Roman" w:cs="Times New Roman"/>
          <w:i/>
          <w:color w:val="000000"/>
          <w:sz w:val="20"/>
          <w:szCs w:val="20"/>
          <w:bdr w:val="none" w:sz="0" w:space="0" w:color="auto" w:frame="1"/>
        </w:rPr>
        <w:t>1999</w:t>
      </w:r>
      <w:r w:rsidRPr="00A729F7">
        <w:rPr>
          <w:rStyle w:val="HTMLCite"/>
          <w:rFonts w:ascii="Times New Roman" w:hAnsi="Times New Roman"/>
          <w:i w:val="0"/>
          <w:color w:val="000000"/>
          <w:sz w:val="20"/>
          <w:szCs w:val="20"/>
          <w:bdr w:val="none" w:sz="0" w:space="0" w:color="auto" w:frame="1"/>
        </w:rPr>
        <w:t>. Th1 predominance and perforin expression in minor salivary glands from patients with primary Sjögren’s syndrome. </w:t>
      </w:r>
      <w:r w:rsidRPr="00A729F7">
        <w:rPr>
          <w:rStyle w:val="cit-source"/>
          <w:rFonts w:ascii="Times New Roman" w:hAnsi="Times New Roman" w:cs="Times New Roman"/>
          <w:color w:val="000000"/>
          <w:sz w:val="20"/>
          <w:szCs w:val="20"/>
          <w:bdr w:val="none" w:sz="0" w:space="0" w:color="auto" w:frame="1"/>
        </w:rPr>
        <w:t>J. Autoimmun.</w:t>
      </w:r>
      <w:r w:rsidRPr="00A729F7">
        <w:rPr>
          <w:rStyle w:val="HTMLCite"/>
          <w:rFonts w:ascii="Times New Roman" w:hAnsi="Times New Roman"/>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13</w:t>
      </w:r>
      <w:r w:rsidRPr="00A729F7">
        <w:rPr>
          <w:rStyle w:val="HTMLCite"/>
          <w:rFonts w:ascii="Times New Roman" w:hAnsi="Times New Roman"/>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155</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162</w:t>
      </w:r>
      <w:r w:rsidRPr="00A729F7">
        <w:rPr>
          <w:rStyle w:val="HTMLCite"/>
          <w:rFonts w:ascii="Times New Roman" w:hAnsi="Times New Roman"/>
          <w:color w:val="000000"/>
          <w:sz w:val="20"/>
          <w:szCs w:val="20"/>
          <w:bdr w:val="none" w:sz="0" w:space="0" w:color="auto" w:frame="1"/>
        </w:rPr>
        <w:t>.</w:t>
      </w:r>
      <w:hyperlink r:id="rId643" w:history="1">
        <w:r w:rsidRPr="00A729F7">
          <w:rPr>
            <w:rStyle w:val="Hyperlink"/>
            <w:rFonts w:ascii="Times New Roman" w:hAnsi="Times New Roman"/>
            <w:bCs/>
            <w:color w:val="2A7191"/>
            <w:sz w:val="20"/>
            <w:szCs w:val="20"/>
            <w:bdr w:val="none" w:sz="0" w:space="0" w:color="auto" w:frame="1"/>
          </w:rPr>
          <w:t>CrossRef</w:t>
        </w:r>
      </w:hyperlink>
      <w:hyperlink r:id="rId644" w:history="1">
        <w:r w:rsidRPr="00A729F7">
          <w:rPr>
            <w:rStyle w:val="Hyperlink"/>
            <w:rFonts w:ascii="Times New Roman" w:hAnsi="Times New Roman"/>
            <w:bCs/>
            <w:color w:val="2A7191"/>
            <w:sz w:val="20"/>
            <w:szCs w:val="20"/>
            <w:bdr w:val="none" w:sz="0" w:space="0" w:color="auto" w:frame="1"/>
          </w:rPr>
          <w:t>PubMed</w:t>
        </w:r>
      </w:hyperlink>
      <w:hyperlink r:id="rId645" w:history="1">
        <w:r w:rsidRPr="00A729F7">
          <w:rPr>
            <w:rStyle w:val="Hyperlink"/>
            <w:rFonts w:ascii="Times New Roman" w:hAnsi="Times New Roman"/>
            <w:bCs/>
            <w:color w:val="2A7191"/>
            <w:sz w:val="20"/>
            <w:szCs w:val="20"/>
            <w:bdr w:val="none" w:sz="0" w:space="0" w:color="auto" w:frame="1"/>
          </w:rPr>
          <w:t>Google Scholar</w:t>
        </w:r>
      </w:hyperlink>
      <w:r w:rsidRPr="00A729F7">
        <w:rPr>
          <w:rFonts w:ascii="Times New Roman" w:hAnsi="Times New Roman" w:cs="Times New Roman"/>
          <w:color w:val="000000"/>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Style w:val="HTMLCite"/>
          <w:rFonts w:ascii="Times New Roman" w:hAnsi="Times New Roman"/>
          <w:i w:val="0"/>
          <w:iCs w:val="0"/>
          <w:color w:val="000000"/>
          <w:sz w:val="20"/>
          <w:szCs w:val="20"/>
          <w:bdr w:val="none" w:sz="0" w:space="0" w:color="auto" w:frame="1"/>
        </w:rPr>
        <w:t>444</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iCs w:val="0"/>
          <w:color w:val="000000"/>
          <w:sz w:val="20"/>
          <w:szCs w:val="20"/>
          <w:bdr w:val="none" w:sz="0" w:space="0" w:color="auto" w:frame="1"/>
        </w:rPr>
        <w:t xml:space="preserve"> </w:t>
      </w:r>
      <w:r w:rsidRPr="00A729F7">
        <w:rPr>
          <w:rStyle w:val="HTMLCite"/>
          <w:rFonts w:ascii="Times New Roman" w:hAnsi="Times New Roman"/>
          <w:i w:val="0"/>
          <w:color w:val="000000"/>
          <w:sz w:val="20"/>
          <w:szCs w:val="20"/>
          <w:bdr w:val="none" w:sz="0" w:space="0" w:color="auto" w:frame="1"/>
        </w:rPr>
        <w:t>Ohyama, Y., S. Nakamura, G. Matsuzaki, M. Shinohara, A. Hiroki, T. Fujimura, A. Yamada, K. Itoh, K. Nomoto. </w:t>
      </w:r>
      <w:r w:rsidRPr="00A729F7">
        <w:rPr>
          <w:rStyle w:val="cit-pub-date"/>
          <w:rFonts w:ascii="Times New Roman" w:hAnsi="Times New Roman" w:cs="Times New Roman"/>
          <w:i/>
          <w:color w:val="000000"/>
          <w:sz w:val="20"/>
          <w:szCs w:val="20"/>
          <w:bdr w:val="none" w:sz="0" w:space="0" w:color="auto" w:frame="1"/>
        </w:rPr>
        <w:t>1996</w:t>
      </w:r>
      <w:r w:rsidRPr="00A729F7">
        <w:rPr>
          <w:rStyle w:val="HTMLCite"/>
          <w:rFonts w:ascii="Times New Roman" w:hAnsi="Times New Roman"/>
          <w:i w:val="0"/>
          <w:color w:val="000000"/>
          <w:sz w:val="20"/>
          <w:szCs w:val="20"/>
          <w:bdr w:val="none" w:sz="0" w:space="0" w:color="auto" w:frame="1"/>
        </w:rPr>
        <w:t>. Cytokine messenger RNA expression in the labial salivary glands of patients with Sjögren’s syndrome</w:t>
      </w:r>
      <w:r w:rsidRPr="00A729F7">
        <w:rPr>
          <w:rStyle w:val="HTMLCite"/>
          <w:rFonts w:ascii="Times New Roman" w:hAnsi="Times New Roman"/>
          <w:color w:val="000000"/>
          <w:sz w:val="20"/>
          <w:szCs w:val="20"/>
          <w:bdr w:val="none" w:sz="0" w:space="0" w:color="auto" w:frame="1"/>
        </w:rPr>
        <w:t>. </w:t>
      </w:r>
      <w:r w:rsidRPr="00A729F7">
        <w:rPr>
          <w:rStyle w:val="cit-source"/>
          <w:rFonts w:ascii="Times New Roman" w:hAnsi="Times New Roman" w:cs="Times New Roman"/>
          <w:color w:val="000000"/>
          <w:sz w:val="20"/>
          <w:szCs w:val="20"/>
          <w:bdr w:val="none" w:sz="0" w:space="0" w:color="auto" w:frame="1"/>
        </w:rPr>
        <w:t>Arthritis Rheum.</w:t>
      </w:r>
      <w:r w:rsidRPr="00A729F7">
        <w:rPr>
          <w:rStyle w:val="HTMLCite"/>
          <w:rFonts w:ascii="Times New Roman" w:hAnsi="Times New Roman"/>
          <w:color w:val="000000"/>
          <w:sz w:val="20"/>
          <w:szCs w:val="20"/>
          <w:bdr w:val="none" w:sz="0" w:space="0" w:color="auto" w:frame="1"/>
        </w:rPr>
        <w:t> </w:t>
      </w:r>
      <w:r w:rsidRPr="00A729F7">
        <w:rPr>
          <w:rStyle w:val="cit-vol"/>
          <w:rFonts w:ascii="Times New Roman" w:hAnsi="Times New Roman" w:cs="Times New Roman"/>
          <w:bCs/>
          <w:color w:val="000000"/>
          <w:sz w:val="20"/>
          <w:szCs w:val="20"/>
          <w:bdr w:val="none" w:sz="0" w:space="0" w:color="auto" w:frame="1"/>
        </w:rPr>
        <w:t>39</w:t>
      </w:r>
      <w:r w:rsidRPr="00A729F7">
        <w:rPr>
          <w:rStyle w:val="HTMLCite"/>
          <w:rFonts w:ascii="Times New Roman" w:hAnsi="Times New Roman"/>
          <w:color w:val="000000"/>
          <w:sz w:val="20"/>
          <w:szCs w:val="20"/>
          <w:bdr w:val="none" w:sz="0" w:space="0" w:color="auto" w:frame="1"/>
        </w:rPr>
        <w:t>: </w:t>
      </w:r>
      <w:r w:rsidRPr="00A729F7">
        <w:rPr>
          <w:rStyle w:val="cit-fpage"/>
          <w:rFonts w:ascii="Times New Roman" w:hAnsi="Times New Roman" w:cs="Times New Roman"/>
          <w:color w:val="000000"/>
          <w:sz w:val="20"/>
          <w:szCs w:val="20"/>
          <w:bdr w:val="none" w:sz="0" w:space="0" w:color="auto" w:frame="1"/>
        </w:rPr>
        <w:t>1376</w:t>
      </w:r>
      <w:r w:rsidRPr="00A729F7">
        <w:rPr>
          <w:rStyle w:val="HTMLCite"/>
          <w:rFonts w:ascii="Times New Roman" w:hAnsi="Times New Roman"/>
          <w:color w:val="000000"/>
          <w:sz w:val="20"/>
          <w:szCs w:val="20"/>
          <w:bdr w:val="none" w:sz="0" w:space="0" w:color="auto" w:frame="1"/>
        </w:rPr>
        <w:t>-</w:t>
      </w:r>
      <w:r w:rsidRPr="00A729F7">
        <w:rPr>
          <w:rStyle w:val="HTMLCite"/>
          <w:rFonts w:ascii="Times New Roman" w:hAnsi="Times New Roman"/>
          <w:i w:val="0"/>
          <w:color w:val="000000"/>
          <w:sz w:val="20"/>
          <w:szCs w:val="20"/>
          <w:bdr w:val="none" w:sz="0" w:space="0" w:color="auto" w:frame="1"/>
        </w:rPr>
        <w:t>1384.</w:t>
      </w:r>
      <w:r w:rsidRPr="00A729F7">
        <w:rPr>
          <w:rStyle w:val="HTMLCite"/>
          <w:rFonts w:ascii="Times New Roman" w:hAnsi="Times New Roman"/>
          <w:color w:val="000000"/>
          <w:sz w:val="20"/>
          <w:szCs w:val="20"/>
          <w:bdr w:val="none" w:sz="0" w:space="0" w:color="auto" w:frame="1"/>
        </w:rPr>
        <w:t> </w:t>
      </w:r>
      <w:hyperlink r:id="rId646" w:history="1">
        <w:r w:rsidRPr="00A729F7">
          <w:rPr>
            <w:rStyle w:val="Hyperlink"/>
            <w:rFonts w:ascii="Times New Roman" w:hAnsi="Times New Roman"/>
            <w:bCs/>
            <w:color w:val="2A7191"/>
            <w:sz w:val="20"/>
            <w:szCs w:val="20"/>
            <w:bdr w:val="none" w:sz="0" w:space="0" w:color="auto" w:frame="1"/>
          </w:rPr>
          <w:t>CrossRef</w:t>
        </w:r>
      </w:hyperlink>
      <w:hyperlink r:id="rId647" w:history="1">
        <w:r w:rsidRPr="00A729F7">
          <w:rPr>
            <w:rStyle w:val="Hyperlink"/>
            <w:rFonts w:ascii="Times New Roman" w:hAnsi="Times New Roman"/>
            <w:bCs/>
            <w:color w:val="2A7191"/>
            <w:sz w:val="20"/>
            <w:szCs w:val="20"/>
            <w:bdr w:val="none" w:sz="0" w:space="0" w:color="auto" w:frame="1"/>
          </w:rPr>
          <w:t>PubMed</w:t>
        </w:r>
      </w:hyperlink>
      <w:hyperlink r:id="rId648" w:history="1">
        <w:r w:rsidRPr="00A729F7">
          <w:rPr>
            <w:rStyle w:val="Hyperlink"/>
            <w:rFonts w:ascii="Times New Roman" w:hAnsi="Times New Roman"/>
            <w:bCs/>
            <w:color w:val="2A7191"/>
            <w:sz w:val="20"/>
            <w:szCs w:val="20"/>
            <w:bdr w:val="none" w:sz="0" w:space="0" w:color="auto" w:frame="1"/>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445. Milena Radunovic , Nada Tomanovic, Ivana Novakovic, Ivan Boricic, Sanja Milenkovic, Milovan Dimitrijevic, Sanja Radojevic-Skodric, Ljiljana Bogdanovic</w:t>
      </w:r>
      <w:r w:rsidRPr="00A729F7">
        <w:rPr>
          <w:rFonts w:ascii="Times New Roman" w:hAnsi="Times New Roman" w:cs="Times New Roman"/>
          <w:color w:val="000000"/>
          <w:sz w:val="20"/>
          <w:szCs w:val="20"/>
          <w:shd w:val="clear" w:color="auto" w:fill="FFFFFF"/>
        </w:rPr>
        <w:t xml:space="preserve">, </w:t>
      </w:r>
      <w:r w:rsidRPr="00A729F7">
        <w:rPr>
          <w:rFonts w:ascii="Times New Roman" w:hAnsi="Times New Roman" w:cs="Times New Roman"/>
          <w:sz w:val="20"/>
          <w:szCs w:val="20"/>
        </w:rPr>
        <w:t>Cytomegalovirus induces Interleukin-6 mediated inflammatory response in salivary gland cancer,</w:t>
      </w:r>
      <w:r w:rsidRPr="00A729F7">
        <w:rPr>
          <w:rFonts w:ascii="Times New Roman" w:hAnsi="Times New Roman" w:cs="Times New Roman"/>
          <w:color w:val="000000"/>
          <w:sz w:val="20"/>
          <w:szCs w:val="20"/>
          <w:shd w:val="clear" w:color="auto" w:fill="FFFFFF"/>
        </w:rPr>
        <w:t xml:space="preserve"> </w:t>
      </w:r>
      <w:r w:rsidRPr="00A729F7">
        <w:rPr>
          <w:rFonts w:ascii="Times New Roman" w:hAnsi="Times New Roman" w:cs="Times New Roman"/>
          <w:sz w:val="20"/>
          <w:szCs w:val="20"/>
        </w:rPr>
        <w:t>J BUON Nov-Dec 2016;21(6):1530-1536</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446. Okamura, H., H. Tsutsui, T. Komatsu, M. Yutsudo, A. Hakura, T. Tanimoto, K. Torigoe, T. Okura, Y. Nukada, K. Hattori, et al 1995. Cloning of a new cytokine that induces IFN-γ production by T cells. </w:t>
      </w:r>
      <w:r w:rsidRPr="00A729F7">
        <w:rPr>
          <w:rFonts w:ascii="Times New Roman" w:hAnsi="Times New Roman" w:cs="Times New Roman"/>
          <w:i/>
          <w:iCs/>
          <w:sz w:val="20"/>
          <w:szCs w:val="20"/>
        </w:rPr>
        <w:t>Nature</w:t>
      </w:r>
      <w:r w:rsidRPr="00A729F7">
        <w:rPr>
          <w:rFonts w:ascii="Times New Roman" w:hAnsi="Times New Roman" w:cs="Times New Roman"/>
          <w:sz w:val="20"/>
          <w:szCs w:val="20"/>
        </w:rPr>
        <w:t> </w:t>
      </w:r>
      <w:r w:rsidRPr="00A729F7">
        <w:rPr>
          <w:rFonts w:ascii="Times New Roman" w:hAnsi="Times New Roman" w:cs="Times New Roman"/>
          <w:bCs/>
          <w:sz w:val="20"/>
          <w:szCs w:val="20"/>
        </w:rPr>
        <w:t>378</w:t>
      </w:r>
      <w:r w:rsidRPr="00A729F7">
        <w:rPr>
          <w:rFonts w:ascii="Times New Roman" w:hAnsi="Times New Roman" w:cs="Times New Roman"/>
          <w:sz w:val="20"/>
          <w:szCs w:val="20"/>
        </w:rPr>
        <w:t>: 88-91. </w:t>
      </w:r>
      <w:hyperlink r:id="rId649" w:history="1">
        <w:r w:rsidRPr="00A729F7">
          <w:rPr>
            <w:rStyle w:val="Hyperlink"/>
            <w:rFonts w:ascii="Times New Roman" w:hAnsi="Times New Roman"/>
            <w:bCs/>
            <w:sz w:val="20"/>
            <w:szCs w:val="20"/>
          </w:rPr>
          <w:t>CrossRef</w:t>
        </w:r>
      </w:hyperlink>
      <w:hyperlink r:id="rId650" w:history="1">
        <w:r w:rsidRPr="00A729F7">
          <w:rPr>
            <w:rStyle w:val="Hyperlink"/>
            <w:rFonts w:ascii="Times New Roman" w:hAnsi="Times New Roman"/>
            <w:bCs/>
            <w:sz w:val="20"/>
            <w:szCs w:val="20"/>
          </w:rPr>
          <w:t>PubMed</w:t>
        </w:r>
      </w:hyperlink>
      <w:hyperlink r:id="rId651" w:history="1">
        <w:r w:rsidRPr="00A729F7">
          <w:rPr>
            <w:rStyle w:val="Hyperlink"/>
            <w:rFonts w:ascii="Times New Roman" w:hAnsi="Times New Roman"/>
            <w:bCs/>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447. Nakanishi, K., T. Yoshimoto, H. Tsutsui, H. Okamura. 2001. Interleukin-18 regulates both Th1 and Th2 responses. </w:t>
      </w:r>
      <w:r w:rsidRPr="00A729F7">
        <w:rPr>
          <w:rFonts w:ascii="Times New Roman" w:hAnsi="Times New Roman" w:cs="Times New Roman"/>
          <w:i/>
          <w:iCs/>
          <w:sz w:val="20"/>
          <w:szCs w:val="20"/>
        </w:rPr>
        <w:t>Annu. Rev. Immunol.</w:t>
      </w:r>
      <w:r w:rsidRPr="00A729F7">
        <w:rPr>
          <w:rFonts w:ascii="Times New Roman" w:hAnsi="Times New Roman" w:cs="Times New Roman"/>
          <w:sz w:val="20"/>
          <w:szCs w:val="20"/>
        </w:rPr>
        <w:t> </w:t>
      </w:r>
      <w:r w:rsidRPr="00A729F7">
        <w:rPr>
          <w:rFonts w:ascii="Times New Roman" w:hAnsi="Times New Roman" w:cs="Times New Roman"/>
          <w:bCs/>
          <w:sz w:val="20"/>
          <w:szCs w:val="20"/>
        </w:rPr>
        <w:t>19</w:t>
      </w:r>
      <w:r w:rsidRPr="00A729F7">
        <w:rPr>
          <w:rFonts w:ascii="Times New Roman" w:hAnsi="Times New Roman" w:cs="Times New Roman"/>
          <w:sz w:val="20"/>
          <w:szCs w:val="20"/>
        </w:rPr>
        <w:t>: 423-474. </w:t>
      </w:r>
      <w:hyperlink r:id="rId652" w:history="1">
        <w:r w:rsidRPr="00A729F7">
          <w:rPr>
            <w:rStyle w:val="Hyperlink"/>
            <w:rFonts w:ascii="Times New Roman" w:hAnsi="Times New Roman"/>
            <w:bCs/>
            <w:sz w:val="20"/>
            <w:szCs w:val="20"/>
          </w:rPr>
          <w:t>CrossRef</w:t>
        </w:r>
      </w:hyperlink>
      <w:hyperlink r:id="rId653" w:history="1">
        <w:r w:rsidRPr="00A729F7">
          <w:rPr>
            <w:rStyle w:val="Hyperlink"/>
            <w:rFonts w:ascii="Times New Roman" w:hAnsi="Times New Roman"/>
            <w:bCs/>
            <w:sz w:val="20"/>
            <w:szCs w:val="20"/>
          </w:rPr>
          <w:t>PubMed</w:t>
        </w:r>
      </w:hyperlink>
      <w:hyperlink r:id="rId654" w:history="1">
        <w:r w:rsidRPr="00A729F7">
          <w:rPr>
            <w:rStyle w:val="Hyperlink"/>
            <w:rFonts w:ascii="Times New Roman" w:hAnsi="Times New Roman"/>
            <w:bCs/>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448. Dinarello, C. A., G. Fantuzzi. 2003. Interleukin-18 and host defense against infection. </w:t>
      </w:r>
      <w:r w:rsidRPr="00A729F7">
        <w:rPr>
          <w:rFonts w:ascii="Times New Roman" w:hAnsi="Times New Roman" w:cs="Times New Roman"/>
          <w:i/>
          <w:iCs/>
          <w:sz w:val="20"/>
          <w:szCs w:val="20"/>
        </w:rPr>
        <w:t>J. Infect. Dis.</w:t>
      </w:r>
      <w:r w:rsidRPr="00A729F7">
        <w:rPr>
          <w:rFonts w:ascii="Times New Roman" w:hAnsi="Times New Roman" w:cs="Times New Roman"/>
          <w:sz w:val="20"/>
          <w:szCs w:val="20"/>
        </w:rPr>
        <w:t> </w:t>
      </w:r>
      <w:r w:rsidRPr="00A729F7">
        <w:rPr>
          <w:rFonts w:ascii="Times New Roman" w:hAnsi="Times New Roman" w:cs="Times New Roman"/>
          <w:bCs/>
          <w:sz w:val="20"/>
          <w:szCs w:val="20"/>
        </w:rPr>
        <w:t>187</w:t>
      </w:r>
      <w:r w:rsidRPr="00A729F7">
        <w:rPr>
          <w:rFonts w:ascii="Times New Roman" w:hAnsi="Times New Roman" w:cs="Times New Roman"/>
          <w:sz w:val="20"/>
          <w:szCs w:val="20"/>
        </w:rPr>
        <w:t>: S370-S384. </w:t>
      </w:r>
      <w:hyperlink r:id="rId655" w:history="1">
        <w:r w:rsidRPr="00A729F7">
          <w:rPr>
            <w:rStyle w:val="Hyperlink"/>
            <w:rFonts w:ascii="Times New Roman" w:hAnsi="Times New Roman"/>
            <w:bCs/>
            <w:sz w:val="20"/>
            <w:szCs w:val="20"/>
          </w:rPr>
          <w:t>CrossRef</w:t>
        </w:r>
      </w:hyperlink>
      <w:hyperlink r:id="rId656" w:history="1">
        <w:r w:rsidRPr="00A729F7">
          <w:rPr>
            <w:rStyle w:val="Hyperlink"/>
            <w:rFonts w:ascii="Times New Roman" w:hAnsi="Times New Roman"/>
            <w:bCs/>
            <w:sz w:val="20"/>
            <w:szCs w:val="20"/>
          </w:rPr>
          <w:t>PubMed</w:t>
        </w:r>
      </w:hyperlink>
      <w:hyperlink r:id="rId657" w:history="1">
        <w:r w:rsidRPr="00A729F7">
          <w:rPr>
            <w:rStyle w:val="Hyperlink"/>
            <w:rFonts w:ascii="Times New Roman" w:hAnsi="Times New Roman"/>
            <w:bCs/>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449. Gracie, J. A., S. E. Robertson, I. B. McInnes. 2003. Interleukin-18. </w:t>
      </w:r>
      <w:r w:rsidRPr="00A729F7">
        <w:rPr>
          <w:rFonts w:ascii="Times New Roman" w:hAnsi="Times New Roman" w:cs="Times New Roman"/>
          <w:i/>
          <w:iCs/>
          <w:sz w:val="20"/>
          <w:szCs w:val="20"/>
        </w:rPr>
        <w:t>J. Leukocyte Biol.</w:t>
      </w:r>
      <w:r w:rsidRPr="00A729F7">
        <w:rPr>
          <w:rFonts w:ascii="Times New Roman" w:hAnsi="Times New Roman" w:cs="Times New Roman"/>
          <w:sz w:val="20"/>
          <w:szCs w:val="20"/>
        </w:rPr>
        <w:t> </w:t>
      </w:r>
      <w:r w:rsidRPr="00A729F7">
        <w:rPr>
          <w:rFonts w:ascii="Times New Roman" w:hAnsi="Times New Roman" w:cs="Times New Roman"/>
          <w:bCs/>
          <w:sz w:val="20"/>
          <w:szCs w:val="20"/>
        </w:rPr>
        <w:t>73</w:t>
      </w:r>
      <w:r w:rsidRPr="00A729F7">
        <w:rPr>
          <w:rFonts w:ascii="Times New Roman" w:hAnsi="Times New Roman" w:cs="Times New Roman"/>
          <w:sz w:val="20"/>
          <w:szCs w:val="20"/>
        </w:rPr>
        <w:t>: 213-224. </w:t>
      </w:r>
      <w:hyperlink r:id="rId658" w:history="1">
        <w:r w:rsidRPr="00A729F7">
          <w:rPr>
            <w:rStyle w:val="Hyperlink"/>
            <w:rFonts w:ascii="Times New Roman" w:hAnsi="Times New Roman"/>
            <w:bCs/>
            <w:sz w:val="20"/>
            <w:szCs w:val="20"/>
          </w:rPr>
          <w:t>Abstract/FREE Full Text</w:t>
        </w:r>
      </w:hyperlink>
      <w:hyperlink r:id="rId659" w:history="1">
        <w:r w:rsidRPr="00A729F7">
          <w:rPr>
            <w:rStyle w:val="Hyperlink"/>
            <w:rFonts w:ascii="Times New Roman" w:hAnsi="Times New Roman"/>
            <w:bCs/>
            <w:sz w:val="20"/>
            <w:szCs w:val="20"/>
          </w:rPr>
          <w:t>Google Scholar</w:t>
        </w:r>
      </w:hyperlink>
      <w:r w:rsidRPr="00A729F7">
        <w:rPr>
          <w:rFonts w:ascii="Times New Roman" w:hAnsi="Times New Roman" w:cs="Times New Roman"/>
          <w:sz w:val="20"/>
          <w:szCs w:val="20"/>
        </w:rPr>
        <w:t xml:space="preserve"> </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450. Sugawara, S., A. Uehara, T. Nochi, T. Yamaguchi, H. Ueda, A. Sugiyama, K. Hanzawa, K. Kumagai, H. Okamura, H. Takada. 2001. Neutrophil proteinase 3-mediated induction of bioactive IL-18 secretion by human oral epithelial cells. </w:t>
      </w:r>
      <w:r w:rsidRPr="00A729F7">
        <w:rPr>
          <w:rFonts w:ascii="Times New Roman" w:hAnsi="Times New Roman" w:cs="Times New Roman"/>
          <w:i/>
          <w:iCs/>
          <w:sz w:val="20"/>
          <w:szCs w:val="20"/>
        </w:rPr>
        <w:t>J. Immunol.</w:t>
      </w:r>
      <w:r w:rsidRPr="00A729F7">
        <w:rPr>
          <w:rFonts w:ascii="Times New Roman" w:hAnsi="Times New Roman" w:cs="Times New Roman"/>
          <w:sz w:val="20"/>
          <w:szCs w:val="20"/>
        </w:rPr>
        <w:t> </w:t>
      </w:r>
      <w:r w:rsidRPr="00A729F7">
        <w:rPr>
          <w:rFonts w:ascii="Times New Roman" w:hAnsi="Times New Roman" w:cs="Times New Roman"/>
          <w:bCs/>
          <w:sz w:val="20"/>
          <w:szCs w:val="20"/>
        </w:rPr>
        <w:t>167</w:t>
      </w:r>
      <w:r w:rsidRPr="00A729F7">
        <w:rPr>
          <w:rFonts w:ascii="Times New Roman" w:hAnsi="Times New Roman" w:cs="Times New Roman"/>
          <w:sz w:val="20"/>
          <w:szCs w:val="20"/>
        </w:rPr>
        <w:t>: 6568-6575. </w:t>
      </w:r>
      <w:hyperlink r:id="rId660" w:history="1">
        <w:r w:rsidRPr="00A729F7">
          <w:rPr>
            <w:rStyle w:val="Hyperlink"/>
            <w:rFonts w:ascii="Times New Roman" w:hAnsi="Times New Roman"/>
            <w:bCs/>
            <w:sz w:val="20"/>
            <w:szCs w:val="20"/>
          </w:rPr>
          <w:t>Abstract/FREE Full Text</w:t>
        </w:r>
      </w:hyperlink>
      <w:hyperlink r:id="rId661" w:history="1">
        <w:r w:rsidRPr="00A729F7">
          <w:rPr>
            <w:rStyle w:val="Hyperlink"/>
            <w:rFonts w:ascii="Times New Roman" w:hAnsi="Times New Roman"/>
            <w:bCs/>
            <w:sz w:val="20"/>
            <w:szCs w:val="20"/>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451.</w:t>
      </w:r>
      <w:r w:rsidRPr="00A729F7">
        <w:rPr>
          <w:rFonts w:ascii="Times New Roman" w:hAnsi="Times New Roman" w:cs="Times New Roman"/>
          <w:i/>
          <w:iCs/>
          <w:sz w:val="20"/>
          <w:szCs w:val="20"/>
        </w:rPr>
        <w:t xml:space="preserve"> </w:t>
      </w:r>
      <w:r w:rsidRPr="00A729F7">
        <w:rPr>
          <w:rFonts w:ascii="Times New Roman" w:hAnsi="Times New Roman" w:cs="Times New Roman"/>
          <w:sz w:val="20"/>
          <w:szCs w:val="20"/>
        </w:rPr>
        <w:t>Nishioka, T., T. Kuroishi, Y. Sugawara, Z. Yu, T. Sasano, Y. Endo, S. Sugawara. 2007. Induction of serum IL-18 with </w:t>
      </w:r>
      <w:r w:rsidRPr="00A729F7">
        <w:rPr>
          <w:rFonts w:ascii="Times New Roman" w:hAnsi="Times New Roman" w:cs="Times New Roman"/>
          <w:i/>
          <w:iCs/>
          <w:sz w:val="20"/>
          <w:szCs w:val="20"/>
        </w:rPr>
        <w:t>Propionibacterium acnes</w:t>
      </w:r>
      <w:r w:rsidRPr="00A729F7">
        <w:rPr>
          <w:rFonts w:ascii="Times New Roman" w:hAnsi="Times New Roman" w:cs="Times New Roman"/>
          <w:sz w:val="20"/>
          <w:szCs w:val="20"/>
        </w:rPr>
        <w:t> and lipopolysaccharide in phagocytic macrophage-inactivated mice. </w:t>
      </w:r>
      <w:r w:rsidRPr="00A729F7">
        <w:rPr>
          <w:rFonts w:ascii="Times New Roman" w:hAnsi="Times New Roman" w:cs="Times New Roman"/>
          <w:i/>
          <w:iCs/>
          <w:sz w:val="20"/>
          <w:szCs w:val="20"/>
        </w:rPr>
        <w:t>J. Leukocyte Biol.</w:t>
      </w:r>
      <w:r w:rsidRPr="00A729F7">
        <w:rPr>
          <w:rFonts w:ascii="Times New Roman" w:hAnsi="Times New Roman" w:cs="Times New Roman"/>
          <w:sz w:val="20"/>
          <w:szCs w:val="20"/>
        </w:rPr>
        <w:t> </w:t>
      </w:r>
      <w:r w:rsidRPr="00A729F7">
        <w:rPr>
          <w:rFonts w:ascii="Times New Roman" w:hAnsi="Times New Roman" w:cs="Times New Roman"/>
          <w:bCs/>
          <w:sz w:val="20"/>
          <w:szCs w:val="20"/>
        </w:rPr>
        <w:t>82</w:t>
      </w:r>
      <w:r w:rsidRPr="00A729F7">
        <w:rPr>
          <w:rFonts w:ascii="Times New Roman" w:hAnsi="Times New Roman" w:cs="Times New Roman"/>
          <w:sz w:val="20"/>
          <w:szCs w:val="20"/>
        </w:rPr>
        <w:t>: 327-334. </w:t>
      </w:r>
      <w:hyperlink r:id="rId662" w:history="1">
        <w:r w:rsidRPr="00A729F7">
          <w:rPr>
            <w:rStyle w:val="Hyperlink"/>
            <w:rFonts w:ascii="Times New Roman" w:hAnsi="Times New Roman"/>
            <w:bCs/>
            <w:sz w:val="20"/>
            <w:szCs w:val="20"/>
          </w:rPr>
          <w:t>Abstract/FREE Full Text</w:t>
        </w:r>
      </w:hyperlink>
      <w:hyperlink r:id="rId663" w:history="1">
        <w:r w:rsidRPr="00A729F7">
          <w:rPr>
            <w:rStyle w:val="Hyperlink"/>
            <w:rFonts w:ascii="Times New Roman" w:hAnsi="Times New Roman"/>
            <w:bCs/>
            <w:sz w:val="20"/>
            <w:szCs w:val="20"/>
          </w:rPr>
          <w:t>Google Scholar</w:t>
        </w:r>
      </w:hyperlink>
    </w:p>
    <w:p w:rsidR="00A729F7" w:rsidRPr="00A729F7" w:rsidRDefault="00A729F7" w:rsidP="00A729F7">
      <w:pPr>
        <w:spacing w:line="360" w:lineRule="auto"/>
        <w:rPr>
          <w:rFonts w:ascii="Times New Roman" w:hAnsi="Times New Roman" w:cs="Times New Roman"/>
          <w:color w:val="212121"/>
          <w:sz w:val="20"/>
          <w:szCs w:val="20"/>
        </w:rPr>
      </w:pPr>
      <w:r w:rsidRPr="00A729F7">
        <w:rPr>
          <w:rFonts w:ascii="Times New Roman" w:hAnsi="Times New Roman" w:cs="Times New Roman"/>
          <w:color w:val="000000"/>
          <w:sz w:val="20"/>
          <w:szCs w:val="20"/>
          <w:shd w:val="clear" w:color="auto" w:fill="FFFFFF"/>
        </w:rPr>
        <w:lastRenderedPageBreak/>
        <w:t xml:space="preserve">421. </w:t>
      </w:r>
      <w:r w:rsidRPr="00A729F7">
        <w:rPr>
          <w:rFonts w:ascii="Times New Roman" w:hAnsi="Times New Roman" w:cs="Times New Roman"/>
          <w:color w:val="000000"/>
          <w:sz w:val="20"/>
          <w:szCs w:val="20"/>
        </w:rPr>
        <w:t>Azusa Sakai, Yumiko Sugawara, Toshinobu Kuroishi, Takashi Sasano and Shunji Sugawara,</w:t>
      </w:r>
      <w:r w:rsidRPr="00A729F7">
        <w:rPr>
          <w:rFonts w:ascii="Times New Roman" w:hAnsi="Times New Roman" w:cs="Times New Roman"/>
          <w:color w:val="131313"/>
          <w:spacing w:val="-7"/>
          <w:sz w:val="20"/>
          <w:szCs w:val="20"/>
        </w:rPr>
        <w:t>Identification of IL-18 and Th17 Cells in Salivary Glands of Patients with Sjögren’s Syndrome, and Amplification of IL-17-Mediated Secretion of Inflammatory Cytokines from Salivary Gland Cells by IL-18,</w:t>
      </w:r>
      <w:r w:rsidRPr="00A729F7">
        <w:rPr>
          <w:rFonts w:ascii="Times New Roman" w:hAnsi="Times New Roman" w:cs="Times New Roman"/>
          <w:color w:val="000000"/>
          <w:sz w:val="20"/>
          <w:szCs w:val="20"/>
        </w:rPr>
        <w:t xml:space="preserve"> J Immunol August 15, 2008, 181 (4) 2898-2906; </w:t>
      </w:r>
      <w:r w:rsidRPr="00A729F7">
        <w:rPr>
          <w:rStyle w:val="id-label"/>
          <w:rFonts w:ascii="Times New Roman" w:hAnsi="Times New Roman" w:cs="Times New Roman"/>
          <w:color w:val="212121"/>
          <w:sz w:val="20"/>
          <w:szCs w:val="20"/>
        </w:rPr>
        <w:t>DOI: </w:t>
      </w:r>
      <w:hyperlink r:id="rId664" w:tgtFrame="_blank" w:history="1">
        <w:r w:rsidRPr="00A729F7">
          <w:rPr>
            <w:rStyle w:val="Hyperlink"/>
            <w:rFonts w:ascii="Times New Roman" w:hAnsi="Times New Roman"/>
            <w:color w:val="0071BC"/>
            <w:sz w:val="20"/>
            <w:szCs w:val="20"/>
          </w:rPr>
          <w:t>10.4049/jimmunol.181.4.2898</w:t>
        </w:r>
      </w:hyperlink>
    </w:p>
    <w:p w:rsidR="00A729F7" w:rsidRPr="00A729F7" w:rsidRDefault="00A729F7" w:rsidP="00A729F7">
      <w:pPr>
        <w:spacing w:line="360" w:lineRule="auto"/>
        <w:rPr>
          <w:rFonts w:ascii="Times New Roman" w:hAnsi="Times New Roman" w:cs="Times New Roman"/>
          <w:color w:val="212121"/>
          <w:sz w:val="20"/>
          <w:szCs w:val="20"/>
          <w:shd w:val="clear" w:color="auto" w:fill="FFFFFF"/>
        </w:rPr>
      </w:pPr>
      <w:r w:rsidRPr="00A729F7">
        <w:rPr>
          <w:rFonts w:ascii="Times New Roman" w:hAnsi="Times New Roman" w:cs="Times New Roman"/>
          <w:color w:val="212121"/>
          <w:sz w:val="20"/>
          <w:szCs w:val="20"/>
          <w:shd w:val="clear" w:color="auto" w:fill="FFFFFF"/>
        </w:rPr>
        <w:t>453. Bombardieri, M., F. Barone, V. Pittoni, C. Alessandri, P. Conigliaro, M. C. Blades, R. Priori, I. B. McInnes, G. Valesini, C. Pitzalis. 2004. Increased circulating levels and salivary gland expression of interleukin-18 in patients with Sjögren’s syndrome: relationship with autoantibody production and lymphoid organization of the periductal inflammatory infiltrate. </w:t>
      </w:r>
      <w:r w:rsidRPr="00A729F7">
        <w:rPr>
          <w:rFonts w:ascii="Times New Roman" w:hAnsi="Times New Roman" w:cs="Times New Roman"/>
          <w:i/>
          <w:iCs/>
          <w:color w:val="212121"/>
          <w:sz w:val="20"/>
          <w:szCs w:val="20"/>
          <w:shd w:val="clear" w:color="auto" w:fill="FFFFFF"/>
        </w:rPr>
        <w:t>Arthritis Res. Ther.</w:t>
      </w:r>
      <w:r w:rsidRPr="00A729F7">
        <w:rPr>
          <w:rFonts w:ascii="Times New Roman" w:hAnsi="Times New Roman" w:cs="Times New Roman"/>
          <w:color w:val="212121"/>
          <w:sz w:val="20"/>
          <w:szCs w:val="20"/>
          <w:shd w:val="clear" w:color="auto" w:fill="FFFFFF"/>
        </w:rPr>
        <w:t> </w:t>
      </w:r>
      <w:r w:rsidRPr="00A729F7">
        <w:rPr>
          <w:rFonts w:ascii="Times New Roman" w:hAnsi="Times New Roman" w:cs="Times New Roman"/>
          <w:bCs/>
          <w:color w:val="212121"/>
          <w:sz w:val="20"/>
          <w:szCs w:val="20"/>
          <w:shd w:val="clear" w:color="auto" w:fill="FFFFFF"/>
        </w:rPr>
        <w:t>6</w:t>
      </w:r>
      <w:r w:rsidRPr="00A729F7">
        <w:rPr>
          <w:rFonts w:ascii="Times New Roman" w:hAnsi="Times New Roman" w:cs="Times New Roman"/>
          <w:color w:val="212121"/>
          <w:sz w:val="20"/>
          <w:szCs w:val="20"/>
          <w:shd w:val="clear" w:color="auto" w:fill="FFFFFF"/>
        </w:rPr>
        <w:t>: R447-R456. </w:t>
      </w:r>
      <w:hyperlink r:id="rId665" w:history="1">
        <w:r w:rsidRPr="00A729F7">
          <w:rPr>
            <w:rStyle w:val="Hyperlink"/>
            <w:rFonts w:ascii="Times New Roman" w:hAnsi="Times New Roman"/>
            <w:bCs/>
            <w:sz w:val="20"/>
            <w:szCs w:val="20"/>
            <w:shd w:val="clear" w:color="auto" w:fill="FFFFFF"/>
          </w:rPr>
          <w:t>CrossRef</w:t>
        </w:r>
      </w:hyperlink>
      <w:hyperlink r:id="rId666" w:history="1">
        <w:r w:rsidRPr="00A729F7">
          <w:rPr>
            <w:rStyle w:val="Hyperlink"/>
            <w:rFonts w:ascii="Times New Roman" w:hAnsi="Times New Roman"/>
            <w:bCs/>
            <w:sz w:val="20"/>
            <w:szCs w:val="20"/>
            <w:shd w:val="clear" w:color="auto" w:fill="FFFFFF"/>
          </w:rPr>
          <w:t>PubMed</w:t>
        </w:r>
      </w:hyperlink>
      <w:hyperlink r:id="rId667" w:history="1">
        <w:r w:rsidRPr="00A729F7">
          <w:rPr>
            <w:rStyle w:val="Hyperlink"/>
            <w:rFonts w:ascii="Times New Roman" w:hAnsi="Times New Roman"/>
            <w:bCs/>
            <w:sz w:val="20"/>
            <w:szCs w:val="20"/>
            <w:shd w:val="clear" w:color="auto" w:fill="FFFFFF"/>
          </w:rPr>
          <w:t>Google Scholar</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454. Bikker A, van Woerkom JM, Kruize AA, Wenting-van Wijk M, de Jager W, Bijlsma JWJ, et al. Increased expression of interleukin-7 in labial salivary glands of patients with primary Sjögren’s syndrome correlates with increased inflammation. Arthritis Rheum. 2010;62(4):969</w:t>
      </w:r>
      <w:r w:rsidRPr="00A729F7">
        <w:rPr>
          <w:rFonts w:ascii="Times New Roman" w:hAnsi="Times New Roman" w:cs="Times New Roman"/>
          <w:sz w:val="20"/>
          <w:szCs w:val="20"/>
        </w:rPr>
        <w:noBreakHyphen/>
        <w:t>77</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455. Bikker A, Kruize AA, Wenting M, Versnel MA, Bijlsma JWJ, Lafeber FPJG, et al. Increased interleukin (IL)-7Rα expression in salivary glands of patients with primary Sjogren’s syndrome is restricted to T cells and correlates with IL-7 expression, lymphocyte numbers and activity. Ann Rheum Dis. 2012;71(6):1027</w:t>
      </w:r>
      <w:r w:rsidRPr="00A729F7">
        <w:rPr>
          <w:rFonts w:ascii="Times New Roman" w:hAnsi="Times New Roman" w:cs="Times New Roman"/>
          <w:sz w:val="20"/>
          <w:szCs w:val="20"/>
        </w:rPr>
        <w:noBreakHyphen/>
        <w:t>33</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456. Hillen MR, Blokland SL, Risselada AP, Bikker A, Lauwerys B R , Kruize A A et al. </w:t>
      </w:r>
      <w:r w:rsidRPr="00A729F7">
        <w:rPr>
          <w:rFonts w:ascii="Times New Roman" w:hAnsi="Times New Roman" w:cs="Times New Roman"/>
          <w:color w:val="333333"/>
          <w:sz w:val="20"/>
          <w:szCs w:val="20"/>
          <w:shd w:val="clear" w:color="auto" w:fill="FFFFFF"/>
        </w:rPr>
        <w:t>AB0047 High Soluble IL-7 Receptor Expression in Sjögren's Syndrome Identifies Patients with Increased Immunopathology and Dryness,</w:t>
      </w:r>
      <w:r w:rsidRPr="00A729F7">
        <w:rPr>
          <w:rFonts w:ascii="Times New Roman" w:hAnsi="Times New Roman" w:cs="Times New Roman"/>
          <w:sz w:val="20"/>
          <w:szCs w:val="20"/>
        </w:rPr>
        <w:t xml:space="preserve"> </w:t>
      </w:r>
      <w:hyperlink r:id="rId668" w:tgtFrame="_new" w:history="1">
        <w:r w:rsidRPr="00A729F7">
          <w:rPr>
            <w:rStyle w:val="Hyperlink"/>
            <w:rFonts w:ascii="Times New Roman" w:hAnsi="Times New Roman"/>
            <w:color w:val="005A96"/>
            <w:sz w:val="20"/>
            <w:szCs w:val="20"/>
            <w:shd w:val="clear" w:color="auto" w:fill="FFFFFF"/>
          </w:rPr>
          <w:t>http://dx.doi.org/10.1136/annrheumdis-2016-eular.4061</w:t>
        </w:r>
      </w:hyperlink>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457. Timmer TCG, Baltus B, Vondenhoff M, Huizinga TWJ, Tak PP, Verweij CL, et al. Inflammation and ectopic lymphoid structures in rheumatoid arthritis synovial tissues dissected by genomics technology: identification of the interleukin-7 signaling pathway in tissues with lymphoid neogenesis. Arthritis Rheum. 2007;56(8):2492</w:t>
      </w:r>
      <w:r w:rsidRPr="00A729F7">
        <w:rPr>
          <w:rFonts w:ascii="Times New Roman" w:hAnsi="Times New Roman" w:cs="Times New Roman"/>
          <w:sz w:val="20"/>
          <w:szCs w:val="20"/>
        </w:rPr>
        <w:noBreakHyphen/>
        <w:t>502</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458. Jin J-O, Kawai T, Cha S, Yu Q. Interleukin-7 enhances the Th1 response to promote the development of Sjögren’s syndrome-like autoimmune exocrinopathy in mice. Arthritis Rheum. 2013;65(8):2132</w:t>
      </w:r>
      <w:r w:rsidRPr="00A729F7">
        <w:rPr>
          <w:rFonts w:ascii="Times New Roman" w:hAnsi="Times New Roman" w:cs="Times New Roman"/>
          <w:sz w:val="20"/>
          <w:szCs w:val="20"/>
        </w:rPr>
        <w:noBreakHyphen/>
        <w:t>4211</w:t>
      </w:r>
    </w:p>
    <w:p w:rsidR="00A729F7" w:rsidRPr="00A729F7" w:rsidRDefault="00A729F7" w:rsidP="00A729F7">
      <w:pPr>
        <w:spacing w:line="360" w:lineRule="auto"/>
        <w:rPr>
          <w:rFonts w:ascii="Times New Roman" w:hAnsi="Times New Roman" w:cs="Times New Roman"/>
          <w:sz w:val="20"/>
          <w:szCs w:val="20"/>
        </w:rPr>
      </w:pPr>
      <w:r w:rsidRPr="00A729F7">
        <w:rPr>
          <w:rFonts w:ascii="Times New Roman" w:hAnsi="Times New Roman" w:cs="Times New Roman"/>
          <w:sz w:val="20"/>
          <w:szCs w:val="20"/>
        </w:rPr>
        <w:t xml:space="preserve">459. Azadeh Andishe-Tadbir, Investigation of IL-33 serum levels in patients with benign and malignant salivary gland tumors, Cancer Biomarkers -1 (2018) 1–5 1 DOI 10.3233/CBM-181309  </w:t>
      </w:r>
    </w:p>
    <w:p w:rsidR="00D2613E" w:rsidRPr="00390246" w:rsidRDefault="00D2613E" w:rsidP="00A95576">
      <w:pPr>
        <w:spacing w:line="360" w:lineRule="auto"/>
        <w:rPr>
          <w:rFonts w:ascii="Times New Roman" w:hAnsi="Times New Roman" w:cs="Times New Roman"/>
          <w:b/>
          <w:sz w:val="24"/>
          <w:szCs w:val="24"/>
        </w:rPr>
      </w:pPr>
    </w:p>
    <w:p w:rsidR="0008187F" w:rsidRPr="00A926CA" w:rsidRDefault="0008187F" w:rsidP="00A95576">
      <w:pPr>
        <w:pStyle w:val="ListParagraph"/>
        <w:spacing w:after="200" w:line="360" w:lineRule="auto"/>
        <w:ind w:left="0"/>
        <w:contextualSpacing/>
        <w:jc w:val="both"/>
        <w:rPr>
          <w:rFonts w:ascii="Times New Roman" w:hAnsi="Times New Roman" w:cs="Times New Roman"/>
          <w:sz w:val="20"/>
          <w:szCs w:val="20"/>
          <w:lang w:val="ru-RU"/>
        </w:rPr>
      </w:pPr>
    </w:p>
    <w:p w:rsidR="00596B44" w:rsidRDefault="00596B44" w:rsidP="00FD0732">
      <w:pPr>
        <w:spacing w:line="360" w:lineRule="auto"/>
        <w:jc w:val="both"/>
        <w:rPr>
          <w:rFonts w:ascii="Georgia" w:hAnsi="Georgia" w:cs="Times New Roman"/>
          <w:color w:val="000000"/>
          <w:sz w:val="24"/>
          <w:szCs w:val="24"/>
          <w:lang w:eastAsia="en-GB"/>
        </w:rPr>
      </w:pPr>
    </w:p>
    <w:p w:rsidR="00596B44" w:rsidRDefault="00596B44" w:rsidP="00FD0732">
      <w:pPr>
        <w:spacing w:line="360" w:lineRule="auto"/>
        <w:jc w:val="both"/>
        <w:rPr>
          <w:rFonts w:ascii="Georgia" w:hAnsi="Georgia" w:cs="Times New Roman"/>
          <w:color w:val="000000"/>
          <w:sz w:val="24"/>
          <w:szCs w:val="24"/>
          <w:lang w:eastAsia="en-GB"/>
        </w:rPr>
      </w:pPr>
    </w:p>
    <w:p w:rsidR="00596B44" w:rsidRDefault="00596B44" w:rsidP="00FD0732">
      <w:pPr>
        <w:spacing w:line="360" w:lineRule="auto"/>
        <w:jc w:val="both"/>
        <w:rPr>
          <w:rFonts w:ascii="Georgia" w:hAnsi="Georgia" w:cs="Times New Roman"/>
          <w:color w:val="000000"/>
          <w:sz w:val="24"/>
          <w:szCs w:val="24"/>
          <w:lang w:eastAsia="en-GB"/>
        </w:rPr>
      </w:pPr>
    </w:p>
    <w:p w:rsidR="00596B44" w:rsidRDefault="00596B44" w:rsidP="00FD0732">
      <w:pPr>
        <w:spacing w:line="360" w:lineRule="auto"/>
        <w:jc w:val="both"/>
        <w:rPr>
          <w:rFonts w:ascii="Georgia" w:hAnsi="Georgia" w:cs="Times New Roman"/>
          <w:color w:val="000000"/>
          <w:sz w:val="24"/>
          <w:szCs w:val="24"/>
          <w:lang w:eastAsia="en-GB"/>
        </w:rPr>
      </w:pPr>
    </w:p>
    <w:p w:rsidR="00596B44" w:rsidRDefault="008F618E" w:rsidP="008F618E">
      <w:pPr>
        <w:spacing w:line="360" w:lineRule="auto"/>
        <w:jc w:val="both"/>
      </w:pPr>
      <w:r>
        <w:t xml:space="preserve"> </w:t>
      </w:r>
    </w:p>
    <w:p w:rsidR="00596B44" w:rsidRPr="00E049B8" w:rsidRDefault="00596B44" w:rsidP="00FD0732">
      <w:pPr>
        <w:spacing w:line="360" w:lineRule="auto"/>
        <w:jc w:val="both"/>
        <w:rPr>
          <w:rFonts w:ascii="Georgia" w:hAnsi="Georgia" w:cs="Times New Roman"/>
          <w:color w:val="000000"/>
          <w:sz w:val="24"/>
          <w:szCs w:val="24"/>
          <w:lang w:eastAsia="en-GB"/>
        </w:rPr>
      </w:pPr>
    </w:p>
    <w:sectPr w:rsidR="00596B44" w:rsidRPr="00E049B8" w:rsidSect="00502C1D">
      <w:headerReference w:type="default" r:id="rId669"/>
      <w:footerReference w:type="even" r:id="rId670"/>
      <w:footerReference w:type="default" r:id="rId671"/>
      <w:endnotePr>
        <w:numFmt w:val="decimal"/>
      </w:endnotePr>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188" w:rsidRDefault="00395188">
      <w:r>
        <w:separator/>
      </w:r>
    </w:p>
  </w:endnote>
  <w:endnote w:type="continuationSeparator" w:id="0">
    <w:p w:rsidR="00395188" w:rsidRDefault="0039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C C Times">
    <w:panose1 w:val="0202E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w:altName w:val="Arial"/>
    <w:panose1 w:val="00000000000000000000"/>
    <w:charset w:val="00"/>
    <w:family w:val="swiss"/>
    <w:notTrueType/>
    <w:pitch w:val="default"/>
    <w:sig w:usb0="00000003" w:usb1="00000000" w:usb2="00000000" w:usb3="00000000" w:csb0="00000001" w:csb1="00000000"/>
  </w:font>
  <w:font w:name="MAC C Swiss">
    <w:charset w:val="00"/>
    <w:family w:val="swiss"/>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SkolaSerifCnOffc">
    <w:altName w:val="Times New Roman"/>
    <w:charset w:val="00"/>
    <w:family w:val="auto"/>
    <w:pitch w:val="default"/>
  </w:font>
  <w:font w:name="Noto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3B" w:rsidRDefault="0012693B" w:rsidP="006B2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3B" w:rsidRPr="00B464C4" w:rsidRDefault="00387E15">
    <w:pPr>
      <w:pStyle w:val="Footer"/>
      <w:pBdr>
        <w:top w:val="single" w:sz="4" w:space="1" w:color="D9D9D9"/>
      </w:pBdr>
      <w:jc w:val="right"/>
      <w:rPr>
        <w:color w:val="31849B"/>
      </w:rPr>
    </w:pPr>
    <w:r>
      <w:rPr>
        <w:rFonts w:ascii="Times New Roman" w:hAnsi="Times New Roman" w:cs="Times New Roman"/>
        <w:noProof/>
        <w:color w:val="31849B"/>
        <w:sz w:val="24"/>
        <w:szCs w:val="24"/>
        <w:lang w:val="en-US"/>
      </w:rPr>
      <mc:AlternateContent>
        <mc:Choice Requires="wps">
          <w:drawing>
            <wp:anchor distT="0" distB="0" distL="114300" distR="114300" simplePos="0" relativeHeight="251658752" behindDoc="0" locked="0" layoutInCell="1" allowOverlap="1">
              <wp:simplePos x="0" y="0"/>
              <wp:positionH relativeFrom="column">
                <wp:posOffset>1866900</wp:posOffset>
              </wp:positionH>
              <wp:positionV relativeFrom="paragraph">
                <wp:posOffset>31750</wp:posOffset>
              </wp:positionV>
              <wp:extent cx="2152650" cy="57785"/>
              <wp:effectExtent l="19050" t="22225" r="38100" b="53340"/>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5778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147pt;margin-top:2.5pt;width:169.5pt;height: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" fillcolor="#4bacc6" strokecolor="#f2f2f2" strokeweight="3pt">
              <v:shadow on="t" color="#205867" opacity=".5" offset="1pt"/>
            </v:rect>
          </w:pict>
        </mc:Fallback>
      </mc:AlternateContent>
    </w:r>
  </w:p>
  <w:p w:rsidR="0012693B" w:rsidRPr="00B464C4" w:rsidRDefault="0012693B" w:rsidP="009C0BD7">
    <w:pPr>
      <w:pStyle w:val="Footer"/>
      <w:pBdr>
        <w:top w:val="single" w:sz="4" w:space="1" w:color="D9D9D9"/>
      </w:pBdr>
      <w:jc w:val="center"/>
      <w:rPr>
        <w:color w:val="31849B"/>
      </w:rPr>
    </w:pPr>
    <w:r w:rsidRPr="00B464C4">
      <w:rPr>
        <w:color w:val="31849B"/>
      </w:rPr>
      <w:fldChar w:fldCharType="begin"/>
    </w:r>
    <w:r w:rsidRPr="00B464C4">
      <w:rPr>
        <w:color w:val="31849B"/>
      </w:rPr>
      <w:instrText xml:space="preserve"> PAGE   \* MERGEFORMAT </w:instrText>
    </w:r>
    <w:r w:rsidRPr="00B464C4">
      <w:rPr>
        <w:color w:val="31849B"/>
      </w:rPr>
      <w:fldChar w:fldCharType="separate"/>
    </w:r>
    <w:r w:rsidR="00387E15">
      <w:rPr>
        <w:noProof/>
        <w:color w:val="31849B"/>
      </w:rPr>
      <w:t>2</w:t>
    </w:r>
    <w:r w:rsidRPr="00B464C4">
      <w:rPr>
        <w:color w:val="31849B"/>
      </w:rPr>
      <w:fldChar w:fldCharType="end"/>
    </w:r>
    <w:r w:rsidRPr="00B464C4">
      <w:rPr>
        <w:color w:val="31849B"/>
      </w:rPr>
      <w:t xml:space="preserve"> | </w:t>
    </w:r>
    <w:r w:rsidRPr="00B464C4">
      <w:rPr>
        <w:rFonts w:ascii="Times New Roman" w:hAnsi="Times New Roman" w:cs="Times New Roman"/>
        <w:b/>
        <w:i/>
        <w:color w:val="31849B"/>
        <w:spacing w:val="60"/>
      </w:rPr>
      <w:t>Страна</w:t>
    </w:r>
  </w:p>
  <w:p w:rsidR="0012693B" w:rsidRPr="001A29DA" w:rsidRDefault="0012693B" w:rsidP="007A527E">
    <w:pPr>
      <w:pStyle w:val="Footer"/>
      <w:rPr>
        <w:rFonts w:ascii="Times New Roman" w:hAnsi="Times New Roman"/>
        <w:b/>
        <w:i/>
        <w:color w:val="365F91"/>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188" w:rsidRDefault="00395188">
      <w:r>
        <w:separator/>
      </w:r>
    </w:p>
  </w:footnote>
  <w:footnote w:type="continuationSeparator" w:id="0">
    <w:p w:rsidR="00395188" w:rsidRDefault="00395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3B" w:rsidRPr="004C0E05" w:rsidRDefault="00387E15" w:rsidP="004C0E05">
    <w:pPr>
      <w:pStyle w:val="Header"/>
      <w:spacing w:after="120"/>
      <w:jc w:val="right"/>
      <w:rPr>
        <w:color w:val="1F497D"/>
      </w:rPr>
    </w:pPr>
    <w:r>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simplePos x="0" y="0"/>
              <wp:positionH relativeFrom="column">
                <wp:posOffset>-257175</wp:posOffset>
              </wp:positionH>
              <wp:positionV relativeFrom="paragraph">
                <wp:posOffset>129540</wp:posOffset>
              </wp:positionV>
              <wp:extent cx="6924675" cy="57785"/>
              <wp:effectExtent l="19050" t="24765" r="38100" b="50800"/>
              <wp:wrapNone/>
              <wp:docPr id="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5778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20.25pt;margin-top:10.2pt;width:545.25pt;height: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" fillcolor="#4bacc6" strokecolor="#f2f2f2" strokeweight="3pt">
              <v:shadow on="t" color="#205867" opacity=".5" offset="1pt"/>
            </v:rect>
          </w:pict>
        </mc:Fallback>
      </mc:AlternateContent>
    </w:r>
    <w:r>
      <w:rPr>
        <w:noProof/>
        <w:color w:val="1F497D"/>
        <w:lang w:val="en-US"/>
      </w:rPr>
      <mc:AlternateContent>
        <mc:Choice Requires="wps">
          <w:drawing>
            <wp:anchor distT="0" distB="0" distL="114300" distR="114300" simplePos="0" relativeHeight="251656704" behindDoc="0" locked="0" layoutInCell="0" allowOverlap="1">
              <wp:simplePos x="0" y="0"/>
              <wp:positionH relativeFrom="page">
                <wp:posOffset>781050</wp:posOffset>
              </wp:positionH>
              <wp:positionV relativeFrom="page">
                <wp:posOffset>323850</wp:posOffset>
              </wp:positionV>
              <wp:extent cx="6248400" cy="203200"/>
              <wp:effectExtent l="0" t="0" r="0" b="0"/>
              <wp:wrapNone/>
              <wp:docPr id="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693B" w:rsidRPr="00753801" w:rsidRDefault="0012693B" w:rsidP="002F70CF">
                          <w:pPr>
                            <w:jc w:val="right"/>
                            <w:rPr>
                              <w:rFonts w:ascii="Times New Roman" w:hAnsi="Times New Roman" w:cs="Times New Roman"/>
                              <w:b/>
                              <w:i/>
                              <w:color w:val="31849B"/>
                              <w:sz w:val="24"/>
                              <w:szCs w:val="24"/>
                            </w:rPr>
                          </w:pPr>
                          <w:r w:rsidRPr="00753801">
                            <w:rPr>
                              <w:rFonts w:ascii="Times New Roman" w:hAnsi="Times New Roman" w:cs="Times New Roman"/>
                              <w:b/>
                              <w:i/>
                              <w:color w:val="31849B"/>
                              <w:sz w:val="24"/>
                              <w:szCs w:val="24"/>
                            </w:rPr>
                            <w:t>Докторска дисертација /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left:0;text-align:left;margin-left:61.5pt;margin-top:25.5pt;width:492pt;height: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" o:allowincell="f" filled="f" stroked="f">
              <v:textbox inset=",0,,0">
                <w:txbxContent>
                  <w:p w:rsidR="0012693B" w:rsidRPr="00753801" w:rsidRDefault="0012693B" w:rsidP="002F70CF">
                    <w:pPr>
                      <w:jc w:val="right"/>
                      <w:rPr>
                        <w:rFonts w:ascii="Times New Roman" w:hAnsi="Times New Roman" w:cs="Times New Roman"/>
                        <w:b/>
                        <w:i/>
                        <w:color w:val="31849B"/>
                        <w:sz w:val="24"/>
                        <w:szCs w:val="24"/>
                      </w:rPr>
                    </w:pPr>
                    <w:r w:rsidRPr="00753801">
                      <w:rPr>
                        <w:rFonts w:ascii="Times New Roman" w:hAnsi="Times New Roman" w:cs="Times New Roman"/>
                        <w:b/>
                        <w:i/>
                        <w:color w:val="31849B"/>
                        <w:sz w:val="24"/>
                        <w:szCs w:val="24"/>
                      </w:rPr>
                      <w:t>Докторска дисертација / 2023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35C"/>
    <w:multiLevelType w:val="hybridMultilevel"/>
    <w:tmpl w:val="D5607D6A"/>
    <w:lvl w:ilvl="0" w:tplc="DF3C8292">
      <w:start w:val="1"/>
      <w:numFmt w:val="bullet"/>
      <w:lvlText w:val="-"/>
      <w:lvlJc w:val="left"/>
      <w:pPr>
        <w:tabs>
          <w:tab w:val="num" w:pos="720"/>
        </w:tabs>
        <w:ind w:left="720" w:hanging="360"/>
      </w:pPr>
      <w:rPr>
        <w:rFonts w:ascii="Times New Roman" w:hAnsi="Times New Roman" w:hint="default"/>
      </w:rPr>
    </w:lvl>
    <w:lvl w:ilvl="1" w:tplc="B75E497A" w:tentative="1">
      <w:start w:val="1"/>
      <w:numFmt w:val="bullet"/>
      <w:lvlText w:val="-"/>
      <w:lvlJc w:val="left"/>
      <w:pPr>
        <w:tabs>
          <w:tab w:val="num" w:pos="1440"/>
        </w:tabs>
        <w:ind w:left="1440" w:hanging="360"/>
      </w:pPr>
      <w:rPr>
        <w:rFonts w:ascii="Times New Roman" w:hAnsi="Times New Roman" w:hint="default"/>
      </w:rPr>
    </w:lvl>
    <w:lvl w:ilvl="2" w:tplc="2C700A14" w:tentative="1">
      <w:start w:val="1"/>
      <w:numFmt w:val="bullet"/>
      <w:lvlText w:val="-"/>
      <w:lvlJc w:val="left"/>
      <w:pPr>
        <w:tabs>
          <w:tab w:val="num" w:pos="2160"/>
        </w:tabs>
        <w:ind w:left="2160" w:hanging="360"/>
      </w:pPr>
      <w:rPr>
        <w:rFonts w:ascii="Times New Roman" w:hAnsi="Times New Roman" w:hint="default"/>
      </w:rPr>
    </w:lvl>
    <w:lvl w:ilvl="3" w:tplc="DAB29294" w:tentative="1">
      <w:start w:val="1"/>
      <w:numFmt w:val="bullet"/>
      <w:lvlText w:val="-"/>
      <w:lvlJc w:val="left"/>
      <w:pPr>
        <w:tabs>
          <w:tab w:val="num" w:pos="2880"/>
        </w:tabs>
        <w:ind w:left="2880" w:hanging="360"/>
      </w:pPr>
      <w:rPr>
        <w:rFonts w:ascii="Times New Roman" w:hAnsi="Times New Roman" w:hint="default"/>
      </w:rPr>
    </w:lvl>
    <w:lvl w:ilvl="4" w:tplc="E19816E0" w:tentative="1">
      <w:start w:val="1"/>
      <w:numFmt w:val="bullet"/>
      <w:lvlText w:val="-"/>
      <w:lvlJc w:val="left"/>
      <w:pPr>
        <w:tabs>
          <w:tab w:val="num" w:pos="3600"/>
        </w:tabs>
        <w:ind w:left="3600" w:hanging="360"/>
      </w:pPr>
      <w:rPr>
        <w:rFonts w:ascii="Times New Roman" w:hAnsi="Times New Roman" w:hint="default"/>
      </w:rPr>
    </w:lvl>
    <w:lvl w:ilvl="5" w:tplc="079E8BF6" w:tentative="1">
      <w:start w:val="1"/>
      <w:numFmt w:val="bullet"/>
      <w:lvlText w:val="-"/>
      <w:lvlJc w:val="left"/>
      <w:pPr>
        <w:tabs>
          <w:tab w:val="num" w:pos="4320"/>
        </w:tabs>
        <w:ind w:left="4320" w:hanging="360"/>
      </w:pPr>
      <w:rPr>
        <w:rFonts w:ascii="Times New Roman" w:hAnsi="Times New Roman" w:hint="default"/>
      </w:rPr>
    </w:lvl>
    <w:lvl w:ilvl="6" w:tplc="C6263D3C" w:tentative="1">
      <w:start w:val="1"/>
      <w:numFmt w:val="bullet"/>
      <w:lvlText w:val="-"/>
      <w:lvlJc w:val="left"/>
      <w:pPr>
        <w:tabs>
          <w:tab w:val="num" w:pos="5040"/>
        </w:tabs>
        <w:ind w:left="5040" w:hanging="360"/>
      </w:pPr>
      <w:rPr>
        <w:rFonts w:ascii="Times New Roman" w:hAnsi="Times New Roman" w:hint="default"/>
      </w:rPr>
    </w:lvl>
    <w:lvl w:ilvl="7" w:tplc="895875C8" w:tentative="1">
      <w:start w:val="1"/>
      <w:numFmt w:val="bullet"/>
      <w:lvlText w:val="-"/>
      <w:lvlJc w:val="left"/>
      <w:pPr>
        <w:tabs>
          <w:tab w:val="num" w:pos="5760"/>
        </w:tabs>
        <w:ind w:left="5760" w:hanging="360"/>
      </w:pPr>
      <w:rPr>
        <w:rFonts w:ascii="Times New Roman" w:hAnsi="Times New Roman" w:hint="default"/>
      </w:rPr>
    </w:lvl>
    <w:lvl w:ilvl="8" w:tplc="0F4085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5513A9"/>
    <w:multiLevelType w:val="hybridMultilevel"/>
    <w:tmpl w:val="C2ACDC8E"/>
    <w:lvl w:ilvl="0" w:tplc="042F0001">
      <w:start w:val="1"/>
      <w:numFmt w:val="bullet"/>
      <w:lvlText w:val=""/>
      <w:lvlJc w:val="left"/>
      <w:pPr>
        <w:ind w:left="1004" w:hanging="360"/>
      </w:pPr>
      <w:rPr>
        <w:rFonts w:ascii="Symbol" w:hAnsi="Symbol"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2">
    <w:nsid w:val="07F73F7D"/>
    <w:multiLevelType w:val="hybridMultilevel"/>
    <w:tmpl w:val="A6CC902C"/>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3">
    <w:nsid w:val="0AD94FB4"/>
    <w:multiLevelType w:val="hybridMultilevel"/>
    <w:tmpl w:val="EE3C3B6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C4B4936"/>
    <w:multiLevelType w:val="hybridMultilevel"/>
    <w:tmpl w:val="855E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A41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10F8B"/>
    <w:multiLevelType w:val="hybridMultilevel"/>
    <w:tmpl w:val="F1F2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5075A"/>
    <w:multiLevelType w:val="hybridMultilevel"/>
    <w:tmpl w:val="562C30EE"/>
    <w:lvl w:ilvl="0" w:tplc="4EFECFBC">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221D6B24"/>
    <w:multiLevelType w:val="hybridMultilevel"/>
    <w:tmpl w:val="FAF054DA"/>
    <w:lvl w:ilvl="0" w:tplc="B6543C44">
      <w:start w:val="1"/>
      <w:numFmt w:val="decimal"/>
      <w:lvlText w:val="%1."/>
      <w:lvlJc w:val="left"/>
      <w:pPr>
        <w:ind w:left="900" w:hanging="360"/>
      </w:pPr>
      <w:rPr>
        <w:rFonts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B7607E"/>
    <w:multiLevelType w:val="hybridMultilevel"/>
    <w:tmpl w:val="F448F0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70D4C26"/>
    <w:multiLevelType w:val="hybridMultilevel"/>
    <w:tmpl w:val="4B5A39E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nsid w:val="28114AC1"/>
    <w:multiLevelType w:val="hybridMultilevel"/>
    <w:tmpl w:val="859415B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281441DF"/>
    <w:multiLevelType w:val="hybridMultilevel"/>
    <w:tmpl w:val="85BC24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039A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5831D0"/>
    <w:multiLevelType w:val="hybridMultilevel"/>
    <w:tmpl w:val="693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C5343"/>
    <w:multiLevelType w:val="hybridMultilevel"/>
    <w:tmpl w:val="EA8457A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3160F80"/>
    <w:multiLevelType w:val="hybridMultilevel"/>
    <w:tmpl w:val="C61CD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472710"/>
    <w:multiLevelType w:val="hybridMultilevel"/>
    <w:tmpl w:val="A8F6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B8E784B"/>
    <w:multiLevelType w:val="hybridMultilevel"/>
    <w:tmpl w:val="666CB894"/>
    <w:lvl w:ilvl="0" w:tplc="38A6B760">
      <w:start w:val="1"/>
      <w:numFmt w:val="bullet"/>
      <w:lvlText w:val=""/>
      <w:lvlJc w:val="left"/>
      <w:pPr>
        <w:ind w:left="720" w:hanging="360"/>
      </w:pPr>
      <w:rPr>
        <w:rFonts w:ascii="Symbol" w:hAnsi="Symbol" w:hint="default"/>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3E4E7662"/>
    <w:multiLevelType w:val="hybridMultilevel"/>
    <w:tmpl w:val="C44AFD9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411A5720"/>
    <w:multiLevelType w:val="hybridMultilevel"/>
    <w:tmpl w:val="4956EF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43375702"/>
    <w:multiLevelType w:val="hybridMultilevel"/>
    <w:tmpl w:val="B56A4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386617"/>
    <w:multiLevelType w:val="hybridMultilevel"/>
    <w:tmpl w:val="908CF42E"/>
    <w:lvl w:ilvl="0" w:tplc="38A6B760">
      <w:start w:val="1"/>
      <w:numFmt w:val="bullet"/>
      <w:lvlText w:val=""/>
      <w:lvlJc w:val="left"/>
      <w:pPr>
        <w:ind w:left="720" w:hanging="360"/>
      </w:pPr>
      <w:rPr>
        <w:rFonts w:ascii="Symbol" w:hAnsi="Symbol" w:hint="default"/>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499939A1"/>
    <w:multiLevelType w:val="hybridMultilevel"/>
    <w:tmpl w:val="67AA54A8"/>
    <w:lvl w:ilvl="0" w:tplc="777A2712">
      <w:start w:val="1"/>
      <w:numFmt w:val="decimal"/>
      <w:lvlText w:val="%1."/>
      <w:lvlJc w:val="left"/>
      <w:pPr>
        <w:ind w:left="720" w:hanging="360"/>
      </w:pPr>
      <w:rPr>
        <w:rFonts w:hint="default"/>
        <w:b/>
        <w:color w:val="215868"/>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1421B"/>
    <w:multiLevelType w:val="hybridMultilevel"/>
    <w:tmpl w:val="97285494"/>
    <w:lvl w:ilvl="0" w:tplc="0A8C19D8">
      <w:start w:val="1"/>
      <w:numFmt w:val="bullet"/>
      <w:lvlText w:val="-"/>
      <w:lvlJc w:val="left"/>
      <w:pPr>
        <w:tabs>
          <w:tab w:val="num" w:pos="720"/>
        </w:tabs>
        <w:ind w:left="720" w:hanging="360"/>
      </w:pPr>
      <w:rPr>
        <w:rFonts w:ascii="Times New Roman" w:hAnsi="Times New Roman" w:hint="default"/>
      </w:rPr>
    </w:lvl>
    <w:lvl w:ilvl="1" w:tplc="F272BD24" w:tentative="1">
      <w:start w:val="1"/>
      <w:numFmt w:val="bullet"/>
      <w:lvlText w:val="-"/>
      <w:lvlJc w:val="left"/>
      <w:pPr>
        <w:tabs>
          <w:tab w:val="num" w:pos="1440"/>
        </w:tabs>
        <w:ind w:left="1440" w:hanging="360"/>
      </w:pPr>
      <w:rPr>
        <w:rFonts w:ascii="Times New Roman" w:hAnsi="Times New Roman" w:hint="default"/>
      </w:rPr>
    </w:lvl>
    <w:lvl w:ilvl="2" w:tplc="85941D72" w:tentative="1">
      <w:start w:val="1"/>
      <w:numFmt w:val="bullet"/>
      <w:lvlText w:val="-"/>
      <w:lvlJc w:val="left"/>
      <w:pPr>
        <w:tabs>
          <w:tab w:val="num" w:pos="2160"/>
        </w:tabs>
        <w:ind w:left="2160" w:hanging="360"/>
      </w:pPr>
      <w:rPr>
        <w:rFonts w:ascii="Times New Roman" w:hAnsi="Times New Roman" w:hint="default"/>
      </w:rPr>
    </w:lvl>
    <w:lvl w:ilvl="3" w:tplc="1DAA5900" w:tentative="1">
      <w:start w:val="1"/>
      <w:numFmt w:val="bullet"/>
      <w:lvlText w:val="-"/>
      <w:lvlJc w:val="left"/>
      <w:pPr>
        <w:tabs>
          <w:tab w:val="num" w:pos="2880"/>
        </w:tabs>
        <w:ind w:left="2880" w:hanging="360"/>
      </w:pPr>
      <w:rPr>
        <w:rFonts w:ascii="Times New Roman" w:hAnsi="Times New Roman" w:hint="default"/>
      </w:rPr>
    </w:lvl>
    <w:lvl w:ilvl="4" w:tplc="E2FC74C6" w:tentative="1">
      <w:start w:val="1"/>
      <w:numFmt w:val="bullet"/>
      <w:lvlText w:val="-"/>
      <w:lvlJc w:val="left"/>
      <w:pPr>
        <w:tabs>
          <w:tab w:val="num" w:pos="3600"/>
        </w:tabs>
        <w:ind w:left="3600" w:hanging="360"/>
      </w:pPr>
      <w:rPr>
        <w:rFonts w:ascii="Times New Roman" w:hAnsi="Times New Roman" w:hint="default"/>
      </w:rPr>
    </w:lvl>
    <w:lvl w:ilvl="5" w:tplc="6298EA5A" w:tentative="1">
      <w:start w:val="1"/>
      <w:numFmt w:val="bullet"/>
      <w:lvlText w:val="-"/>
      <w:lvlJc w:val="left"/>
      <w:pPr>
        <w:tabs>
          <w:tab w:val="num" w:pos="4320"/>
        </w:tabs>
        <w:ind w:left="4320" w:hanging="360"/>
      </w:pPr>
      <w:rPr>
        <w:rFonts w:ascii="Times New Roman" w:hAnsi="Times New Roman" w:hint="default"/>
      </w:rPr>
    </w:lvl>
    <w:lvl w:ilvl="6" w:tplc="0D362328" w:tentative="1">
      <w:start w:val="1"/>
      <w:numFmt w:val="bullet"/>
      <w:lvlText w:val="-"/>
      <w:lvlJc w:val="left"/>
      <w:pPr>
        <w:tabs>
          <w:tab w:val="num" w:pos="5040"/>
        </w:tabs>
        <w:ind w:left="5040" w:hanging="360"/>
      </w:pPr>
      <w:rPr>
        <w:rFonts w:ascii="Times New Roman" w:hAnsi="Times New Roman" w:hint="default"/>
      </w:rPr>
    </w:lvl>
    <w:lvl w:ilvl="7" w:tplc="1C4E1D90" w:tentative="1">
      <w:start w:val="1"/>
      <w:numFmt w:val="bullet"/>
      <w:lvlText w:val="-"/>
      <w:lvlJc w:val="left"/>
      <w:pPr>
        <w:tabs>
          <w:tab w:val="num" w:pos="5760"/>
        </w:tabs>
        <w:ind w:left="5760" w:hanging="360"/>
      </w:pPr>
      <w:rPr>
        <w:rFonts w:ascii="Times New Roman" w:hAnsi="Times New Roman" w:hint="default"/>
      </w:rPr>
    </w:lvl>
    <w:lvl w:ilvl="8" w:tplc="696854A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B5674A1"/>
    <w:multiLevelType w:val="hybridMultilevel"/>
    <w:tmpl w:val="1DA4A0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4D0873EA"/>
    <w:multiLevelType w:val="hybridMultilevel"/>
    <w:tmpl w:val="5BEC0AF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50CD217C"/>
    <w:multiLevelType w:val="hybridMultilevel"/>
    <w:tmpl w:val="7C80C5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510F70C5"/>
    <w:multiLevelType w:val="hybridMultilevel"/>
    <w:tmpl w:val="06067B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C66638"/>
    <w:multiLevelType w:val="hybridMultilevel"/>
    <w:tmpl w:val="9DBCC25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5A647107"/>
    <w:multiLevelType w:val="hybridMultilevel"/>
    <w:tmpl w:val="EA847BB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5D584068"/>
    <w:multiLevelType w:val="hybridMultilevel"/>
    <w:tmpl w:val="46408C1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nsid w:val="5DCC19A5"/>
    <w:multiLevelType w:val="hybridMultilevel"/>
    <w:tmpl w:val="23641090"/>
    <w:lvl w:ilvl="0" w:tplc="042F0001">
      <w:start w:val="1"/>
      <w:numFmt w:val="bullet"/>
      <w:lvlText w:val=""/>
      <w:lvlJc w:val="left"/>
      <w:pPr>
        <w:ind w:left="1571" w:hanging="360"/>
      </w:pPr>
      <w:rPr>
        <w:rFonts w:ascii="Symbol" w:hAnsi="Symbol" w:hint="default"/>
      </w:rPr>
    </w:lvl>
    <w:lvl w:ilvl="1" w:tplc="042F0003" w:tentative="1">
      <w:start w:val="1"/>
      <w:numFmt w:val="bullet"/>
      <w:lvlText w:val="o"/>
      <w:lvlJc w:val="left"/>
      <w:pPr>
        <w:ind w:left="2291" w:hanging="360"/>
      </w:pPr>
      <w:rPr>
        <w:rFonts w:ascii="Courier New" w:hAnsi="Courier New" w:cs="Courier New" w:hint="default"/>
      </w:rPr>
    </w:lvl>
    <w:lvl w:ilvl="2" w:tplc="042F0005" w:tentative="1">
      <w:start w:val="1"/>
      <w:numFmt w:val="bullet"/>
      <w:lvlText w:val=""/>
      <w:lvlJc w:val="left"/>
      <w:pPr>
        <w:ind w:left="3011" w:hanging="360"/>
      </w:pPr>
      <w:rPr>
        <w:rFonts w:ascii="Wingdings" w:hAnsi="Wingdings" w:hint="default"/>
      </w:rPr>
    </w:lvl>
    <w:lvl w:ilvl="3" w:tplc="042F0001" w:tentative="1">
      <w:start w:val="1"/>
      <w:numFmt w:val="bullet"/>
      <w:lvlText w:val=""/>
      <w:lvlJc w:val="left"/>
      <w:pPr>
        <w:ind w:left="3731" w:hanging="360"/>
      </w:pPr>
      <w:rPr>
        <w:rFonts w:ascii="Symbol" w:hAnsi="Symbol" w:hint="default"/>
      </w:rPr>
    </w:lvl>
    <w:lvl w:ilvl="4" w:tplc="042F0003" w:tentative="1">
      <w:start w:val="1"/>
      <w:numFmt w:val="bullet"/>
      <w:lvlText w:val="o"/>
      <w:lvlJc w:val="left"/>
      <w:pPr>
        <w:ind w:left="4451" w:hanging="360"/>
      </w:pPr>
      <w:rPr>
        <w:rFonts w:ascii="Courier New" w:hAnsi="Courier New" w:cs="Courier New" w:hint="default"/>
      </w:rPr>
    </w:lvl>
    <w:lvl w:ilvl="5" w:tplc="042F0005" w:tentative="1">
      <w:start w:val="1"/>
      <w:numFmt w:val="bullet"/>
      <w:lvlText w:val=""/>
      <w:lvlJc w:val="left"/>
      <w:pPr>
        <w:ind w:left="5171" w:hanging="360"/>
      </w:pPr>
      <w:rPr>
        <w:rFonts w:ascii="Wingdings" w:hAnsi="Wingdings" w:hint="default"/>
      </w:rPr>
    </w:lvl>
    <w:lvl w:ilvl="6" w:tplc="042F0001" w:tentative="1">
      <w:start w:val="1"/>
      <w:numFmt w:val="bullet"/>
      <w:lvlText w:val=""/>
      <w:lvlJc w:val="left"/>
      <w:pPr>
        <w:ind w:left="5891" w:hanging="360"/>
      </w:pPr>
      <w:rPr>
        <w:rFonts w:ascii="Symbol" w:hAnsi="Symbol" w:hint="default"/>
      </w:rPr>
    </w:lvl>
    <w:lvl w:ilvl="7" w:tplc="042F0003" w:tentative="1">
      <w:start w:val="1"/>
      <w:numFmt w:val="bullet"/>
      <w:lvlText w:val="o"/>
      <w:lvlJc w:val="left"/>
      <w:pPr>
        <w:ind w:left="6611" w:hanging="360"/>
      </w:pPr>
      <w:rPr>
        <w:rFonts w:ascii="Courier New" w:hAnsi="Courier New" w:cs="Courier New" w:hint="default"/>
      </w:rPr>
    </w:lvl>
    <w:lvl w:ilvl="8" w:tplc="042F0005" w:tentative="1">
      <w:start w:val="1"/>
      <w:numFmt w:val="bullet"/>
      <w:lvlText w:val=""/>
      <w:lvlJc w:val="left"/>
      <w:pPr>
        <w:ind w:left="7331" w:hanging="360"/>
      </w:pPr>
      <w:rPr>
        <w:rFonts w:ascii="Wingdings" w:hAnsi="Wingdings" w:hint="default"/>
      </w:rPr>
    </w:lvl>
  </w:abstractNum>
  <w:abstractNum w:abstractNumId="33">
    <w:nsid w:val="62B454D9"/>
    <w:multiLevelType w:val="hybridMultilevel"/>
    <w:tmpl w:val="8A32215E"/>
    <w:lvl w:ilvl="0" w:tplc="CA4EB27A">
      <w:start w:val="426"/>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5272DD"/>
    <w:multiLevelType w:val="multilevel"/>
    <w:tmpl w:val="AB7A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B41F0C"/>
    <w:multiLevelType w:val="hybridMultilevel"/>
    <w:tmpl w:val="F21A6EB8"/>
    <w:lvl w:ilvl="0" w:tplc="0868E5D6">
      <w:start w:val="1"/>
      <w:numFmt w:val="decimal"/>
      <w:lvlText w:val="%1."/>
      <w:lvlJc w:val="left"/>
      <w:pPr>
        <w:ind w:left="720" w:hanging="360"/>
      </w:pPr>
      <w:rPr>
        <w:rFonts w:hint="default"/>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6">
    <w:nsid w:val="67DE6D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1A784F"/>
    <w:multiLevelType w:val="hybridMultilevel"/>
    <w:tmpl w:val="A19A251C"/>
    <w:lvl w:ilvl="0" w:tplc="38A6B760">
      <w:start w:val="1"/>
      <w:numFmt w:val="bullet"/>
      <w:lvlText w:val=""/>
      <w:lvlJc w:val="left"/>
      <w:pPr>
        <w:ind w:left="720" w:hanging="360"/>
      </w:pPr>
      <w:rPr>
        <w:rFonts w:ascii="Symbol" w:hAnsi="Symbol" w:hint="default"/>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6C350490"/>
    <w:multiLevelType w:val="multilevel"/>
    <w:tmpl w:val="6C350490"/>
    <w:lvl w:ilvl="0">
      <w:start w:val="1"/>
      <w:numFmt w:val="decimal"/>
      <w:lvlText w:val="%1."/>
      <w:lvlJc w:val="left"/>
      <w:pPr>
        <w:ind w:left="720" w:hanging="360"/>
      </w:pPr>
      <w:rPr>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D5367B5"/>
    <w:multiLevelType w:val="hybridMultilevel"/>
    <w:tmpl w:val="F8F4524E"/>
    <w:lvl w:ilvl="0" w:tplc="09764B8E">
      <w:start w:val="1"/>
      <w:numFmt w:val="decimal"/>
      <w:lvlText w:val="%1."/>
      <w:lvlJc w:val="left"/>
      <w:pPr>
        <w:ind w:left="1080" w:hanging="360"/>
      </w:pPr>
      <w:rPr>
        <w:rFonts w:ascii="Times New Roman" w:eastAsia="Times New Roman" w:hAnsi="Times New Roman" w:cs="Times New Roman"/>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D43CA7"/>
    <w:multiLevelType w:val="multilevel"/>
    <w:tmpl w:val="2FF2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B160A5"/>
    <w:multiLevelType w:val="hybridMultilevel"/>
    <w:tmpl w:val="B5C25094"/>
    <w:lvl w:ilvl="0" w:tplc="93E08868">
      <w:start w:val="1"/>
      <w:numFmt w:val="decimal"/>
      <w:lvlText w:val="%1."/>
      <w:lvlJc w:val="left"/>
      <w:pPr>
        <w:ind w:left="1080" w:hanging="360"/>
      </w:pPr>
      <w:rPr>
        <w:rFonts w:ascii="Times New Roman" w:eastAsia="Times New Roman" w:hAnsi="Times New Roman" w:cs="Times New Roman"/>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9C4A00"/>
    <w:multiLevelType w:val="hybridMultilevel"/>
    <w:tmpl w:val="B50868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9E0D7F"/>
    <w:multiLevelType w:val="hybridMultilevel"/>
    <w:tmpl w:val="E744D5B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7AD87B0C"/>
    <w:multiLevelType w:val="multilevel"/>
    <w:tmpl w:val="B0D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9"/>
  </w:num>
  <w:num w:numId="3">
    <w:abstractNumId w:val="10"/>
  </w:num>
  <w:num w:numId="4">
    <w:abstractNumId w:val="26"/>
  </w:num>
  <w:num w:numId="5">
    <w:abstractNumId w:val="3"/>
  </w:num>
  <w:num w:numId="6">
    <w:abstractNumId w:val="7"/>
  </w:num>
  <w:num w:numId="7">
    <w:abstractNumId w:val="31"/>
  </w:num>
  <w:num w:numId="8">
    <w:abstractNumId w:val="32"/>
  </w:num>
  <w:num w:numId="9">
    <w:abstractNumId w:val="22"/>
  </w:num>
  <w:num w:numId="10">
    <w:abstractNumId w:val="37"/>
  </w:num>
  <w:num w:numId="11">
    <w:abstractNumId w:val="18"/>
  </w:num>
  <w:num w:numId="12">
    <w:abstractNumId w:val="29"/>
  </w:num>
  <w:num w:numId="13">
    <w:abstractNumId w:val="2"/>
  </w:num>
  <w:num w:numId="14">
    <w:abstractNumId w:val="1"/>
  </w:num>
  <w:num w:numId="15">
    <w:abstractNumId w:val="27"/>
  </w:num>
  <w:num w:numId="16">
    <w:abstractNumId w:val="15"/>
  </w:num>
  <w:num w:numId="17">
    <w:abstractNumId w:val="20"/>
  </w:num>
  <w:num w:numId="18">
    <w:abstractNumId w:val="11"/>
  </w:num>
  <w:num w:numId="19">
    <w:abstractNumId w:val="25"/>
  </w:num>
  <w:num w:numId="20">
    <w:abstractNumId w:val="30"/>
  </w:num>
  <w:num w:numId="21">
    <w:abstractNumId w:val="43"/>
  </w:num>
  <w:num w:numId="22">
    <w:abstractNumId w:val="9"/>
  </w:num>
  <w:num w:numId="23">
    <w:abstractNumId w:val="14"/>
  </w:num>
  <w:num w:numId="24">
    <w:abstractNumId w:val="24"/>
  </w:num>
  <w:num w:numId="25">
    <w:abstractNumId w:val="13"/>
  </w:num>
  <w:num w:numId="26">
    <w:abstractNumId w:val="36"/>
  </w:num>
  <w:num w:numId="27">
    <w:abstractNumId w:val="5"/>
  </w:num>
  <w:num w:numId="28">
    <w:abstractNumId w:val="0"/>
  </w:num>
  <w:num w:numId="29">
    <w:abstractNumId w:val="4"/>
  </w:num>
  <w:num w:numId="30">
    <w:abstractNumId w:val="23"/>
  </w:num>
  <w:num w:numId="31">
    <w:abstractNumId w:val="41"/>
  </w:num>
  <w:num w:numId="32">
    <w:abstractNumId w:val="44"/>
  </w:num>
  <w:num w:numId="33">
    <w:abstractNumId w:val="8"/>
  </w:num>
  <w:num w:numId="34">
    <w:abstractNumId w:val="34"/>
  </w:num>
  <w:num w:numId="35">
    <w:abstractNumId w:val="40"/>
  </w:num>
  <w:num w:numId="36">
    <w:abstractNumId w:val="33"/>
  </w:num>
  <w:num w:numId="37">
    <w:abstractNumId w:val="16"/>
  </w:num>
  <w:num w:numId="38">
    <w:abstractNumId w:val="39"/>
  </w:num>
  <w:num w:numId="39">
    <w:abstractNumId w:val="28"/>
  </w:num>
  <w:num w:numId="40">
    <w:abstractNumId w:val="21"/>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42"/>
  </w:num>
  <w:num w:numId="44">
    <w:abstractNumId w:val="12"/>
  </w:num>
  <w:num w:numId="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o:colormru v:ext="edit" colors="#cfc,#cff,#f6c,#396,#060"/>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CE"/>
    <w:rsid w:val="00000148"/>
    <w:rsid w:val="00000398"/>
    <w:rsid w:val="0000040D"/>
    <w:rsid w:val="00000809"/>
    <w:rsid w:val="000009F3"/>
    <w:rsid w:val="00000C3F"/>
    <w:rsid w:val="00001458"/>
    <w:rsid w:val="000015F0"/>
    <w:rsid w:val="00001734"/>
    <w:rsid w:val="000017A5"/>
    <w:rsid w:val="00001827"/>
    <w:rsid w:val="000018AB"/>
    <w:rsid w:val="00001B5B"/>
    <w:rsid w:val="000027B0"/>
    <w:rsid w:val="000027D9"/>
    <w:rsid w:val="00002BD5"/>
    <w:rsid w:val="00002E6E"/>
    <w:rsid w:val="00002E73"/>
    <w:rsid w:val="000030B6"/>
    <w:rsid w:val="00003568"/>
    <w:rsid w:val="000036B3"/>
    <w:rsid w:val="000036CE"/>
    <w:rsid w:val="000037B3"/>
    <w:rsid w:val="00003C11"/>
    <w:rsid w:val="00003D70"/>
    <w:rsid w:val="00004261"/>
    <w:rsid w:val="000048D3"/>
    <w:rsid w:val="00004A47"/>
    <w:rsid w:val="00004C43"/>
    <w:rsid w:val="00004CBB"/>
    <w:rsid w:val="00004E71"/>
    <w:rsid w:val="00005234"/>
    <w:rsid w:val="000053C0"/>
    <w:rsid w:val="00005645"/>
    <w:rsid w:val="000059CE"/>
    <w:rsid w:val="00005B3F"/>
    <w:rsid w:val="00005D73"/>
    <w:rsid w:val="000060C0"/>
    <w:rsid w:val="00006113"/>
    <w:rsid w:val="000061E5"/>
    <w:rsid w:val="000065FC"/>
    <w:rsid w:val="00006621"/>
    <w:rsid w:val="00006758"/>
    <w:rsid w:val="00006805"/>
    <w:rsid w:val="00006861"/>
    <w:rsid w:val="00007037"/>
    <w:rsid w:val="000072EA"/>
    <w:rsid w:val="0000750A"/>
    <w:rsid w:val="000075EA"/>
    <w:rsid w:val="00007B93"/>
    <w:rsid w:val="00007EA8"/>
    <w:rsid w:val="00010055"/>
    <w:rsid w:val="0001021F"/>
    <w:rsid w:val="0001076E"/>
    <w:rsid w:val="000107F6"/>
    <w:rsid w:val="00010C0D"/>
    <w:rsid w:val="00010D02"/>
    <w:rsid w:val="00010EAB"/>
    <w:rsid w:val="00010EEE"/>
    <w:rsid w:val="0001110E"/>
    <w:rsid w:val="00011161"/>
    <w:rsid w:val="00011625"/>
    <w:rsid w:val="000117F9"/>
    <w:rsid w:val="00011DA2"/>
    <w:rsid w:val="0001210C"/>
    <w:rsid w:val="00012167"/>
    <w:rsid w:val="00012374"/>
    <w:rsid w:val="00012657"/>
    <w:rsid w:val="00012687"/>
    <w:rsid w:val="00012771"/>
    <w:rsid w:val="00012BD6"/>
    <w:rsid w:val="00012D82"/>
    <w:rsid w:val="00013284"/>
    <w:rsid w:val="000132FE"/>
    <w:rsid w:val="00013349"/>
    <w:rsid w:val="00013582"/>
    <w:rsid w:val="0001370A"/>
    <w:rsid w:val="00013961"/>
    <w:rsid w:val="00013DAE"/>
    <w:rsid w:val="00013DD2"/>
    <w:rsid w:val="00013F77"/>
    <w:rsid w:val="00014307"/>
    <w:rsid w:val="00014725"/>
    <w:rsid w:val="00014809"/>
    <w:rsid w:val="00014944"/>
    <w:rsid w:val="0001497E"/>
    <w:rsid w:val="00014FE9"/>
    <w:rsid w:val="00015033"/>
    <w:rsid w:val="00015449"/>
    <w:rsid w:val="000154E5"/>
    <w:rsid w:val="00015530"/>
    <w:rsid w:val="0001553A"/>
    <w:rsid w:val="000155BD"/>
    <w:rsid w:val="000156B5"/>
    <w:rsid w:val="000158ED"/>
    <w:rsid w:val="00015B5B"/>
    <w:rsid w:val="00015D37"/>
    <w:rsid w:val="00015DB1"/>
    <w:rsid w:val="0001632F"/>
    <w:rsid w:val="00016728"/>
    <w:rsid w:val="00016CC5"/>
    <w:rsid w:val="00017031"/>
    <w:rsid w:val="0001766B"/>
    <w:rsid w:val="0001772B"/>
    <w:rsid w:val="00017CFA"/>
    <w:rsid w:val="00017FA9"/>
    <w:rsid w:val="000201B4"/>
    <w:rsid w:val="00020C87"/>
    <w:rsid w:val="00020CD8"/>
    <w:rsid w:val="00020DAA"/>
    <w:rsid w:val="000213AD"/>
    <w:rsid w:val="000219C2"/>
    <w:rsid w:val="00021AFE"/>
    <w:rsid w:val="00021CA3"/>
    <w:rsid w:val="00021CB2"/>
    <w:rsid w:val="00021EC2"/>
    <w:rsid w:val="00021FD4"/>
    <w:rsid w:val="00022097"/>
    <w:rsid w:val="000221F5"/>
    <w:rsid w:val="0002227E"/>
    <w:rsid w:val="0002234F"/>
    <w:rsid w:val="000223AD"/>
    <w:rsid w:val="0002255B"/>
    <w:rsid w:val="0002260C"/>
    <w:rsid w:val="000226AE"/>
    <w:rsid w:val="000227A2"/>
    <w:rsid w:val="00022A3C"/>
    <w:rsid w:val="00022D2D"/>
    <w:rsid w:val="00022E1A"/>
    <w:rsid w:val="00023061"/>
    <w:rsid w:val="0002310C"/>
    <w:rsid w:val="00023296"/>
    <w:rsid w:val="0002339D"/>
    <w:rsid w:val="000234A8"/>
    <w:rsid w:val="000235A4"/>
    <w:rsid w:val="00023770"/>
    <w:rsid w:val="000238A6"/>
    <w:rsid w:val="00023CE8"/>
    <w:rsid w:val="00024521"/>
    <w:rsid w:val="000248EE"/>
    <w:rsid w:val="00024A90"/>
    <w:rsid w:val="00024B9B"/>
    <w:rsid w:val="00024BE6"/>
    <w:rsid w:val="00024D93"/>
    <w:rsid w:val="00024F16"/>
    <w:rsid w:val="00024F1C"/>
    <w:rsid w:val="000252DA"/>
    <w:rsid w:val="000253EE"/>
    <w:rsid w:val="000257F6"/>
    <w:rsid w:val="00025802"/>
    <w:rsid w:val="00025CE5"/>
    <w:rsid w:val="00025D41"/>
    <w:rsid w:val="00025DEF"/>
    <w:rsid w:val="00026226"/>
    <w:rsid w:val="00026297"/>
    <w:rsid w:val="00026469"/>
    <w:rsid w:val="00026490"/>
    <w:rsid w:val="000265FD"/>
    <w:rsid w:val="00026663"/>
    <w:rsid w:val="00026855"/>
    <w:rsid w:val="0002685B"/>
    <w:rsid w:val="00026A39"/>
    <w:rsid w:val="00026B14"/>
    <w:rsid w:val="00026D1A"/>
    <w:rsid w:val="00026DF6"/>
    <w:rsid w:val="00026FC9"/>
    <w:rsid w:val="0002764A"/>
    <w:rsid w:val="0002778B"/>
    <w:rsid w:val="000279B7"/>
    <w:rsid w:val="00027B7E"/>
    <w:rsid w:val="00027C04"/>
    <w:rsid w:val="00030094"/>
    <w:rsid w:val="000303EB"/>
    <w:rsid w:val="00030A5F"/>
    <w:rsid w:val="00030BAC"/>
    <w:rsid w:val="00030C8F"/>
    <w:rsid w:val="00030DCC"/>
    <w:rsid w:val="000313B9"/>
    <w:rsid w:val="0003145E"/>
    <w:rsid w:val="0003154C"/>
    <w:rsid w:val="000319F7"/>
    <w:rsid w:val="000319F9"/>
    <w:rsid w:val="00031BB1"/>
    <w:rsid w:val="00031CDD"/>
    <w:rsid w:val="00031EAA"/>
    <w:rsid w:val="000324ED"/>
    <w:rsid w:val="000325D1"/>
    <w:rsid w:val="0003271E"/>
    <w:rsid w:val="00032ED4"/>
    <w:rsid w:val="00032F2E"/>
    <w:rsid w:val="00033006"/>
    <w:rsid w:val="0003301A"/>
    <w:rsid w:val="00033480"/>
    <w:rsid w:val="00033626"/>
    <w:rsid w:val="00033669"/>
    <w:rsid w:val="00033D5D"/>
    <w:rsid w:val="00033E86"/>
    <w:rsid w:val="00034A72"/>
    <w:rsid w:val="00034ABA"/>
    <w:rsid w:val="00034CDC"/>
    <w:rsid w:val="00034E58"/>
    <w:rsid w:val="00034F51"/>
    <w:rsid w:val="00034FDE"/>
    <w:rsid w:val="00034FFA"/>
    <w:rsid w:val="0003506C"/>
    <w:rsid w:val="000350CC"/>
    <w:rsid w:val="000350ED"/>
    <w:rsid w:val="0003539E"/>
    <w:rsid w:val="000355A7"/>
    <w:rsid w:val="000356F8"/>
    <w:rsid w:val="00035AFF"/>
    <w:rsid w:val="00035B9B"/>
    <w:rsid w:val="00035B9F"/>
    <w:rsid w:val="00036810"/>
    <w:rsid w:val="000368AE"/>
    <w:rsid w:val="000369ED"/>
    <w:rsid w:val="00036A95"/>
    <w:rsid w:val="00036B02"/>
    <w:rsid w:val="00037012"/>
    <w:rsid w:val="000370AD"/>
    <w:rsid w:val="00037625"/>
    <w:rsid w:val="000377BF"/>
    <w:rsid w:val="000379B8"/>
    <w:rsid w:val="000379E5"/>
    <w:rsid w:val="00037B16"/>
    <w:rsid w:val="00037BAE"/>
    <w:rsid w:val="00037EB1"/>
    <w:rsid w:val="0004018F"/>
    <w:rsid w:val="000401EA"/>
    <w:rsid w:val="000403D6"/>
    <w:rsid w:val="00040435"/>
    <w:rsid w:val="00040604"/>
    <w:rsid w:val="000407AC"/>
    <w:rsid w:val="00040B26"/>
    <w:rsid w:val="00040F47"/>
    <w:rsid w:val="00041235"/>
    <w:rsid w:val="0004169B"/>
    <w:rsid w:val="00041738"/>
    <w:rsid w:val="00041839"/>
    <w:rsid w:val="00041F09"/>
    <w:rsid w:val="00042004"/>
    <w:rsid w:val="000424D0"/>
    <w:rsid w:val="0004252C"/>
    <w:rsid w:val="0004259A"/>
    <w:rsid w:val="0004274A"/>
    <w:rsid w:val="000427E5"/>
    <w:rsid w:val="00042D4C"/>
    <w:rsid w:val="00042D79"/>
    <w:rsid w:val="00042E23"/>
    <w:rsid w:val="00042F28"/>
    <w:rsid w:val="00042F75"/>
    <w:rsid w:val="000430EF"/>
    <w:rsid w:val="00043990"/>
    <w:rsid w:val="00043B21"/>
    <w:rsid w:val="00043F0B"/>
    <w:rsid w:val="00044337"/>
    <w:rsid w:val="000443A0"/>
    <w:rsid w:val="0004444B"/>
    <w:rsid w:val="000446C2"/>
    <w:rsid w:val="000448C4"/>
    <w:rsid w:val="000448F8"/>
    <w:rsid w:val="00044A23"/>
    <w:rsid w:val="00044EC8"/>
    <w:rsid w:val="000453B9"/>
    <w:rsid w:val="000456BB"/>
    <w:rsid w:val="00045BE8"/>
    <w:rsid w:val="00045C0E"/>
    <w:rsid w:val="00045FC1"/>
    <w:rsid w:val="000461F1"/>
    <w:rsid w:val="000462C5"/>
    <w:rsid w:val="000463AB"/>
    <w:rsid w:val="00046429"/>
    <w:rsid w:val="000466D8"/>
    <w:rsid w:val="000467AA"/>
    <w:rsid w:val="000467F1"/>
    <w:rsid w:val="00046D04"/>
    <w:rsid w:val="00046F5F"/>
    <w:rsid w:val="000470EF"/>
    <w:rsid w:val="0004716E"/>
    <w:rsid w:val="0004741C"/>
    <w:rsid w:val="000476FD"/>
    <w:rsid w:val="0005006C"/>
    <w:rsid w:val="00050309"/>
    <w:rsid w:val="0005053F"/>
    <w:rsid w:val="00050681"/>
    <w:rsid w:val="0005076C"/>
    <w:rsid w:val="000507DC"/>
    <w:rsid w:val="00050AAF"/>
    <w:rsid w:val="00050BE1"/>
    <w:rsid w:val="00050D40"/>
    <w:rsid w:val="00050F71"/>
    <w:rsid w:val="000510D6"/>
    <w:rsid w:val="00051150"/>
    <w:rsid w:val="00051F46"/>
    <w:rsid w:val="000525B9"/>
    <w:rsid w:val="000526C6"/>
    <w:rsid w:val="000529B7"/>
    <w:rsid w:val="000529EF"/>
    <w:rsid w:val="00052E43"/>
    <w:rsid w:val="00052FB3"/>
    <w:rsid w:val="00052FF9"/>
    <w:rsid w:val="0005301C"/>
    <w:rsid w:val="0005331B"/>
    <w:rsid w:val="00053388"/>
    <w:rsid w:val="000533A3"/>
    <w:rsid w:val="0005365F"/>
    <w:rsid w:val="00053934"/>
    <w:rsid w:val="00053938"/>
    <w:rsid w:val="00053D19"/>
    <w:rsid w:val="00053D5B"/>
    <w:rsid w:val="00053DE6"/>
    <w:rsid w:val="00053E7E"/>
    <w:rsid w:val="00053F5A"/>
    <w:rsid w:val="00053F7E"/>
    <w:rsid w:val="0005414F"/>
    <w:rsid w:val="000542FC"/>
    <w:rsid w:val="00054343"/>
    <w:rsid w:val="00054436"/>
    <w:rsid w:val="000545E7"/>
    <w:rsid w:val="000546A6"/>
    <w:rsid w:val="000546AE"/>
    <w:rsid w:val="0005492B"/>
    <w:rsid w:val="00054AD4"/>
    <w:rsid w:val="00054C70"/>
    <w:rsid w:val="00055033"/>
    <w:rsid w:val="0005541A"/>
    <w:rsid w:val="00055662"/>
    <w:rsid w:val="00055B5A"/>
    <w:rsid w:val="00055FE2"/>
    <w:rsid w:val="00056066"/>
    <w:rsid w:val="000562F6"/>
    <w:rsid w:val="000563B4"/>
    <w:rsid w:val="0005653C"/>
    <w:rsid w:val="0005668A"/>
    <w:rsid w:val="000567D2"/>
    <w:rsid w:val="00056B0D"/>
    <w:rsid w:val="00056C3A"/>
    <w:rsid w:val="00056D58"/>
    <w:rsid w:val="000570C9"/>
    <w:rsid w:val="000573CC"/>
    <w:rsid w:val="0005751B"/>
    <w:rsid w:val="000576F3"/>
    <w:rsid w:val="00057A78"/>
    <w:rsid w:val="00057AFE"/>
    <w:rsid w:val="00057BA6"/>
    <w:rsid w:val="00057BA7"/>
    <w:rsid w:val="00057FC7"/>
    <w:rsid w:val="000600B3"/>
    <w:rsid w:val="0006045C"/>
    <w:rsid w:val="00060502"/>
    <w:rsid w:val="000605BB"/>
    <w:rsid w:val="000607E0"/>
    <w:rsid w:val="00060985"/>
    <w:rsid w:val="00060BBA"/>
    <w:rsid w:val="00060E56"/>
    <w:rsid w:val="00060E85"/>
    <w:rsid w:val="00061278"/>
    <w:rsid w:val="0006138E"/>
    <w:rsid w:val="00061457"/>
    <w:rsid w:val="000614ED"/>
    <w:rsid w:val="00061629"/>
    <w:rsid w:val="000617AD"/>
    <w:rsid w:val="000617DC"/>
    <w:rsid w:val="000621B4"/>
    <w:rsid w:val="0006242E"/>
    <w:rsid w:val="000625B9"/>
    <w:rsid w:val="0006278A"/>
    <w:rsid w:val="0006279B"/>
    <w:rsid w:val="00062C75"/>
    <w:rsid w:val="00062D5E"/>
    <w:rsid w:val="00062E69"/>
    <w:rsid w:val="00063046"/>
    <w:rsid w:val="000631C9"/>
    <w:rsid w:val="0006362A"/>
    <w:rsid w:val="00063658"/>
    <w:rsid w:val="000638E7"/>
    <w:rsid w:val="00063EE5"/>
    <w:rsid w:val="00063F8B"/>
    <w:rsid w:val="000642BC"/>
    <w:rsid w:val="000647FF"/>
    <w:rsid w:val="00064A6C"/>
    <w:rsid w:val="00064AB9"/>
    <w:rsid w:val="00064AF7"/>
    <w:rsid w:val="00064E36"/>
    <w:rsid w:val="000654F7"/>
    <w:rsid w:val="00065568"/>
    <w:rsid w:val="00065B79"/>
    <w:rsid w:val="00065CC6"/>
    <w:rsid w:val="00066203"/>
    <w:rsid w:val="0006652F"/>
    <w:rsid w:val="0006683A"/>
    <w:rsid w:val="00066A6D"/>
    <w:rsid w:val="00066C00"/>
    <w:rsid w:val="00066CD1"/>
    <w:rsid w:val="00066F74"/>
    <w:rsid w:val="0006731D"/>
    <w:rsid w:val="00067481"/>
    <w:rsid w:val="00067BBC"/>
    <w:rsid w:val="00070266"/>
    <w:rsid w:val="000704B1"/>
    <w:rsid w:val="0007057C"/>
    <w:rsid w:val="00070600"/>
    <w:rsid w:val="000706D5"/>
    <w:rsid w:val="000706E1"/>
    <w:rsid w:val="00070793"/>
    <w:rsid w:val="00070859"/>
    <w:rsid w:val="00070C25"/>
    <w:rsid w:val="00070DCB"/>
    <w:rsid w:val="00070EF6"/>
    <w:rsid w:val="00070F43"/>
    <w:rsid w:val="00070FF9"/>
    <w:rsid w:val="0007128A"/>
    <w:rsid w:val="00071364"/>
    <w:rsid w:val="00071429"/>
    <w:rsid w:val="000715A5"/>
    <w:rsid w:val="000717F3"/>
    <w:rsid w:val="00071D94"/>
    <w:rsid w:val="00071F59"/>
    <w:rsid w:val="00072183"/>
    <w:rsid w:val="00072211"/>
    <w:rsid w:val="0007225E"/>
    <w:rsid w:val="00072263"/>
    <w:rsid w:val="000724F0"/>
    <w:rsid w:val="00072686"/>
    <w:rsid w:val="00072698"/>
    <w:rsid w:val="0007275E"/>
    <w:rsid w:val="00072872"/>
    <w:rsid w:val="00072971"/>
    <w:rsid w:val="00072E72"/>
    <w:rsid w:val="00072EC7"/>
    <w:rsid w:val="00072FC6"/>
    <w:rsid w:val="000731FA"/>
    <w:rsid w:val="0007352A"/>
    <w:rsid w:val="000738E0"/>
    <w:rsid w:val="00073B17"/>
    <w:rsid w:val="00073B39"/>
    <w:rsid w:val="00073F2C"/>
    <w:rsid w:val="00073F5E"/>
    <w:rsid w:val="0007425F"/>
    <w:rsid w:val="00074365"/>
    <w:rsid w:val="000748D7"/>
    <w:rsid w:val="00074922"/>
    <w:rsid w:val="00074948"/>
    <w:rsid w:val="00074D74"/>
    <w:rsid w:val="00075203"/>
    <w:rsid w:val="00075469"/>
    <w:rsid w:val="00075488"/>
    <w:rsid w:val="000755D6"/>
    <w:rsid w:val="000757A4"/>
    <w:rsid w:val="000757F0"/>
    <w:rsid w:val="00076329"/>
    <w:rsid w:val="0007652E"/>
    <w:rsid w:val="00076DAE"/>
    <w:rsid w:val="000770B1"/>
    <w:rsid w:val="0007726A"/>
    <w:rsid w:val="0007736E"/>
    <w:rsid w:val="000775DF"/>
    <w:rsid w:val="00077730"/>
    <w:rsid w:val="0007778F"/>
    <w:rsid w:val="00077D57"/>
    <w:rsid w:val="00077DDE"/>
    <w:rsid w:val="00080913"/>
    <w:rsid w:val="00080914"/>
    <w:rsid w:val="00080E72"/>
    <w:rsid w:val="00081039"/>
    <w:rsid w:val="000814A1"/>
    <w:rsid w:val="000817B8"/>
    <w:rsid w:val="0008187F"/>
    <w:rsid w:val="00081B84"/>
    <w:rsid w:val="00081C20"/>
    <w:rsid w:val="00081DB8"/>
    <w:rsid w:val="00081E0E"/>
    <w:rsid w:val="00082077"/>
    <w:rsid w:val="000821AA"/>
    <w:rsid w:val="000821C1"/>
    <w:rsid w:val="0008221E"/>
    <w:rsid w:val="0008267C"/>
    <w:rsid w:val="0008278E"/>
    <w:rsid w:val="000827F0"/>
    <w:rsid w:val="00082B0D"/>
    <w:rsid w:val="00082C72"/>
    <w:rsid w:val="000832CF"/>
    <w:rsid w:val="00083794"/>
    <w:rsid w:val="00083ACD"/>
    <w:rsid w:val="00083DE4"/>
    <w:rsid w:val="00084105"/>
    <w:rsid w:val="00084307"/>
    <w:rsid w:val="00084385"/>
    <w:rsid w:val="00084451"/>
    <w:rsid w:val="00084463"/>
    <w:rsid w:val="00084879"/>
    <w:rsid w:val="000849D7"/>
    <w:rsid w:val="00084F2E"/>
    <w:rsid w:val="00085228"/>
    <w:rsid w:val="00085245"/>
    <w:rsid w:val="0008565D"/>
    <w:rsid w:val="00085804"/>
    <w:rsid w:val="00085C93"/>
    <w:rsid w:val="00085D62"/>
    <w:rsid w:val="00085E53"/>
    <w:rsid w:val="00085E99"/>
    <w:rsid w:val="00085E9D"/>
    <w:rsid w:val="00085EA5"/>
    <w:rsid w:val="000860C5"/>
    <w:rsid w:val="00086EC9"/>
    <w:rsid w:val="00086FA6"/>
    <w:rsid w:val="00087184"/>
    <w:rsid w:val="0008769F"/>
    <w:rsid w:val="0008788A"/>
    <w:rsid w:val="00087DB4"/>
    <w:rsid w:val="00087EFE"/>
    <w:rsid w:val="0009018E"/>
    <w:rsid w:val="0009036B"/>
    <w:rsid w:val="000904CC"/>
    <w:rsid w:val="000909D4"/>
    <w:rsid w:val="00090C28"/>
    <w:rsid w:val="000910B5"/>
    <w:rsid w:val="00091AB7"/>
    <w:rsid w:val="00091B31"/>
    <w:rsid w:val="00091BCA"/>
    <w:rsid w:val="00091E28"/>
    <w:rsid w:val="00091FDD"/>
    <w:rsid w:val="00092200"/>
    <w:rsid w:val="000922FA"/>
    <w:rsid w:val="000924B4"/>
    <w:rsid w:val="00092690"/>
    <w:rsid w:val="00092A57"/>
    <w:rsid w:val="00092AFA"/>
    <w:rsid w:val="00092C2B"/>
    <w:rsid w:val="00092F04"/>
    <w:rsid w:val="00092F4E"/>
    <w:rsid w:val="000936DF"/>
    <w:rsid w:val="00093F0E"/>
    <w:rsid w:val="00093F57"/>
    <w:rsid w:val="0009416A"/>
    <w:rsid w:val="0009471C"/>
    <w:rsid w:val="00095329"/>
    <w:rsid w:val="00095374"/>
    <w:rsid w:val="00095645"/>
    <w:rsid w:val="00095C85"/>
    <w:rsid w:val="000961D5"/>
    <w:rsid w:val="00096591"/>
    <w:rsid w:val="000967A2"/>
    <w:rsid w:val="0009691A"/>
    <w:rsid w:val="00096A55"/>
    <w:rsid w:val="00096BB2"/>
    <w:rsid w:val="00096C8D"/>
    <w:rsid w:val="00096CE4"/>
    <w:rsid w:val="00096E03"/>
    <w:rsid w:val="000970F0"/>
    <w:rsid w:val="00097179"/>
    <w:rsid w:val="0009718A"/>
    <w:rsid w:val="000971D6"/>
    <w:rsid w:val="000978D8"/>
    <w:rsid w:val="00097BC1"/>
    <w:rsid w:val="00097F53"/>
    <w:rsid w:val="000A005A"/>
    <w:rsid w:val="000A021C"/>
    <w:rsid w:val="000A0774"/>
    <w:rsid w:val="000A09F6"/>
    <w:rsid w:val="000A0BDF"/>
    <w:rsid w:val="000A0CED"/>
    <w:rsid w:val="000A0D82"/>
    <w:rsid w:val="000A0FA1"/>
    <w:rsid w:val="000A1153"/>
    <w:rsid w:val="000A14B0"/>
    <w:rsid w:val="000A15B0"/>
    <w:rsid w:val="000A175F"/>
    <w:rsid w:val="000A176A"/>
    <w:rsid w:val="000A1B45"/>
    <w:rsid w:val="000A1D74"/>
    <w:rsid w:val="000A1E84"/>
    <w:rsid w:val="000A201B"/>
    <w:rsid w:val="000A23B1"/>
    <w:rsid w:val="000A250F"/>
    <w:rsid w:val="000A25CC"/>
    <w:rsid w:val="000A2694"/>
    <w:rsid w:val="000A2809"/>
    <w:rsid w:val="000A28E1"/>
    <w:rsid w:val="000A298D"/>
    <w:rsid w:val="000A37FC"/>
    <w:rsid w:val="000A3A95"/>
    <w:rsid w:val="000A3CF6"/>
    <w:rsid w:val="000A480A"/>
    <w:rsid w:val="000A4810"/>
    <w:rsid w:val="000A49BD"/>
    <w:rsid w:val="000A4BC8"/>
    <w:rsid w:val="000A4C43"/>
    <w:rsid w:val="000A4EAF"/>
    <w:rsid w:val="000A4EBD"/>
    <w:rsid w:val="000A4FC7"/>
    <w:rsid w:val="000A58AF"/>
    <w:rsid w:val="000A5E66"/>
    <w:rsid w:val="000A5F99"/>
    <w:rsid w:val="000A6221"/>
    <w:rsid w:val="000A68EC"/>
    <w:rsid w:val="000A6AB2"/>
    <w:rsid w:val="000A7134"/>
    <w:rsid w:val="000A720F"/>
    <w:rsid w:val="000A745B"/>
    <w:rsid w:val="000A7526"/>
    <w:rsid w:val="000A75E1"/>
    <w:rsid w:val="000A7B57"/>
    <w:rsid w:val="000A7D36"/>
    <w:rsid w:val="000A7E18"/>
    <w:rsid w:val="000A7EFF"/>
    <w:rsid w:val="000B0167"/>
    <w:rsid w:val="000B01DD"/>
    <w:rsid w:val="000B028F"/>
    <w:rsid w:val="000B0397"/>
    <w:rsid w:val="000B08BD"/>
    <w:rsid w:val="000B09CC"/>
    <w:rsid w:val="000B0C9D"/>
    <w:rsid w:val="000B0DF1"/>
    <w:rsid w:val="000B10FE"/>
    <w:rsid w:val="000B14D3"/>
    <w:rsid w:val="000B1914"/>
    <w:rsid w:val="000B1D2E"/>
    <w:rsid w:val="000B1E10"/>
    <w:rsid w:val="000B2124"/>
    <w:rsid w:val="000B2298"/>
    <w:rsid w:val="000B24A3"/>
    <w:rsid w:val="000B250E"/>
    <w:rsid w:val="000B270A"/>
    <w:rsid w:val="000B2A4C"/>
    <w:rsid w:val="000B2CA1"/>
    <w:rsid w:val="000B2DB4"/>
    <w:rsid w:val="000B2E27"/>
    <w:rsid w:val="000B2EFE"/>
    <w:rsid w:val="000B2F18"/>
    <w:rsid w:val="000B2F54"/>
    <w:rsid w:val="000B306C"/>
    <w:rsid w:val="000B31E5"/>
    <w:rsid w:val="000B3216"/>
    <w:rsid w:val="000B3767"/>
    <w:rsid w:val="000B3842"/>
    <w:rsid w:val="000B3FA9"/>
    <w:rsid w:val="000B41AE"/>
    <w:rsid w:val="000B425D"/>
    <w:rsid w:val="000B459E"/>
    <w:rsid w:val="000B4811"/>
    <w:rsid w:val="000B48ED"/>
    <w:rsid w:val="000B4A2B"/>
    <w:rsid w:val="000B4BEA"/>
    <w:rsid w:val="000B4E69"/>
    <w:rsid w:val="000B4F92"/>
    <w:rsid w:val="000B56A6"/>
    <w:rsid w:val="000B598F"/>
    <w:rsid w:val="000B59D0"/>
    <w:rsid w:val="000B5EBE"/>
    <w:rsid w:val="000B5FBD"/>
    <w:rsid w:val="000B610D"/>
    <w:rsid w:val="000B61BB"/>
    <w:rsid w:val="000B6340"/>
    <w:rsid w:val="000B638D"/>
    <w:rsid w:val="000B63D8"/>
    <w:rsid w:val="000B6513"/>
    <w:rsid w:val="000B65EE"/>
    <w:rsid w:val="000B690E"/>
    <w:rsid w:val="000B6E4A"/>
    <w:rsid w:val="000B6ECC"/>
    <w:rsid w:val="000B6F83"/>
    <w:rsid w:val="000B7781"/>
    <w:rsid w:val="000B7853"/>
    <w:rsid w:val="000B78CB"/>
    <w:rsid w:val="000B7B44"/>
    <w:rsid w:val="000B7BE3"/>
    <w:rsid w:val="000C0471"/>
    <w:rsid w:val="000C049A"/>
    <w:rsid w:val="000C04A7"/>
    <w:rsid w:val="000C0DC7"/>
    <w:rsid w:val="000C0E1E"/>
    <w:rsid w:val="000C0E47"/>
    <w:rsid w:val="000C0EDE"/>
    <w:rsid w:val="000C0EF5"/>
    <w:rsid w:val="000C12F0"/>
    <w:rsid w:val="000C17C3"/>
    <w:rsid w:val="000C1879"/>
    <w:rsid w:val="000C1C46"/>
    <w:rsid w:val="000C1E7A"/>
    <w:rsid w:val="000C1F98"/>
    <w:rsid w:val="000C2204"/>
    <w:rsid w:val="000C23B0"/>
    <w:rsid w:val="000C2494"/>
    <w:rsid w:val="000C27E0"/>
    <w:rsid w:val="000C2804"/>
    <w:rsid w:val="000C2AFA"/>
    <w:rsid w:val="000C2BB4"/>
    <w:rsid w:val="000C2C16"/>
    <w:rsid w:val="000C2E31"/>
    <w:rsid w:val="000C2E7E"/>
    <w:rsid w:val="000C3584"/>
    <w:rsid w:val="000C3763"/>
    <w:rsid w:val="000C390D"/>
    <w:rsid w:val="000C3D55"/>
    <w:rsid w:val="000C40F7"/>
    <w:rsid w:val="000C422F"/>
    <w:rsid w:val="000C45F3"/>
    <w:rsid w:val="000C4A57"/>
    <w:rsid w:val="000C4ED6"/>
    <w:rsid w:val="000C4EE7"/>
    <w:rsid w:val="000C4F43"/>
    <w:rsid w:val="000C5278"/>
    <w:rsid w:val="000C549E"/>
    <w:rsid w:val="000C553C"/>
    <w:rsid w:val="000C59C7"/>
    <w:rsid w:val="000C5B7A"/>
    <w:rsid w:val="000C5D3C"/>
    <w:rsid w:val="000C638D"/>
    <w:rsid w:val="000C63E6"/>
    <w:rsid w:val="000C6562"/>
    <w:rsid w:val="000C66CE"/>
    <w:rsid w:val="000C672D"/>
    <w:rsid w:val="000C67D5"/>
    <w:rsid w:val="000C69C2"/>
    <w:rsid w:val="000C6A23"/>
    <w:rsid w:val="000C6AA8"/>
    <w:rsid w:val="000C6D1B"/>
    <w:rsid w:val="000C6D53"/>
    <w:rsid w:val="000C712A"/>
    <w:rsid w:val="000C71FF"/>
    <w:rsid w:val="000C787B"/>
    <w:rsid w:val="000C7FFC"/>
    <w:rsid w:val="000D0484"/>
    <w:rsid w:val="000D04A3"/>
    <w:rsid w:val="000D0B8E"/>
    <w:rsid w:val="000D0FD4"/>
    <w:rsid w:val="000D12D9"/>
    <w:rsid w:val="000D13E1"/>
    <w:rsid w:val="000D14CD"/>
    <w:rsid w:val="000D16AB"/>
    <w:rsid w:val="000D177F"/>
    <w:rsid w:val="000D1895"/>
    <w:rsid w:val="000D191B"/>
    <w:rsid w:val="000D1A0D"/>
    <w:rsid w:val="000D1A47"/>
    <w:rsid w:val="000D1AD6"/>
    <w:rsid w:val="000D1C59"/>
    <w:rsid w:val="000D1C84"/>
    <w:rsid w:val="000D1F97"/>
    <w:rsid w:val="000D2037"/>
    <w:rsid w:val="000D2365"/>
    <w:rsid w:val="000D24CD"/>
    <w:rsid w:val="000D266C"/>
    <w:rsid w:val="000D285A"/>
    <w:rsid w:val="000D2D53"/>
    <w:rsid w:val="000D3279"/>
    <w:rsid w:val="000D32DC"/>
    <w:rsid w:val="000D3AED"/>
    <w:rsid w:val="000D3EE5"/>
    <w:rsid w:val="000D455F"/>
    <w:rsid w:val="000D4681"/>
    <w:rsid w:val="000D486D"/>
    <w:rsid w:val="000D49F3"/>
    <w:rsid w:val="000D4A0B"/>
    <w:rsid w:val="000D4D4D"/>
    <w:rsid w:val="000D507A"/>
    <w:rsid w:val="000D50DD"/>
    <w:rsid w:val="000D5231"/>
    <w:rsid w:val="000D5442"/>
    <w:rsid w:val="000D5605"/>
    <w:rsid w:val="000D57FF"/>
    <w:rsid w:val="000D595D"/>
    <w:rsid w:val="000D5A3D"/>
    <w:rsid w:val="000D5D8D"/>
    <w:rsid w:val="000D5E26"/>
    <w:rsid w:val="000D5F3E"/>
    <w:rsid w:val="000D61B4"/>
    <w:rsid w:val="000D6268"/>
    <w:rsid w:val="000D6735"/>
    <w:rsid w:val="000D6A6D"/>
    <w:rsid w:val="000D6DB9"/>
    <w:rsid w:val="000D71FA"/>
    <w:rsid w:val="000D75C0"/>
    <w:rsid w:val="000D75EB"/>
    <w:rsid w:val="000D77CB"/>
    <w:rsid w:val="000D7910"/>
    <w:rsid w:val="000D7CE4"/>
    <w:rsid w:val="000D7DF8"/>
    <w:rsid w:val="000D7E2B"/>
    <w:rsid w:val="000E00AF"/>
    <w:rsid w:val="000E04DB"/>
    <w:rsid w:val="000E0776"/>
    <w:rsid w:val="000E0A28"/>
    <w:rsid w:val="000E0BF0"/>
    <w:rsid w:val="000E0CCE"/>
    <w:rsid w:val="000E0DF0"/>
    <w:rsid w:val="000E0E7A"/>
    <w:rsid w:val="000E0EF4"/>
    <w:rsid w:val="000E1487"/>
    <w:rsid w:val="000E16D1"/>
    <w:rsid w:val="000E188A"/>
    <w:rsid w:val="000E18B7"/>
    <w:rsid w:val="000E1C52"/>
    <w:rsid w:val="000E1EF1"/>
    <w:rsid w:val="000E1F71"/>
    <w:rsid w:val="000E207E"/>
    <w:rsid w:val="000E2543"/>
    <w:rsid w:val="000E2CD3"/>
    <w:rsid w:val="000E2D95"/>
    <w:rsid w:val="000E2E77"/>
    <w:rsid w:val="000E2FBD"/>
    <w:rsid w:val="000E320D"/>
    <w:rsid w:val="000E368B"/>
    <w:rsid w:val="000E3868"/>
    <w:rsid w:val="000E38E6"/>
    <w:rsid w:val="000E390A"/>
    <w:rsid w:val="000E3AC2"/>
    <w:rsid w:val="000E3C72"/>
    <w:rsid w:val="000E4158"/>
    <w:rsid w:val="000E43E6"/>
    <w:rsid w:val="000E471F"/>
    <w:rsid w:val="000E4847"/>
    <w:rsid w:val="000E4AFF"/>
    <w:rsid w:val="000E4D02"/>
    <w:rsid w:val="000E4D8C"/>
    <w:rsid w:val="000E52DC"/>
    <w:rsid w:val="000E52DD"/>
    <w:rsid w:val="000E53FD"/>
    <w:rsid w:val="000E54D1"/>
    <w:rsid w:val="000E54F8"/>
    <w:rsid w:val="000E55B5"/>
    <w:rsid w:val="000E55DB"/>
    <w:rsid w:val="000E5737"/>
    <w:rsid w:val="000E57BC"/>
    <w:rsid w:val="000E5995"/>
    <w:rsid w:val="000E59E9"/>
    <w:rsid w:val="000E5E94"/>
    <w:rsid w:val="000E6157"/>
    <w:rsid w:val="000E7228"/>
    <w:rsid w:val="000E73AF"/>
    <w:rsid w:val="000E7561"/>
    <w:rsid w:val="000E7FEC"/>
    <w:rsid w:val="000F0151"/>
    <w:rsid w:val="000F04C1"/>
    <w:rsid w:val="000F0739"/>
    <w:rsid w:val="000F0B07"/>
    <w:rsid w:val="000F0B17"/>
    <w:rsid w:val="000F0BB5"/>
    <w:rsid w:val="000F0D27"/>
    <w:rsid w:val="000F0FB0"/>
    <w:rsid w:val="000F0FCD"/>
    <w:rsid w:val="000F12BA"/>
    <w:rsid w:val="000F130A"/>
    <w:rsid w:val="000F13CF"/>
    <w:rsid w:val="000F1481"/>
    <w:rsid w:val="000F155A"/>
    <w:rsid w:val="000F19A6"/>
    <w:rsid w:val="000F1E16"/>
    <w:rsid w:val="000F1FDD"/>
    <w:rsid w:val="000F2278"/>
    <w:rsid w:val="000F2386"/>
    <w:rsid w:val="000F2582"/>
    <w:rsid w:val="000F264F"/>
    <w:rsid w:val="000F2A87"/>
    <w:rsid w:val="000F2ECA"/>
    <w:rsid w:val="000F2F0D"/>
    <w:rsid w:val="000F309A"/>
    <w:rsid w:val="000F3472"/>
    <w:rsid w:val="000F3705"/>
    <w:rsid w:val="000F3897"/>
    <w:rsid w:val="000F3A81"/>
    <w:rsid w:val="000F3C0B"/>
    <w:rsid w:val="000F482D"/>
    <w:rsid w:val="000F48F0"/>
    <w:rsid w:val="000F49F1"/>
    <w:rsid w:val="000F4E12"/>
    <w:rsid w:val="000F4E72"/>
    <w:rsid w:val="000F4F56"/>
    <w:rsid w:val="000F4F5D"/>
    <w:rsid w:val="000F5355"/>
    <w:rsid w:val="000F536C"/>
    <w:rsid w:val="000F5683"/>
    <w:rsid w:val="000F59A8"/>
    <w:rsid w:val="000F5A94"/>
    <w:rsid w:val="000F5CEF"/>
    <w:rsid w:val="000F5F70"/>
    <w:rsid w:val="000F6008"/>
    <w:rsid w:val="000F65EF"/>
    <w:rsid w:val="000F66B1"/>
    <w:rsid w:val="000F66B6"/>
    <w:rsid w:val="000F66BA"/>
    <w:rsid w:val="000F6806"/>
    <w:rsid w:val="000F681C"/>
    <w:rsid w:val="000F6833"/>
    <w:rsid w:val="000F6CE7"/>
    <w:rsid w:val="000F72F9"/>
    <w:rsid w:val="000F73EF"/>
    <w:rsid w:val="000F747F"/>
    <w:rsid w:val="000F749E"/>
    <w:rsid w:val="000F772E"/>
    <w:rsid w:val="000F7881"/>
    <w:rsid w:val="000F7C6C"/>
    <w:rsid w:val="000F7DA9"/>
    <w:rsid w:val="001007E6"/>
    <w:rsid w:val="00100E4D"/>
    <w:rsid w:val="0010111A"/>
    <w:rsid w:val="0010112C"/>
    <w:rsid w:val="001014EC"/>
    <w:rsid w:val="00101639"/>
    <w:rsid w:val="0010175A"/>
    <w:rsid w:val="0010181A"/>
    <w:rsid w:val="00101864"/>
    <w:rsid w:val="001019A0"/>
    <w:rsid w:val="001019E9"/>
    <w:rsid w:val="00101D61"/>
    <w:rsid w:val="00101D80"/>
    <w:rsid w:val="00102036"/>
    <w:rsid w:val="001022BC"/>
    <w:rsid w:val="00102530"/>
    <w:rsid w:val="001028AB"/>
    <w:rsid w:val="00102D72"/>
    <w:rsid w:val="00102F33"/>
    <w:rsid w:val="0010303B"/>
    <w:rsid w:val="001032C3"/>
    <w:rsid w:val="0010360D"/>
    <w:rsid w:val="001039EC"/>
    <w:rsid w:val="00103EF6"/>
    <w:rsid w:val="00103F2D"/>
    <w:rsid w:val="0010402A"/>
    <w:rsid w:val="00104220"/>
    <w:rsid w:val="00104349"/>
    <w:rsid w:val="00104420"/>
    <w:rsid w:val="0010467F"/>
    <w:rsid w:val="00104778"/>
    <w:rsid w:val="001047DE"/>
    <w:rsid w:val="00104800"/>
    <w:rsid w:val="001049E7"/>
    <w:rsid w:val="00104A63"/>
    <w:rsid w:val="00104DA1"/>
    <w:rsid w:val="00104DEC"/>
    <w:rsid w:val="00104EA7"/>
    <w:rsid w:val="00105020"/>
    <w:rsid w:val="001050B9"/>
    <w:rsid w:val="00105128"/>
    <w:rsid w:val="0010527D"/>
    <w:rsid w:val="001052E2"/>
    <w:rsid w:val="0010548C"/>
    <w:rsid w:val="00105864"/>
    <w:rsid w:val="001058C6"/>
    <w:rsid w:val="00105B1A"/>
    <w:rsid w:val="00106238"/>
    <w:rsid w:val="00106320"/>
    <w:rsid w:val="0010694A"/>
    <w:rsid w:val="00106A4E"/>
    <w:rsid w:val="00106AC0"/>
    <w:rsid w:val="0010739C"/>
    <w:rsid w:val="001073D2"/>
    <w:rsid w:val="001074C8"/>
    <w:rsid w:val="00107641"/>
    <w:rsid w:val="001078AC"/>
    <w:rsid w:val="001078F1"/>
    <w:rsid w:val="00107A3F"/>
    <w:rsid w:val="00107C52"/>
    <w:rsid w:val="00107C9B"/>
    <w:rsid w:val="00107FB7"/>
    <w:rsid w:val="001102A9"/>
    <w:rsid w:val="00110344"/>
    <w:rsid w:val="00110458"/>
    <w:rsid w:val="001107BF"/>
    <w:rsid w:val="00110850"/>
    <w:rsid w:val="00110CD9"/>
    <w:rsid w:val="00110F12"/>
    <w:rsid w:val="001111B6"/>
    <w:rsid w:val="00111F3D"/>
    <w:rsid w:val="001127AC"/>
    <w:rsid w:val="00112889"/>
    <w:rsid w:val="0011296E"/>
    <w:rsid w:val="00112E2C"/>
    <w:rsid w:val="00112F28"/>
    <w:rsid w:val="00113314"/>
    <w:rsid w:val="001137E7"/>
    <w:rsid w:val="00113BDF"/>
    <w:rsid w:val="00113FA6"/>
    <w:rsid w:val="001145A4"/>
    <w:rsid w:val="00114723"/>
    <w:rsid w:val="00114740"/>
    <w:rsid w:val="00114774"/>
    <w:rsid w:val="00114D00"/>
    <w:rsid w:val="00115095"/>
    <w:rsid w:val="001151E8"/>
    <w:rsid w:val="001153B3"/>
    <w:rsid w:val="001155AA"/>
    <w:rsid w:val="001155EB"/>
    <w:rsid w:val="0011563D"/>
    <w:rsid w:val="001156C0"/>
    <w:rsid w:val="0011571B"/>
    <w:rsid w:val="00115784"/>
    <w:rsid w:val="00115B88"/>
    <w:rsid w:val="00115C2B"/>
    <w:rsid w:val="0011635A"/>
    <w:rsid w:val="0011637D"/>
    <w:rsid w:val="00116F8E"/>
    <w:rsid w:val="0011710F"/>
    <w:rsid w:val="001175B3"/>
    <w:rsid w:val="001177EC"/>
    <w:rsid w:val="001177FB"/>
    <w:rsid w:val="00117AFF"/>
    <w:rsid w:val="00117C92"/>
    <w:rsid w:val="0012002A"/>
    <w:rsid w:val="00120154"/>
    <w:rsid w:val="0012017E"/>
    <w:rsid w:val="00120506"/>
    <w:rsid w:val="0012091A"/>
    <w:rsid w:val="00120C2C"/>
    <w:rsid w:val="00120D0C"/>
    <w:rsid w:val="00121332"/>
    <w:rsid w:val="001215EE"/>
    <w:rsid w:val="0012187C"/>
    <w:rsid w:val="00121B5D"/>
    <w:rsid w:val="00121CEE"/>
    <w:rsid w:val="00121DE9"/>
    <w:rsid w:val="00121F6A"/>
    <w:rsid w:val="001224D0"/>
    <w:rsid w:val="00122937"/>
    <w:rsid w:val="00122C6D"/>
    <w:rsid w:val="00122E78"/>
    <w:rsid w:val="00122E79"/>
    <w:rsid w:val="001231A8"/>
    <w:rsid w:val="0012378C"/>
    <w:rsid w:val="0012388C"/>
    <w:rsid w:val="00123A11"/>
    <w:rsid w:val="00123D92"/>
    <w:rsid w:val="00123FAF"/>
    <w:rsid w:val="00124184"/>
    <w:rsid w:val="001241D7"/>
    <w:rsid w:val="00124289"/>
    <w:rsid w:val="00124407"/>
    <w:rsid w:val="00124595"/>
    <w:rsid w:val="00124691"/>
    <w:rsid w:val="00124959"/>
    <w:rsid w:val="00124A5D"/>
    <w:rsid w:val="00124BF1"/>
    <w:rsid w:val="00124DD4"/>
    <w:rsid w:val="00124DF8"/>
    <w:rsid w:val="00124EA8"/>
    <w:rsid w:val="001257D0"/>
    <w:rsid w:val="001258E2"/>
    <w:rsid w:val="00125AF0"/>
    <w:rsid w:val="00125D48"/>
    <w:rsid w:val="00125E76"/>
    <w:rsid w:val="00125E86"/>
    <w:rsid w:val="00126375"/>
    <w:rsid w:val="001268CF"/>
    <w:rsid w:val="0012693B"/>
    <w:rsid w:val="00126A20"/>
    <w:rsid w:val="00126A7C"/>
    <w:rsid w:val="00126DE5"/>
    <w:rsid w:val="00126F29"/>
    <w:rsid w:val="001270A6"/>
    <w:rsid w:val="001274A6"/>
    <w:rsid w:val="0012752C"/>
    <w:rsid w:val="00127541"/>
    <w:rsid w:val="00127748"/>
    <w:rsid w:val="00127983"/>
    <w:rsid w:val="00127B49"/>
    <w:rsid w:val="0013021F"/>
    <w:rsid w:val="00130300"/>
    <w:rsid w:val="0013044B"/>
    <w:rsid w:val="001304A4"/>
    <w:rsid w:val="00130B1E"/>
    <w:rsid w:val="00130D1D"/>
    <w:rsid w:val="00130EF9"/>
    <w:rsid w:val="00131597"/>
    <w:rsid w:val="00131677"/>
    <w:rsid w:val="00131F1E"/>
    <w:rsid w:val="00131F9C"/>
    <w:rsid w:val="00132120"/>
    <w:rsid w:val="00132524"/>
    <w:rsid w:val="0013290D"/>
    <w:rsid w:val="00132A67"/>
    <w:rsid w:val="00132D4B"/>
    <w:rsid w:val="00132F6F"/>
    <w:rsid w:val="00133058"/>
    <w:rsid w:val="00133369"/>
    <w:rsid w:val="0013349B"/>
    <w:rsid w:val="00133633"/>
    <w:rsid w:val="00133853"/>
    <w:rsid w:val="00133BA3"/>
    <w:rsid w:val="00133F2F"/>
    <w:rsid w:val="00134062"/>
    <w:rsid w:val="00134145"/>
    <w:rsid w:val="001349FF"/>
    <w:rsid w:val="00134DB8"/>
    <w:rsid w:val="00134E23"/>
    <w:rsid w:val="00134E54"/>
    <w:rsid w:val="00134FB2"/>
    <w:rsid w:val="001354D1"/>
    <w:rsid w:val="0013587D"/>
    <w:rsid w:val="00135BA5"/>
    <w:rsid w:val="00135C6C"/>
    <w:rsid w:val="00135E81"/>
    <w:rsid w:val="001361E7"/>
    <w:rsid w:val="001362CE"/>
    <w:rsid w:val="00136305"/>
    <w:rsid w:val="001364F7"/>
    <w:rsid w:val="001365F3"/>
    <w:rsid w:val="00136B6C"/>
    <w:rsid w:val="00136B7E"/>
    <w:rsid w:val="00136FDC"/>
    <w:rsid w:val="00136FF2"/>
    <w:rsid w:val="00137165"/>
    <w:rsid w:val="001373C0"/>
    <w:rsid w:val="00137496"/>
    <w:rsid w:val="00137745"/>
    <w:rsid w:val="0013779F"/>
    <w:rsid w:val="00137F02"/>
    <w:rsid w:val="001404AC"/>
    <w:rsid w:val="0014069F"/>
    <w:rsid w:val="00140842"/>
    <w:rsid w:val="0014098D"/>
    <w:rsid w:val="00140B3E"/>
    <w:rsid w:val="00140D4F"/>
    <w:rsid w:val="00141052"/>
    <w:rsid w:val="001411F6"/>
    <w:rsid w:val="0014129A"/>
    <w:rsid w:val="00141986"/>
    <w:rsid w:val="00141B6A"/>
    <w:rsid w:val="00141BE8"/>
    <w:rsid w:val="00141CD4"/>
    <w:rsid w:val="00142136"/>
    <w:rsid w:val="0014232B"/>
    <w:rsid w:val="00142860"/>
    <w:rsid w:val="00142A28"/>
    <w:rsid w:val="00142F2D"/>
    <w:rsid w:val="00142F47"/>
    <w:rsid w:val="001432DE"/>
    <w:rsid w:val="001432F6"/>
    <w:rsid w:val="001434DC"/>
    <w:rsid w:val="001438D2"/>
    <w:rsid w:val="00143920"/>
    <w:rsid w:val="00143D32"/>
    <w:rsid w:val="00143E66"/>
    <w:rsid w:val="00143E68"/>
    <w:rsid w:val="0014407E"/>
    <w:rsid w:val="00144445"/>
    <w:rsid w:val="00144527"/>
    <w:rsid w:val="00144545"/>
    <w:rsid w:val="00144A98"/>
    <w:rsid w:val="00144B64"/>
    <w:rsid w:val="00144D78"/>
    <w:rsid w:val="00144F3B"/>
    <w:rsid w:val="0014528E"/>
    <w:rsid w:val="001458D6"/>
    <w:rsid w:val="00145A55"/>
    <w:rsid w:val="0014641F"/>
    <w:rsid w:val="00146554"/>
    <w:rsid w:val="001465CB"/>
    <w:rsid w:val="001466AF"/>
    <w:rsid w:val="001466F1"/>
    <w:rsid w:val="00146834"/>
    <w:rsid w:val="00146A9A"/>
    <w:rsid w:val="00146B36"/>
    <w:rsid w:val="00146C3C"/>
    <w:rsid w:val="00146C4B"/>
    <w:rsid w:val="00146E2A"/>
    <w:rsid w:val="00146E73"/>
    <w:rsid w:val="00147137"/>
    <w:rsid w:val="001474E9"/>
    <w:rsid w:val="00147870"/>
    <w:rsid w:val="00147D3B"/>
    <w:rsid w:val="00147DD8"/>
    <w:rsid w:val="00147DEF"/>
    <w:rsid w:val="00150021"/>
    <w:rsid w:val="001502FA"/>
    <w:rsid w:val="00150318"/>
    <w:rsid w:val="00150464"/>
    <w:rsid w:val="00150813"/>
    <w:rsid w:val="00150876"/>
    <w:rsid w:val="00150C53"/>
    <w:rsid w:val="00150F4F"/>
    <w:rsid w:val="0015100C"/>
    <w:rsid w:val="0015129B"/>
    <w:rsid w:val="001514C0"/>
    <w:rsid w:val="00151AE6"/>
    <w:rsid w:val="00151B27"/>
    <w:rsid w:val="00151BFE"/>
    <w:rsid w:val="00151E01"/>
    <w:rsid w:val="00151F45"/>
    <w:rsid w:val="00152156"/>
    <w:rsid w:val="001522C2"/>
    <w:rsid w:val="001523B0"/>
    <w:rsid w:val="00152A26"/>
    <w:rsid w:val="00152FD6"/>
    <w:rsid w:val="0015303B"/>
    <w:rsid w:val="001536FE"/>
    <w:rsid w:val="00153BDD"/>
    <w:rsid w:val="00153ED3"/>
    <w:rsid w:val="001543AB"/>
    <w:rsid w:val="00154732"/>
    <w:rsid w:val="00154BD0"/>
    <w:rsid w:val="00155361"/>
    <w:rsid w:val="001555E2"/>
    <w:rsid w:val="00155789"/>
    <w:rsid w:val="0015585C"/>
    <w:rsid w:val="00155DDB"/>
    <w:rsid w:val="00156154"/>
    <w:rsid w:val="001564CE"/>
    <w:rsid w:val="00156841"/>
    <w:rsid w:val="00156C95"/>
    <w:rsid w:val="00156D88"/>
    <w:rsid w:val="00156F50"/>
    <w:rsid w:val="0015742F"/>
    <w:rsid w:val="001574D2"/>
    <w:rsid w:val="001575E8"/>
    <w:rsid w:val="001578CF"/>
    <w:rsid w:val="00157D0A"/>
    <w:rsid w:val="001600E8"/>
    <w:rsid w:val="00160485"/>
    <w:rsid w:val="0016069E"/>
    <w:rsid w:val="001609DC"/>
    <w:rsid w:val="00160BD1"/>
    <w:rsid w:val="00161344"/>
    <w:rsid w:val="001613C3"/>
    <w:rsid w:val="0016153B"/>
    <w:rsid w:val="0016172C"/>
    <w:rsid w:val="00161739"/>
    <w:rsid w:val="0016181E"/>
    <w:rsid w:val="00161D66"/>
    <w:rsid w:val="00162036"/>
    <w:rsid w:val="001622A2"/>
    <w:rsid w:val="0016241E"/>
    <w:rsid w:val="0016295F"/>
    <w:rsid w:val="00162AF3"/>
    <w:rsid w:val="00163332"/>
    <w:rsid w:val="001633D0"/>
    <w:rsid w:val="0016355A"/>
    <w:rsid w:val="00163781"/>
    <w:rsid w:val="001637E9"/>
    <w:rsid w:val="00163AB4"/>
    <w:rsid w:val="00163B36"/>
    <w:rsid w:val="00163BB0"/>
    <w:rsid w:val="00163F2D"/>
    <w:rsid w:val="00164484"/>
    <w:rsid w:val="0016460C"/>
    <w:rsid w:val="001646E5"/>
    <w:rsid w:val="001648E0"/>
    <w:rsid w:val="00164A77"/>
    <w:rsid w:val="00164C2F"/>
    <w:rsid w:val="00164C7E"/>
    <w:rsid w:val="00164D86"/>
    <w:rsid w:val="00165068"/>
    <w:rsid w:val="001651DB"/>
    <w:rsid w:val="00165942"/>
    <w:rsid w:val="00165B4A"/>
    <w:rsid w:val="00165B66"/>
    <w:rsid w:val="00165E0F"/>
    <w:rsid w:val="00165E30"/>
    <w:rsid w:val="00165FA5"/>
    <w:rsid w:val="00166158"/>
    <w:rsid w:val="0016616A"/>
    <w:rsid w:val="00166319"/>
    <w:rsid w:val="0016637C"/>
    <w:rsid w:val="001663FA"/>
    <w:rsid w:val="0016681E"/>
    <w:rsid w:val="00166950"/>
    <w:rsid w:val="001669F9"/>
    <w:rsid w:val="00166B4F"/>
    <w:rsid w:val="00167103"/>
    <w:rsid w:val="0016733D"/>
    <w:rsid w:val="00167375"/>
    <w:rsid w:val="001676A6"/>
    <w:rsid w:val="0016793C"/>
    <w:rsid w:val="00167A89"/>
    <w:rsid w:val="00167FF2"/>
    <w:rsid w:val="0017001C"/>
    <w:rsid w:val="0017032C"/>
    <w:rsid w:val="00170426"/>
    <w:rsid w:val="0017042C"/>
    <w:rsid w:val="00170492"/>
    <w:rsid w:val="001704A9"/>
    <w:rsid w:val="001705A9"/>
    <w:rsid w:val="00170714"/>
    <w:rsid w:val="00170CEA"/>
    <w:rsid w:val="00170D68"/>
    <w:rsid w:val="001712E3"/>
    <w:rsid w:val="00171996"/>
    <w:rsid w:val="00171A0F"/>
    <w:rsid w:val="00171EC8"/>
    <w:rsid w:val="001720DE"/>
    <w:rsid w:val="001721EF"/>
    <w:rsid w:val="0017258C"/>
    <w:rsid w:val="00172763"/>
    <w:rsid w:val="001729CE"/>
    <w:rsid w:val="00172C2C"/>
    <w:rsid w:val="00172DE3"/>
    <w:rsid w:val="0017308F"/>
    <w:rsid w:val="001730C8"/>
    <w:rsid w:val="00173282"/>
    <w:rsid w:val="00173479"/>
    <w:rsid w:val="00173580"/>
    <w:rsid w:val="001737E2"/>
    <w:rsid w:val="001739CA"/>
    <w:rsid w:val="00173C04"/>
    <w:rsid w:val="00173CC8"/>
    <w:rsid w:val="001741CB"/>
    <w:rsid w:val="001742F9"/>
    <w:rsid w:val="00174806"/>
    <w:rsid w:val="001748C5"/>
    <w:rsid w:val="001749C4"/>
    <w:rsid w:val="00175123"/>
    <w:rsid w:val="0017514F"/>
    <w:rsid w:val="001752A4"/>
    <w:rsid w:val="0017530F"/>
    <w:rsid w:val="0017545A"/>
    <w:rsid w:val="00175975"/>
    <w:rsid w:val="00175A7A"/>
    <w:rsid w:val="00175B1C"/>
    <w:rsid w:val="00175CB7"/>
    <w:rsid w:val="001760E1"/>
    <w:rsid w:val="00176120"/>
    <w:rsid w:val="00176156"/>
    <w:rsid w:val="00176716"/>
    <w:rsid w:val="0017673A"/>
    <w:rsid w:val="001769E3"/>
    <w:rsid w:val="00176F3B"/>
    <w:rsid w:val="00176FDB"/>
    <w:rsid w:val="0017709A"/>
    <w:rsid w:val="00177335"/>
    <w:rsid w:val="001775E0"/>
    <w:rsid w:val="001776E7"/>
    <w:rsid w:val="00177B62"/>
    <w:rsid w:val="00177C62"/>
    <w:rsid w:val="00177EA8"/>
    <w:rsid w:val="001800E4"/>
    <w:rsid w:val="0018016D"/>
    <w:rsid w:val="0018064D"/>
    <w:rsid w:val="00180669"/>
    <w:rsid w:val="00180A14"/>
    <w:rsid w:val="00180BEA"/>
    <w:rsid w:val="00180DC6"/>
    <w:rsid w:val="001810AC"/>
    <w:rsid w:val="001812D5"/>
    <w:rsid w:val="0018175A"/>
    <w:rsid w:val="00181A71"/>
    <w:rsid w:val="00181C59"/>
    <w:rsid w:val="00181FD8"/>
    <w:rsid w:val="001823BF"/>
    <w:rsid w:val="0018245A"/>
    <w:rsid w:val="00182A8E"/>
    <w:rsid w:val="00182EFC"/>
    <w:rsid w:val="001832B8"/>
    <w:rsid w:val="00183494"/>
    <w:rsid w:val="001837E0"/>
    <w:rsid w:val="001838B0"/>
    <w:rsid w:val="00183919"/>
    <w:rsid w:val="00183DD7"/>
    <w:rsid w:val="00183E6F"/>
    <w:rsid w:val="00183F77"/>
    <w:rsid w:val="00184287"/>
    <w:rsid w:val="00184326"/>
    <w:rsid w:val="001846E7"/>
    <w:rsid w:val="00184B68"/>
    <w:rsid w:val="00184EF6"/>
    <w:rsid w:val="001850B6"/>
    <w:rsid w:val="001851A2"/>
    <w:rsid w:val="001851F4"/>
    <w:rsid w:val="001853B9"/>
    <w:rsid w:val="001853C9"/>
    <w:rsid w:val="00185454"/>
    <w:rsid w:val="001855F8"/>
    <w:rsid w:val="00185874"/>
    <w:rsid w:val="0018591B"/>
    <w:rsid w:val="00185BD8"/>
    <w:rsid w:val="00185DD9"/>
    <w:rsid w:val="00185EFD"/>
    <w:rsid w:val="001860FF"/>
    <w:rsid w:val="00186162"/>
    <w:rsid w:val="0018622D"/>
    <w:rsid w:val="00186451"/>
    <w:rsid w:val="001864F3"/>
    <w:rsid w:val="00186CE0"/>
    <w:rsid w:val="001870DE"/>
    <w:rsid w:val="00187105"/>
    <w:rsid w:val="001871F7"/>
    <w:rsid w:val="00187E1D"/>
    <w:rsid w:val="00190295"/>
    <w:rsid w:val="0019057C"/>
    <w:rsid w:val="00190A2B"/>
    <w:rsid w:val="00190AB1"/>
    <w:rsid w:val="00190BD3"/>
    <w:rsid w:val="00190C21"/>
    <w:rsid w:val="00190EDA"/>
    <w:rsid w:val="00191473"/>
    <w:rsid w:val="001916AE"/>
    <w:rsid w:val="00191981"/>
    <w:rsid w:val="001919DD"/>
    <w:rsid w:val="001919E9"/>
    <w:rsid w:val="00191BA1"/>
    <w:rsid w:val="00191CEF"/>
    <w:rsid w:val="0019205A"/>
    <w:rsid w:val="00192409"/>
    <w:rsid w:val="0019256B"/>
    <w:rsid w:val="00192820"/>
    <w:rsid w:val="0019291F"/>
    <w:rsid w:val="001929EB"/>
    <w:rsid w:val="001931AF"/>
    <w:rsid w:val="001931C9"/>
    <w:rsid w:val="0019350D"/>
    <w:rsid w:val="00193738"/>
    <w:rsid w:val="00193A33"/>
    <w:rsid w:val="00193A7C"/>
    <w:rsid w:val="00193D0D"/>
    <w:rsid w:val="001944E9"/>
    <w:rsid w:val="0019495D"/>
    <w:rsid w:val="00194ECA"/>
    <w:rsid w:val="00195681"/>
    <w:rsid w:val="001956EE"/>
    <w:rsid w:val="00195782"/>
    <w:rsid w:val="00195899"/>
    <w:rsid w:val="00195B03"/>
    <w:rsid w:val="00195DC5"/>
    <w:rsid w:val="00195EE3"/>
    <w:rsid w:val="0019603A"/>
    <w:rsid w:val="001960A8"/>
    <w:rsid w:val="001961F5"/>
    <w:rsid w:val="00196251"/>
    <w:rsid w:val="001966DB"/>
    <w:rsid w:val="001968EC"/>
    <w:rsid w:val="00196A4C"/>
    <w:rsid w:val="00196F26"/>
    <w:rsid w:val="00197637"/>
    <w:rsid w:val="00197951"/>
    <w:rsid w:val="00197E0B"/>
    <w:rsid w:val="001A01FB"/>
    <w:rsid w:val="001A02D3"/>
    <w:rsid w:val="001A048E"/>
    <w:rsid w:val="001A0536"/>
    <w:rsid w:val="001A0A6C"/>
    <w:rsid w:val="001A0BAB"/>
    <w:rsid w:val="001A0D66"/>
    <w:rsid w:val="001A0E77"/>
    <w:rsid w:val="001A121B"/>
    <w:rsid w:val="001A15F1"/>
    <w:rsid w:val="001A1622"/>
    <w:rsid w:val="001A19CE"/>
    <w:rsid w:val="001A1F9E"/>
    <w:rsid w:val="001A20B2"/>
    <w:rsid w:val="001A20DE"/>
    <w:rsid w:val="001A2300"/>
    <w:rsid w:val="001A236B"/>
    <w:rsid w:val="001A24D7"/>
    <w:rsid w:val="001A2513"/>
    <w:rsid w:val="001A2759"/>
    <w:rsid w:val="001A29DA"/>
    <w:rsid w:val="001A2A6E"/>
    <w:rsid w:val="001A2BC3"/>
    <w:rsid w:val="001A2F1F"/>
    <w:rsid w:val="001A2FEE"/>
    <w:rsid w:val="001A3008"/>
    <w:rsid w:val="001A361A"/>
    <w:rsid w:val="001A36B3"/>
    <w:rsid w:val="001A382E"/>
    <w:rsid w:val="001A3951"/>
    <w:rsid w:val="001A3E52"/>
    <w:rsid w:val="001A3EA3"/>
    <w:rsid w:val="001A3F6B"/>
    <w:rsid w:val="001A4063"/>
    <w:rsid w:val="001A4761"/>
    <w:rsid w:val="001A4BEC"/>
    <w:rsid w:val="001A5108"/>
    <w:rsid w:val="001A51D9"/>
    <w:rsid w:val="001A52C9"/>
    <w:rsid w:val="001A5AC0"/>
    <w:rsid w:val="001A5E7F"/>
    <w:rsid w:val="001A5F02"/>
    <w:rsid w:val="001A6433"/>
    <w:rsid w:val="001A66A6"/>
    <w:rsid w:val="001A69B0"/>
    <w:rsid w:val="001A7114"/>
    <w:rsid w:val="001A7774"/>
    <w:rsid w:val="001A7EB8"/>
    <w:rsid w:val="001B00B4"/>
    <w:rsid w:val="001B05B5"/>
    <w:rsid w:val="001B07E1"/>
    <w:rsid w:val="001B09F2"/>
    <w:rsid w:val="001B0B9B"/>
    <w:rsid w:val="001B0BA3"/>
    <w:rsid w:val="001B0BF8"/>
    <w:rsid w:val="001B0DA7"/>
    <w:rsid w:val="001B0FC8"/>
    <w:rsid w:val="001B13CE"/>
    <w:rsid w:val="001B150A"/>
    <w:rsid w:val="001B1D66"/>
    <w:rsid w:val="001B1E25"/>
    <w:rsid w:val="001B203A"/>
    <w:rsid w:val="001B2273"/>
    <w:rsid w:val="001B24FD"/>
    <w:rsid w:val="001B264B"/>
    <w:rsid w:val="001B279B"/>
    <w:rsid w:val="001B2834"/>
    <w:rsid w:val="001B2966"/>
    <w:rsid w:val="001B2AB3"/>
    <w:rsid w:val="001B2BAA"/>
    <w:rsid w:val="001B2CC6"/>
    <w:rsid w:val="001B2EAD"/>
    <w:rsid w:val="001B2F84"/>
    <w:rsid w:val="001B3032"/>
    <w:rsid w:val="001B34C8"/>
    <w:rsid w:val="001B36C8"/>
    <w:rsid w:val="001B37B2"/>
    <w:rsid w:val="001B401A"/>
    <w:rsid w:val="001B412E"/>
    <w:rsid w:val="001B4223"/>
    <w:rsid w:val="001B454A"/>
    <w:rsid w:val="001B473C"/>
    <w:rsid w:val="001B48FA"/>
    <w:rsid w:val="001B4961"/>
    <w:rsid w:val="001B4A0C"/>
    <w:rsid w:val="001B4CB6"/>
    <w:rsid w:val="001B5212"/>
    <w:rsid w:val="001B5D9F"/>
    <w:rsid w:val="001B600A"/>
    <w:rsid w:val="001B67DB"/>
    <w:rsid w:val="001B67E7"/>
    <w:rsid w:val="001B6AFC"/>
    <w:rsid w:val="001B6E48"/>
    <w:rsid w:val="001B746A"/>
    <w:rsid w:val="001B7624"/>
    <w:rsid w:val="001B7901"/>
    <w:rsid w:val="001C0242"/>
    <w:rsid w:val="001C0424"/>
    <w:rsid w:val="001C0C19"/>
    <w:rsid w:val="001C0D66"/>
    <w:rsid w:val="001C0F7B"/>
    <w:rsid w:val="001C116F"/>
    <w:rsid w:val="001C14BE"/>
    <w:rsid w:val="001C188C"/>
    <w:rsid w:val="001C1906"/>
    <w:rsid w:val="001C1B3D"/>
    <w:rsid w:val="001C1B9F"/>
    <w:rsid w:val="001C1C9F"/>
    <w:rsid w:val="001C1D45"/>
    <w:rsid w:val="001C1D4D"/>
    <w:rsid w:val="001C1ED6"/>
    <w:rsid w:val="001C1F8A"/>
    <w:rsid w:val="001C20B3"/>
    <w:rsid w:val="001C21C0"/>
    <w:rsid w:val="001C262B"/>
    <w:rsid w:val="001C2703"/>
    <w:rsid w:val="001C28EE"/>
    <w:rsid w:val="001C29A3"/>
    <w:rsid w:val="001C2D41"/>
    <w:rsid w:val="001C2F3E"/>
    <w:rsid w:val="001C2F80"/>
    <w:rsid w:val="001C31FA"/>
    <w:rsid w:val="001C332A"/>
    <w:rsid w:val="001C3A7D"/>
    <w:rsid w:val="001C3B5C"/>
    <w:rsid w:val="001C3D26"/>
    <w:rsid w:val="001C3DB2"/>
    <w:rsid w:val="001C40CC"/>
    <w:rsid w:val="001C422C"/>
    <w:rsid w:val="001C434E"/>
    <w:rsid w:val="001C4435"/>
    <w:rsid w:val="001C471A"/>
    <w:rsid w:val="001C4743"/>
    <w:rsid w:val="001C49D5"/>
    <w:rsid w:val="001C49EF"/>
    <w:rsid w:val="001C4D15"/>
    <w:rsid w:val="001C505E"/>
    <w:rsid w:val="001C5290"/>
    <w:rsid w:val="001C52AB"/>
    <w:rsid w:val="001C5443"/>
    <w:rsid w:val="001C559C"/>
    <w:rsid w:val="001C5BB6"/>
    <w:rsid w:val="001C5FCA"/>
    <w:rsid w:val="001C605C"/>
    <w:rsid w:val="001C6641"/>
    <w:rsid w:val="001C678E"/>
    <w:rsid w:val="001C69D1"/>
    <w:rsid w:val="001C6C66"/>
    <w:rsid w:val="001C6E14"/>
    <w:rsid w:val="001C6E33"/>
    <w:rsid w:val="001C6F6A"/>
    <w:rsid w:val="001C6F70"/>
    <w:rsid w:val="001C74EF"/>
    <w:rsid w:val="001C798F"/>
    <w:rsid w:val="001C7CAB"/>
    <w:rsid w:val="001C7DD3"/>
    <w:rsid w:val="001D016C"/>
    <w:rsid w:val="001D01AD"/>
    <w:rsid w:val="001D029F"/>
    <w:rsid w:val="001D02DB"/>
    <w:rsid w:val="001D05F1"/>
    <w:rsid w:val="001D0951"/>
    <w:rsid w:val="001D0A6E"/>
    <w:rsid w:val="001D0F19"/>
    <w:rsid w:val="001D11B3"/>
    <w:rsid w:val="001D1218"/>
    <w:rsid w:val="001D18E1"/>
    <w:rsid w:val="001D1A5D"/>
    <w:rsid w:val="001D1BCC"/>
    <w:rsid w:val="001D1E41"/>
    <w:rsid w:val="001D21A5"/>
    <w:rsid w:val="001D21DB"/>
    <w:rsid w:val="001D21DD"/>
    <w:rsid w:val="001D2364"/>
    <w:rsid w:val="001D2451"/>
    <w:rsid w:val="001D24A5"/>
    <w:rsid w:val="001D282B"/>
    <w:rsid w:val="001D2BD0"/>
    <w:rsid w:val="001D2CFE"/>
    <w:rsid w:val="001D2D4D"/>
    <w:rsid w:val="001D2D82"/>
    <w:rsid w:val="001D3491"/>
    <w:rsid w:val="001D3672"/>
    <w:rsid w:val="001D36FF"/>
    <w:rsid w:val="001D3DAA"/>
    <w:rsid w:val="001D40AC"/>
    <w:rsid w:val="001D41E8"/>
    <w:rsid w:val="001D4FA5"/>
    <w:rsid w:val="001D544F"/>
    <w:rsid w:val="001D54C1"/>
    <w:rsid w:val="001D56E0"/>
    <w:rsid w:val="001D585F"/>
    <w:rsid w:val="001D5CFB"/>
    <w:rsid w:val="001D5FB2"/>
    <w:rsid w:val="001D6018"/>
    <w:rsid w:val="001D6252"/>
    <w:rsid w:val="001D6528"/>
    <w:rsid w:val="001D6883"/>
    <w:rsid w:val="001D68ED"/>
    <w:rsid w:val="001D6D26"/>
    <w:rsid w:val="001D70C8"/>
    <w:rsid w:val="001D7362"/>
    <w:rsid w:val="001D737A"/>
    <w:rsid w:val="001D7401"/>
    <w:rsid w:val="001D791C"/>
    <w:rsid w:val="001D79AA"/>
    <w:rsid w:val="001D7D68"/>
    <w:rsid w:val="001E0042"/>
    <w:rsid w:val="001E004F"/>
    <w:rsid w:val="001E0605"/>
    <w:rsid w:val="001E0A5E"/>
    <w:rsid w:val="001E0AB4"/>
    <w:rsid w:val="001E0C88"/>
    <w:rsid w:val="001E12B9"/>
    <w:rsid w:val="001E16FD"/>
    <w:rsid w:val="001E1988"/>
    <w:rsid w:val="001E19A8"/>
    <w:rsid w:val="001E1F63"/>
    <w:rsid w:val="001E1F9C"/>
    <w:rsid w:val="001E218B"/>
    <w:rsid w:val="001E224C"/>
    <w:rsid w:val="001E28A3"/>
    <w:rsid w:val="001E2B81"/>
    <w:rsid w:val="001E2B8E"/>
    <w:rsid w:val="001E2D35"/>
    <w:rsid w:val="001E2DB2"/>
    <w:rsid w:val="001E2FD9"/>
    <w:rsid w:val="001E314F"/>
    <w:rsid w:val="001E337C"/>
    <w:rsid w:val="001E33C8"/>
    <w:rsid w:val="001E3651"/>
    <w:rsid w:val="001E3DD3"/>
    <w:rsid w:val="001E401B"/>
    <w:rsid w:val="001E4089"/>
    <w:rsid w:val="001E40BB"/>
    <w:rsid w:val="001E4678"/>
    <w:rsid w:val="001E4AEC"/>
    <w:rsid w:val="001E4CD9"/>
    <w:rsid w:val="001E4FA7"/>
    <w:rsid w:val="001E511B"/>
    <w:rsid w:val="001E544E"/>
    <w:rsid w:val="001E5B2C"/>
    <w:rsid w:val="001E5EB9"/>
    <w:rsid w:val="001E6142"/>
    <w:rsid w:val="001E6163"/>
    <w:rsid w:val="001E6189"/>
    <w:rsid w:val="001E61EE"/>
    <w:rsid w:val="001E6419"/>
    <w:rsid w:val="001E65D1"/>
    <w:rsid w:val="001E6DC7"/>
    <w:rsid w:val="001E711A"/>
    <w:rsid w:val="001E7196"/>
    <w:rsid w:val="001E73D0"/>
    <w:rsid w:val="001E74C8"/>
    <w:rsid w:val="001E7726"/>
    <w:rsid w:val="001E789C"/>
    <w:rsid w:val="001E7A9E"/>
    <w:rsid w:val="001E7D41"/>
    <w:rsid w:val="001E7DEC"/>
    <w:rsid w:val="001E7FCC"/>
    <w:rsid w:val="001F038A"/>
    <w:rsid w:val="001F03FB"/>
    <w:rsid w:val="001F04DA"/>
    <w:rsid w:val="001F0732"/>
    <w:rsid w:val="001F08F6"/>
    <w:rsid w:val="001F0B5D"/>
    <w:rsid w:val="001F0BC3"/>
    <w:rsid w:val="001F0CD5"/>
    <w:rsid w:val="001F0F92"/>
    <w:rsid w:val="001F1016"/>
    <w:rsid w:val="001F1077"/>
    <w:rsid w:val="001F19EE"/>
    <w:rsid w:val="001F1BAE"/>
    <w:rsid w:val="001F1BEC"/>
    <w:rsid w:val="001F1D3E"/>
    <w:rsid w:val="001F1E3F"/>
    <w:rsid w:val="001F1EBF"/>
    <w:rsid w:val="001F2215"/>
    <w:rsid w:val="001F2225"/>
    <w:rsid w:val="001F299E"/>
    <w:rsid w:val="001F2DFB"/>
    <w:rsid w:val="001F3053"/>
    <w:rsid w:val="001F32CB"/>
    <w:rsid w:val="001F32FA"/>
    <w:rsid w:val="001F3ABD"/>
    <w:rsid w:val="001F3DF0"/>
    <w:rsid w:val="001F45CE"/>
    <w:rsid w:val="001F4747"/>
    <w:rsid w:val="001F4C56"/>
    <w:rsid w:val="001F4E61"/>
    <w:rsid w:val="001F4F3F"/>
    <w:rsid w:val="001F52EA"/>
    <w:rsid w:val="001F58BB"/>
    <w:rsid w:val="001F5A71"/>
    <w:rsid w:val="001F5BEF"/>
    <w:rsid w:val="001F5CC9"/>
    <w:rsid w:val="001F6ABE"/>
    <w:rsid w:val="001F6B82"/>
    <w:rsid w:val="001F6CEE"/>
    <w:rsid w:val="001F7A11"/>
    <w:rsid w:val="001F7A54"/>
    <w:rsid w:val="001F7EA5"/>
    <w:rsid w:val="002000DE"/>
    <w:rsid w:val="0020033A"/>
    <w:rsid w:val="002003E8"/>
    <w:rsid w:val="00200A07"/>
    <w:rsid w:val="00200C0E"/>
    <w:rsid w:val="00200CE3"/>
    <w:rsid w:val="00200D2E"/>
    <w:rsid w:val="00200EB4"/>
    <w:rsid w:val="00201050"/>
    <w:rsid w:val="0020114D"/>
    <w:rsid w:val="00201388"/>
    <w:rsid w:val="0020151D"/>
    <w:rsid w:val="002015ED"/>
    <w:rsid w:val="002016D2"/>
    <w:rsid w:val="00201862"/>
    <w:rsid w:val="002023DF"/>
    <w:rsid w:val="002026DA"/>
    <w:rsid w:val="0020275A"/>
    <w:rsid w:val="00202870"/>
    <w:rsid w:val="00202B65"/>
    <w:rsid w:val="00202FBC"/>
    <w:rsid w:val="0020301F"/>
    <w:rsid w:val="00203059"/>
    <w:rsid w:val="0020306D"/>
    <w:rsid w:val="00203365"/>
    <w:rsid w:val="0020349F"/>
    <w:rsid w:val="0020376C"/>
    <w:rsid w:val="00203A41"/>
    <w:rsid w:val="00203C48"/>
    <w:rsid w:val="0020419A"/>
    <w:rsid w:val="00204442"/>
    <w:rsid w:val="00204B96"/>
    <w:rsid w:val="00204BCE"/>
    <w:rsid w:val="00205171"/>
    <w:rsid w:val="00205553"/>
    <w:rsid w:val="002055D5"/>
    <w:rsid w:val="00205610"/>
    <w:rsid w:val="00205B85"/>
    <w:rsid w:val="00206518"/>
    <w:rsid w:val="00206734"/>
    <w:rsid w:val="00206843"/>
    <w:rsid w:val="00206F08"/>
    <w:rsid w:val="002072F1"/>
    <w:rsid w:val="002074AD"/>
    <w:rsid w:val="002076B3"/>
    <w:rsid w:val="00207B40"/>
    <w:rsid w:val="00207D9C"/>
    <w:rsid w:val="00207DD1"/>
    <w:rsid w:val="00207EAA"/>
    <w:rsid w:val="00207F0D"/>
    <w:rsid w:val="0021002F"/>
    <w:rsid w:val="00210169"/>
    <w:rsid w:val="00210294"/>
    <w:rsid w:val="00210298"/>
    <w:rsid w:val="002104A3"/>
    <w:rsid w:val="00210AAA"/>
    <w:rsid w:val="00210B44"/>
    <w:rsid w:val="00210CE2"/>
    <w:rsid w:val="00210E80"/>
    <w:rsid w:val="00211295"/>
    <w:rsid w:val="00211607"/>
    <w:rsid w:val="00211713"/>
    <w:rsid w:val="0021174B"/>
    <w:rsid w:val="0021188C"/>
    <w:rsid w:val="00211948"/>
    <w:rsid w:val="00211D33"/>
    <w:rsid w:val="00212099"/>
    <w:rsid w:val="002122A8"/>
    <w:rsid w:val="0021237C"/>
    <w:rsid w:val="002129F3"/>
    <w:rsid w:val="00212B52"/>
    <w:rsid w:val="00213010"/>
    <w:rsid w:val="0021322D"/>
    <w:rsid w:val="00213669"/>
    <w:rsid w:val="00213680"/>
    <w:rsid w:val="00213833"/>
    <w:rsid w:val="00213BA8"/>
    <w:rsid w:val="00213D60"/>
    <w:rsid w:val="00213FE9"/>
    <w:rsid w:val="0021420A"/>
    <w:rsid w:val="00214223"/>
    <w:rsid w:val="002144E2"/>
    <w:rsid w:val="00214727"/>
    <w:rsid w:val="0021486B"/>
    <w:rsid w:val="00214BF0"/>
    <w:rsid w:val="002155B3"/>
    <w:rsid w:val="002158B8"/>
    <w:rsid w:val="00215A39"/>
    <w:rsid w:val="00216247"/>
    <w:rsid w:val="0021645B"/>
    <w:rsid w:val="00216584"/>
    <w:rsid w:val="002166F2"/>
    <w:rsid w:val="00216DF3"/>
    <w:rsid w:val="00216EF4"/>
    <w:rsid w:val="0021741A"/>
    <w:rsid w:val="00217449"/>
    <w:rsid w:val="00217970"/>
    <w:rsid w:val="002179A4"/>
    <w:rsid w:val="00217A06"/>
    <w:rsid w:val="00217AFA"/>
    <w:rsid w:val="00217B6A"/>
    <w:rsid w:val="00217ED7"/>
    <w:rsid w:val="00217F35"/>
    <w:rsid w:val="00220A5B"/>
    <w:rsid w:val="00220F0E"/>
    <w:rsid w:val="002211A5"/>
    <w:rsid w:val="00221492"/>
    <w:rsid w:val="00221698"/>
    <w:rsid w:val="002217A8"/>
    <w:rsid w:val="002217CD"/>
    <w:rsid w:val="00221894"/>
    <w:rsid w:val="00221BFA"/>
    <w:rsid w:val="00221F8F"/>
    <w:rsid w:val="0022255E"/>
    <w:rsid w:val="002225F3"/>
    <w:rsid w:val="002226C9"/>
    <w:rsid w:val="00222E97"/>
    <w:rsid w:val="002235B3"/>
    <w:rsid w:val="00223A5C"/>
    <w:rsid w:val="00223CFF"/>
    <w:rsid w:val="002242CF"/>
    <w:rsid w:val="00224343"/>
    <w:rsid w:val="0022448C"/>
    <w:rsid w:val="00224579"/>
    <w:rsid w:val="00224AED"/>
    <w:rsid w:val="00224B2C"/>
    <w:rsid w:val="00224BCD"/>
    <w:rsid w:val="00224CDF"/>
    <w:rsid w:val="00224D1F"/>
    <w:rsid w:val="00224E38"/>
    <w:rsid w:val="00224E5F"/>
    <w:rsid w:val="00224E9D"/>
    <w:rsid w:val="00225100"/>
    <w:rsid w:val="002255D1"/>
    <w:rsid w:val="002255DA"/>
    <w:rsid w:val="00225A4F"/>
    <w:rsid w:val="00225C1A"/>
    <w:rsid w:val="00225FBD"/>
    <w:rsid w:val="00226025"/>
    <w:rsid w:val="00226130"/>
    <w:rsid w:val="002268E2"/>
    <w:rsid w:val="002270C8"/>
    <w:rsid w:val="0022737D"/>
    <w:rsid w:val="002274E6"/>
    <w:rsid w:val="0022759F"/>
    <w:rsid w:val="00227ACD"/>
    <w:rsid w:val="00227B7E"/>
    <w:rsid w:val="00227B9A"/>
    <w:rsid w:val="00227C74"/>
    <w:rsid w:val="00227D13"/>
    <w:rsid w:val="00227E5B"/>
    <w:rsid w:val="002301EB"/>
    <w:rsid w:val="00230316"/>
    <w:rsid w:val="002304B5"/>
    <w:rsid w:val="002306BA"/>
    <w:rsid w:val="0023084A"/>
    <w:rsid w:val="002309F6"/>
    <w:rsid w:val="00230DE2"/>
    <w:rsid w:val="00231728"/>
    <w:rsid w:val="00231839"/>
    <w:rsid w:val="00231918"/>
    <w:rsid w:val="00231D4D"/>
    <w:rsid w:val="00231DC5"/>
    <w:rsid w:val="002323C4"/>
    <w:rsid w:val="0023276B"/>
    <w:rsid w:val="00232905"/>
    <w:rsid w:val="00232A19"/>
    <w:rsid w:val="00232D44"/>
    <w:rsid w:val="00232F92"/>
    <w:rsid w:val="002330C3"/>
    <w:rsid w:val="002330E5"/>
    <w:rsid w:val="00233165"/>
    <w:rsid w:val="0023387E"/>
    <w:rsid w:val="0023388D"/>
    <w:rsid w:val="002339A0"/>
    <w:rsid w:val="00233F7E"/>
    <w:rsid w:val="00233F9A"/>
    <w:rsid w:val="00233FAC"/>
    <w:rsid w:val="0023441B"/>
    <w:rsid w:val="002344AA"/>
    <w:rsid w:val="00234646"/>
    <w:rsid w:val="00234736"/>
    <w:rsid w:val="00234A7A"/>
    <w:rsid w:val="00234ACA"/>
    <w:rsid w:val="002350A2"/>
    <w:rsid w:val="002350B0"/>
    <w:rsid w:val="002354AC"/>
    <w:rsid w:val="00235656"/>
    <w:rsid w:val="00235953"/>
    <w:rsid w:val="00235A07"/>
    <w:rsid w:val="00235BA4"/>
    <w:rsid w:val="00235E06"/>
    <w:rsid w:val="00235F29"/>
    <w:rsid w:val="00236119"/>
    <w:rsid w:val="00236493"/>
    <w:rsid w:val="00236DE0"/>
    <w:rsid w:val="00236F9E"/>
    <w:rsid w:val="00236FEC"/>
    <w:rsid w:val="0023778F"/>
    <w:rsid w:val="00237A68"/>
    <w:rsid w:val="00237AC4"/>
    <w:rsid w:val="00237B19"/>
    <w:rsid w:val="0024062A"/>
    <w:rsid w:val="00240D8B"/>
    <w:rsid w:val="00240EAF"/>
    <w:rsid w:val="002410B2"/>
    <w:rsid w:val="00241478"/>
    <w:rsid w:val="002418B7"/>
    <w:rsid w:val="00241BB9"/>
    <w:rsid w:val="00241E67"/>
    <w:rsid w:val="0024244E"/>
    <w:rsid w:val="00242946"/>
    <w:rsid w:val="002429F1"/>
    <w:rsid w:val="00242E49"/>
    <w:rsid w:val="00242E95"/>
    <w:rsid w:val="00242F41"/>
    <w:rsid w:val="00243206"/>
    <w:rsid w:val="002432B5"/>
    <w:rsid w:val="0024332D"/>
    <w:rsid w:val="0024372C"/>
    <w:rsid w:val="002437CC"/>
    <w:rsid w:val="00243804"/>
    <w:rsid w:val="00243A32"/>
    <w:rsid w:val="0024420B"/>
    <w:rsid w:val="00244374"/>
    <w:rsid w:val="002446B1"/>
    <w:rsid w:val="0024470C"/>
    <w:rsid w:val="0024491D"/>
    <w:rsid w:val="00244E0F"/>
    <w:rsid w:val="00245203"/>
    <w:rsid w:val="002452BB"/>
    <w:rsid w:val="002453ED"/>
    <w:rsid w:val="00245715"/>
    <w:rsid w:val="0024578A"/>
    <w:rsid w:val="00245B86"/>
    <w:rsid w:val="00245C23"/>
    <w:rsid w:val="00245FEB"/>
    <w:rsid w:val="00246074"/>
    <w:rsid w:val="00246167"/>
    <w:rsid w:val="002462F7"/>
    <w:rsid w:val="00246729"/>
    <w:rsid w:val="002468D2"/>
    <w:rsid w:val="00246999"/>
    <w:rsid w:val="00246AB8"/>
    <w:rsid w:val="00246B24"/>
    <w:rsid w:val="00246B7B"/>
    <w:rsid w:val="00246DF7"/>
    <w:rsid w:val="00246F3F"/>
    <w:rsid w:val="002471E5"/>
    <w:rsid w:val="002472C3"/>
    <w:rsid w:val="0024739B"/>
    <w:rsid w:val="0024780E"/>
    <w:rsid w:val="00247A9B"/>
    <w:rsid w:val="00247B03"/>
    <w:rsid w:val="00247BD3"/>
    <w:rsid w:val="00247C12"/>
    <w:rsid w:val="00247F0B"/>
    <w:rsid w:val="002500BE"/>
    <w:rsid w:val="002505D4"/>
    <w:rsid w:val="00250673"/>
    <w:rsid w:val="00250B3A"/>
    <w:rsid w:val="00250B97"/>
    <w:rsid w:val="00250DD8"/>
    <w:rsid w:val="00250E69"/>
    <w:rsid w:val="002511B2"/>
    <w:rsid w:val="002516C1"/>
    <w:rsid w:val="00251A71"/>
    <w:rsid w:val="00251A84"/>
    <w:rsid w:val="00251E26"/>
    <w:rsid w:val="00251EF5"/>
    <w:rsid w:val="002520E6"/>
    <w:rsid w:val="00252DE2"/>
    <w:rsid w:val="002533ED"/>
    <w:rsid w:val="002534C7"/>
    <w:rsid w:val="0025355D"/>
    <w:rsid w:val="002537BF"/>
    <w:rsid w:val="00253DC9"/>
    <w:rsid w:val="00253FD9"/>
    <w:rsid w:val="00254028"/>
    <w:rsid w:val="00254316"/>
    <w:rsid w:val="0025460A"/>
    <w:rsid w:val="0025467A"/>
    <w:rsid w:val="002552DF"/>
    <w:rsid w:val="0025552B"/>
    <w:rsid w:val="00255660"/>
    <w:rsid w:val="00255A27"/>
    <w:rsid w:val="00255B38"/>
    <w:rsid w:val="00255E54"/>
    <w:rsid w:val="002560EA"/>
    <w:rsid w:val="002560EB"/>
    <w:rsid w:val="0025640C"/>
    <w:rsid w:val="00256B23"/>
    <w:rsid w:val="00256EB0"/>
    <w:rsid w:val="002570BB"/>
    <w:rsid w:val="00257414"/>
    <w:rsid w:val="002574FA"/>
    <w:rsid w:val="00257550"/>
    <w:rsid w:val="002575DC"/>
    <w:rsid w:val="0025763F"/>
    <w:rsid w:val="0025770E"/>
    <w:rsid w:val="0025786C"/>
    <w:rsid w:val="002579CD"/>
    <w:rsid w:val="00257A40"/>
    <w:rsid w:val="00257B69"/>
    <w:rsid w:val="00257C86"/>
    <w:rsid w:val="00257DFA"/>
    <w:rsid w:val="00260162"/>
    <w:rsid w:val="002603EF"/>
    <w:rsid w:val="002604FF"/>
    <w:rsid w:val="0026072B"/>
    <w:rsid w:val="0026076F"/>
    <w:rsid w:val="0026091E"/>
    <w:rsid w:val="00260979"/>
    <w:rsid w:val="002610B7"/>
    <w:rsid w:val="00261100"/>
    <w:rsid w:val="00261184"/>
    <w:rsid w:val="00261388"/>
    <w:rsid w:val="00261556"/>
    <w:rsid w:val="002615C0"/>
    <w:rsid w:val="00261925"/>
    <w:rsid w:val="00261BAA"/>
    <w:rsid w:val="0026203C"/>
    <w:rsid w:val="0026223B"/>
    <w:rsid w:val="00262434"/>
    <w:rsid w:val="00262642"/>
    <w:rsid w:val="002629AA"/>
    <w:rsid w:val="002629B3"/>
    <w:rsid w:val="002629DA"/>
    <w:rsid w:val="00262C13"/>
    <w:rsid w:val="00262E2D"/>
    <w:rsid w:val="00263196"/>
    <w:rsid w:val="002638E0"/>
    <w:rsid w:val="002646F2"/>
    <w:rsid w:val="0026471D"/>
    <w:rsid w:val="00264ADB"/>
    <w:rsid w:val="00264C8F"/>
    <w:rsid w:val="0026510E"/>
    <w:rsid w:val="00265604"/>
    <w:rsid w:val="00265C12"/>
    <w:rsid w:val="00265D82"/>
    <w:rsid w:val="00266473"/>
    <w:rsid w:val="00266504"/>
    <w:rsid w:val="002668B3"/>
    <w:rsid w:val="00266AB7"/>
    <w:rsid w:val="00266E13"/>
    <w:rsid w:val="0026714D"/>
    <w:rsid w:val="002675AF"/>
    <w:rsid w:val="00267844"/>
    <w:rsid w:val="00270057"/>
    <w:rsid w:val="00270251"/>
    <w:rsid w:val="00270A5A"/>
    <w:rsid w:val="00270BC6"/>
    <w:rsid w:val="00270D63"/>
    <w:rsid w:val="00270D6B"/>
    <w:rsid w:val="00270D76"/>
    <w:rsid w:val="00270DD5"/>
    <w:rsid w:val="00271233"/>
    <w:rsid w:val="0027135B"/>
    <w:rsid w:val="00271474"/>
    <w:rsid w:val="0027156E"/>
    <w:rsid w:val="00271F09"/>
    <w:rsid w:val="002720A9"/>
    <w:rsid w:val="002724F5"/>
    <w:rsid w:val="0027274D"/>
    <w:rsid w:val="002728C3"/>
    <w:rsid w:val="00272B57"/>
    <w:rsid w:val="00273143"/>
    <w:rsid w:val="00273225"/>
    <w:rsid w:val="00273A31"/>
    <w:rsid w:val="002741FE"/>
    <w:rsid w:val="002742FA"/>
    <w:rsid w:val="002745A3"/>
    <w:rsid w:val="00274670"/>
    <w:rsid w:val="00274917"/>
    <w:rsid w:val="002749D9"/>
    <w:rsid w:val="00274AC3"/>
    <w:rsid w:val="002752DF"/>
    <w:rsid w:val="00275317"/>
    <w:rsid w:val="00275516"/>
    <w:rsid w:val="00275986"/>
    <w:rsid w:val="00275A14"/>
    <w:rsid w:val="00275C7C"/>
    <w:rsid w:val="00276387"/>
    <w:rsid w:val="002764B1"/>
    <w:rsid w:val="00276C9F"/>
    <w:rsid w:val="002771D7"/>
    <w:rsid w:val="0027737E"/>
    <w:rsid w:val="002773ED"/>
    <w:rsid w:val="00277888"/>
    <w:rsid w:val="00277957"/>
    <w:rsid w:val="00277AD7"/>
    <w:rsid w:val="00277E0D"/>
    <w:rsid w:val="00277E86"/>
    <w:rsid w:val="00277EC9"/>
    <w:rsid w:val="00280635"/>
    <w:rsid w:val="00280909"/>
    <w:rsid w:val="00280DC8"/>
    <w:rsid w:val="00280E85"/>
    <w:rsid w:val="0028114F"/>
    <w:rsid w:val="00281827"/>
    <w:rsid w:val="00281BB4"/>
    <w:rsid w:val="00281E3A"/>
    <w:rsid w:val="00281EE1"/>
    <w:rsid w:val="002820EC"/>
    <w:rsid w:val="00282303"/>
    <w:rsid w:val="00282371"/>
    <w:rsid w:val="00282705"/>
    <w:rsid w:val="002828E8"/>
    <w:rsid w:val="00282FDB"/>
    <w:rsid w:val="002830F0"/>
    <w:rsid w:val="00283186"/>
    <w:rsid w:val="0028377C"/>
    <w:rsid w:val="002839FC"/>
    <w:rsid w:val="00283F2F"/>
    <w:rsid w:val="00284005"/>
    <w:rsid w:val="00284012"/>
    <w:rsid w:val="00284461"/>
    <w:rsid w:val="002845CA"/>
    <w:rsid w:val="002846DA"/>
    <w:rsid w:val="00284709"/>
    <w:rsid w:val="00284890"/>
    <w:rsid w:val="00285115"/>
    <w:rsid w:val="00285217"/>
    <w:rsid w:val="0028576F"/>
    <w:rsid w:val="00285853"/>
    <w:rsid w:val="00285890"/>
    <w:rsid w:val="0028597A"/>
    <w:rsid w:val="00285986"/>
    <w:rsid w:val="002863D8"/>
    <w:rsid w:val="0028674A"/>
    <w:rsid w:val="00286760"/>
    <w:rsid w:val="00286CCE"/>
    <w:rsid w:val="0028780A"/>
    <w:rsid w:val="00287C68"/>
    <w:rsid w:val="00287E74"/>
    <w:rsid w:val="00287F3A"/>
    <w:rsid w:val="00287FA0"/>
    <w:rsid w:val="002907F1"/>
    <w:rsid w:val="00290C93"/>
    <w:rsid w:val="00290D8F"/>
    <w:rsid w:val="002911A4"/>
    <w:rsid w:val="002911F3"/>
    <w:rsid w:val="00291824"/>
    <w:rsid w:val="00291CA1"/>
    <w:rsid w:val="00292053"/>
    <w:rsid w:val="00292585"/>
    <w:rsid w:val="00292E1D"/>
    <w:rsid w:val="00292E6F"/>
    <w:rsid w:val="00292F77"/>
    <w:rsid w:val="0029339D"/>
    <w:rsid w:val="00293571"/>
    <w:rsid w:val="0029373F"/>
    <w:rsid w:val="0029383D"/>
    <w:rsid w:val="00293C40"/>
    <w:rsid w:val="0029453F"/>
    <w:rsid w:val="002945C2"/>
    <w:rsid w:val="002948E9"/>
    <w:rsid w:val="00294D61"/>
    <w:rsid w:val="00295180"/>
    <w:rsid w:val="002952F2"/>
    <w:rsid w:val="0029543F"/>
    <w:rsid w:val="00295AF7"/>
    <w:rsid w:val="00295E02"/>
    <w:rsid w:val="0029656E"/>
    <w:rsid w:val="0029674A"/>
    <w:rsid w:val="00296B21"/>
    <w:rsid w:val="002971C7"/>
    <w:rsid w:val="0029722C"/>
    <w:rsid w:val="002973E9"/>
    <w:rsid w:val="0029757A"/>
    <w:rsid w:val="00297917"/>
    <w:rsid w:val="00297A40"/>
    <w:rsid w:val="00297CAE"/>
    <w:rsid w:val="00297DD8"/>
    <w:rsid w:val="00297DE8"/>
    <w:rsid w:val="00297E25"/>
    <w:rsid w:val="002A0245"/>
    <w:rsid w:val="002A05A9"/>
    <w:rsid w:val="002A08A3"/>
    <w:rsid w:val="002A08C2"/>
    <w:rsid w:val="002A09A6"/>
    <w:rsid w:val="002A0ADA"/>
    <w:rsid w:val="002A0EC0"/>
    <w:rsid w:val="002A0FEC"/>
    <w:rsid w:val="002A0FEE"/>
    <w:rsid w:val="002A13FB"/>
    <w:rsid w:val="002A1485"/>
    <w:rsid w:val="002A179E"/>
    <w:rsid w:val="002A18F0"/>
    <w:rsid w:val="002A1939"/>
    <w:rsid w:val="002A194F"/>
    <w:rsid w:val="002A240E"/>
    <w:rsid w:val="002A2568"/>
    <w:rsid w:val="002A264C"/>
    <w:rsid w:val="002A2683"/>
    <w:rsid w:val="002A28C6"/>
    <w:rsid w:val="002A3038"/>
    <w:rsid w:val="002A312F"/>
    <w:rsid w:val="002A3585"/>
    <w:rsid w:val="002A365C"/>
    <w:rsid w:val="002A3D82"/>
    <w:rsid w:val="002A4183"/>
    <w:rsid w:val="002A4568"/>
    <w:rsid w:val="002A4581"/>
    <w:rsid w:val="002A4911"/>
    <w:rsid w:val="002A4B50"/>
    <w:rsid w:val="002A4D4C"/>
    <w:rsid w:val="002A5079"/>
    <w:rsid w:val="002A54E2"/>
    <w:rsid w:val="002A55E5"/>
    <w:rsid w:val="002A5ABB"/>
    <w:rsid w:val="002A5C43"/>
    <w:rsid w:val="002A5DAB"/>
    <w:rsid w:val="002A5E32"/>
    <w:rsid w:val="002A5EB9"/>
    <w:rsid w:val="002A5FE7"/>
    <w:rsid w:val="002A631F"/>
    <w:rsid w:val="002A63CE"/>
    <w:rsid w:val="002A6463"/>
    <w:rsid w:val="002A6575"/>
    <w:rsid w:val="002A6914"/>
    <w:rsid w:val="002A6B69"/>
    <w:rsid w:val="002A6BC3"/>
    <w:rsid w:val="002A6DBD"/>
    <w:rsid w:val="002A7053"/>
    <w:rsid w:val="002A7397"/>
    <w:rsid w:val="002A73F9"/>
    <w:rsid w:val="002A776C"/>
    <w:rsid w:val="002A7878"/>
    <w:rsid w:val="002A7884"/>
    <w:rsid w:val="002B02E3"/>
    <w:rsid w:val="002B0365"/>
    <w:rsid w:val="002B0468"/>
    <w:rsid w:val="002B07C2"/>
    <w:rsid w:val="002B08BC"/>
    <w:rsid w:val="002B0A62"/>
    <w:rsid w:val="002B0BCF"/>
    <w:rsid w:val="002B0CA1"/>
    <w:rsid w:val="002B1115"/>
    <w:rsid w:val="002B111D"/>
    <w:rsid w:val="002B125C"/>
    <w:rsid w:val="002B1877"/>
    <w:rsid w:val="002B1B07"/>
    <w:rsid w:val="002B1BA3"/>
    <w:rsid w:val="002B1DB9"/>
    <w:rsid w:val="002B1DD2"/>
    <w:rsid w:val="002B1F1E"/>
    <w:rsid w:val="002B1F2C"/>
    <w:rsid w:val="002B1FE4"/>
    <w:rsid w:val="002B2102"/>
    <w:rsid w:val="002B232A"/>
    <w:rsid w:val="002B246A"/>
    <w:rsid w:val="002B2703"/>
    <w:rsid w:val="002B29FE"/>
    <w:rsid w:val="002B2D67"/>
    <w:rsid w:val="002B2E40"/>
    <w:rsid w:val="002B31F0"/>
    <w:rsid w:val="002B3544"/>
    <w:rsid w:val="002B35DE"/>
    <w:rsid w:val="002B38F3"/>
    <w:rsid w:val="002B398A"/>
    <w:rsid w:val="002B39CA"/>
    <w:rsid w:val="002B3D97"/>
    <w:rsid w:val="002B3F29"/>
    <w:rsid w:val="002B3F5E"/>
    <w:rsid w:val="002B44C0"/>
    <w:rsid w:val="002B4783"/>
    <w:rsid w:val="002B4918"/>
    <w:rsid w:val="002B514C"/>
    <w:rsid w:val="002B534A"/>
    <w:rsid w:val="002B586E"/>
    <w:rsid w:val="002B5A5E"/>
    <w:rsid w:val="002B6001"/>
    <w:rsid w:val="002B65B8"/>
    <w:rsid w:val="002B662B"/>
    <w:rsid w:val="002B6634"/>
    <w:rsid w:val="002B6660"/>
    <w:rsid w:val="002B72F7"/>
    <w:rsid w:val="002B744F"/>
    <w:rsid w:val="002B7A63"/>
    <w:rsid w:val="002C02BE"/>
    <w:rsid w:val="002C0516"/>
    <w:rsid w:val="002C06D6"/>
    <w:rsid w:val="002C0947"/>
    <w:rsid w:val="002C0CD3"/>
    <w:rsid w:val="002C0EEA"/>
    <w:rsid w:val="002C0FE9"/>
    <w:rsid w:val="002C108A"/>
    <w:rsid w:val="002C10E6"/>
    <w:rsid w:val="002C1616"/>
    <w:rsid w:val="002C16EA"/>
    <w:rsid w:val="002C18DC"/>
    <w:rsid w:val="002C1C1D"/>
    <w:rsid w:val="002C210C"/>
    <w:rsid w:val="002C214A"/>
    <w:rsid w:val="002C27C1"/>
    <w:rsid w:val="002C2A92"/>
    <w:rsid w:val="002C2ACD"/>
    <w:rsid w:val="002C2CD5"/>
    <w:rsid w:val="002C3348"/>
    <w:rsid w:val="002C3AC4"/>
    <w:rsid w:val="002C3B49"/>
    <w:rsid w:val="002C3D8D"/>
    <w:rsid w:val="002C3E38"/>
    <w:rsid w:val="002C421E"/>
    <w:rsid w:val="002C42CE"/>
    <w:rsid w:val="002C42E4"/>
    <w:rsid w:val="002C4305"/>
    <w:rsid w:val="002C4CD6"/>
    <w:rsid w:val="002C5429"/>
    <w:rsid w:val="002C5460"/>
    <w:rsid w:val="002C552A"/>
    <w:rsid w:val="002C5694"/>
    <w:rsid w:val="002C5788"/>
    <w:rsid w:val="002C5A18"/>
    <w:rsid w:val="002C5BAC"/>
    <w:rsid w:val="002C61A8"/>
    <w:rsid w:val="002C6352"/>
    <w:rsid w:val="002C660F"/>
    <w:rsid w:val="002C69A9"/>
    <w:rsid w:val="002C6AE3"/>
    <w:rsid w:val="002C6EAC"/>
    <w:rsid w:val="002C707E"/>
    <w:rsid w:val="002C73CF"/>
    <w:rsid w:val="002C7566"/>
    <w:rsid w:val="002C76FF"/>
    <w:rsid w:val="002C772F"/>
    <w:rsid w:val="002C793E"/>
    <w:rsid w:val="002C7B3A"/>
    <w:rsid w:val="002C7E8D"/>
    <w:rsid w:val="002D0142"/>
    <w:rsid w:val="002D0199"/>
    <w:rsid w:val="002D01E8"/>
    <w:rsid w:val="002D0760"/>
    <w:rsid w:val="002D0C33"/>
    <w:rsid w:val="002D0EE9"/>
    <w:rsid w:val="002D182F"/>
    <w:rsid w:val="002D196D"/>
    <w:rsid w:val="002D1A1F"/>
    <w:rsid w:val="002D202E"/>
    <w:rsid w:val="002D20C9"/>
    <w:rsid w:val="002D21DD"/>
    <w:rsid w:val="002D2249"/>
    <w:rsid w:val="002D2291"/>
    <w:rsid w:val="002D22FE"/>
    <w:rsid w:val="002D23CD"/>
    <w:rsid w:val="002D27DC"/>
    <w:rsid w:val="002D28E6"/>
    <w:rsid w:val="002D2E61"/>
    <w:rsid w:val="002D2EE3"/>
    <w:rsid w:val="002D3190"/>
    <w:rsid w:val="002D330D"/>
    <w:rsid w:val="002D358A"/>
    <w:rsid w:val="002D3BED"/>
    <w:rsid w:val="002D3DBE"/>
    <w:rsid w:val="002D3F98"/>
    <w:rsid w:val="002D43E1"/>
    <w:rsid w:val="002D4811"/>
    <w:rsid w:val="002D4EE5"/>
    <w:rsid w:val="002D4F45"/>
    <w:rsid w:val="002D4FF9"/>
    <w:rsid w:val="002D5322"/>
    <w:rsid w:val="002D53A5"/>
    <w:rsid w:val="002D55EE"/>
    <w:rsid w:val="002D5811"/>
    <w:rsid w:val="002D5AFE"/>
    <w:rsid w:val="002D5B05"/>
    <w:rsid w:val="002D5EDB"/>
    <w:rsid w:val="002D5FAB"/>
    <w:rsid w:val="002D6143"/>
    <w:rsid w:val="002D621E"/>
    <w:rsid w:val="002D6337"/>
    <w:rsid w:val="002D635E"/>
    <w:rsid w:val="002D6902"/>
    <w:rsid w:val="002D6A74"/>
    <w:rsid w:val="002D70A5"/>
    <w:rsid w:val="002D746C"/>
    <w:rsid w:val="002D7481"/>
    <w:rsid w:val="002D78FB"/>
    <w:rsid w:val="002D7950"/>
    <w:rsid w:val="002D7AAB"/>
    <w:rsid w:val="002D7B81"/>
    <w:rsid w:val="002D7F94"/>
    <w:rsid w:val="002E0369"/>
    <w:rsid w:val="002E0489"/>
    <w:rsid w:val="002E04A3"/>
    <w:rsid w:val="002E04E5"/>
    <w:rsid w:val="002E05EA"/>
    <w:rsid w:val="002E065B"/>
    <w:rsid w:val="002E072F"/>
    <w:rsid w:val="002E08CC"/>
    <w:rsid w:val="002E0BB6"/>
    <w:rsid w:val="002E0C25"/>
    <w:rsid w:val="002E1147"/>
    <w:rsid w:val="002E12AB"/>
    <w:rsid w:val="002E12C8"/>
    <w:rsid w:val="002E1466"/>
    <w:rsid w:val="002E1606"/>
    <w:rsid w:val="002E188D"/>
    <w:rsid w:val="002E1CF3"/>
    <w:rsid w:val="002E1D06"/>
    <w:rsid w:val="002E2445"/>
    <w:rsid w:val="002E24FD"/>
    <w:rsid w:val="002E27FA"/>
    <w:rsid w:val="002E294A"/>
    <w:rsid w:val="002E29EF"/>
    <w:rsid w:val="002E2A33"/>
    <w:rsid w:val="002E30D5"/>
    <w:rsid w:val="002E36E0"/>
    <w:rsid w:val="002E3954"/>
    <w:rsid w:val="002E42AF"/>
    <w:rsid w:val="002E4442"/>
    <w:rsid w:val="002E4677"/>
    <w:rsid w:val="002E46CB"/>
    <w:rsid w:val="002E4D81"/>
    <w:rsid w:val="002E5810"/>
    <w:rsid w:val="002E5B63"/>
    <w:rsid w:val="002E5B8D"/>
    <w:rsid w:val="002E635B"/>
    <w:rsid w:val="002E6572"/>
    <w:rsid w:val="002E6AB3"/>
    <w:rsid w:val="002E6B1C"/>
    <w:rsid w:val="002E6BE2"/>
    <w:rsid w:val="002E6DB4"/>
    <w:rsid w:val="002E6F7D"/>
    <w:rsid w:val="002E7170"/>
    <w:rsid w:val="002E7227"/>
    <w:rsid w:val="002E7231"/>
    <w:rsid w:val="002E7341"/>
    <w:rsid w:val="002E74F7"/>
    <w:rsid w:val="002E75A9"/>
    <w:rsid w:val="002E79AA"/>
    <w:rsid w:val="002E79F1"/>
    <w:rsid w:val="002E7A83"/>
    <w:rsid w:val="002E7BD2"/>
    <w:rsid w:val="002F00D1"/>
    <w:rsid w:val="002F04B5"/>
    <w:rsid w:val="002F05FB"/>
    <w:rsid w:val="002F0778"/>
    <w:rsid w:val="002F086C"/>
    <w:rsid w:val="002F0D60"/>
    <w:rsid w:val="002F0FCF"/>
    <w:rsid w:val="002F1758"/>
    <w:rsid w:val="002F191E"/>
    <w:rsid w:val="002F195A"/>
    <w:rsid w:val="002F1A2B"/>
    <w:rsid w:val="002F1A96"/>
    <w:rsid w:val="002F1E35"/>
    <w:rsid w:val="002F27D0"/>
    <w:rsid w:val="002F29F1"/>
    <w:rsid w:val="002F3338"/>
    <w:rsid w:val="002F351A"/>
    <w:rsid w:val="002F354B"/>
    <w:rsid w:val="002F3BE9"/>
    <w:rsid w:val="002F3F5C"/>
    <w:rsid w:val="002F40B4"/>
    <w:rsid w:val="002F4755"/>
    <w:rsid w:val="002F4E42"/>
    <w:rsid w:val="002F50B4"/>
    <w:rsid w:val="002F5115"/>
    <w:rsid w:val="002F5497"/>
    <w:rsid w:val="002F54C8"/>
    <w:rsid w:val="002F586D"/>
    <w:rsid w:val="002F5A62"/>
    <w:rsid w:val="002F5B18"/>
    <w:rsid w:val="002F5B26"/>
    <w:rsid w:val="002F5E2A"/>
    <w:rsid w:val="002F5FA7"/>
    <w:rsid w:val="002F65E9"/>
    <w:rsid w:val="002F67C7"/>
    <w:rsid w:val="002F698A"/>
    <w:rsid w:val="002F6BFC"/>
    <w:rsid w:val="002F6ED3"/>
    <w:rsid w:val="002F70A5"/>
    <w:rsid w:val="002F70CF"/>
    <w:rsid w:val="002F7493"/>
    <w:rsid w:val="002F74B8"/>
    <w:rsid w:val="002F769E"/>
    <w:rsid w:val="002F7A2C"/>
    <w:rsid w:val="002F7B8E"/>
    <w:rsid w:val="002F7F78"/>
    <w:rsid w:val="00300231"/>
    <w:rsid w:val="003007F8"/>
    <w:rsid w:val="0030084E"/>
    <w:rsid w:val="0030086C"/>
    <w:rsid w:val="003008FE"/>
    <w:rsid w:val="00300D2C"/>
    <w:rsid w:val="00300DE4"/>
    <w:rsid w:val="003012C3"/>
    <w:rsid w:val="003012F3"/>
    <w:rsid w:val="0030150D"/>
    <w:rsid w:val="003017CB"/>
    <w:rsid w:val="0030191D"/>
    <w:rsid w:val="00301975"/>
    <w:rsid w:val="003020BE"/>
    <w:rsid w:val="003022FD"/>
    <w:rsid w:val="00302377"/>
    <w:rsid w:val="00302559"/>
    <w:rsid w:val="003026ED"/>
    <w:rsid w:val="00302DD2"/>
    <w:rsid w:val="003031D1"/>
    <w:rsid w:val="00303239"/>
    <w:rsid w:val="003032AD"/>
    <w:rsid w:val="003033C4"/>
    <w:rsid w:val="00303640"/>
    <w:rsid w:val="0030393D"/>
    <w:rsid w:val="00303B6F"/>
    <w:rsid w:val="00303B7A"/>
    <w:rsid w:val="0030404E"/>
    <w:rsid w:val="00304110"/>
    <w:rsid w:val="00304146"/>
    <w:rsid w:val="0030437B"/>
    <w:rsid w:val="003043EF"/>
    <w:rsid w:val="003045F0"/>
    <w:rsid w:val="00304685"/>
    <w:rsid w:val="003047C0"/>
    <w:rsid w:val="003047F3"/>
    <w:rsid w:val="00304CBA"/>
    <w:rsid w:val="00305104"/>
    <w:rsid w:val="003052A2"/>
    <w:rsid w:val="0030530C"/>
    <w:rsid w:val="003054DD"/>
    <w:rsid w:val="00305672"/>
    <w:rsid w:val="00305F9B"/>
    <w:rsid w:val="003066C2"/>
    <w:rsid w:val="003067C9"/>
    <w:rsid w:val="00306C00"/>
    <w:rsid w:val="0030717A"/>
    <w:rsid w:val="003072CD"/>
    <w:rsid w:val="00307327"/>
    <w:rsid w:val="00307330"/>
    <w:rsid w:val="00307523"/>
    <w:rsid w:val="003077CD"/>
    <w:rsid w:val="0030798E"/>
    <w:rsid w:val="00307F8B"/>
    <w:rsid w:val="00310711"/>
    <w:rsid w:val="00310A36"/>
    <w:rsid w:val="00310C41"/>
    <w:rsid w:val="0031101A"/>
    <w:rsid w:val="00311566"/>
    <w:rsid w:val="0031156C"/>
    <w:rsid w:val="003115C1"/>
    <w:rsid w:val="00311894"/>
    <w:rsid w:val="0031191C"/>
    <w:rsid w:val="00311A7B"/>
    <w:rsid w:val="00311D08"/>
    <w:rsid w:val="00311D6E"/>
    <w:rsid w:val="003120ED"/>
    <w:rsid w:val="003123CA"/>
    <w:rsid w:val="00312477"/>
    <w:rsid w:val="0031289B"/>
    <w:rsid w:val="003128A1"/>
    <w:rsid w:val="00312BDD"/>
    <w:rsid w:val="00312D94"/>
    <w:rsid w:val="00312F8C"/>
    <w:rsid w:val="00312F9B"/>
    <w:rsid w:val="0031304B"/>
    <w:rsid w:val="003131AB"/>
    <w:rsid w:val="003136D4"/>
    <w:rsid w:val="00313802"/>
    <w:rsid w:val="00313C5C"/>
    <w:rsid w:val="00313D6A"/>
    <w:rsid w:val="00313DC4"/>
    <w:rsid w:val="00314701"/>
    <w:rsid w:val="003149F7"/>
    <w:rsid w:val="00314B12"/>
    <w:rsid w:val="00314D59"/>
    <w:rsid w:val="00314E08"/>
    <w:rsid w:val="003150A8"/>
    <w:rsid w:val="00315119"/>
    <w:rsid w:val="00315169"/>
    <w:rsid w:val="00315762"/>
    <w:rsid w:val="003158C1"/>
    <w:rsid w:val="0031599C"/>
    <w:rsid w:val="00315C57"/>
    <w:rsid w:val="00316007"/>
    <w:rsid w:val="0031659E"/>
    <w:rsid w:val="00316888"/>
    <w:rsid w:val="00316C46"/>
    <w:rsid w:val="00316E30"/>
    <w:rsid w:val="00316E61"/>
    <w:rsid w:val="00316ED0"/>
    <w:rsid w:val="00316FF3"/>
    <w:rsid w:val="003174BD"/>
    <w:rsid w:val="0031765B"/>
    <w:rsid w:val="00317766"/>
    <w:rsid w:val="00317B20"/>
    <w:rsid w:val="00317DDD"/>
    <w:rsid w:val="00317EFD"/>
    <w:rsid w:val="00317FAA"/>
    <w:rsid w:val="0032018B"/>
    <w:rsid w:val="00320493"/>
    <w:rsid w:val="003204E5"/>
    <w:rsid w:val="003204FA"/>
    <w:rsid w:val="003205A3"/>
    <w:rsid w:val="003205E9"/>
    <w:rsid w:val="00320792"/>
    <w:rsid w:val="003207E3"/>
    <w:rsid w:val="003209B2"/>
    <w:rsid w:val="00320BF3"/>
    <w:rsid w:val="00320DB0"/>
    <w:rsid w:val="00320DBF"/>
    <w:rsid w:val="00321177"/>
    <w:rsid w:val="00321260"/>
    <w:rsid w:val="003215D2"/>
    <w:rsid w:val="00321692"/>
    <w:rsid w:val="003219EB"/>
    <w:rsid w:val="00321A9E"/>
    <w:rsid w:val="00321C21"/>
    <w:rsid w:val="0032222E"/>
    <w:rsid w:val="0032232D"/>
    <w:rsid w:val="00322395"/>
    <w:rsid w:val="003225CE"/>
    <w:rsid w:val="00322696"/>
    <w:rsid w:val="0032297A"/>
    <w:rsid w:val="00322A81"/>
    <w:rsid w:val="00322B12"/>
    <w:rsid w:val="00322BE4"/>
    <w:rsid w:val="00322EB1"/>
    <w:rsid w:val="0032309C"/>
    <w:rsid w:val="003230D1"/>
    <w:rsid w:val="0032327A"/>
    <w:rsid w:val="0032369D"/>
    <w:rsid w:val="003236FE"/>
    <w:rsid w:val="0032389E"/>
    <w:rsid w:val="00323BC9"/>
    <w:rsid w:val="00323BFC"/>
    <w:rsid w:val="003240A6"/>
    <w:rsid w:val="00324194"/>
    <w:rsid w:val="00324341"/>
    <w:rsid w:val="00324392"/>
    <w:rsid w:val="0032461D"/>
    <w:rsid w:val="00324685"/>
    <w:rsid w:val="003248AE"/>
    <w:rsid w:val="00324A57"/>
    <w:rsid w:val="00324CE3"/>
    <w:rsid w:val="003250DF"/>
    <w:rsid w:val="003250ED"/>
    <w:rsid w:val="00325560"/>
    <w:rsid w:val="00325637"/>
    <w:rsid w:val="00325661"/>
    <w:rsid w:val="003257A6"/>
    <w:rsid w:val="00325A55"/>
    <w:rsid w:val="00325ABB"/>
    <w:rsid w:val="0032604C"/>
    <w:rsid w:val="003260C6"/>
    <w:rsid w:val="0032656E"/>
    <w:rsid w:val="003266C4"/>
    <w:rsid w:val="003266DC"/>
    <w:rsid w:val="0032676E"/>
    <w:rsid w:val="0032678F"/>
    <w:rsid w:val="003267F0"/>
    <w:rsid w:val="00326804"/>
    <w:rsid w:val="003268E5"/>
    <w:rsid w:val="00326907"/>
    <w:rsid w:val="00326C16"/>
    <w:rsid w:val="00326E51"/>
    <w:rsid w:val="00327285"/>
    <w:rsid w:val="0032735B"/>
    <w:rsid w:val="00327371"/>
    <w:rsid w:val="00327486"/>
    <w:rsid w:val="00327802"/>
    <w:rsid w:val="00327E30"/>
    <w:rsid w:val="00327E34"/>
    <w:rsid w:val="003300CF"/>
    <w:rsid w:val="00330193"/>
    <w:rsid w:val="003302DB"/>
    <w:rsid w:val="00330340"/>
    <w:rsid w:val="0033060B"/>
    <w:rsid w:val="0033085A"/>
    <w:rsid w:val="003309AA"/>
    <w:rsid w:val="00330C5D"/>
    <w:rsid w:val="00330D1B"/>
    <w:rsid w:val="003311D0"/>
    <w:rsid w:val="003312EB"/>
    <w:rsid w:val="003317BD"/>
    <w:rsid w:val="003318FA"/>
    <w:rsid w:val="0033199B"/>
    <w:rsid w:val="00331B12"/>
    <w:rsid w:val="00331D48"/>
    <w:rsid w:val="003321C3"/>
    <w:rsid w:val="003323BC"/>
    <w:rsid w:val="00332BE5"/>
    <w:rsid w:val="00332C68"/>
    <w:rsid w:val="00332D3F"/>
    <w:rsid w:val="003330C3"/>
    <w:rsid w:val="003332A5"/>
    <w:rsid w:val="00333540"/>
    <w:rsid w:val="003337F3"/>
    <w:rsid w:val="00333800"/>
    <w:rsid w:val="00333B69"/>
    <w:rsid w:val="00333B87"/>
    <w:rsid w:val="00333CEB"/>
    <w:rsid w:val="003340D7"/>
    <w:rsid w:val="003340E6"/>
    <w:rsid w:val="003344F6"/>
    <w:rsid w:val="00334A0D"/>
    <w:rsid w:val="00334C16"/>
    <w:rsid w:val="00334D26"/>
    <w:rsid w:val="00335058"/>
    <w:rsid w:val="0033590F"/>
    <w:rsid w:val="00335952"/>
    <w:rsid w:val="00335A19"/>
    <w:rsid w:val="00335AC0"/>
    <w:rsid w:val="00335F3E"/>
    <w:rsid w:val="00335F61"/>
    <w:rsid w:val="00336070"/>
    <w:rsid w:val="003361FA"/>
    <w:rsid w:val="0033626C"/>
    <w:rsid w:val="00336335"/>
    <w:rsid w:val="00336392"/>
    <w:rsid w:val="00336474"/>
    <w:rsid w:val="00336507"/>
    <w:rsid w:val="00336A79"/>
    <w:rsid w:val="00336DB6"/>
    <w:rsid w:val="003370B0"/>
    <w:rsid w:val="0033719C"/>
    <w:rsid w:val="003371B2"/>
    <w:rsid w:val="003373AF"/>
    <w:rsid w:val="00337626"/>
    <w:rsid w:val="00337685"/>
    <w:rsid w:val="00337730"/>
    <w:rsid w:val="0033774C"/>
    <w:rsid w:val="003378CC"/>
    <w:rsid w:val="00337EA1"/>
    <w:rsid w:val="00337EB5"/>
    <w:rsid w:val="00337F84"/>
    <w:rsid w:val="003400BC"/>
    <w:rsid w:val="0034018D"/>
    <w:rsid w:val="00340227"/>
    <w:rsid w:val="0034040E"/>
    <w:rsid w:val="003405B2"/>
    <w:rsid w:val="00340A58"/>
    <w:rsid w:val="00340A9B"/>
    <w:rsid w:val="00340B33"/>
    <w:rsid w:val="00340C0B"/>
    <w:rsid w:val="00340C39"/>
    <w:rsid w:val="00340DE5"/>
    <w:rsid w:val="00340FC6"/>
    <w:rsid w:val="00341167"/>
    <w:rsid w:val="00341783"/>
    <w:rsid w:val="00341A70"/>
    <w:rsid w:val="00341AC6"/>
    <w:rsid w:val="00341B0F"/>
    <w:rsid w:val="00341C41"/>
    <w:rsid w:val="00341F88"/>
    <w:rsid w:val="003420A1"/>
    <w:rsid w:val="003427EA"/>
    <w:rsid w:val="00342873"/>
    <w:rsid w:val="00342AA4"/>
    <w:rsid w:val="00342E7D"/>
    <w:rsid w:val="00342EF1"/>
    <w:rsid w:val="00343124"/>
    <w:rsid w:val="003433B5"/>
    <w:rsid w:val="00343520"/>
    <w:rsid w:val="0034378F"/>
    <w:rsid w:val="003437CC"/>
    <w:rsid w:val="003437EC"/>
    <w:rsid w:val="00343A4F"/>
    <w:rsid w:val="00343C93"/>
    <w:rsid w:val="00343CE8"/>
    <w:rsid w:val="00343D7C"/>
    <w:rsid w:val="00343ED1"/>
    <w:rsid w:val="003445E3"/>
    <w:rsid w:val="00344847"/>
    <w:rsid w:val="00344894"/>
    <w:rsid w:val="00344F27"/>
    <w:rsid w:val="00345061"/>
    <w:rsid w:val="00345963"/>
    <w:rsid w:val="00345AF6"/>
    <w:rsid w:val="00345BE0"/>
    <w:rsid w:val="00345EAD"/>
    <w:rsid w:val="00345FEC"/>
    <w:rsid w:val="0034609F"/>
    <w:rsid w:val="003460A5"/>
    <w:rsid w:val="003460DC"/>
    <w:rsid w:val="00346761"/>
    <w:rsid w:val="00346793"/>
    <w:rsid w:val="003471E3"/>
    <w:rsid w:val="0034727A"/>
    <w:rsid w:val="003472E0"/>
    <w:rsid w:val="003478E5"/>
    <w:rsid w:val="00347B3D"/>
    <w:rsid w:val="00347B6E"/>
    <w:rsid w:val="00347CE6"/>
    <w:rsid w:val="00347E48"/>
    <w:rsid w:val="003504A9"/>
    <w:rsid w:val="00350AF1"/>
    <w:rsid w:val="00350E7C"/>
    <w:rsid w:val="00350F8C"/>
    <w:rsid w:val="00351496"/>
    <w:rsid w:val="00351AD7"/>
    <w:rsid w:val="00351B8F"/>
    <w:rsid w:val="00351BDA"/>
    <w:rsid w:val="00351D76"/>
    <w:rsid w:val="00351E6C"/>
    <w:rsid w:val="00351E8D"/>
    <w:rsid w:val="00352153"/>
    <w:rsid w:val="003529B2"/>
    <w:rsid w:val="003529C7"/>
    <w:rsid w:val="00352BAC"/>
    <w:rsid w:val="00352C31"/>
    <w:rsid w:val="00353116"/>
    <w:rsid w:val="0035322A"/>
    <w:rsid w:val="00353380"/>
    <w:rsid w:val="0035348D"/>
    <w:rsid w:val="003534E3"/>
    <w:rsid w:val="0035367C"/>
    <w:rsid w:val="0035381F"/>
    <w:rsid w:val="00353AB9"/>
    <w:rsid w:val="00353ACF"/>
    <w:rsid w:val="00353BE9"/>
    <w:rsid w:val="00354EB4"/>
    <w:rsid w:val="0035514F"/>
    <w:rsid w:val="003554C3"/>
    <w:rsid w:val="00355593"/>
    <w:rsid w:val="00356279"/>
    <w:rsid w:val="003562C5"/>
    <w:rsid w:val="0035649F"/>
    <w:rsid w:val="003568EC"/>
    <w:rsid w:val="00356CEE"/>
    <w:rsid w:val="00356E59"/>
    <w:rsid w:val="003570DE"/>
    <w:rsid w:val="003573B8"/>
    <w:rsid w:val="003576F6"/>
    <w:rsid w:val="003578D8"/>
    <w:rsid w:val="003579D6"/>
    <w:rsid w:val="00357F82"/>
    <w:rsid w:val="00360012"/>
    <w:rsid w:val="00360022"/>
    <w:rsid w:val="0036013C"/>
    <w:rsid w:val="003601E0"/>
    <w:rsid w:val="0036031B"/>
    <w:rsid w:val="00360476"/>
    <w:rsid w:val="00360564"/>
    <w:rsid w:val="00360664"/>
    <w:rsid w:val="00360AAE"/>
    <w:rsid w:val="00360D99"/>
    <w:rsid w:val="00361042"/>
    <w:rsid w:val="003610BB"/>
    <w:rsid w:val="00361485"/>
    <w:rsid w:val="0036160E"/>
    <w:rsid w:val="003618E7"/>
    <w:rsid w:val="00361A07"/>
    <w:rsid w:val="00361C27"/>
    <w:rsid w:val="00361CAB"/>
    <w:rsid w:val="00361F3B"/>
    <w:rsid w:val="003621DE"/>
    <w:rsid w:val="0036239A"/>
    <w:rsid w:val="0036242D"/>
    <w:rsid w:val="00362495"/>
    <w:rsid w:val="00362517"/>
    <w:rsid w:val="00362764"/>
    <w:rsid w:val="003628B9"/>
    <w:rsid w:val="00362B67"/>
    <w:rsid w:val="00362E79"/>
    <w:rsid w:val="00362F96"/>
    <w:rsid w:val="00363014"/>
    <w:rsid w:val="00363810"/>
    <w:rsid w:val="003638AE"/>
    <w:rsid w:val="00363A36"/>
    <w:rsid w:val="00363C17"/>
    <w:rsid w:val="00363CB8"/>
    <w:rsid w:val="00363DDC"/>
    <w:rsid w:val="0036437C"/>
    <w:rsid w:val="003643B6"/>
    <w:rsid w:val="003643C7"/>
    <w:rsid w:val="00364442"/>
    <w:rsid w:val="00364632"/>
    <w:rsid w:val="0036470A"/>
    <w:rsid w:val="00364869"/>
    <w:rsid w:val="00364A86"/>
    <w:rsid w:val="0036521F"/>
    <w:rsid w:val="00365245"/>
    <w:rsid w:val="003652A4"/>
    <w:rsid w:val="0036566D"/>
    <w:rsid w:val="0036567B"/>
    <w:rsid w:val="0036572D"/>
    <w:rsid w:val="003657D2"/>
    <w:rsid w:val="00365C6F"/>
    <w:rsid w:val="00365D33"/>
    <w:rsid w:val="00365D96"/>
    <w:rsid w:val="00366181"/>
    <w:rsid w:val="0036626C"/>
    <w:rsid w:val="003666EB"/>
    <w:rsid w:val="003668A5"/>
    <w:rsid w:val="00366B61"/>
    <w:rsid w:val="00366D31"/>
    <w:rsid w:val="00366F94"/>
    <w:rsid w:val="0036729A"/>
    <w:rsid w:val="00367312"/>
    <w:rsid w:val="00367605"/>
    <w:rsid w:val="00367693"/>
    <w:rsid w:val="0036781F"/>
    <w:rsid w:val="00367884"/>
    <w:rsid w:val="0036788E"/>
    <w:rsid w:val="003678BD"/>
    <w:rsid w:val="00367AF5"/>
    <w:rsid w:val="00367C1B"/>
    <w:rsid w:val="00370401"/>
    <w:rsid w:val="003705E0"/>
    <w:rsid w:val="00370740"/>
    <w:rsid w:val="003707C3"/>
    <w:rsid w:val="00370911"/>
    <w:rsid w:val="0037093B"/>
    <w:rsid w:val="00370B63"/>
    <w:rsid w:val="003710D4"/>
    <w:rsid w:val="003711FF"/>
    <w:rsid w:val="003714F4"/>
    <w:rsid w:val="0037171C"/>
    <w:rsid w:val="0037181E"/>
    <w:rsid w:val="003718D0"/>
    <w:rsid w:val="00371F7B"/>
    <w:rsid w:val="00371FFA"/>
    <w:rsid w:val="0037201E"/>
    <w:rsid w:val="0037229A"/>
    <w:rsid w:val="0037252D"/>
    <w:rsid w:val="00372590"/>
    <w:rsid w:val="00372767"/>
    <w:rsid w:val="003728B7"/>
    <w:rsid w:val="00372C17"/>
    <w:rsid w:val="00372ECA"/>
    <w:rsid w:val="00373447"/>
    <w:rsid w:val="00373B8C"/>
    <w:rsid w:val="00373F8E"/>
    <w:rsid w:val="00374715"/>
    <w:rsid w:val="00374E40"/>
    <w:rsid w:val="00375471"/>
    <w:rsid w:val="00375510"/>
    <w:rsid w:val="00375519"/>
    <w:rsid w:val="00375617"/>
    <w:rsid w:val="003758D5"/>
    <w:rsid w:val="00375A40"/>
    <w:rsid w:val="00375BCC"/>
    <w:rsid w:val="00375EA5"/>
    <w:rsid w:val="00376310"/>
    <w:rsid w:val="00376904"/>
    <w:rsid w:val="00376A12"/>
    <w:rsid w:val="00376D53"/>
    <w:rsid w:val="00376D5A"/>
    <w:rsid w:val="00376E9F"/>
    <w:rsid w:val="003770B3"/>
    <w:rsid w:val="00377257"/>
    <w:rsid w:val="003774E0"/>
    <w:rsid w:val="00377603"/>
    <w:rsid w:val="0037761C"/>
    <w:rsid w:val="00377688"/>
    <w:rsid w:val="003776AA"/>
    <w:rsid w:val="003779BA"/>
    <w:rsid w:val="003779C3"/>
    <w:rsid w:val="00377DC0"/>
    <w:rsid w:val="003806B3"/>
    <w:rsid w:val="00380724"/>
    <w:rsid w:val="00380788"/>
    <w:rsid w:val="00380871"/>
    <w:rsid w:val="003808C5"/>
    <w:rsid w:val="00380C77"/>
    <w:rsid w:val="00380E6B"/>
    <w:rsid w:val="00381030"/>
    <w:rsid w:val="003810B2"/>
    <w:rsid w:val="00381189"/>
    <w:rsid w:val="003813E9"/>
    <w:rsid w:val="003818FA"/>
    <w:rsid w:val="00381958"/>
    <w:rsid w:val="003819A7"/>
    <w:rsid w:val="00381CD6"/>
    <w:rsid w:val="00381FA0"/>
    <w:rsid w:val="00382259"/>
    <w:rsid w:val="0038248A"/>
    <w:rsid w:val="00382522"/>
    <w:rsid w:val="00382787"/>
    <w:rsid w:val="00382D2E"/>
    <w:rsid w:val="00382F27"/>
    <w:rsid w:val="00383C8F"/>
    <w:rsid w:val="00383D18"/>
    <w:rsid w:val="00383DEA"/>
    <w:rsid w:val="00384099"/>
    <w:rsid w:val="00384320"/>
    <w:rsid w:val="00384358"/>
    <w:rsid w:val="0038443D"/>
    <w:rsid w:val="003846FC"/>
    <w:rsid w:val="003848EA"/>
    <w:rsid w:val="00384A17"/>
    <w:rsid w:val="00385344"/>
    <w:rsid w:val="003853FB"/>
    <w:rsid w:val="00385603"/>
    <w:rsid w:val="00385665"/>
    <w:rsid w:val="00385697"/>
    <w:rsid w:val="0038578C"/>
    <w:rsid w:val="003859A3"/>
    <w:rsid w:val="003859C1"/>
    <w:rsid w:val="00385FE9"/>
    <w:rsid w:val="003860BB"/>
    <w:rsid w:val="00386373"/>
    <w:rsid w:val="003863B3"/>
    <w:rsid w:val="0038688B"/>
    <w:rsid w:val="003868A3"/>
    <w:rsid w:val="0038691F"/>
    <w:rsid w:val="00386920"/>
    <w:rsid w:val="00386B0C"/>
    <w:rsid w:val="00386B1E"/>
    <w:rsid w:val="00386C90"/>
    <w:rsid w:val="00387233"/>
    <w:rsid w:val="003877AB"/>
    <w:rsid w:val="003877AC"/>
    <w:rsid w:val="003877E5"/>
    <w:rsid w:val="0038789E"/>
    <w:rsid w:val="0038790C"/>
    <w:rsid w:val="0038796D"/>
    <w:rsid w:val="00387BD9"/>
    <w:rsid w:val="00387D22"/>
    <w:rsid w:val="00387DEC"/>
    <w:rsid w:val="00387DFD"/>
    <w:rsid w:val="00387E15"/>
    <w:rsid w:val="00387FB1"/>
    <w:rsid w:val="00390246"/>
    <w:rsid w:val="00390AEE"/>
    <w:rsid w:val="00390B04"/>
    <w:rsid w:val="00390BF9"/>
    <w:rsid w:val="00390F10"/>
    <w:rsid w:val="0039107A"/>
    <w:rsid w:val="0039182E"/>
    <w:rsid w:val="00391989"/>
    <w:rsid w:val="00391C58"/>
    <w:rsid w:val="00391E13"/>
    <w:rsid w:val="0039241C"/>
    <w:rsid w:val="003925A5"/>
    <w:rsid w:val="00392641"/>
    <w:rsid w:val="003926CE"/>
    <w:rsid w:val="0039298E"/>
    <w:rsid w:val="00392D18"/>
    <w:rsid w:val="00393123"/>
    <w:rsid w:val="00393202"/>
    <w:rsid w:val="00393307"/>
    <w:rsid w:val="00393605"/>
    <w:rsid w:val="003936D3"/>
    <w:rsid w:val="00393805"/>
    <w:rsid w:val="00393A06"/>
    <w:rsid w:val="00393CA8"/>
    <w:rsid w:val="00393EB8"/>
    <w:rsid w:val="00394102"/>
    <w:rsid w:val="003943DB"/>
    <w:rsid w:val="003944F4"/>
    <w:rsid w:val="00394578"/>
    <w:rsid w:val="0039461D"/>
    <w:rsid w:val="00394B8E"/>
    <w:rsid w:val="00394DF8"/>
    <w:rsid w:val="00395188"/>
    <w:rsid w:val="00395195"/>
    <w:rsid w:val="003951FC"/>
    <w:rsid w:val="00395A7B"/>
    <w:rsid w:val="00395FF3"/>
    <w:rsid w:val="0039608A"/>
    <w:rsid w:val="003960F7"/>
    <w:rsid w:val="00396663"/>
    <w:rsid w:val="00396793"/>
    <w:rsid w:val="003967D7"/>
    <w:rsid w:val="00396821"/>
    <w:rsid w:val="00396AC8"/>
    <w:rsid w:val="00396F2C"/>
    <w:rsid w:val="003972D9"/>
    <w:rsid w:val="0039740A"/>
    <w:rsid w:val="00397612"/>
    <w:rsid w:val="0039769E"/>
    <w:rsid w:val="003976CF"/>
    <w:rsid w:val="00397A3D"/>
    <w:rsid w:val="00397AD4"/>
    <w:rsid w:val="00397C6E"/>
    <w:rsid w:val="00397C70"/>
    <w:rsid w:val="00397F30"/>
    <w:rsid w:val="00397FDE"/>
    <w:rsid w:val="003A0174"/>
    <w:rsid w:val="003A0198"/>
    <w:rsid w:val="003A052D"/>
    <w:rsid w:val="003A0589"/>
    <w:rsid w:val="003A062A"/>
    <w:rsid w:val="003A0674"/>
    <w:rsid w:val="003A08D4"/>
    <w:rsid w:val="003A098C"/>
    <w:rsid w:val="003A0A27"/>
    <w:rsid w:val="003A11D1"/>
    <w:rsid w:val="003A137B"/>
    <w:rsid w:val="003A1572"/>
    <w:rsid w:val="003A1B74"/>
    <w:rsid w:val="003A1EE4"/>
    <w:rsid w:val="003A2303"/>
    <w:rsid w:val="003A24C0"/>
    <w:rsid w:val="003A261D"/>
    <w:rsid w:val="003A2768"/>
    <w:rsid w:val="003A2E64"/>
    <w:rsid w:val="003A304A"/>
    <w:rsid w:val="003A3447"/>
    <w:rsid w:val="003A363A"/>
    <w:rsid w:val="003A37E3"/>
    <w:rsid w:val="003A3A93"/>
    <w:rsid w:val="003A3C2C"/>
    <w:rsid w:val="003A3D99"/>
    <w:rsid w:val="003A422C"/>
    <w:rsid w:val="003A46BF"/>
    <w:rsid w:val="003A490E"/>
    <w:rsid w:val="003A4D7D"/>
    <w:rsid w:val="003A5174"/>
    <w:rsid w:val="003A584A"/>
    <w:rsid w:val="003A5AAF"/>
    <w:rsid w:val="003A6431"/>
    <w:rsid w:val="003A64EC"/>
    <w:rsid w:val="003A666D"/>
    <w:rsid w:val="003A6710"/>
    <w:rsid w:val="003A6E68"/>
    <w:rsid w:val="003A6EE4"/>
    <w:rsid w:val="003A6F15"/>
    <w:rsid w:val="003A6FF7"/>
    <w:rsid w:val="003A706A"/>
    <w:rsid w:val="003A740C"/>
    <w:rsid w:val="003A743C"/>
    <w:rsid w:val="003A7482"/>
    <w:rsid w:val="003A78D9"/>
    <w:rsid w:val="003A79BD"/>
    <w:rsid w:val="003A7D99"/>
    <w:rsid w:val="003B0633"/>
    <w:rsid w:val="003B0D51"/>
    <w:rsid w:val="003B0DBF"/>
    <w:rsid w:val="003B1368"/>
    <w:rsid w:val="003B16FD"/>
    <w:rsid w:val="003B1735"/>
    <w:rsid w:val="003B179E"/>
    <w:rsid w:val="003B1CAB"/>
    <w:rsid w:val="003B2379"/>
    <w:rsid w:val="003B261C"/>
    <w:rsid w:val="003B280F"/>
    <w:rsid w:val="003B2855"/>
    <w:rsid w:val="003B2A30"/>
    <w:rsid w:val="003B2AB3"/>
    <w:rsid w:val="003B2C60"/>
    <w:rsid w:val="003B2FA2"/>
    <w:rsid w:val="003B3254"/>
    <w:rsid w:val="003B32D6"/>
    <w:rsid w:val="003B32F2"/>
    <w:rsid w:val="003B34C9"/>
    <w:rsid w:val="003B351A"/>
    <w:rsid w:val="003B36CD"/>
    <w:rsid w:val="003B3772"/>
    <w:rsid w:val="003B39BA"/>
    <w:rsid w:val="003B39C8"/>
    <w:rsid w:val="003B3EB4"/>
    <w:rsid w:val="003B40ED"/>
    <w:rsid w:val="003B4330"/>
    <w:rsid w:val="003B4382"/>
    <w:rsid w:val="003B45F7"/>
    <w:rsid w:val="003B4782"/>
    <w:rsid w:val="003B49A3"/>
    <w:rsid w:val="003B4CD4"/>
    <w:rsid w:val="003B50B4"/>
    <w:rsid w:val="003B5233"/>
    <w:rsid w:val="003B5957"/>
    <w:rsid w:val="003B5AC2"/>
    <w:rsid w:val="003B5CAC"/>
    <w:rsid w:val="003B6746"/>
    <w:rsid w:val="003B68D5"/>
    <w:rsid w:val="003B6C90"/>
    <w:rsid w:val="003B7253"/>
    <w:rsid w:val="003B72FA"/>
    <w:rsid w:val="003B7407"/>
    <w:rsid w:val="003B778C"/>
    <w:rsid w:val="003B7C2B"/>
    <w:rsid w:val="003B7D5D"/>
    <w:rsid w:val="003B7EAE"/>
    <w:rsid w:val="003C000F"/>
    <w:rsid w:val="003C0050"/>
    <w:rsid w:val="003C047C"/>
    <w:rsid w:val="003C055F"/>
    <w:rsid w:val="003C06CF"/>
    <w:rsid w:val="003C0810"/>
    <w:rsid w:val="003C09DA"/>
    <w:rsid w:val="003C0ECD"/>
    <w:rsid w:val="003C15B7"/>
    <w:rsid w:val="003C1A13"/>
    <w:rsid w:val="003C1DC8"/>
    <w:rsid w:val="003C1FBA"/>
    <w:rsid w:val="003C21AB"/>
    <w:rsid w:val="003C2379"/>
    <w:rsid w:val="003C23ED"/>
    <w:rsid w:val="003C24B9"/>
    <w:rsid w:val="003C251A"/>
    <w:rsid w:val="003C25A1"/>
    <w:rsid w:val="003C270D"/>
    <w:rsid w:val="003C294E"/>
    <w:rsid w:val="003C29F0"/>
    <w:rsid w:val="003C2D45"/>
    <w:rsid w:val="003C2D79"/>
    <w:rsid w:val="003C3080"/>
    <w:rsid w:val="003C36F3"/>
    <w:rsid w:val="003C3704"/>
    <w:rsid w:val="003C37C2"/>
    <w:rsid w:val="003C3859"/>
    <w:rsid w:val="003C3CB0"/>
    <w:rsid w:val="003C3DFD"/>
    <w:rsid w:val="003C41F6"/>
    <w:rsid w:val="003C4328"/>
    <w:rsid w:val="003C43FC"/>
    <w:rsid w:val="003C45F4"/>
    <w:rsid w:val="003C47E3"/>
    <w:rsid w:val="003C4825"/>
    <w:rsid w:val="003C488E"/>
    <w:rsid w:val="003C4D15"/>
    <w:rsid w:val="003C4D4C"/>
    <w:rsid w:val="003C4FD6"/>
    <w:rsid w:val="003C5135"/>
    <w:rsid w:val="003C52B2"/>
    <w:rsid w:val="003C552D"/>
    <w:rsid w:val="003C5F23"/>
    <w:rsid w:val="003C621B"/>
    <w:rsid w:val="003C6279"/>
    <w:rsid w:val="003C631C"/>
    <w:rsid w:val="003C6710"/>
    <w:rsid w:val="003C6E6B"/>
    <w:rsid w:val="003C6F11"/>
    <w:rsid w:val="003C6F48"/>
    <w:rsid w:val="003C6FE0"/>
    <w:rsid w:val="003C752E"/>
    <w:rsid w:val="003C7755"/>
    <w:rsid w:val="003C777D"/>
    <w:rsid w:val="003C7933"/>
    <w:rsid w:val="003C7A73"/>
    <w:rsid w:val="003C7D0D"/>
    <w:rsid w:val="003C7DE0"/>
    <w:rsid w:val="003C7F24"/>
    <w:rsid w:val="003D03EB"/>
    <w:rsid w:val="003D08AC"/>
    <w:rsid w:val="003D0A46"/>
    <w:rsid w:val="003D0CF1"/>
    <w:rsid w:val="003D126A"/>
    <w:rsid w:val="003D169B"/>
    <w:rsid w:val="003D1A5E"/>
    <w:rsid w:val="003D1D05"/>
    <w:rsid w:val="003D1DA8"/>
    <w:rsid w:val="003D1F12"/>
    <w:rsid w:val="003D2100"/>
    <w:rsid w:val="003D226B"/>
    <w:rsid w:val="003D23C8"/>
    <w:rsid w:val="003D25B3"/>
    <w:rsid w:val="003D2700"/>
    <w:rsid w:val="003D2742"/>
    <w:rsid w:val="003D28F4"/>
    <w:rsid w:val="003D2AEE"/>
    <w:rsid w:val="003D2E74"/>
    <w:rsid w:val="003D32D1"/>
    <w:rsid w:val="003D34C6"/>
    <w:rsid w:val="003D34F6"/>
    <w:rsid w:val="003D371B"/>
    <w:rsid w:val="003D3C54"/>
    <w:rsid w:val="003D4519"/>
    <w:rsid w:val="003D476D"/>
    <w:rsid w:val="003D4829"/>
    <w:rsid w:val="003D4DB1"/>
    <w:rsid w:val="003D525A"/>
    <w:rsid w:val="003D5645"/>
    <w:rsid w:val="003D586D"/>
    <w:rsid w:val="003D5EDC"/>
    <w:rsid w:val="003D60D4"/>
    <w:rsid w:val="003D6170"/>
    <w:rsid w:val="003D64FA"/>
    <w:rsid w:val="003D6C9E"/>
    <w:rsid w:val="003D6E7B"/>
    <w:rsid w:val="003D7003"/>
    <w:rsid w:val="003D7126"/>
    <w:rsid w:val="003D73C7"/>
    <w:rsid w:val="003D73CF"/>
    <w:rsid w:val="003D7411"/>
    <w:rsid w:val="003D77FC"/>
    <w:rsid w:val="003D7976"/>
    <w:rsid w:val="003D79FB"/>
    <w:rsid w:val="003D7C86"/>
    <w:rsid w:val="003D7E8B"/>
    <w:rsid w:val="003E0107"/>
    <w:rsid w:val="003E05A6"/>
    <w:rsid w:val="003E0B06"/>
    <w:rsid w:val="003E0C5B"/>
    <w:rsid w:val="003E10A0"/>
    <w:rsid w:val="003E1232"/>
    <w:rsid w:val="003E14E3"/>
    <w:rsid w:val="003E1632"/>
    <w:rsid w:val="003E1710"/>
    <w:rsid w:val="003E1717"/>
    <w:rsid w:val="003E1740"/>
    <w:rsid w:val="003E1A41"/>
    <w:rsid w:val="003E1A50"/>
    <w:rsid w:val="003E1BC0"/>
    <w:rsid w:val="003E206D"/>
    <w:rsid w:val="003E2183"/>
    <w:rsid w:val="003E24AC"/>
    <w:rsid w:val="003E2C66"/>
    <w:rsid w:val="003E2D67"/>
    <w:rsid w:val="003E2DC3"/>
    <w:rsid w:val="003E2E83"/>
    <w:rsid w:val="003E2F8A"/>
    <w:rsid w:val="003E32FA"/>
    <w:rsid w:val="003E3482"/>
    <w:rsid w:val="003E356F"/>
    <w:rsid w:val="003E35C6"/>
    <w:rsid w:val="003E36F8"/>
    <w:rsid w:val="003E3785"/>
    <w:rsid w:val="003E38D8"/>
    <w:rsid w:val="003E39C7"/>
    <w:rsid w:val="003E39E8"/>
    <w:rsid w:val="003E4023"/>
    <w:rsid w:val="003E47C1"/>
    <w:rsid w:val="003E47CC"/>
    <w:rsid w:val="003E47CE"/>
    <w:rsid w:val="003E4B68"/>
    <w:rsid w:val="003E4DA3"/>
    <w:rsid w:val="003E4F48"/>
    <w:rsid w:val="003E4F7B"/>
    <w:rsid w:val="003E5137"/>
    <w:rsid w:val="003E52D4"/>
    <w:rsid w:val="003E5526"/>
    <w:rsid w:val="003E55C2"/>
    <w:rsid w:val="003E561C"/>
    <w:rsid w:val="003E561D"/>
    <w:rsid w:val="003E5AA2"/>
    <w:rsid w:val="003E5B7A"/>
    <w:rsid w:val="003E5FB9"/>
    <w:rsid w:val="003E5FC9"/>
    <w:rsid w:val="003E6117"/>
    <w:rsid w:val="003E64D6"/>
    <w:rsid w:val="003E6835"/>
    <w:rsid w:val="003E692B"/>
    <w:rsid w:val="003E6D29"/>
    <w:rsid w:val="003E71A4"/>
    <w:rsid w:val="003E73FB"/>
    <w:rsid w:val="003E73FD"/>
    <w:rsid w:val="003E7602"/>
    <w:rsid w:val="003E7709"/>
    <w:rsid w:val="003E793D"/>
    <w:rsid w:val="003E7AAB"/>
    <w:rsid w:val="003E7DC9"/>
    <w:rsid w:val="003E7EDA"/>
    <w:rsid w:val="003E7FFE"/>
    <w:rsid w:val="003F0145"/>
    <w:rsid w:val="003F01DE"/>
    <w:rsid w:val="003F0403"/>
    <w:rsid w:val="003F0887"/>
    <w:rsid w:val="003F0C11"/>
    <w:rsid w:val="003F0C23"/>
    <w:rsid w:val="003F0FD1"/>
    <w:rsid w:val="003F1115"/>
    <w:rsid w:val="003F1228"/>
    <w:rsid w:val="003F1338"/>
    <w:rsid w:val="003F1948"/>
    <w:rsid w:val="003F1B5B"/>
    <w:rsid w:val="003F1B5C"/>
    <w:rsid w:val="003F1DA4"/>
    <w:rsid w:val="003F1F52"/>
    <w:rsid w:val="003F1F71"/>
    <w:rsid w:val="003F2163"/>
    <w:rsid w:val="003F21B0"/>
    <w:rsid w:val="003F2294"/>
    <w:rsid w:val="003F23C7"/>
    <w:rsid w:val="003F24A1"/>
    <w:rsid w:val="003F2F9A"/>
    <w:rsid w:val="003F316F"/>
    <w:rsid w:val="003F339E"/>
    <w:rsid w:val="003F33D3"/>
    <w:rsid w:val="003F36D5"/>
    <w:rsid w:val="003F3BC4"/>
    <w:rsid w:val="003F3D56"/>
    <w:rsid w:val="003F41C3"/>
    <w:rsid w:val="003F4521"/>
    <w:rsid w:val="003F4CE2"/>
    <w:rsid w:val="003F5112"/>
    <w:rsid w:val="003F5204"/>
    <w:rsid w:val="003F545D"/>
    <w:rsid w:val="003F58DE"/>
    <w:rsid w:val="003F5943"/>
    <w:rsid w:val="003F5A3A"/>
    <w:rsid w:val="003F5CDC"/>
    <w:rsid w:val="003F5F05"/>
    <w:rsid w:val="003F60CE"/>
    <w:rsid w:val="003F6A04"/>
    <w:rsid w:val="003F6B95"/>
    <w:rsid w:val="003F6CAE"/>
    <w:rsid w:val="003F6E78"/>
    <w:rsid w:val="003F7406"/>
    <w:rsid w:val="003F74C3"/>
    <w:rsid w:val="003F750B"/>
    <w:rsid w:val="00400094"/>
    <w:rsid w:val="00400275"/>
    <w:rsid w:val="00400520"/>
    <w:rsid w:val="004006A1"/>
    <w:rsid w:val="004006C0"/>
    <w:rsid w:val="004008BD"/>
    <w:rsid w:val="0040098B"/>
    <w:rsid w:val="00400A36"/>
    <w:rsid w:val="00400D04"/>
    <w:rsid w:val="004012B1"/>
    <w:rsid w:val="004014EB"/>
    <w:rsid w:val="004017DF"/>
    <w:rsid w:val="00401A35"/>
    <w:rsid w:val="00401B0F"/>
    <w:rsid w:val="00401B37"/>
    <w:rsid w:val="00402631"/>
    <w:rsid w:val="00402D0F"/>
    <w:rsid w:val="004034A0"/>
    <w:rsid w:val="004037E9"/>
    <w:rsid w:val="00403881"/>
    <w:rsid w:val="00403893"/>
    <w:rsid w:val="00403898"/>
    <w:rsid w:val="00403B2D"/>
    <w:rsid w:val="004040EB"/>
    <w:rsid w:val="004041FA"/>
    <w:rsid w:val="0040425C"/>
    <w:rsid w:val="00404481"/>
    <w:rsid w:val="0040453A"/>
    <w:rsid w:val="0040475F"/>
    <w:rsid w:val="004047AE"/>
    <w:rsid w:val="004051E5"/>
    <w:rsid w:val="0040572E"/>
    <w:rsid w:val="004058D7"/>
    <w:rsid w:val="00405999"/>
    <w:rsid w:val="00405D3B"/>
    <w:rsid w:val="00405DA3"/>
    <w:rsid w:val="00405E74"/>
    <w:rsid w:val="00405EB7"/>
    <w:rsid w:val="004061E8"/>
    <w:rsid w:val="00406420"/>
    <w:rsid w:val="00406500"/>
    <w:rsid w:val="00406609"/>
    <w:rsid w:val="00406C34"/>
    <w:rsid w:val="00406CFA"/>
    <w:rsid w:val="00406D1B"/>
    <w:rsid w:val="00406F0D"/>
    <w:rsid w:val="0040748B"/>
    <w:rsid w:val="00407686"/>
    <w:rsid w:val="004077E1"/>
    <w:rsid w:val="0040799A"/>
    <w:rsid w:val="00407A8E"/>
    <w:rsid w:val="00407DA9"/>
    <w:rsid w:val="00407F09"/>
    <w:rsid w:val="00410233"/>
    <w:rsid w:val="00410321"/>
    <w:rsid w:val="004104AA"/>
    <w:rsid w:val="00410569"/>
    <w:rsid w:val="00410A95"/>
    <w:rsid w:val="0041106C"/>
    <w:rsid w:val="0041126E"/>
    <w:rsid w:val="00411317"/>
    <w:rsid w:val="0041164C"/>
    <w:rsid w:val="004116DB"/>
    <w:rsid w:val="00411754"/>
    <w:rsid w:val="00411B25"/>
    <w:rsid w:val="00411F43"/>
    <w:rsid w:val="00412567"/>
    <w:rsid w:val="00412761"/>
    <w:rsid w:val="00412818"/>
    <w:rsid w:val="004128F4"/>
    <w:rsid w:val="00412BA1"/>
    <w:rsid w:val="00412DB8"/>
    <w:rsid w:val="00412FC6"/>
    <w:rsid w:val="00413345"/>
    <w:rsid w:val="00413432"/>
    <w:rsid w:val="0041345B"/>
    <w:rsid w:val="004134A8"/>
    <w:rsid w:val="004135AF"/>
    <w:rsid w:val="0041396A"/>
    <w:rsid w:val="004139C1"/>
    <w:rsid w:val="004139FC"/>
    <w:rsid w:val="00413ADC"/>
    <w:rsid w:val="00413D4E"/>
    <w:rsid w:val="0041482A"/>
    <w:rsid w:val="00414CD8"/>
    <w:rsid w:val="00414D81"/>
    <w:rsid w:val="00414DEC"/>
    <w:rsid w:val="00414DF5"/>
    <w:rsid w:val="00414ECF"/>
    <w:rsid w:val="00414F0E"/>
    <w:rsid w:val="00414F11"/>
    <w:rsid w:val="00415176"/>
    <w:rsid w:val="004157B0"/>
    <w:rsid w:val="00415990"/>
    <w:rsid w:val="00415A1E"/>
    <w:rsid w:val="00415B4A"/>
    <w:rsid w:val="004160A3"/>
    <w:rsid w:val="004164B6"/>
    <w:rsid w:val="004165AB"/>
    <w:rsid w:val="004172B8"/>
    <w:rsid w:val="00417341"/>
    <w:rsid w:val="004173C3"/>
    <w:rsid w:val="00417740"/>
    <w:rsid w:val="0041794F"/>
    <w:rsid w:val="00417E45"/>
    <w:rsid w:val="0042008A"/>
    <w:rsid w:val="004200FA"/>
    <w:rsid w:val="00420147"/>
    <w:rsid w:val="00420176"/>
    <w:rsid w:val="0042026D"/>
    <w:rsid w:val="004206AD"/>
    <w:rsid w:val="00420785"/>
    <w:rsid w:val="00420FFB"/>
    <w:rsid w:val="004212D6"/>
    <w:rsid w:val="004212FA"/>
    <w:rsid w:val="0042143D"/>
    <w:rsid w:val="0042185F"/>
    <w:rsid w:val="00421BB5"/>
    <w:rsid w:val="00421C4C"/>
    <w:rsid w:val="00421E8E"/>
    <w:rsid w:val="00421F32"/>
    <w:rsid w:val="00422033"/>
    <w:rsid w:val="00422053"/>
    <w:rsid w:val="00422600"/>
    <w:rsid w:val="00422777"/>
    <w:rsid w:val="004227C6"/>
    <w:rsid w:val="00422835"/>
    <w:rsid w:val="00422A3B"/>
    <w:rsid w:val="00422B1D"/>
    <w:rsid w:val="00422B29"/>
    <w:rsid w:val="00422F07"/>
    <w:rsid w:val="0042328E"/>
    <w:rsid w:val="004235E1"/>
    <w:rsid w:val="00423CA8"/>
    <w:rsid w:val="00423E62"/>
    <w:rsid w:val="00423EB4"/>
    <w:rsid w:val="00424450"/>
    <w:rsid w:val="004248E2"/>
    <w:rsid w:val="00424A88"/>
    <w:rsid w:val="00424B53"/>
    <w:rsid w:val="00424CD4"/>
    <w:rsid w:val="00424E06"/>
    <w:rsid w:val="00424FCC"/>
    <w:rsid w:val="00425011"/>
    <w:rsid w:val="0042516B"/>
    <w:rsid w:val="00425472"/>
    <w:rsid w:val="00425561"/>
    <w:rsid w:val="00425856"/>
    <w:rsid w:val="00425DE6"/>
    <w:rsid w:val="0042603D"/>
    <w:rsid w:val="004260AC"/>
    <w:rsid w:val="0042695C"/>
    <w:rsid w:val="00426987"/>
    <w:rsid w:val="00426B14"/>
    <w:rsid w:val="00426D14"/>
    <w:rsid w:val="00426D9F"/>
    <w:rsid w:val="00426EF8"/>
    <w:rsid w:val="00426FA1"/>
    <w:rsid w:val="00427221"/>
    <w:rsid w:val="004272AE"/>
    <w:rsid w:val="00427464"/>
    <w:rsid w:val="004275A2"/>
    <w:rsid w:val="00427649"/>
    <w:rsid w:val="004279AA"/>
    <w:rsid w:val="004279D4"/>
    <w:rsid w:val="00427CA1"/>
    <w:rsid w:val="00427D29"/>
    <w:rsid w:val="00427E7E"/>
    <w:rsid w:val="00427EE0"/>
    <w:rsid w:val="004300DA"/>
    <w:rsid w:val="00430121"/>
    <w:rsid w:val="00430227"/>
    <w:rsid w:val="004305E6"/>
    <w:rsid w:val="004306A3"/>
    <w:rsid w:val="004307B7"/>
    <w:rsid w:val="004308C1"/>
    <w:rsid w:val="00430AB3"/>
    <w:rsid w:val="00430B60"/>
    <w:rsid w:val="00430FB6"/>
    <w:rsid w:val="00431073"/>
    <w:rsid w:val="00431424"/>
    <w:rsid w:val="004319AE"/>
    <w:rsid w:val="00431D6C"/>
    <w:rsid w:val="00431DB1"/>
    <w:rsid w:val="00431E8F"/>
    <w:rsid w:val="004320D2"/>
    <w:rsid w:val="004323DE"/>
    <w:rsid w:val="00432496"/>
    <w:rsid w:val="004325DD"/>
    <w:rsid w:val="00432C90"/>
    <w:rsid w:val="00432D17"/>
    <w:rsid w:val="00432FBF"/>
    <w:rsid w:val="00432FD4"/>
    <w:rsid w:val="00433100"/>
    <w:rsid w:val="0043338D"/>
    <w:rsid w:val="004333D7"/>
    <w:rsid w:val="004334C8"/>
    <w:rsid w:val="0043383E"/>
    <w:rsid w:val="00433E06"/>
    <w:rsid w:val="00433EC6"/>
    <w:rsid w:val="00434457"/>
    <w:rsid w:val="00434541"/>
    <w:rsid w:val="0043459A"/>
    <w:rsid w:val="0043459D"/>
    <w:rsid w:val="00434AA2"/>
    <w:rsid w:val="00434D2B"/>
    <w:rsid w:val="00434D4E"/>
    <w:rsid w:val="00434DC8"/>
    <w:rsid w:val="00435339"/>
    <w:rsid w:val="0043577D"/>
    <w:rsid w:val="00435B13"/>
    <w:rsid w:val="0043602B"/>
    <w:rsid w:val="0043623B"/>
    <w:rsid w:val="004363E1"/>
    <w:rsid w:val="004363E8"/>
    <w:rsid w:val="0043660E"/>
    <w:rsid w:val="004366B4"/>
    <w:rsid w:val="00436753"/>
    <w:rsid w:val="00436828"/>
    <w:rsid w:val="00436A61"/>
    <w:rsid w:val="00436AE1"/>
    <w:rsid w:val="00436BBF"/>
    <w:rsid w:val="00436BD0"/>
    <w:rsid w:val="00437579"/>
    <w:rsid w:val="0043785D"/>
    <w:rsid w:val="004378EC"/>
    <w:rsid w:val="00437954"/>
    <w:rsid w:val="00437991"/>
    <w:rsid w:val="00437C91"/>
    <w:rsid w:val="00437CAB"/>
    <w:rsid w:val="00437F85"/>
    <w:rsid w:val="00440067"/>
    <w:rsid w:val="004406D5"/>
    <w:rsid w:val="0044073D"/>
    <w:rsid w:val="004407BC"/>
    <w:rsid w:val="004409D0"/>
    <w:rsid w:val="00440A13"/>
    <w:rsid w:val="00441039"/>
    <w:rsid w:val="004410E3"/>
    <w:rsid w:val="004412FA"/>
    <w:rsid w:val="00441912"/>
    <w:rsid w:val="00441B9B"/>
    <w:rsid w:val="00441C92"/>
    <w:rsid w:val="00441D25"/>
    <w:rsid w:val="00441F0D"/>
    <w:rsid w:val="00441FD4"/>
    <w:rsid w:val="00442605"/>
    <w:rsid w:val="00442628"/>
    <w:rsid w:val="0044286D"/>
    <w:rsid w:val="00442905"/>
    <w:rsid w:val="00442B11"/>
    <w:rsid w:val="00442D2D"/>
    <w:rsid w:val="00442E29"/>
    <w:rsid w:val="00442E83"/>
    <w:rsid w:val="00442FB0"/>
    <w:rsid w:val="00443128"/>
    <w:rsid w:val="004433AC"/>
    <w:rsid w:val="0044371B"/>
    <w:rsid w:val="00443D48"/>
    <w:rsid w:val="00443E82"/>
    <w:rsid w:val="00443FB0"/>
    <w:rsid w:val="00443FD9"/>
    <w:rsid w:val="004440D0"/>
    <w:rsid w:val="0044424B"/>
    <w:rsid w:val="00444E34"/>
    <w:rsid w:val="00444E6C"/>
    <w:rsid w:val="00444E6F"/>
    <w:rsid w:val="0044513E"/>
    <w:rsid w:val="00445406"/>
    <w:rsid w:val="00445B2E"/>
    <w:rsid w:val="00445B3F"/>
    <w:rsid w:val="00445C45"/>
    <w:rsid w:val="00445E03"/>
    <w:rsid w:val="004464F9"/>
    <w:rsid w:val="004469C6"/>
    <w:rsid w:val="00446A60"/>
    <w:rsid w:val="00446C73"/>
    <w:rsid w:val="0044701C"/>
    <w:rsid w:val="0044716E"/>
    <w:rsid w:val="0044758B"/>
    <w:rsid w:val="0044786B"/>
    <w:rsid w:val="004479BC"/>
    <w:rsid w:val="00447A86"/>
    <w:rsid w:val="00447AF1"/>
    <w:rsid w:val="00447B83"/>
    <w:rsid w:val="00447BF2"/>
    <w:rsid w:val="00447EF4"/>
    <w:rsid w:val="00450814"/>
    <w:rsid w:val="00450871"/>
    <w:rsid w:val="00450B58"/>
    <w:rsid w:val="00450F24"/>
    <w:rsid w:val="00450F60"/>
    <w:rsid w:val="00451017"/>
    <w:rsid w:val="004510BC"/>
    <w:rsid w:val="00451100"/>
    <w:rsid w:val="00451987"/>
    <w:rsid w:val="0045198D"/>
    <w:rsid w:val="004523AA"/>
    <w:rsid w:val="004524B8"/>
    <w:rsid w:val="004525FF"/>
    <w:rsid w:val="004526A5"/>
    <w:rsid w:val="004526B6"/>
    <w:rsid w:val="00452762"/>
    <w:rsid w:val="0045296A"/>
    <w:rsid w:val="00452D42"/>
    <w:rsid w:val="004532CC"/>
    <w:rsid w:val="00453390"/>
    <w:rsid w:val="0045366B"/>
    <w:rsid w:val="0045369E"/>
    <w:rsid w:val="004538E0"/>
    <w:rsid w:val="00453D54"/>
    <w:rsid w:val="00453E06"/>
    <w:rsid w:val="00453E44"/>
    <w:rsid w:val="00453F1B"/>
    <w:rsid w:val="00453F55"/>
    <w:rsid w:val="004541AD"/>
    <w:rsid w:val="0045441C"/>
    <w:rsid w:val="00454670"/>
    <w:rsid w:val="004546F8"/>
    <w:rsid w:val="0045485E"/>
    <w:rsid w:val="00455191"/>
    <w:rsid w:val="0045536B"/>
    <w:rsid w:val="004554F4"/>
    <w:rsid w:val="00455507"/>
    <w:rsid w:val="0045559D"/>
    <w:rsid w:val="004555F5"/>
    <w:rsid w:val="0045571A"/>
    <w:rsid w:val="004557CC"/>
    <w:rsid w:val="00455B6B"/>
    <w:rsid w:val="00455EB5"/>
    <w:rsid w:val="004561AD"/>
    <w:rsid w:val="004562C8"/>
    <w:rsid w:val="004564E8"/>
    <w:rsid w:val="004564FC"/>
    <w:rsid w:val="00456705"/>
    <w:rsid w:val="00456816"/>
    <w:rsid w:val="004568E7"/>
    <w:rsid w:val="00456A2D"/>
    <w:rsid w:val="00456BB9"/>
    <w:rsid w:val="00456DBA"/>
    <w:rsid w:val="004572AA"/>
    <w:rsid w:val="00457500"/>
    <w:rsid w:val="00457599"/>
    <w:rsid w:val="00457706"/>
    <w:rsid w:val="00457BBC"/>
    <w:rsid w:val="004600AB"/>
    <w:rsid w:val="004600E8"/>
    <w:rsid w:val="00460400"/>
    <w:rsid w:val="0046068A"/>
    <w:rsid w:val="00460850"/>
    <w:rsid w:val="00460897"/>
    <w:rsid w:val="00460BDA"/>
    <w:rsid w:val="00460D1A"/>
    <w:rsid w:val="00460DB0"/>
    <w:rsid w:val="00461080"/>
    <w:rsid w:val="00461C28"/>
    <w:rsid w:val="00461CC0"/>
    <w:rsid w:val="00462364"/>
    <w:rsid w:val="00462429"/>
    <w:rsid w:val="00462703"/>
    <w:rsid w:val="0046287F"/>
    <w:rsid w:val="00462C79"/>
    <w:rsid w:val="00462C91"/>
    <w:rsid w:val="00462F98"/>
    <w:rsid w:val="00463341"/>
    <w:rsid w:val="00463352"/>
    <w:rsid w:val="0046351C"/>
    <w:rsid w:val="00463F85"/>
    <w:rsid w:val="004640F6"/>
    <w:rsid w:val="0046412C"/>
    <w:rsid w:val="00464420"/>
    <w:rsid w:val="0046468B"/>
    <w:rsid w:val="00464738"/>
    <w:rsid w:val="004647FD"/>
    <w:rsid w:val="00464814"/>
    <w:rsid w:val="00464829"/>
    <w:rsid w:val="00464846"/>
    <w:rsid w:val="00464AA1"/>
    <w:rsid w:val="00464B0A"/>
    <w:rsid w:val="00464DC4"/>
    <w:rsid w:val="0046518F"/>
    <w:rsid w:val="00465426"/>
    <w:rsid w:val="00465478"/>
    <w:rsid w:val="004656DD"/>
    <w:rsid w:val="00465A7B"/>
    <w:rsid w:val="00465B68"/>
    <w:rsid w:val="00465BB2"/>
    <w:rsid w:val="00465CFF"/>
    <w:rsid w:val="004663B3"/>
    <w:rsid w:val="0046647E"/>
    <w:rsid w:val="004667B2"/>
    <w:rsid w:val="00466906"/>
    <w:rsid w:val="00466D4E"/>
    <w:rsid w:val="00466E74"/>
    <w:rsid w:val="00467254"/>
    <w:rsid w:val="0046726A"/>
    <w:rsid w:val="00467329"/>
    <w:rsid w:val="00467459"/>
    <w:rsid w:val="00467651"/>
    <w:rsid w:val="004676CF"/>
    <w:rsid w:val="0046796B"/>
    <w:rsid w:val="00467ABA"/>
    <w:rsid w:val="00467E44"/>
    <w:rsid w:val="00470342"/>
    <w:rsid w:val="00470369"/>
    <w:rsid w:val="004704A1"/>
    <w:rsid w:val="004704EB"/>
    <w:rsid w:val="0047059F"/>
    <w:rsid w:val="004705D0"/>
    <w:rsid w:val="004705DF"/>
    <w:rsid w:val="004707E5"/>
    <w:rsid w:val="004709C0"/>
    <w:rsid w:val="00470A0B"/>
    <w:rsid w:val="00470B1D"/>
    <w:rsid w:val="00470D3E"/>
    <w:rsid w:val="00470FBD"/>
    <w:rsid w:val="00471411"/>
    <w:rsid w:val="004715CA"/>
    <w:rsid w:val="00471DA8"/>
    <w:rsid w:val="0047275B"/>
    <w:rsid w:val="004729A7"/>
    <w:rsid w:val="00472C2F"/>
    <w:rsid w:val="00472F11"/>
    <w:rsid w:val="004731AD"/>
    <w:rsid w:val="004731C6"/>
    <w:rsid w:val="004734C9"/>
    <w:rsid w:val="004738BF"/>
    <w:rsid w:val="004739F9"/>
    <w:rsid w:val="00473AA6"/>
    <w:rsid w:val="00473BA1"/>
    <w:rsid w:val="00473D46"/>
    <w:rsid w:val="00473F31"/>
    <w:rsid w:val="0047424E"/>
    <w:rsid w:val="00474315"/>
    <w:rsid w:val="00474A12"/>
    <w:rsid w:val="0047523D"/>
    <w:rsid w:val="004752F9"/>
    <w:rsid w:val="00475394"/>
    <w:rsid w:val="004753D1"/>
    <w:rsid w:val="004756CC"/>
    <w:rsid w:val="0047590B"/>
    <w:rsid w:val="00475D9A"/>
    <w:rsid w:val="00475E6D"/>
    <w:rsid w:val="00475E79"/>
    <w:rsid w:val="00475FD1"/>
    <w:rsid w:val="00475FE9"/>
    <w:rsid w:val="0047633B"/>
    <w:rsid w:val="0047664F"/>
    <w:rsid w:val="00476680"/>
    <w:rsid w:val="00476693"/>
    <w:rsid w:val="0047685D"/>
    <w:rsid w:val="00476EF3"/>
    <w:rsid w:val="00476FA8"/>
    <w:rsid w:val="00477088"/>
    <w:rsid w:val="004770EA"/>
    <w:rsid w:val="004770FD"/>
    <w:rsid w:val="004771B8"/>
    <w:rsid w:val="00477284"/>
    <w:rsid w:val="004773C3"/>
    <w:rsid w:val="00477617"/>
    <w:rsid w:val="0047780F"/>
    <w:rsid w:val="00477CCE"/>
    <w:rsid w:val="00477EFF"/>
    <w:rsid w:val="004804D4"/>
    <w:rsid w:val="004806C4"/>
    <w:rsid w:val="00480908"/>
    <w:rsid w:val="0048091B"/>
    <w:rsid w:val="0048097D"/>
    <w:rsid w:val="00480AA3"/>
    <w:rsid w:val="00480B92"/>
    <w:rsid w:val="0048100F"/>
    <w:rsid w:val="00481081"/>
    <w:rsid w:val="004811DF"/>
    <w:rsid w:val="0048135B"/>
    <w:rsid w:val="0048138E"/>
    <w:rsid w:val="00481404"/>
    <w:rsid w:val="00481461"/>
    <w:rsid w:val="004819FE"/>
    <w:rsid w:val="00481BF3"/>
    <w:rsid w:val="00481C64"/>
    <w:rsid w:val="00481F33"/>
    <w:rsid w:val="00481F72"/>
    <w:rsid w:val="00482128"/>
    <w:rsid w:val="0048286C"/>
    <w:rsid w:val="00482969"/>
    <w:rsid w:val="00482A6A"/>
    <w:rsid w:val="00482C13"/>
    <w:rsid w:val="00482D9E"/>
    <w:rsid w:val="00482E8B"/>
    <w:rsid w:val="00482FA4"/>
    <w:rsid w:val="00483038"/>
    <w:rsid w:val="00483059"/>
    <w:rsid w:val="004833E1"/>
    <w:rsid w:val="00483653"/>
    <w:rsid w:val="0048372E"/>
    <w:rsid w:val="004839A7"/>
    <w:rsid w:val="00483C5A"/>
    <w:rsid w:val="00483D8C"/>
    <w:rsid w:val="00483E74"/>
    <w:rsid w:val="004840EA"/>
    <w:rsid w:val="00484312"/>
    <w:rsid w:val="00484405"/>
    <w:rsid w:val="0048452F"/>
    <w:rsid w:val="00484549"/>
    <w:rsid w:val="00484652"/>
    <w:rsid w:val="00484787"/>
    <w:rsid w:val="004848E1"/>
    <w:rsid w:val="00484E49"/>
    <w:rsid w:val="0048503F"/>
    <w:rsid w:val="00485143"/>
    <w:rsid w:val="0048524D"/>
    <w:rsid w:val="004852FA"/>
    <w:rsid w:val="00485CDE"/>
    <w:rsid w:val="00485D3C"/>
    <w:rsid w:val="00485EE8"/>
    <w:rsid w:val="004860E3"/>
    <w:rsid w:val="0048615A"/>
    <w:rsid w:val="0048616D"/>
    <w:rsid w:val="004861D2"/>
    <w:rsid w:val="004863F7"/>
    <w:rsid w:val="00486406"/>
    <w:rsid w:val="00486524"/>
    <w:rsid w:val="004865B0"/>
    <w:rsid w:val="00486665"/>
    <w:rsid w:val="004869C5"/>
    <w:rsid w:val="004872E6"/>
    <w:rsid w:val="004873FC"/>
    <w:rsid w:val="00487610"/>
    <w:rsid w:val="004879EC"/>
    <w:rsid w:val="00487CA3"/>
    <w:rsid w:val="00487E22"/>
    <w:rsid w:val="00487FC3"/>
    <w:rsid w:val="00490509"/>
    <w:rsid w:val="00490627"/>
    <w:rsid w:val="0049099E"/>
    <w:rsid w:val="00490AD6"/>
    <w:rsid w:val="00490D2C"/>
    <w:rsid w:val="00490E0C"/>
    <w:rsid w:val="00490EBE"/>
    <w:rsid w:val="004910B9"/>
    <w:rsid w:val="0049136B"/>
    <w:rsid w:val="00491C0C"/>
    <w:rsid w:val="00491EE0"/>
    <w:rsid w:val="00491F84"/>
    <w:rsid w:val="004920B3"/>
    <w:rsid w:val="00492520"/>
    <w:rsid w:val="0049255C"/>
    <w:rsid w:val="0049259C"/>
    <w:rsid w:val="00492ABB"/>
    <w:rsid w:val="00492C9C"/>
    <w:rsid w:val="0049347B"/>
    <w:rsid w:val="004934A8"/>
    <w:rsid w:val="00493D82"/>
    <w:rsid w:val="0049465A"/>
    <w:rsid w:val="0049468B"/>
    <w:rsid w:val="004947F9"/>
    <w:rsid w:val="00494932"/>
    <w:rsid w:val="00494D40"/>
    <w:rsid w:val="00495246"/>
    <w:rsid w:val="004952F2"/>
    <w:rsid w:val="004953AE"/>
    <w:rsid w:val="004954C6"/>
    <w:rsid w:val="004958E4"/>
    <w:rsid w:val="00495AFC"/>
    <w:rsid w:val="00495E7A"/>
    <w:rsid w:val="0049618F"/>
    <w:rsid w:val="004965AE"/>
    <w:rsid w:val="00496777"/>
    <w:rsid w:val="00496788"/>
    <w:rsid w:val="00496943"/>
    <w:rsid w:val="00496987"/>
    <w:rsid w:val="004969F3"/>
    <w:rsid w:val="00496B18"/>
    <w:rsid w:val="00496B76"/>
    <w:rsid w:val="004970B3"/>
    <w:rsid w:val="004973E4"/>
    <w:rsid w:val="00497541"/>
    <w:rsid w:val="004975D2"/>
    <w:rsid w:val="0049763B"/>
    <w:rsid w:val="00497D00"/>
    <w:rsid w:val="00497D49"/>
    <w:rsid w:val="00497E1B"/>
    <w:rsid w:val="004A0B77"/>
    <w:rsid w:val="004A0E37"/>
    <w:rsid w:val="004A0FAB"/>
    <w:rsid w:val="004A1090"/>
    <w:rsid w:val="004A1230"/>
    <w:rsid w:val="004A157D"/>
    <w:rsid w:val="004A17DA"/>
    <w:rsid w:val="004A185D"/>
    <w:rsid w:val="004A1A5D"/>
    <w:rsid w:val="004A1D6C"/>
    <w:rsid w:val="004A1F34"/>
    <w:rsid w:val="004A23B9"/>
    <w:rsid w:val="004A2593"/>
    <w:rsid w:val="004A28AA"/>
    <w:rsid w:val="004A2A26"/>
    <w:rsid w:val="004A2B70"/>
    <w:rsid w:val="004A318D"/>
    <w:rsid w:val="004A36C6"/>
    <w:rsid w:val="004A3AFA"/>
    <w:rsid w:val="004A3DA3"/>
    <w:rsid w:val="004A4185"/>
    <w:rsid w:val="004A41B9"/>
    <w:rsid w:val="004A42E1"/>
    <w:rsid w:val="004A44AF"/>
    <w:rsid w:val="004A48F7"/>
    <w:rsid w:val="004A4B8A"/>
    <w:rsid w:val="004A533F"/>
    <w:rsid w:val="004A5551"/>
    <w:rsid w:val="004A58E0"/>
    <w:rsid w:val="004A5B9E"/>
    <w:rsid w:val="004A5E1D"/>
    <w:rsid w:val="004A6119"/>
    <w:rsid w:val="004A6B22"/>
    <w:rsid w:val="004A6C0A"/>
    <w:rsid w:val="004A7300"/>
    <w:rsid w:val="004A778D"/>
    <w:rsid w:val="004A7AC9"/>
    <w:rsid w:val="004A7B82"/>
    <w:rsid w:val="004A7F10"/>
    <w:rsid w:val="004A7F79"/>
    <w:rsid w:val="004A7FA6"/>
    <w:rsid w:val="004A7FCA"/>
    <w:rsid w:val="004A7FD8"/>
    <w:rsid w:val="004B0060"/>
    <w:rsid w:val="004B009C"/>
    <w:rsid w:val="004B00E6"/>
    <w:rsid w:val="004B024A"/>
    <w:rsid w:val="004B0396"/>
    <w:rsid w:val="004B045C"/>
    <w:rsid w:val="004B0517"/>
    <w:rsid w:val="004B058E"/>
    <w:rsid w:val="004B0639"/>
    <w:rsid w:val="004B06CA"/>
    <w:rsid w:val="004B08C0"/>
    <w:rsid w:val="004B0A3A"/>
    <w:rsid w:val="004B1112"/>
    <w:rsid w:val="004B12D6"/>
    <w:rsid w:val="004B1644"/>
    <w:rsid w:val="004B194F"/>
    <w:rsid w:val="004B1B2D"/>
    <w:rsid w:val="004B1B3F"/>
    <w:rsid w:val="004B1B6C"/>
    <w:rsid w:val="004B1B8A"/>
    <w:rsid w:val="004B27A2"/>
    <w:rsid w:val="004B2995"/>
    <w:rsid w:val="004B2A6F"/>
    <w:rsid w:val="004B2BC2"/>
    <w:rsid w:val="004B337F"/>
    <w:rsid w:val="004B3423"/>
    <w:rsid w:val="004B39BD"/>
    <w:rsid w:val="004B3B9E"/>
    <w:rsid w:val="004B43DA"/>
    <w:rsid w:val="004B4AE3"/>
    <w:rsid w:val="004B4D4E"/>
    <w:rsid w:val="004B519E"/>
    <w:rsid w:val="004B521D"/>
    <w:rsid w:val="004B5606"/>
    <w:rsid w:val="004B5686"/>
    <w:rsid w:val="004B5A4C"/>
    <w:rsid w:val="004B5A62"/>
    <w:rsid w:val="004B5AB3"/>
    <w:rsid w:val="004B60D4"/>
    <w:rsid w:val="004B6251"/>
    <w:rsid w:val="004B62DA"/>
    <w:rsid w:val="004B646F"/>
    <w:rsid w:val="004B66EE"/>
    <w:rsid w:val="004B6706"/>
    <w:rsid w:val="004B6747"/>
    <w:rsid w:val="004B7067"/>
    <w:rsid w:val="004B73AB"/>
    <w:rsid w:val="004B7AA5"/>
    <w:rsid w:val="004B7C73"/>
    <w:rsid w:val="004B7D3D"/>
    <w:rsid w:val="004B7EE1"/>
    <w:rsid w:val="004C012E"/>
    <w:rsid w:val="004C0615"/>
    <w:rsid w:val="004C07BD"/>
    <w:rsid w:val="004C0BF9"/>
    <w:rsid w:val="004C0CDC"/>
    <w:rsid w:val="004C0E05"/>
    <w:rsid w:val="004C0E46"/>
    <w:rsid w:val="004C0F07"/>
    <w:rsid w:val="004C1606"/>
    <w:rsid w:val="004C169C"/>
    <w:rsid w:val="004C174E"/>
    <w:rsid w:val="004C17E9"/>
    <w:rsid w:val="004C1B6D"/>
    <w:rsid w:val="004C1ECB"/>
    <w:rsid w:val="004C2316"/>
    <w:rsid w:val="004C23D3"/>
    <w:rsid w:val="004C25E8"/>
    <w:rsid w:val="004C27B5"/>
    <w:rsid w:val="004C2825"/>
    <w:rsid w:val="004C2857"/>
    <w:rsid w:val="004C2D79"/>
    <w:rsid w:val="004C37B2"/>
    <w:rsid w:val="004C39AC"/>
    <w:rsid w:val="004C42E3"/>
    <w:rsid w:val="004C46AE"/>
    <w:rsid w:val="004C544F"/>
    <w:rsid w:val="004C54E9"/>
    <w:rsid w:val="004C57F2"/>
    <w:rsid w:val="004C58A9"/>
    <w:rsid w:val="004C5BFE"/>
    <w:rsid w:val="004C5EE2"/>
    <w:rsid w:val="004C667B"/>
    <w:rsid w:val="004C6C0B"/>
    <w:rsid w:val="004C6CB3"/>
    <w:rsid w:val="004C70E8"/>
    <w:rsid w:val="004C7292"/>
    <w:rsid w:val="004C7430"/>
    <w:rsid w:val="004C7546"/>
    <w:rsid w:val="004C76BA"/>
    <w:rsid w:val="004C78C2"/>
    <w:rsid w:val="004C7B39"/>
    <w:rsid w:val="004C7B95"/>
    <w:rsid w:val="004C7E55"/>
    <w:rsid w:val="004C7FF0"/>
    <w:rsid w:val="004D066D"/>
    <w:rsid w:val="004D0B38"/>
    <w:rsid w:val="004D0D31"/>
    <w:rsid w:val="004D0E95"/>
    <w:rsid w:val="004D0F9B"/>
    <w:rsid w:val="004D1239"/>
    <w:rsid w:val="004D175F"/>
    <w:rsid w:val="004D1851"/>
    <w:rsid w:val="004D1A8E"/>
    <w:rsid w:val="004D1C47"/>
    <w:rsid w:val="004D1C9E"/>
    <w:rsid w:val="004D1D41"/>
    <w:rsid w:val="004D1D72"/>
    <w:rsid w:val="004D23AB"/>
    <w:rsid w:val="004D249D"/>
    <w:rsid w:val="004D26F4"/>
    <w:rsid w:val="004D2866"/>
    <w:rsid w:val="004D29BE"/>
    <w:rsid w:val="004D2D4A"/>
    <w:rsid w:val="004D2F91"/>
    <w:rsid w:val="004D2FD7"/>
    <w:rsid w:val="004D315A"/>
    <w:rsid w:val="004D3484"/>
    <w:rsid w:val="004D369E"/>
    <w:rsid w:val="004D395B"/>
    <w:rsid w:val="004D39AE"/>
    <w:rsid w:val="004D3CFF"/>
    <w:rsid w:val="004D40A9"/>
    <w:rsid w:val="004D46D3"/>
    <w:rsid w:val="004D4C3E"/>
    <w:rsid w:val="004D510F"/>
    <w:rsid w:val="004D519C"/>
    <w:rsid w:val="004D5429"/>
    <w:rsid w:val="004D576A"/>
    <w:rsid w:val="004D5876"/>
    <w:rsid w:val="004D5AEF"/>
    <w:rsid w:val="004D5F66"/>
    <w:rsid w:val="004D6202"/>
    <w:rsid w:val="004D63C3"/>
    <w:rsid w:val="004D67CA"/>
    <w:rsid w:val="004D6846"/>
    <w:rsid w:val="004D6A21"/>
    <w:rsid w:val="004D6D06"/>
    <w:rsid w:val="004D6FE2"/>
    <w:rsid w:val="004D763B"/>
    <w:rsid w:val="004D79E9"/>
    <w:rsid w:val="004D7B90"/>
    <w:rsid w:val="004D7C92"/>
    <w:rsid w:val="004D7DAD"/>
    <w:rsid w:val="004D7F55"/>
    <w:rsid w:val="004E00ED"/>
    <w:rsid w:val="004E0367"/>
    <w:rsid w:val="004E065F"/>
    <w:rsid w:val="004E0746"/>
    <w:rsid w:val="004E076E"/>
    <w:rsid w:val="004E07FD"/>
    <w:rsid w:val="004E097B"/>
    <w:rsid w:val="004E09ED"/>
    <w:rsid w:val="004E0A10"/>
    <w:rsid w:val="004E0C61"/>
    <w:rsid w:val="004E0D41"/>
    <w:rsid w:val="004E10D0"/>
    <w:rsid w:val="004E11AB"/>
    <w:rsid w:val="004E1247"/>
    <w:rsid w:val="004E15AE"/>
    <w:rsid w:val="004E1670"/>
    <w:rsid w:val="004E1889"/>
    <w:rsid w:val="004E19FA"/>
    <w:rsid w:val="004E1AC1"/>
    <w:rsid w:val="004E1E8D"/>
    <w:rsid w:val="004E20BE"/>
    <w:rsid w:val="004E2978"/>
    <w:rsid w:val="004E2BFB"/>
    <w:rsid w:val="004E2DA4"/>
    <w:rsid w:val="004E2E15"/>
    <w:rsid w:val="004E2EC4"/>
    <w:rsid w:val="004E30E7"/>
    <w:rsid w:val="004E3392"/>
    <w:rsid w:val="004E371D"/>
    <w:rsid w:val="004E3A48"/>
    <w:rsid w:val="004E3CFC"/>
    <w:rsid w:val="004E4078"/>
    <w:rsid w:val="004E42BA"/>
    <w:rsid w:val="004E432D"/>
    <w:rsid w:val="004E4D99"/>
    <w:rsid w:val="004E56AB"/>
    <w:rsid w:val="004E593B"/>
    <w:rsid w:val="004E599F"/>
    <w:rsid w:val="004E621B"/>
    <w:rsid w:val="004E62E7"/>
    <w:rsid w:val="004E6485"/>
    <w:rsid w:val="004E652C"/>
    <w:rsid w:val="004E6622"/>
    <w:rsid w:val="004E669A"/>
    <w:rsid w:val="004E669F"/>
    <w:rsid w:val="004E6825"/>
    <w:rsid w:val="004E68B5"/>
    <w:rsid w:val="004E6BB6"/>
    <w:rsid w:val="004E7395"/>
    <w:rsid w:val="004E7507"/>
    <w:rsid w:val="004E77C2"/>
    <w:rsid w:val="004E7CEA"/>
    <w:rsid w:val="004F00B0"/>
    <w:rsid w:val="004F0247"/>
    <w:rsid w:val="004F054E"/>
    <w:rsid w:val="004F0610"/>
    <w:rsid w:val="004F0831"/>
    <w:rsid w:val="004F090A"/>
    <w:rsid w:val="004F099F"/>
    <w:rsid w:val="004F0D4B"/>
    <w:rsid w:val="004F0D75"/>
    <w:rsid w:val="004F0DE0"/>
    <w:rsid w:val="004F1000"/>
    <w:rsid w:val="004F103B"/>
    <w:rsid w:val="004F10B7"/>
    <w:rsid w:val="004F1241"/>
    <w:rsid w:val="004F1716"/>
    <w:rsid w:val="004F1780"/>
    <w:rsid w:val="004F190E"/>
    <w:rsid w:val="004F1B6F"/>
    <w:rsid w:val="004F1C26"/>
    <w:rsid w:val="004F203F"/>
    <w:rsid w:val="004F20D8"/>
    <w:rsid w:val="004F22BE"/>
    <w:rsid w:val="004F238D"/>
    <w:rsid w:val="004F2AAB"/>
    <w:rsid w:val="004F2B6E"/>
    <w:rsid w:val="004F2C67"/>
    <w:rsid w:val="004F2F74"/>
    <w:rsid w:val="004F317F"/>
    <w:rsid w:val="004F3278"/>
    <w:rsid w:val="004F36B1"/>
    <w:rsid w:val="004F3817"/>
    <w:rsid w:val="004F3910"/>
    <w:rsid w:val="004F393C"/>
    <w:rsid w:val="004F3D35"/>
    <w:rsid w:val="004F3DC4"/>
    <w:rsid w:val="004F3F8B"/>
    <w:rsid w:val="004F40B0"/>
    <w:rsid w:val="004F46E8"/>
    <w:rsid w:val="004F473D"/>
    <w:rsid w:val="004F477B"/>
    <w:rsid w:val="004F48B1"/>
    <w:rsid w:val="004F49FC"/>
    <w:rsid w:val="004F4B66"/>
    <w:rsid w:val="004F5075"/>
    <w:rsid w:val="004F51B4"/>
    <w:rsid w:val="004F52B7"/>
    <w:rsid w:val="004F54CD"/>
    <w:rsid w:val="004F55BF"/>
    <w:rsid w:val="004F578B"/>
    <w:rsid w:val="004F5B2C"/>
    <w:rsid w:val="004F5CBE"/>
    <w:rsid w:val="004F60D6"/>
    <w:rsid w:val="004F628E"/>
    <w:rsid w:val="004F62BC"/>
    <w:rsid w:val="004F6D2A"/>
    <w:rsid w:val="004F6E85"/>
    <w:rsid w:val="004F73FE"/>
    <w:rsid w:val="004F743F"/>
    <w:rsid w:val="004F7572"/>
    <w:rsid w:val="004F787F"/>
    <w:rsid w:val="004F796B"/>
    <w:rsid w:val="004F7E7D"/>
    <w:rsid w:val="00500116"/>
    <w:rsid w:val="00500517"/>
    <w:rsid w:val="00500692"/>
    <w:rsid w:val="005008BC"/>
    <w:rsid w:val="005008D3"/>
    <w:rsid w:val="00500925"/>
    <w:rsid w:val="00500A21"/>
    <w:rsid w:val="00500B18"/>
    <w:rsid w:val="00500B87"/>
    <w:rsid w:val="00500BD3"/>
    <w:rsid w:val="00500D3A"/>
    <w:rsid w:val="00500E7F"/>
    <w:rsid w:val="00501027"/>
    <w:rsid w:val="00501071"/>
    <w:rsid w:val="00501080"/>
    <w:rsid w:val="0050108E"/>
    <w:rsid w:val="0050116A"/>
    <w:rsid w:val="00501272"/>
    <w:rsid w:val="0050141B"/>
    <w:rsid w:val="005014E7"/>
    <w:rsid w:val="00501535"/>
    <w:rsid w:val="005015F0"/>
    <w:rsid w:val="005016F6"/>
    <w:rsid w:val="00501717"/>
    <w:rsid w:val="00501843"/>
    <w:rsid w:val="00501ED8"/>
    <w:rsid w:val="00501EDE"/>
    <w:rsid w:val="00502479"/>
    <w:rsid w:val="00502699"/>
    <w:rsid w:val="00502876"/>
    <w:rsid w:val="00502BF9"/>
    <w:rsid w:val="00502C1D"/>
    <w:rsid w:val="00502D87"/>
    <w:rsid w:val="005031EC"/>
    <w:rsid w:val="005033BE"/>
    <w:rsid w:val="005039AF"/>
    <w:rsid w:val="00503AAD"/>
    <w:rsid w:val="00503D2A"/>
    <w:rsid w:val="0050437D"/>
    <w:rsid w:val="005044DF"/>
    <w:rsid w:val="00504597"/>
    <w:rsid w:val="00504630"/>
    <w:rsid w:val="00504F37"/>
    <w:rsid w:val="00505B2A"/>
    <w:rsid w:val="00505E15"/>
    <w:rsid w:val="00506074"/>
    <w:rsid w:val="005062A8"/>
    <w:rsid w:val="00506529"/>
    <w:rsid w:val="00506893"/>
    <w:rsid w:val="00506DD8"/>
    <w:rsid w:val="005071D5"/>
    <w:rsid w:val="00507308"/>
    <w:rsid w:val="00507393"/>
    <w:rsid w:val="00507498"/>
    <w:rsid w:val="005074C2"/>
    <w:rsid w:val="005078F1"/>
    <w:rsid w:val="00507A24"/>
    <w:rsid w:val="00507DDD"/>
    <w:rsid w:val="00510058"/>
    <w:rsid w:val="0051088E"/>
    <w:rsid w:val="00510A01"/>
    <w:rsid w:val="00510D9A"/>
    <w:rsid w:val="00511247"/>
    <w:rsid w:val="00511374"/>
    <w:rsid w:val="005113F0"/>
    <w:rsid w:val="005117FB"/>
    <w:rsid w:val="005118C1"/>
    <w:rsid w:val="005118D8"/>
    <w:rsid w:val="00511C7E"/>
    <w:rsid w:val="00511D85"/>
    <w:rsid w:val="00511E4C"/>
    <w:rsid w:val="0051246B"/>
    <w:rsid w:val="00512B1C"/>
    <w:rsid w:val="00512B53"/>
    <w:rsid w:val="00512BC7"/>
    <w:rsid w:val="00512CE0"/>
    <w:rsid w:val="00512DF8"/>
    <w:rsid w:val="0051332C"/>
    <w:rsid w:val="0051352A"/>
    <w:rsid w:val="00513678"/>
    <w:rsid w:val="005139B2"/>
    <w:rsid w:val="00513BFC"/>
    <w:rsid w:val="0051433A"/>
    <w:rsid w:val="005145CB"/>
    <w:rsid w:val="005148EB"/>
    <w:rsid w:val="00514A5B"/>
    <w:rsid w:val="00514B0C"/>
    <w:rsid w:val="00514C9E"/>
    <w:rsid w:val="00514E74"/>
    <w:rsid w:val="0051506B"/>
    <w:rsid w:val="00515308"/>
    <w:rsid w:val="00515465"/>
    <w:rsid w:val="005156CF"/>
    <w:rsid w:val="00515891"/>
    <w:rsid w:val="00515B88"/>
    <w:rsid w:val="00515E34"/>
    <w:rsid w:val="00515E95"/>
    <w:rsid w:val="00515FB7"/>
    <w:rsid w:val="0051612A"/>
    <w:rsid w:val="005162E7"/>
    <w:rsid w:val="0051667F"/>
    <w:rsid w:val="00516C42"/>
    <w:rsid w:val="00517001"/>
    <w:rsid w:val="00517164"/>
    <w:rsid w:val="005174CC"/>
    <w:rsid w:val="00517655"/>
    <w:rsid w:val="00517757"/>
    <w:rsid w:val="005179E7"/>
    <w:rsid w:val="00517A5F"/>
    <w:rsid w:val="00517DAD"/>
    <w:rsid w:val="00520C6E"/>
    <w:rsid w:val="00521094"/>
    <w:rsid w:val="00521837"/>
    <w:rsid w:val="00521B40"/>
    <w:rsid w:val="00521C32"/>
    <w:rsid w:val="005222B2"/>
    <w:rsid w:val="0052244B"/>
    <w:rsid w:val="00522659"/>
    <w:rsid w:val="005226DF"/>
    <w:rsid w:val="00522769"/>
    <w:rsid w:val="005229F0"/>
    <w:rsid w:val="00522A83"/>
    <w:rsid w:val="00522BE8"/>
    <w:rsid w:val="00522E58"/>
    <w:rsid w:val="005231A8"/>
    <w:rsid w:val="005234C6"/>
    <w:rsid w:val="005238B2"/>
    <w:rsid w:val="00523B8E"/>
    <w:rsid w:val="00523C7C"/>
    <w:rsid w:val="00523E1C"/>
    <w:rsid w:val="00523E3C"/>
    <w:rsid w:val="0052411C"/>
    <w:rsid w:val="00524226"/>
    <w:rsid w:val="00524300"/>
    <w:rsid w:val="005243C9"/>
    <w:rsid w:val="005246EB"/>
    <w:rsid w:val="005246FB"/>
    <w:rsid w:val="005249E2"/>
    <w:rsid w:val="005250DB"/>
    <w:rsid w:val="005257A9"/>
    <w:rsid w:val="005258A9"/>
    <w:rsid w:val="005258C4"/>
    <w:rsid w:val="00525907"/>
    <w:rsid w:val="005259B3"/>
    <w:rsid w:val="00525B27"/>
    <w:rsid w:val="00525C5D"/>
    <w:rsid w:val="00525D20"/>
    <w:rsid w:val="00525F3A"/>
    <w:rsid w:val="0052627A"/>
    <w:rsid w:val="00526908"/>
    <w:rsid w:val="005269A1"/>
    <w:rsid w:val="00526B40"/>
    <w:rsid w:val="00526E4B"/>
    <w:rsid w:val="0052799D"/>
    <w:rsid w:val="00527D7D"/>
    <w:rsid w:val="00527FEF"/>
    <w:rsid w:val="005302F5"/>
    <w:rsid w:val="005304CB"/>
    <w:rsid w:val="0053090F"/>
    <w:rsid w:val="005309B2"/>
    <w:rsid w:val="005309F2"/>
    <w:rsid w:val="00530C0C"/>
    <w:rsid w:val="00530C40"/>
    <w:rsid w:val="00530DA3"/>
    <w:rsid w:val="005315C8"/>
    <w:rsid w:val="0053160F"/>
    <w:rsid w:val="0053179A"/>
    <w:rsid w:val="005317F6"/>
    <w:rsid w:val="0053199E"/>
    <w:rsid w:val="00531A4B"/>
    <w:rsid w:val="00531B45"/>
    <w:rsid w:val="00531D24"/>
    <w:rsid w:val="00531F3F"/>
    <w:rsid w:val="00532115"/>
    <w:rsid w:val="005323BB"/>
    <w:rsid w:val="0053268C"/>
    <w:rsid w:val="005326DB"/>
    <w:rsid w:val="005327C2"/>
    <w:rsid w:val="00532922"/>
    <w:rsid w:val="00532B83"/>
    <w:rsid w:val="00532D4C"/>
    <w:rsid w:val="00533154"/>
    <w:rsid w:val="00533492"/>
    <w:rsid w:val="00533A0F"/>
    <w:rsid w:val="00533EC4"/>
    <w:rsid w:val="005342CA"/>
    <w:rsid w:val="00534448"/>
    <w:rsid w:val="00534482"/>
    <w:rsid w:val="00534611"/>
    <w:rsid w:val="0053461B"/>
    <w:rsid w:val="00534680"/>
    <w:rsid w:val="005346A5"/>
    <w:rsid w:val="00534A04"/>
    <w:rsid w:val="00534F3B"/>
    <w:rsid w:val="005350CF"/>
    <w:rsid w:val="0053568A"/>
    <w:rsid w:val="00535C84"/>
    <w:rsid w:val="00535FC0"/>
    <w:rsid w:val="00536029"/>
    <w:rsid w:val="00536094"/>
    <w:rsid w:val="0053611E"/>
    <w:rsid w:val="00536198"/>
    <w:rsid w:val="005364C1"/>
    <w:rsid w:val="005364E9"/>
    <w:rsid w:val="0053651A"/>
    <w:rsid w:val="005366EB"/>
    <w:rsid w:val="00536751"/>
    <w:rsid w:val="00536812"/>
    <w:rsid w:val="00536899"/>
    <w:rsid w:val="00536AA4"/>
    <w:rsid w:val="0053726D"/>
    <w:rsid w:val="00537380"/>
    <w:rsid w:val="005373C0"/>
    <w:rsid w:val="00537612"/>
    <w:rsid w:val="00537903"/>
    <w:rsid w:val="00537910"/>
    <w:rsid w:val="00537D55"/>
    <w:rsid w:val="00537FA3"/>
    <w:rsid w:val="005402AC"/>
    <w:rsid w:val="005403FD"/>
    <w:rsid w:val="00540469"/>
    <w:rsid w:val="00540598"/>
    <w:rsid w:val="005405EC"/>
    <w:rsid w:val="005407B9"/>
    <w:rsid w:val="005407E0"/>
    <w:rsid w:val="00540AE4"/>
    <w:rsid w:val="00540C2D"/>
    <w:rsid w:val="005411A6"/>
    <w:rsid w:val="00541286"/>
    <w:rsid w:val="0054147B"/>
    <w:rsid w:val="0054174D"/>
    <w:rsid w:val="005417F9"/>
    <w:rsid w:val="00541961"/>
    <w:rsid w:val="0054196F"/>
    <w:rsid w:val="00541E25"/>
    <w:rsid w:val="00541E48"/>
    <w:rsid w:val="005421F0"/>
    <w:rsid w:val="005423E0"/>
    <w:rsid w:val="0054240A"/>
    <w:rsid w:val="0054257D"/>
    <w:rsid w:val="00542698"/>
    <w:rsid w:val="00542A8E"/>
    <w:rsid w:val="005430F0"/>
    <w:rsid w:val="00543732"/>
    <w:rsid w:val="00543B80"/>
    <w:rsid w:val="00543F2F"/>
    <w:rsid w:val="005440E5"/>
    <w:rsid w:val="00544C9E"/>
    <w:rsid w:val="00544E91"/>
    <w:rsid w:val="005450FB"/>
    <w:rsid w:val="0054518E"/>
    <w:rsid w:val="00545536"/>
    <w:rsid w:val="00545936"/>
    <w:rsid w:val="00545ADC"/>
    <w:rsid w:val="00545BEC"/>
    <w:rsid w:val="00545E17"/>
    <w:rsid w:val="0054607C"/>
    <w:rsid w:val="005464CD"/>
    <w:rsid w:val="00546589"/>
    <w:rsid w:val="005466E0"/>
    <w:rsid w:val="00546749"/>
    <w:rsid w:val="00546F0D"/>
    <w:rsid w:val="005470FA"/>
    <w:rsid w:val="005471F7"/>
    <w:rsid w:val="00547299"/>
    <w:rsid w:val="005472C6"/>
    <w:rsid w:val="00547406"/>
    <w:rsid w:val="005477E8"/>
    <w:rsid w:val="00547AF9"/>
    <w:rsid w:val="00547CF2"/>
    <w:rsid w:val="00547FC1"/>
    <w:rsid w:val="00547FD1"/>
    <w:rsid w:val="005504F8"/>
    <w:rsid w:val="005505FC"/>
    <w:rsid w:val="0055068A"/>
    <w:rsid w:val="0055084C"/>
    <w:rsid w:val="00550ABD"/>
    <w:rsid w:val="00550BF3"/>
    <w:rsid w:val="00550D85"/>
    <w:rsid w:val="00550F12"/>
    <w:rsid w:val="00551125"/>
    <w:rsid w:val="0055117A"/>
    <w:rsid w:val="00551563"/>
    <w:rsid w:val="0055162A"/>
    <w:rsid w:val="005518F0"/>
    <w:rsid w:val="00551AB3"/>
    <w:rsid w:val="00551BB1"/>
    <w:rsid w:val="00551CCA"/>
    <w:rsid w:val="00551CD5"/>
    <w:rsid w:val="00551DED"/>
    <w:rsid w:val="00551E59"/>
    <w:rsid w:val="00551F66"/>
    <w:rsid w:val="00552003"/>
    <w:rsid w:val="00552562"/>
    <w:rsid w:val="00552898"/>
    <w:rsid w:val="005529FD"/>
    <w:rsid w:val="00552A7D"/>
    <w:rsid w:val="00552B7C"/>
    <w:rsid w:val="00552B89"/>
    <w:rsid w:val="00552EFC"/>
    <w:rsid w:val="00553238"/>
    <w:rsid w:val="0055336D"/>
    <w:rsid w:val="005533BB"/>
    <w:rsid w:val="00553522"/>
    <w:rsid w:val="00553753"/>
    <w:rsid w:val="00553A75"/>
    <w:rsid w:val="00553A9D"/>
    <w:rsid w:val="00553AED"/>
    <w:rsid w:val="00554D5E"/>
    <w:rsid w:val="00554D8F"/>
    <w:rsid w:val="00555091"/>
    <w:rsid w:val="0055517E"/>
    <w:rsid w:val="005551DC"/>
    <w:rsid w:val="005552E6"/>
    <w:rsid w:val="00555439"/>
    <w:rsid w:val="005555E8"/>
    <w:rsid w:val="005556F3"/>
    <w:rsid w:val="005556F4"/>
    <w:rsid w:val="0055573D"/>
    <w:rsid w:val="005557A3"/>
    <w:rsid w:val="00555803"/>
    <w:rsid w:val="005559A8"/>
    <w:rsid w:val="00555C7A"/>
    <w:rsid w:val="00555D7E"/>
    <w:rsid w:val="00556131"/>
    <w:rsid w:val="00556236"/>
    <w:rsid w:val="00556268"/>
    <w:rsid w:val="00556571"/>
    <w:rsid w:val="00556956"/>
    <w:rsid w:val="00556C9A"/>
    <w:rsid w:val="00556D32"/>
    <w:rsid w:val="00557029"/>
    <w:rsid w:val="0055754E"/>
    <w:rsid w:val="00557702"/>
    <w:rsid w:val="0055772D"/>
    <w:rsid w:val="00557745"/>
    <w:rsid w:val="00557754"/>
    <w:rsid w:val="00557846"/>
    <w:rsid w:val="00557853"/>
    <w:rsid w:val="00557967"/>
    <w:rsid w:val="00557A2B"/>
    <w:rsid w:val="00557D06"/>
    <w:rsid w:val="00557FB3"/>
    <w:rsid w:val="00560A81"/>
    <w:rsid w:val="00560AAB"/>
    <w:rsid w:val="00560F92"/>
    <w:rsid w:val="0056147A"/>
    <w:rsid w:val="00561597"/>
    <w:rsid w:val="00561B96"/>
    <w:rsid w:val="00561C08"/>
    <w:rsid w:val="00561E31"/>
    <w:rsid w:val="005622D8"/>
    <w:rsid w:val="00562B58"/>
    <w:rsid w:val="00562D06"/>
    <w:rsid w:val="0056310A"/>
    <w:rsid w:val="005633D0"/>
    <w:rsid w:val="00563968"/>
    <w:rsid w:val="00563AAE"/>
    <w:rsid w:val="00563E61"/>
    <w:rsid w:val="005640E9"/>
    <w:rsid w:val="00564634"/>
    <w:rsid w:val="005646CA"/>
    <w:rsid w:val="00564925"/>
    <w:rsid w:val="00564952"/>
    <w:rsid w:val="00564AE0"/>
    <w:rsid w:val="005650EF"/>
    <w:rsid w:val="005654B4"/>
    <w:rsid w:val="00565564"/>
    <w:rsid w:val="0056579F"/>
    <w:rsid w:val="00565F4F"/>
    <w:rsid w:val="005660AF"/>
    <w:rsid w:val="00566222"/>
    <w:rsid w:val="0056649C"/>
    <w:rsid w:val="005664D4"/>
    <w:rsid w:val="0056672A"/>
    <w:rsid w:val="0056691A"/>
    <w:rsid w:val="005674FE"/>
    <w:rsid w:val="005678FB"/>
    <w:rsid w:val="00567954"/>
    <w:rsid w:val="00567C33"/>
    <w:rsid w:val="00567ECF"/>
    <w:rsid w:val="00567F89"/>
    <w:rsid w:val="0057016F"/>
    <w:rsid w:val="005703C6"/>
    <w:rsid w:val="0057041C"/>
    <w:rsid w:val="005706E7"/>
    <w:rsid w:val="00570842"/>
    <w:rsid w:val="0057090B"/>
    <w:rsid w:val="00570E62"/>
    <w:rsid w:val="00571127"/>
    <w:rsid w:val="0057120C"/>
    <w:rsid w:val="005713BD"/>
    <w:rsid w:val="005713C5"/>
    <w:rsid w:val="00571604"/>
    <w:rsid w:val="00571EAE"/>
    <w:rsid w:val="0057207F"/>
    <w:rsid w:val="0057215A"/>
    <w:rsid w:val="0057275A"/>
    <w:rsid w:val="005731E5"/>
    <w:rsid w:val="0057324D"/>
    <w:rsid w:val="005735A6"/>
    <w:rsid w:val="00573755"/>
    <w:rsid w:val="005738F1"/>
    <w:rsid w:val="00573AEC"/>
    <w:rsid w:val="00573AFE"/>
    <w:rsid w:val="00573CC0"/>
    <w:rsid w:val="00574192"/>
    <w:rsid w:val="005742F3"/>
    <w:rsid w:val="0057442F"/>
    <w:rsid w:val="00574551"/>
    <w:rsid w:val="00574665"/>
    <w:rsid w:val="00574709"/>
    <w:rsid w:val="00574805"/>
    <w:rsid w:val="005748D6"/>
    <w:rsid w:val="00574B15"/>
    <w:rsid w:val="0057524D"/>
    <w:rsid w:val="005753D8"/>
    <w:rsid w:val="00575A95"/>
    <w:rsid w:val="00575E15"/>
    <w:rsid w:val="00575F45"/>
    <w:rsid w:val="005764BA"/>
    <w:rsid w:val="00576532"/>
    <w:rsid w:val="0057712F"/>
    <w:rsid w:val="00577392"/>
    <w:rsid w:val="005779F0"/>
    <w:rsid w:val="00577C68"/>
    <w:rsid w:val="005804AB"/>
    <w:rsid w:val="00580655"/>
    <w:rsid w:val="005806DC"/>
    <w:rsid w:val="005809F1"/>
    <w:rsid w:val="00580A7B"/>
    <w:rsid w:val="00580C7F"/>
    <w:rsid w:val="00580EE8"/>
    <w:rsid w:val="00580FC3"/>
    <w:rsid w:val="0058126D"/>
    <w:rsid w:val="005817BF"/>
    <w:rsid w:val="00581825"/>
    <w:rsid w:val="00581B7B"/>
    <w:rsid w:val="00581C5C"/>
    <w:rsid w:val="00581E54"/>
    <w:rsid w:val="00582023"/>
    <w:rsid w:val="005822AB"/>
    <w:rsid w:val="005825DC"/>
    <w:rsid w:val="005826B7"/>
    <w:rsid w:val="0058278F"/>
    <w:rsid w:val="005829AB"/>
    <w:rsid w:val="00582A07"/>
    <w:rsid w:val="00582BA9"/>
    <w:rsid w:val="00582C64"/>
    <w:rsid w:val="00582DB5"/>
    <w:rsid w:val="005838D9"/>
    <w:rsid w:val="00583BB4"/>
    <w:rsid w:val="0058410C"/>
    <w:rsid w:val="00584162"/>
    <w:rsid w:val="0058456C"/>
    <w:rsid w:val="00584601"/>
    <w:rsid w:val="0058477A"/>
    <w:rsid w:val="00584784"/>
    <w:rsid w:val="005848E4"/>
    <w:rsid w:val="00584A73"/>
    <w:rsid w:val="00584A99"/>
    <w:rsid w:val="005850C0"/>
    <w:rsid w:val="005854DA"/>
    <w:rsid w:val="0058557C"/>
    <w:rsid w:val="005855DF"/>
    <w:rsid w:val="005857F2"/>
    <w:rsid w:val="00585A33"/>
    <w:rsid w:val="00585F61"/>
    <w:rsid w:val="00585F8E"/>
    <w:rsid w:val="0058625B"/>
    <w:rsid w:val="0058638E"/>
    <w:rsid w:val="00586451"/>
    <w:rsid w:val="005864D2"/>
    <w:rsid w:val="00586886"/>
    <w:rsid w:val="0058698E"/>
    <w:rsid w:val="00586B8D"/>
    <w:rsid w:val="00586DDA"/>
    <w:rsid w:val="00586ECA"/>
    <w:rsid w:val="00586F90"/>
    <w:rsid w:val="00587337"/>
    <w:rsid w:val="00587379"/>
    <w:rsid w:val="00587532"/>
    <w:rsid w:val="005878D4"/>
    <w:rsid w:val="005879C3"/>
    <w:rsid w:val="00587E39"/>
    <w:rsid w:val="0059089E"/>
    <w:rsid w:val="005909EB"/>
    <w:rsid w:val="00590BFD"/>
    <w:rsid w:val="00590CB2"/>
    <w:rsid w:val="00590D1D"/>
    <w:rsid w:val="00590E43"/>
    <w:rsid w:val="00590E78"/>
    <w:rsid w:val="00591000"/>
    <w:rsid w:val="0059104A"/>
    <w:rsid w:val="00591309"/>
    <w:rsid w:val="00591600"/>
    <w:rsid w:val="005916D4"/>
    <w:rsid w:val="00591713"/>
    <w:rsid w:val="00591874"/>
    <w:rsid w:val="00591A7C"/>
    <w:rsid w:val="00591AE9"/>
    <w:rsid w:val="00591E37"/>
    <w:rsid w:val="00591E66"/>
    <w:rsid w:val="00591EA7"/>
    <w:rsid w:val="00592047"/>
    <w:rsid w:val="005920A5"/>
    <w:rsid w:val="005921D0"/>
    <w:rsid w:val="0059237D"/>
    <w:rsid w:val="00592AF1"/>
    <w:rsid w:val="00592B30"/>
    <w:rsid w:val="0059337C"/>
    <w:rsid w:val="005933B3"/>
    <w:rsid w:val="00593465"/>
    <w:rsid w:val="005934F9"/>
    <w:rsid w:val="005935ED"/>
    <w:rsid w:val="00593B4A"/>
    <w:rsid w:val="0059455B"/>
    <w:rsid w:val="00594C4A"/>
    <w:rsid w:val="00594ECB"/>
    <w:rsid w:val="00595159"/>
    <w:rsid w:val="005951F9"/>
    <w:rsid w:val="005953AF"/>
    <w:rsid w:val="0059559B"/>
    <w:rsid w:val="00595862"/>
    <w:rsid w:val="0059618F"/>
    <w:rsid w:val="00596259"/>
    <w:rsid w:val="005965DC"/>
    <w:rsid w:val="00596AAB"/>
    <w:rsid w:val="00596B44"/>
    <w:rsid w:val="00596F39"/>
    <w:rsid w:val="00597411"/>
    <w:rsid w:val="0059753F"/>
    <w:rsid w:val="00597565"/>
    <w:rsid w:val="00597749"/>
    <w:rsid w:val="00597E5D"/>
    <w:rsid w:val="005A0289"/>
    <w:rsid w:val="005A042B"/>
    <w:rsid w:val="005A0661"/>
    <w:rsid w:val="005A07E7"/>
    <w:rsid w:val="005A08E8"/>
    <w:rsid w:val="005A09B5"/>
    <w:rsid w:val="005A0A37"/>
    <w:rsid w:val="005A0C07"/>
    <w:rsid w:val="005A1012"/>
    <w:rsid w:val="005A11D6"/>
    <w:rsid w:val="005A1218"/>
    <w:rsid w:val="005A12EE"/>
    <w:rsid w:val="005A140B"/>
    <w:rsid w:val="005A14B5"/>
    <w:rsid w:val="005A15B2"/>
    <w:rsid w:val="005A1ABF"/>
    <w:rsid w:val="005A1B63"/>
    <w:rsid w:val="005A2650"/>
    <w:rsid w:val="005A2AF8"/>
    <w:rsid w:val="005A2B45"/>
    <w:rsid w:val="005A2B9A"/>
    <w:rsid w:val="005A2E1A"/>
    <w:rsid w:val="005A2FD7"/>
    <w:rsid w:val="005A312E"/>
    <w:rsid w:val="005A31BD"/>
    <w:rsid w:val="005A32D5"/>
    <w:rsid w:val="005A3454"/>
    <w:rsid w:val="005A37C8"/>
    <w:rsid w:val="005A3D5B"/>
    <w:rsid w:val="005A3FB0"/>
    <w:rsid w:val="005A40CE"/>
    <w:rsid w:val="005A435E"/>
    <w:rsid w:val="005A43B7"/>
    <w:rsid w:val="005A467B"/>
    <w:rsid w:val="005A469C"/>
    <w:rsid w:val="005A482A"/>
    <w:rsid w:val="005A48C5"/>
    <w:rsid w:val="005A496A"/>
    <w:rsid w:val="005A4EF3"/>
    <w:rsid w:val="005A4F18"/>
    <w:rsid w:val="005A4FED"/>
    <w:rsid w:val="005A504B"/>
    <w:rsid w:val="005A5485"/>
    <w:rsid w:val="005A58C3"/>
    <w:rsid w:val="005A5E10"/>
    <w:rsid w:val="005A5F92"/>
    <w:rsid w:val="005A6055"/>
    <w:rsid w:val="005A665F"/>
    <w:rsid w:val="005A66A7"/>
    <w:rsid w:val="005A6961"/>
    <w:rsid w:val="005A6B14"/>
    <w:rsid w:val="005A6C0C"/>
    <w:rsid w:val="005A6FD8"/>
    <w:rsid w:val="005A7328"/>
    <w:rsid w:val="005A75F3"/>
    <w:rsid w:val="005A780E"/>
    <w:rsid w:val="005A782C"/>
    <w:rsid w:val="005A7A44"/>
    <w:rsid w:val="005A7A46"/>
    <w:rsid w:val="005B006F"/>
    <w:rsid w:val="005B00D8"/>
    <w:rsid w:val="005B0258"/>
    <w:rsid w:val="005B07AD"/>
    <w:rsid w:val="005B0C27"/>
    <w:rsid w:val="005B0C9D"/>
    <w:rsid w:val="005B0F54"/>
    <w:rsid w:val="005B1078"/>
    <w:rsid w:val="005B1248"/>
    <w:rsid w:val="005B1520"/>
    <w:rsid w:val="005B164D"/>
    <w:rsid w:val="005B19DA"/>
    <w:rsid w:val="005B25E3"/>
    <w:rsid w:val="005B27BD"/>
    <w:rsid w:val="005B2894"/>
    <w:rsid w:val="005B2D6E"/>
    <w:rsid w:val="005B2D87"/>
    <w:rsid w:val="005B2FCB"/>
    <w:rsid w:val="005B390C"/>
    <w:rsid w:val="005B3C91"/>
    <w:rsid w:val="005B3E19"/>
    <w:rsid w:val="005B4148"/>
    <w:rsid w:val="005B443C"/>
    <w:rsid w:val="005B4B38"/>
    <w:rsid w:val="005B4CF1"/>
    <w:rsid w:val="005B4E13"/>
    <w:rsid w:val="005B4E59"/>
    <w:rsid w:val="005B5024"/>
    <w:rsid w:val="005B53A9"/>
    <w:rsid w:val="005B5800"/>
    <w:rsid w:val="005B5829"/>
    <w:rsid w:val="005B5A08"/>
    <w:rsid w:val="005B5A68"/>
    <w:rsid w:val="005B5C8B"/>
    <w:rsid w:val="005B6166"/>
    <w:rsid w:val="005B6699"/>
    <w:rsid w:val="005B6712"/>
    <w:rsid w:val="005B72DF"/>
    <w:rsid w:val="005B7326"/>
    <w:rsid w:val="005B7834"/>
    <w:rsid w:val="005B787B"/>
    <w:rsid w:val="005B7A38"/>
    <w:rsid w:val="005B7A3E"/>
    <w:rsid w:val="005B7B5E"/>
    <w:rsid w:val="005B7BB3"/>
    <w:rsid w:val="005B7D04"/>
    <w:rsid w:val="005B7E9E"/>
    <w:rsid w:val="005C0286"/>
    <w:rsid w:val="005C0903"/>
    <w:rsid w:val="005C1080"/>
    <w:rsid w:val="005C146D"/>
    <w:rsid w:val="005C1D1D"/>
    <w:rsid w:val="005C1FB9"/>
    <w:rsid w:val="005C214C"/>
    <w:rsid w:val="005C21EA"/>
    <w:rsid w:val="005C2238"/>
    <w:rsid w:val="005C2314"/>
    <w:rsid w:val="005C25E2"/>
    <w:rsid w:val="005C2E2B"/>
    <w:rsid w:val="005C34A9"/>
    <w:rsid w:val="005C3624"/>
    <w:rsid w:val="005C3695"/>
    <w:rsid w:val="005C3C0A"/>
    <w:rsid w:val="005C3C23"/>
    <w:rsid w:val="005C3C29"/>
    <w:rsid w:val="005C3CB7"/>
    <w:rsid w:val="005C3DF7"/>
    <w:rsid w:val="005C425C"/>
    <w:rsid w:val="005C42FF"/>
    <w:rsid w:val="005C4460"/>
    <w:rsid w:val="005C45D3"/>
    <w:rsid w:val="005C4909"/>
    <w:rsid w:val="005C4B7D"/>
    <w:rsid w:val="005C4CC0"/>
    <w:rsid w:val="005C4CD2"/>
    <w:rsid w:val="005C4D32"/>
    <w:rsid w:val="005C4D6E"/>
    <w:rsid w:val="005C4EA7"/>
    <w:rsid w:val="005C5259"/>
    <w:rsid w:val="005C5624"/>
    <w:rsid w:val="005C5865"/>
    <w:rsid w:val="005C58EF"/>
    <w:rsid w:val="005C5948"/>
    <w:rsid w:val="005C5B8B"/>
    <w:rsid w:val="005C5E0B"/>
    <w:rsid w:val="005C60B0"/>
    <w:rsid w:val="005C611E"/>
    <w:rsid w:val="005C6167"/>
    <w:rsid w:val="005C62DF"/>
    <w:rsid w:val="005C6B2C"/>
    <w:rsid w:val="005C6BDD"/>
    <w:rsid w:val="005C6E10"/>
    <w:rsid w:val="005C6FCB"/>
    <w:rsid w:val="005C70AD"/>
    <w:rsid w:val="005C71B4"/>
    <w:rsid w:val="005C744B"/>
    <w:rsid w:val="005C7463"/>
    <w:rsid w:val="005C77F5"/>
    <w:rsid w:val="005C7866"/>
    <w:rsid w:val="005C7D77"/>
    <w:rsid w:val="005D05AC"/>
    <w:rsid w:val="005D071B"/>
    <w:rsid w:val="005D0795"/>
    <w:rsid w:val="005D07E7"/>
    <w:rsid w:val="005D07ED"/>
    <w:rsid w:val="005D0A33"/>
    <w:rsid w:val="005D0C40"/>
    <w:rsid w:val="005D0D1C"/>
    <w:rsid w:val="005D0D2E"/>
    <w:rsid w:val="005D106D"/>
    <w:rsid w:val="005D1236"/>
    <w:rsid w:val="005D1555"/>
    <w:rsid w:val="005D16F6"/>
    <w:rsid w:val="005D17EA"/>
    <w:rsid w:val="005D186B"/>
    <w:rsid w:val="005D18BA"/>
    <w:rsid w:val="005D1B10"/>
    <w:rsid w:val="005D1D88"/>
    <w:rsid w:val="005D1F64"/>
    <w:rsid w:val="005D1F8F"/>
    <w:rsid w:val="005D2A46"/>
    <w:rsid w:val="005D2C7D"/>
    <w:rsid w:val="005D406E"/>
    <w:rsid w:val="005D40D4"/>
    <w:rsid w:val="005D45F6"/>
    <w:rsid w:val="005D4625"/>
    <w:rsid w:val="005D4668"/>
    <w:rsid w:val="005D48F4"/>
    <w:rsid w:val="005D4ABC"/>
    <w:rsid w:val="005D517D"/>
    <w:rsid w:val="005D52FE"/>
    <w:rsid w:val="005D54D4"/>
    <w:rsid w:val="005D5D97"/>
    <w:rsid w:val="005D5E66"/>
    <w:rsid w:val="005D5E6C"/>
    <w:rsid w:val="005D5FAE"/>
    <w:rsid w:val="005D6256"/>
    <w:rsid w:val="005D6422"/>
    <w:rsid w:val="005D6691"/>
    <w:rsid w:val="005D7105"/>
    <w:rsid w:val="005D7614"/>
    <w:rsid w:val="005D7866"/>
    <w:rsid w:val="005D7E6F"/>
    <w:rsid w:val="005E0038"/>
    <w:rsid w:val="005E00A2"/>
    <w:rsid w:val="005E01ED"/>
    <w:rsid w:val="005E0308"/>
    <w:rsid w:val="005E0597"/>
    <w:rsid w:val="005E0845"/>
    <w:rsid w:val="005E0989"/>
    <w:rsid w:val="005E0AD0"/>
    <w:rsid w:val="005E0AFD"/>
    <w:rsid w:val="005E0CDB"/>
    <w:rsid w:val="005E0ECC"/>
    <w:rsid w:val="005E0F20"/>
    <w:rsid w:val="005E0F8F"/>
    <w:rsid w:val="005E1800"/>
    <w:rsid w:val="005E18A5"/>
    <w:rsid w:val="005E1B82"/>
    <w:rsid w:val="005E1EC4"/>
    <w:rsid w:val="005E25EE"/>
    <w:rsid w:val="005E2766"/>
    <w:rsid w:val="005E282A"/>
    <w:rsid w:val="005E296E"/>
    <w:rsid w:val="005E31AE"/>
    <w:rsid w:val="005E32EF"/>
    <w:rsid w:val="005E32FF"/>
    <w:rsid w:val="005E3C6E"/>
    <w:rsid w:val="005E3DBE"/>
    <w:rsid w:val="005E3E05"/>
    <w:rsid w:val="005E3E11"/>
    <w:rsid w:val="005E413A"/>
    <w:rsid w:val="005E4147"/>
    <w:rsid w:val="005E43B8"/>
    <w:rsid w:val="005E4558"/>
    <w:rsid w:val="005E4563"/>
    <w:rsid w:val="005E4978"/>
    <w:rsid w:val="005E4BB0"/>
    <w:rsid w:val="005E4EA0"/>
    <w:rsid w:val="005E4FD6"/>
    <w:rsid w:val="005E5399"/>
    <w:rsid w:val="005E53BF"/>
    <w:rsid w:val="005E55A2"/>
    <w:rsid w:val="005E5704"/>
    <w:rsid w:val="005E571A"/>
    <w:rsid w:val="005E5958"/>
    <w:rsid w:val="005E59DE"/>
    <w:rsid w:val="005E5A99"/>
    <w:rsid w:val="005E5D09"/>
    <w:rsid w:val="005E6091"/>
    <w:rsid w:val="005E633B"/>
    <w:rsid w:val="005E6B0E"/>
    <w:rsid w:val="005E7639"/>
    <w:rsid w:val="005E7BB5"/>
    <w:rsid w:val="005E7E1D"/>
    <w:rsid w:val="005F020D"/>
    <w:rsid w:val="005F040F"/>
    <w:rsid w:val="005F0685"/>
    <w:rsid w:val="005F08DA"/>
    <w:rsid w:val="005F09C5"/>
    <w:rsid w:val="005F0BC6"/>
    <w:rsid w:val="005F0C5D"/>
    <w:rsid w:val="005F0F67"/>
    <w:rsid w:val="005F0F68"/>
    <w:rsid w:val="005F1404"/>
    <w:rsid w:val="005F1648"/>
    <w:rsid w:val="005F1680"/>
    <w:rsid w:val="005F17C9"/>
    <w:rsid w:val="005F1866"/>
    <w:rsid w:val="005F1F2E"/>
    <w:rsid w:val="005F2073"/>
    <w:rsid w:val="005F2398"/>
    <w:rsid w:val="005F286A"/>
    <w:rsid w:val="005F35CC"/>
    <w:rsid w:val="005F361B"/>
    <w:rsid w:val="005F370C"/>
    <w:rsid w:val="005F3940"/>
    <w:rsid w:val="005F3C5A"/>
    <w:rsid w:val="005F3D76"/>
    <w:rsid w:val="005F3FCE"/>
    <w:rsid w:val="005F4098"/>
    <w:rsid w:val="005F4544"/>
    <w:rsid w:val="005F459F"/>
    <w:rsid w:val="005F46B6"/>
    <w:rsid w:val="005F4A3A"/>
    <w:rsid w:val="005F518C"/>
    <w:rsid w:val="005F51CB"/>
    <w:rsid w:val="005F5529"/>
    <w:rsid w:val="005F555C"/>
    <w:rsid w:val="005F5560"/>
    <w:rsid w:val="005F5649"/>
    <w:rsid w:val="005F58AB"/>
    <w:rsid w:val="005F58F9"/>
    <w:rsid w:val="005F5FE8"/>
    <w:rsid w:val="005F608E"/>
    <w:rsid w:val="005F62DC"/>
    <w:rsid w:val="005F6637"/>
    <w:rsid w:val="005F67D7"/>
    <w:rsid w:val="005F69EC"/>
    <w:rsid w:val="005F6FF3"/>
    <w:rsid w:val="005F71A6"/>
    <w:rsid w:val="005F72C5"/>
    <w:rsid w:val="005F737E"/>
    <w:rsid w:val="005F7672"/>
    <w:rsid w:val="005F767E"/>
    <w:rsid w:val="005F77FD"/>
    <w:rsid w:val="0060014C"/>
    <w:rsid w:val="0060045D"/>
    <w:rsid w:val="006004FA"/>
    <w:rsid w:val="00600591"/>
    <w:rsid w:val="006005FD"/>
    <w:rsid w:val="006006B7"/>
    <w:rsid w:val="00600724"/>
    <w:rsid w:val="00600808"/>
    <w:rsid w:val="00600D4C"/>
    <w:rsid w:val="00600DB4"/>
    <w:rsid w:val="00600FEE"/>
    <w:rsid w:val="0060152E"/>
    <w:rsid w:val="0060162D"/>
    <w:rsid w:val="0060163D"/>
    <w:rsid w:val="00601B63"/>
    <w:rsid w:val="00602772"/>
    <w:rsid w:val="00602784"/>
    <w:rsid w:val="0060294D"/>
    <w:rsid w:val="00602ABE"/>
    <w:rsid w:val="00602AF3"/>
    <w:rsid w:val="00602B13"/>
    <w:rsid w:val="00602B1D"/>
    <w:rsid w:val="00602B6C"/>
    <w:rsid w:val="00602BEF"/>
    <w:rsid w:val="00602CF2"/>
    <w:rsid w:val="00602EDF"/>
    <w:rsid w:val="0060358E"/>
    <w:rsid w:val="006035CB"/>
    <w:rsid w:val="00603B35"/>
    <w:rsid w:val="00603C7B"/>
    <w:rsid w:val="00604125"/>
    <w:rsid w:val="006041DB"/>
    <w:rsid w:val="006042D4"/>
    <w:rsid w:val="0060441E"/>
    <w:rsid w:val="00604BDB"/>
    <w:rsid w:val="00604E7F"/>
    <w:rsid w:val="0060518A"/>
    <w:rsid w:val="0060523D"/>
    <w:rsid w:val="0060527B"/>
    <w:rsid w:val="00605434"/>
    <w:rsid w:val="00605571"/>
    <w:rsid w:val="00605AE6"/>
    <w:rsid w:val="00605EA5"/>
    <w:rsid w:val="00605F50"/>
    <w:rsid w:val="00606173"/>
    <w:rsid w:val="006063F5"/>
    <w:rsid w:val="00606670"/>
    <w:rsid w:val="00606716"/>
    <w:rsid w:val="00606C4A"/>
    <w:rsid w:val="0060744A"/>
    <w:rsid w:val="0060763F"/>
    <w:rsid w:val="00607A37"/>
    <w:rsid w:val="00607A60"/>
    <w:rsid w:val="00607C5E"/>
    <w:rsid w:val="00607DC2"/>
    <w:rsid w:val="00607FDC"/>
    <w:rsid w:val="00610000"/>
    <w:rsid w:val="0061097B"/>
    <w:rsid w:val="00610C09"/>
    <w:rsid w:val="006110E2"/>
    <w:rsid w:val="00611214"/>
    <w:rsid w:val="006113A4"/>
    <w:rsid w:val="00611529"/>
    <w:rsid w:val="00611721"/>
    <w:rsid w:val="00611830"/>
    <w:rsid w:val="00611885"/>
    <w:rsid w:val="00611937"/>
    <w:rsid w:val="006119AC"/>
    <w:rsid w:val="00611B4A"/>
    <w:rsid w:val="00611BB8"/>
    <w:rsid w:val="00611C85"/>
    <w:rsid w:val="00611DDB"/>
    <w:rsid w:val="00611E28"/>
    <w:rsid w:val="00612731"/>
    <w:rsid w:val="006128F1"/>
    <w:rsid w:val="00612A03"/>
    <w:rsid w:val="00612B5C"/>
    <w:rsid w:val="00613010"/>
    <w:rsid w:val="006135EA"/>
    <w:rsid w:val="00613717"/>
    <w:rsid w:val="0061397C"/>
    <w:rsid w:val="00613FC4"/>
    <w:rsid w:val="00614017"/>
    <w:rsid w:val="0061463E"/>
    <w:rsid w:val="00614863"/>
    <w:rsid w:val="00614997"/>
    <w:rsid w:val="00614B3B"/>
    <w:rsid w:val="006152E5"/>
    <w:rsid w:val="00615445"/>
    <w:rsid w:val="0061579C"/>
    <w:rsid w:val="006160E8"/>
    <w:rsid w:val="0061629D"/>
    <w:rsid w:val="006162B8"/>
    <w:rsid w:val="006163A4"/>
    <w:rsid w:val="00616428"/>
    <w:rsid w:val="00616D35"/>
    <w:rsid w:val="00616E15"/>
    <w:rsid w:val="00616EF4"/>
    <w:rsid w:val="00617424"/>
    <w:rsid w:val="00617677"/>
    <w:rsid w:val="00617992"/>
    <w:rsid w:val="006179A2"/>
    <w:rsid w:val="00617B25"/>
    <w:rsid w:val="00617D46"/>
    <w:rsid w:val="006201EC"/>
    <w:rsid w:val="00620267"/>
    <w:rsid w:val="006209F0"/>
    <w:rsid w:val="00620BB1"/>
    <w:rsid w:val="00620E76"/>
    <w:rsid w:val="00620FE1"/>
    <w:rsid w:val="00621195"/>
    <w:rsid w:val="00621253"/>
    <w:rsid w:val="00622090"/>
    <w:rsid w:val="00622227"/>
    <w:rsid w:val="006225C0"/>
    <w:rsid w:val="006226CB"/>
    <w:rsid w:val="006226ED"/>
    <w:rsid w:val="00622B03"/>
    <w:rsid w:val="00622B6A"/>
    <w:rsid w:val="00622BBE"/>
    <w:rsid w:val="00622EE2"/>
    <w:rsid w:val="00622FF7"/>
    <w:rsid w:val="00623505"/>
    <w:rsid w:val="00623734"/>
    <w:rsid w:val="00624204"/>
    <w:rsid w:val="006242AB"/>
    <w:rsid w:val="006243D9"/>
    <w:rsid w:val="00624405"/>
    <w:rsid w:val="006246CF"/>
    <w:rsid w:val="0062501B"/>
    <w:rsid w:val="00625200"/>
    <w:rsid w:val="00625681"/>
    <w:rsid w:val="00625884"/>
    <w:rsid w:val="00625AA9"/>
    <w:rsid w:val="00625BF3"/>
    <w:rsid w:val="00625CAF"/>
    <w:rsid w:val="0062619A"/>
    <w:rsid w:val="006262C4"/>
    <w:rsid w:val="00626355"/>
    <w:rsid w:val="00626626"/>
    <w:rsid w:val="0062662A"/>
    <w:rsid w:val="00626667"/>
    <w:rsid w:val="00626BF7"/>
    <w:rsid w:val="006270BD"/>
    <w:rsid w:val="00627696"/>
    <w:rsid w:val="0062774F"/>
    <w:rsid w:val="00627A51"/>
    <w:rsid w:val="00627B9F"/>
    <w:rsid w:val="00627CF1"/>
    <w:rsid w:val="00627FD2"/>
    <w:rsid w:val="00630254"/>
    <w:rsid w:val="00630C09"/>
    <w:rsid w:val="00630CAF"/>
    <w:rsid w:val="00630CFF"/>
    <w:rsid w:val="00630FC8"/>
    <w:rsid w:val="00631363"/>
    <w:rsid w:val="006317A5"/>
    <w:rsid w:val="006317B8"/>
    <w:rsid w:val="00631975"/>
    <w:rsid w:val="00631E86"/>
    <w:rsid w:val="0063209A"/>
    <w:rsid w:val="00632614"/>
    <w:rsid w:val="00632915"/>
    <w:rsid w:val="00632AB3"/>
    <w:rsid w:val="00632BF4"/>
    <w:rsid w:val="00632EDD"/>
    <w:rsid w:val="00633114"/>
    <w:rsid w:val="00633181"/>
    <w:rsid w:val="0063342C"/>
    <w:rsid w:val="006335DB"/>
    <w:rsid w:val="006336ED"/>
    <w:rsid w:val="0063398E"/>
    <w:rsid w:val="00633CFA"/>
    <w:rsid w:val="00633DB0"/>
    <w:rsid w:val="00633DEE"/>
    <w:rsid w:val="00633E52"/>
    <w:rsid w:val="00634485"/>
    <w:rsid w:val="00634514"/>
    <w:rsid w:val="006345F4"/>
    <w:rsid w:val="00634825"/>
    <w:rsid w:val="006348E1"/>
    <w:rsid w:val="00634C8F"/>
    <w:rsid w:val="006359A1"/>
    <w:rsid w:val="00635B7D"/>
    <w:rsid w:val="00635F4D"/>
    <w:rsid w:val="00636174"/>
    <w:rsid w:val="006361EB"/>
    <w:rsid w:val="0063622D"/>
    <w:rsid w:val="006362FC"/>
    <w:rsid w:val="006363AA"/>
    <w:rsid w:val="006366C4"/>
    <w:rsid w:val="0063692A"/>
    <w:rsid w:val="00636933"/>
    <w:rsid w:val="006369CC"/>
    <w:rsid w:val="00636AB5"/>
    <w:rsid w:val="006373DD"/>
    <w:rsid w:val="00637C00"/>
    <w:rsid w:val="00637E5B"/>
    <w:rsid w:val="00640541"/>
    <w:rsid w:val="00640AC3"/>
    <w:rsid w:val="00640B60"/>
    <w:rsid w:val="00640C4D"/>
    <w:rsid w:val="00641096"/>
    <w:rsid w:val="006410DC"/>
    <w:rsid w:val="0064115D"/>
    <w:rsid w:val="006412D0"/>
    <w:rsid w:val="0064140F"/>
    <w:rsid w:val="0064152E"/>
    <w:rsid w:val="006415C2"/>
    <w:rsid w:val="006419C3"/>
    <w:rsid w:val="00641BBA"/>
    <w:rsid w:val="00641BFE"/>
    <w:rsid w:val="00641D81"/>
    <w:rsid w:val="0064201C"/>
    <w:rsid w:val="0064230E"/>
    <w:rsid w:val="006423CC"/>
    <w:rsid w:val="006425D3"/>
    <w:rsid w:val="0064287C"/>
    <w:rsid w:val="00642923"/>
    <w:rsid w:val="006429CB"/>
    <w:rsid w:val="00642D1D"/>
    <w:rsid w:val="006432E5"/>
    <w:rsid w:val="0064357D"/>
    <w:rsid w:val="00643988"/>
    <w:rsid w:val="00643A05"/>
    <w:rsid w:val="0064457C"/>
    <w:rsid w:val="0064461C"/>
    <w:rsid w:val="00644859"/>
    <w:rsid w:val="00645277"/>
    <w:rsid w:val="00645306"/>
    <w:rsid w:val="006454C2"/>
    <w:rsid w:val="00645517"/>
    <w:rsid w:val="00645567"/>
    <w:rsid w:val="006457C4"/>
    <w:rsid w:val="006458FF"/>
    <w:rsid w:val="00645A98"/>
    <w:rsid w:val="00645B0E"/>
    <w:rsid w:val="00645E42"/>
    <w:rsid w:val="00645E51"/>
    <w:rsid w:val="00645FB3"/>
    <w:rsid w:val="0064627C"/>
    <w:rsid w:val="006466F6"/>
    <w:rsid w:val="006468E2"/>
    <w:rsid w:val="006469CE"/>
    <w:rsid w:val="00646AE6"/>
    <w:rsid w:val="00646AF9"/>
    <w:rsid w:val="00646BE8"/>
    <w:rsid w:val="00646DA1"/>
    <w:rsid w:val="00646F75"/>
    <w:rsid w:val="00647117"/>
    <w:rsid w:val="006471B9"/>
    <w:rsid w:val="00647608"/>
    <w:rsid w:val="006476D8"/>
    <w:rsid w:val="00647706"/>
    <w:rsid w:val="006478A1"/>
    <w:rsid w:val="00647A24"/>
    <w:rsid w:val="00647D04"/>
    <w:rsid w:val="00647E32"/>
    <w:rsid w:val="00647E33"/>
    <w:rsid w:val="00650067"/>
    <w:rsid w:val="0065018C"/>
    <w:rsid w:val="0065025B"/>
    <w:rsid w:val="00650358"/>
    <w:rsid w:val="00650645"/>
    <w:rsid w:val="00650FAD"/>
    <w:rsid w:val="0065141E"/>
    <w:rsid w:val="00651440"/>
    <w:rsid w:val="00651874"/>
    <w:rsid w:val="006518E0"/>
    <w:rsid w:val="00651A0C"/>
    <w:rsid w:val="00651B9A"/>
    <w:rsid w:val="00651DA8"/>
    <w:rsid w:val="00651EF6"/>
    <w:rsid w:val="006521F8"/>
    <w:rsid w:val="00652246"/>
    <w:rsid w:val="00652325"/>
    <w:rsid w:val="006528DD"/>
    <w:rsid w:val="00652E98"/>
    <w:rsid w:val="0065339E"/>
    <w:rsid w:val="006533B0"/>
    <w:rsid w:val="006533BC"/>
    <w:rsid w:val="006536C8"/>
    <w:rsid w:val="0065397E"/>
    <w:rsid w:val="00653BA4"/>
    <w:rsid w:val="00654499"/>
    <w:rsid w:val="0065485C"/>
    <w:rsid w:val="00654B91"/>
    <w:rsid w:val="00654E48"/>
    <w:rsid w:val="00654FEB"/>
    <w:rsid w:val="006551DF"/>
    <w:rsid w:val="00655208"/>
    <w:rsid w:val="00655784"/>
    <w:rsid w:val="00655814"/>
    <w:rsid w:val="006558A4"/>
    <w:rsid w:val="00655A7A"/>
    <w:rsid w:val="00655BBB"/>
    <w:rsid w:val="00655C00"/>
    <w:rsid w:val="00655D20"/>
    <w:rsid w:val="00655DA8"/>
    <w:rsid w:val="00656387"/>
    <w:rsid w:val="0065652F"/>
    <w:rsid w:val="0065672E"/>
    <w:rsid w:val="00656A6A"/>
    <w:rsid w:val="00656C6C"/>
    <w:rsid w:val="00656CAF"/>
    <w:rsid w:val="00656CBD"/>
    <w:rsid w:val="00656F2A"/>
    <w:rsid w:val="00656F47"/>
    <w:rsid w:val="00656F4E"/>
    <w:rsid w:val="006572A2"/>
    <w:rsid w:val="006573B8"/>
    <w:rsid w:val="00657865"/>
    <w:rsid w:val="0065789A"/>
    <w:rsid w:val="006578E8"/>
    <w:rsid w:val="00657B11"/>
    <w:rsid w:val="00657E7A"/>
    <w:rsid w:val="00657FA7"/>
    <w:rsid w:val="006600F5"/>
    <w:rsid w:val="0066038D"/>
    <w:rsid w:val="006605E4"/>
    <w:rsid w:val="0066099F"/>
    <w:rsid w:val="00660AB3"/>
    <w:rsid w:val="00660B64"/>
    <w:rsid w:val="00660C85"/>
    <w:rsid w:val="00660E17"/>
    <w:rsid w:val="006610CC"/>
    <w:rsid w:val="00661135"/>
    <w:rsid w:val="0066118D"/>
    <w:rsid w:val="00661205"/>
    <w:rsid w:val="0066146A"/>
    <w:rsid w:val="00661934"/>
    <w:rsid w:val="00661940"/>
    <w:rsid w:val="0066204B"/>
    <w:rsid w:val="006626A7"/>
    <w:rsid w:val="00662783"/>
    <w:rsid w:val="00662CAE"/>
    <w:rsid w:val="0066306F"/>
    <w:rsid w:val="006630D0"/>
    <w:rsid w:val="006632D3"/>
    <w:rsid w:val="00663BD2"/>
    <w:rsid w:val="00663C4E"/>
    <w:rsid w:val="00663E49"/>
    <w:rsid w:val="00663F81"/>
    <w:rsid w:val="006640BE"/>
    <w:rsid w:val="006640CD"/>
    <w:rsid w:val="00664273"/>
    <w:rsid w:val="00664298"/>
    <w:rsid w:val="006642DF"/>
    <w:rsid w:val="00664343"/>
    <w:rsid w:val="00664440"/>
    <w:rsid w:val="006644C0"/>
    <w:rsid w:val="006646AF"/>
    <w:rsid w:val="00664B18"/>
    <w:rsid w:val="00664B63"/>
    <w:rsid w:val="00664B8C"/>
    <w:rsid w:val="00664C89"/>
    <w:rsid w:val="00664D40"/>
    <w:rsid w:val="00664F3A"/>
    <w:rsid w:val="00664FFF"/>
    <w:rsid w:val="0066531B"/>
    <w:rsid w:val="0066543B"/>
    <w:rsid w:val="00665592"/>
    <w:rsid w:val="006656D4"/>
    <w:rsid w:val="0066577E"/>
    <w:rsid w:val="00665B10"/>
    <w:rsid w:val="00665D62"/>
    <w:rsid w:val="0066605F"/>
    <w:rsid w:val="006660D7"/>
    <w:rsid w:val="006661F9"/>
    <w:rsid w:val="00666206"/>
    <w:rsid w:val="00666524"/>
    <w:rsid w:val="00666D93"/>
    <w:rsid w:val="00666DC4"/>
    <w:rsid w:val="00666F52"/>
    <w:rsid w:val="00667639"/>
    <w:rsid w:val="00667889"/>
    <w:rsid w:val="00667D48"/>
    <w:rsid w:val="006700E0"/>
    <w:rsid w:val="006700E4"/>
    <w:rsid w:val="006701B1"/>
    <w:rsid w:val="00670D01"/>
    <w:rsid w:val="00670E6E"/>
    <w:rsid w:val="00670FCA"/>
    <w:rsid w:val="006713DE"/>
    <w:rsid w:val="00671799"/>
    <w:rsid w:val="006717B1"/>
    <w:rsid w:val="00671840"/>
    <w:rsid w:val="00671B1E"/>
    <w:rsid w:val="006721F8"/>
    <w:rsid w:val="0067226B"/>
    <w:rsid w:val="0067242C"/>
    <w:rsid w:val="0067269E"/>
    <w:rsid w:val="00672761"/>
    <w:rsid w:val="00672915"/>
    <w:rsid w:val="00672950"/>
    <w:rsid w:val="00672D66"/>
    <w:rsid w:val="00672E02"/>
    <w:rsid w:val="00673568"/>
    <w:rsid w:val="00673A28"/>
    <w:rsid w:val="00673A56"/>
    <w:rsid w:val="00673CCB"/>
    <w:rsid w:val="00673FFD"/>
    <w:rsid w:val="0067414F"/>
    <w:rsid w:val="00674458"/>
    <w:rsid w:val="00674748"/>
    <w:rsid w:val="00674884"/>
    <w:rsid w:val="00674E26"/>
    <w:rsid w:val="00674EEA"/>
    <w:rsid w:val="00674F32"/>
    <w:rsid w:val="00675D17"/>
    <w:rsid w:val="00676342"/>
    <w:rsid w:val="00676484"/>
    <w:rsid w:val="006765EB"/>
    <w:rsid w:val="00676628"/>
    <w:rsid w:val="0067667F"/>
    <w:rsid w:val="00676B3B"/>
    <w:rsid w:val="00676D79"/>
    <w:rsid w:val="006772F9"/>
    <w:rsid w:val="006774B1"/>
    <w:rsid w:val="006776E8"/>
    <w:rsid w:val="00677864"/>
    <w:rsid w:val="00677949"/>
    <w:rsid w:val="00677A78"/>
    <w:rsid w:val="00677E4F"/>
    <w:rsid w:val="00677F30"/>
    <w:rsid w:val="00680048"/>
    <w:rsid w:val="0068010C"/>
    <w:rsid w:val="0068017B"/>
    <w:rsid w:val="006803E3"/>
    <w:rsid w:val="00680749"/>
    <w:rsid w:val="00680816"/>
    <w:rsid w:val="00680BDC"/>
    <w:rsid w:val="00680C03"/>
    <w:rsid w:val="00680CAB"/>
    <w:rsid w:val="00680E4D"/>
    <w:rsid w:val="00680E63"/>
    <w:rsid w:val="00681231"/>
    <w:rsid w:val="00681416"/>
    <w:rsid w:val="00681502"/>
    <w:rsid w:val="0068158B"/>
    <w:rsid w:val="0068158D"/>
    <w:rsid w:val="00681695"/>
    <w:rsid w:val="00681DD5"/>
    <w:rsid w:val="006827C8"/>
    <w:rsid w:val="00683090"/>
    <w:rsid w:val="0068327F"/>
    <w:rsid w:val="0068368E"/>
    <w:rsid w:val="0068395C"/>
    <w:rsid w:val="00683BC8"/>
    <w:rsid w:val="00683CED"/>
    <w:rsid w:val="00684672"/>
    <w:rsid w:val="00684A8A"/>
    <w:rsid w:val="00684D66"/>
    <w:rsid w:val="00685131"/>
    <w:rsid w:val="006852C6"/>
    <w:rsid w:val="00685BB5"/>
    <w:rsid w:val="00685D9B"/>
    <w:rsid w:val="00686254"/>
    <w:rsid w:val="00686545"/>
    <w:rsid w:val="00686658"/>
    <w:rsid w:val="00686859"/>
    <w:rsid w:val="00686B01"/>
    <w:rsid w:val="00686B96"/>
    <w:rsid w:val="00686E62"/>
    <w:rsid w:val="00686F1B"/>
    <w:rsid w:val="006870BD"/>
    <w:rsid w:val="0068747F"/>
    <w:rsid w:val="0068758F"/>
    <w:rsid w:val="00687908"/>
    <w:rsid w:val="00687BE0"/>
    <w:rsid w:val="00687CEE"/>
    <w:rsid w:val="00687D81"/>
    <w:rsid w:val="00690170"/>
    <w:rsid w:val="006901DF"/>
    <w:rsid w:val="00690308"/>
    <w:rsid w:val="00690372"/>
    <w:rsid w:val="0069038C"/>
    <w:rsid w:val="0069048D"/>
    <w:rsid w:val="00690633"/>
    <w:rsid w:val="006906A2"/>
    <w:rsid w:val="00690D8A"/>
    <w:rsid w:val="00690F99"/>
    <w:rsid w:val="00691117"/>
    <w:rsid w:val="006911E1"/>
    <w:rsid w:val="006913DD"/>
    <w:rsid w:val="00691926"/>
    <w:rsid w:val="00691ACC"/>
    <w:rsid w:val="00692A91"/>
    <w:rsid w:val="00692C25"/>
    <w:rsid w:val="00692E93"/>
    <w:rsid w:val="0069309A"/>
    <w:rsid w:val="0069347B"/>
    <w:rsid w:val="00693565"/>
    <w:rsid w:val="00693E0E"/>
    <w:rsid w:val="006940D5"/>
    <w:rsid w:val="006940F2"/>
    <w:rsid w:val="00694268"/>
    <w:rsid w:val="006942F8"/>
    <w:rsid w:val="00694335"/>
    <w:rsid w:val="00694615"/>
    <w:rsid w:val="006947FA"/>
    <w:rsid w:val="0069489E"/>
    <w:rsid w:val="00694EBD"/>
    <w:rsid w:val="00694FBC"/>
    <w:rsid w:val="0069505A"/>
    <w:rsid w:val="006950F6"/>
    <w:rsid w:val="006956BC"/>
    <w:rsid w:val="00695D73"/>
    <w:rsid w:val="0069606E"/>
    <w:rsid w:val="00696174"/>
    <w:rsid w:val="006962F0"/>
    <w:rsid w:val="00696362"/>
    <w:rsid w:val="00696586"/>
    <w:rsid w:val="00696605"/>
    <w:rsid w:val="006967C5"/>
    <w:rsid w:val="00696CA9"/>
    <w:rsid w:val="00696D5C"/>
    <w:rsid w:val="0069710E"/>
    <w:rsid w:val="00697631"/>
    <w:rsid w:val="006977C4"/>
    <w:rsid w:val="0069787F"/>
    <w:rsid w:val="00697D41"/>
    <w:rsid w:val="00697FF0"/>
    <w:rsid w:val="006A00E4"/>
    <w:rsid w:val="006A059A"/>
    <w:rsid w:val="006A074B"/>
    <w:rsid w:val="006A0D10"/>
    <w:rsid w:val="006A13B2"/>
    <w:rsid w:val="006A1514"/>
    <w:rsid w:val="006A1515"/>
    <w:rsid w:val="006A15E6"/>
    <w:rsid w:val="006A1731"/>
    <w:rsid w:val="006A1BA7"/>
    <w:rsid w:val="006A21AC"/>
    <w:rsid w:val="006A21C6"/>
    <w:rsid w:val="006A2214"/>
    <w:rsid w:val="006A22BA"/>
    <w:rsid w:val="006A2323"/>
    <w:rsid w:val="006A251F"/>
    <w:rsid w:val="006A271D"/>
    <w:rsid w:val="006A2C3D"/>
    <w:rsid w:val="006A3333"/>
    <w:rsid w:val="006A3360"/>
    <w:rsid w:val="006A33BF"/>
    <w:rsid w:val="006A3428"/>
    <w:rsid w:val="006A368B"/>
    <w:rsid w:val="006A3A2B"/>
    <w:rsid w:val="006A3E9F"/>
    <w:rsid w:val="006A3F87"/>
    <w:rsid w:val="006A41DD"/>
    <w:rsid w:val="006A442F"/>
    <w:rsid w:val="006A44B1"/>
    <w:rsid w:val="006A4524"/>
    <w:rsid w:val="006A453E"/>
    <w:rsid w:val="006A46AD"/>
    <w:rsid w:val="006A4750"/>
    <w:rsid w:val="006A4820"/>
    <w:rsid w:val="006A49C0"/>
    <w:rsid w:val="006A4C20"/>
    <w:rsid w:val="006A53C4"/>
    <w:rsid w:val="006A5641"/>
    <w:rsid w:val="006A596D"/>
    <w:rsid w:val="006A5C6A"/>
    <w:rsid w:val="006A5E04"/>
    <w:rsid w:val="006A61E1"/>
    <w:rsid w:val="006A650B"/>
    <w:rsid w:val="006A6701"/>
    <w:rsid w:val="006A69F8"/>
    <w:rsid w:val="006A6A44"/>
    <w:rsid w:val="006A6C52"/>
    <w:rsid w:val="006A6EC4"/>
    <w:rsid w:val="006A7290"/>
    <w:rsid w:val="006A72D0"/>
    <w:rsid w:val="006A7456"/>
    <w:rsid w:val="006A768B"/>
    <w:rsid w:val="006A7AD5"/>
    <w:rsid w:val="006A7D49"/>
    <w:rsid w:val="006B0318"/>
    <w:rsid w:val="006B0394"/>
    <w:rsid w:val="006B0466"/>
    <w:rsid w:val="006B0494"/>
    <w:rsid w:val="006B08E6"/>
    <w:rsid w:val="006B0902"/>
    <w:rsid w:val="006B1177"/>
    <w:rsid w:val="006B1442"/>
    <w:rsid w:val="006B15E5"/>
    <w:rsid w:val="006B164F"/>
    <w:rsid w:val="006B16FD"/>
    <w:rsid w:val="006B180F"/>
    <w:rsid w:val="006B188E"/>
    <w:rsid w:val="006B1B0A"/>
    <w:rsid w:val="006B275F"/>
    <w:rsid w:val="006B28E1"/>
    <w:rsid w:val="006B2A0B"/>
    <w:rsid w:val="006B2AA1"/>
    <w:rsid w:val="006B2F44"/>
    <w:rsid w:val="006B3037"/>
    <w:rsid w:val="006B31AF"/>
    <w:rsid w:val="006B33B7"/>
    <w:rsid w:val="006B35D5"/>
    <w:rsid w:val="006B377B"/>
    <w:rsid w:val="006B3871"/>
    <w:rsid w:val="006B3B94"/>
    <w:rsid w:val="006B416F"/>
    <w:rsid w:val="006B41AF"/>
    <w:rsid w:val="006B46A6"/>
    <w:rsid w:val="006B4E77"/>
    <w:rsid w:val="006B51AC"/>
    <w:rsid w:val="006B526C"/>
    <w:rsid w:val="006B52C6"/>
    <w:rsid w:val="006B55BA"/>
    <w:rsid w:val="006B594C"/>
    <w:rsid w:val="006B59CE"/>
    <w:rsid w:val="006B5B7E"/>
    <w:rsid w:val="006B608C"/>
    <w:rsid w:val="006B60FC"/>
    <w:rsid w:val="006B61C8"/>
    <w:rsid w:val="006B672A"/>
    <w:rsid w:val="006B6A68"/>
    <w:rsid w:val="006B6E1F"/>
    <w:rsid w:val="006B7143"/>
    <w:rsid w:val="006B7203"/>
    <w:rsid w:val="006B7513"/>
    <w:rsid w:val="006B75E6"/>
    <w:rsid w:val="006B7714"/>
    <w:rsid w:val="006B77E9"/>
    <w:rsid w:val="006B7824"/>
    <w:rsid w:val="006B794B"/>
    <w:rsid w:val="006B7B2B"/>
    <w:rsid w:val="006B7B89"/>
    <w:rsid w:val="006B7F44"/>
    <w:rsid w:val="006B7F68"/>
    <w:rsid w:val="006C0459"/>
    <w:rsid w:val="006C07CA"/>
    <w:rsid w:val="006C07D9"/>
    <w:rsid w:val="006C0AC5"/>
    <w:rsid w:val="006C0BD5"/>
    <w:rsid w:val="006C0C68"/>
    <w:rsid w:val="006C1085"/>
    <w:rsid w:val="006C1195"/>
    <w:rsid w:val="006C1309"/>
    <w:rsid w:val="006C15B5"/>
    <w:rsid w:val="006C15E4"/>
    <w:rsid w:val="006C1838"/>
    <w:rsid w:val="006C187A"/>
    <w:rsid w:val="006C209F"/>
    <w:rsid w:val="006C21AD"/>
    <w:rsid w:val="006C22EC"/>
    <w:rsid w:val="006C2380"/>
    <w:rsid w:val="006C242F"/>
    <w:rsid w:val="006C26A0"/>
    <w:rsid w:val="006C2E58"/>
    <w:rsid w:val="006C2EC3"/>
    <w:rsid w:val="006C33A5"/>
    <w:rsid w:val="006C359B"/>
    <w:rsid w:val="006C3791"/>
    <w:rsid w:val="006C397E"/>
    <w:rsid w:val="006C3A74"/>
    <w:rsid w:val="006C3BF7"/>
    <w:rsid w:val="006C3C58"/>
    <w:rsid w:val="006C3CB7"/>
    <w:rsid w:val="006C40E4"/>
    <w:rsid w:val="006C43F2"/>
    <w:rsid w:val="006C4456"/>
    <w:rsid w:val="006C4788"/>
    <w:rsid w:val="006C50A0"/>
    <w:rsid w:val="006C52AC"/>
    <w:rsid w:val="006C5A3C"/>
    <w:rsid w:val="006C6275"/>
    <w:rsid w:val="006C699B"/>
    <w:rsid w:val="006C7AB1"/>
    <w:rsid w:val="006C7D39"/>
    <w:rsid w:val="006D0122"/>
    <w:rsid w:val="006D0651"/>
    <w:rsid w:val="006D0710"/>
    <w:rsid w:val="006D08A7"/>
    <w:rsid w:val="006D097D"/>
    <w:rsid w:val="006D0AFA"/>
    <w:rsid w:val="006D0B6F"/>
    <w:rsid w:val="006D0B86"/>
    <w:rsid w:val="006D1124"/>
    <w:rsid w:val="006D1917"/>
    <w:rsid w:val="006D1AC9"/>
    <w:rsid w:val="006D1D4B"/>
    <w:rsid w:val="006D221F"/>
    <w:rsid w:val="006D2375"/>
    <w:rsid w:val="006D248C"/>
    <w:rsid w:val="006D266A"/>
    <w:rsid w:val="006D2C87"/>
    <w:rsid w:val="006D2DF9"/>
    <w:rsid w:val="006D2E80"/>
    <w:rsid w:val="006D2F02"/>
    <w:rsid w:val="006D308D"/>
    <w:rsid w:val="006D3288"/>
    <w:rsid w:val="006D32A3"/>
    <w:rsid w:val="006D32BB"/>
    <w:rsid w:val="006D33BE"/>
    <w:rsid w:val="006D343D"/>
    <w:rsid w:val="006D352D"/>
    <w:rsid w:val="006D36DC"/>
    <w:rsid w:val="006D3858"/>
    <w:rsid w:val="006D38B9"/>
    <w:rsid w:val="006D38BD"/>
    <w:rsid w:val="006D3A76"/>
    <w:rsid w:val="006D3D7E"/>
    <w:rsid w:val="006D3E4F"/>
    <w:rsid w:val="006D44E0"/>
    <w:rsid w:val="006D4524"/>
    <w:rsid w:val="006D461C"/>
    <w:rsid w:val="006D470F"/>
    <w:rsid w:val="006D4841"/>
    <w:rsid w:val="006D4A17"/>
    <w:rsid w:val="006D4AE7"/>
    <w:rsid w:val="006D4E30"/>
    <w:rsid w:val="006D4EB5"/>
    <w:rsid w:val="006D4F16"/>
    <w:rsid w:val="006D4FE5"/>
    <w:rsid w:val="006D50C5"/>
    <w:rsid w:val="006D5257"/>
    <w:rsid w:val="006D546C"/>
    <w:rsid w:val="006D5561"/>
    <w:rsid w:val="006D5A13"/>
    <w:rsid w:val="006D649D"/>
    <w:rsid w:val="006D6699"/>
    <w:rsid w:val="006D6749"/>
    <w:rsid w:val="006D682A"/>
    <w:rsid w:val="006D6A42"/>
    <w:rsid w:val="006D6B5E"/>
    <w:rsid w:val="006D6F42"/>
    <w:rsid w:val="006D6FF4"/>
    <w:rsid w:val="006D7043"/>
    <w:rsid w:val="006D70C4"/>
    <w:rsid w:val="006D713E"/>
    <w:rsid w:val="006D71FE"/>
    <w:rsid w:val="006D7316"/>
    <w:rsid w:val="006D73E8"/>
    <w:rsid w:val="006D75A2"/>
    <w:rsid w:val="006D7651"/>
    <w:rsid w:val="006D776D"/>
    <w:rsid w:val="006D7869"/>
    <w:rsid w:val="006D7B23"/>
    <w:rsid w:val="006D7D3F"/>
    <w:rsid w:val="006D7DCE"/>
    <w:rsid w:val="006E00F6"/>
    <w:rsid w:val="006E028E"/>
    <w:rsid w:val="006E0314"/>
    <w:rsid w:val="006E03A7"/>
    <w:rsid w:val="006E1115"/>
    <w:rsid w:val="006E1292"/>
    <w:rsid w:val="006E1335"/>
    <w:rsid w:val="006E158F"/>
    <w:rsid w:val="006E18B1"/>
    <w:rsid w:val="006E1B18"/>
    <w:rsid w:val="006E1F15"/>
    <w:rsid w:val="006E213C"/>
    <w:rsid w:val="006E280F"/>
    <w:rsid w:val="006E2A54"/>
    <w:rsid w:val="006E2AB0"/>
    <w:rsid w:val="006E2F0E"/>
    <w:rsid w:val="006E2F3B"/>
    <w:rsid w:val="006E3158"/>
    <w:rsid w:val="006E356E"/>
    <w:rsid w:val="006E3653"/>
    <w:rsid w:val="006E3657"/>
    <w:rsid w:val="006E368B"/>
    <w:rsid w:val="006E383F"/>
    <w:rsid w:val="006E3848"/>
    <w:rsid w:val="006E3B37"/>
    <w:rsid w:val="006E3C97"/>
    <w:rsid w:val="006E3D04"/>
    <w:rsid w:val="006E3EC9"/>
    <w:rsid w:val="006E41BB"/>
    <w:rsid w:val="006E444E"/>
    <w:rsid w:val="006E4A75"/>
    <w:rsid w:val="006E50F5"/>
    <w:rsid w:val="006E54F7"/>
    <w:rsid w:val="006E5785"/>
    <w:rsid w:val="006E5948"/>
    <w:rsid w:val="006E5F17"/>
    <w:rsid w:val="006E6387"/>
    <w:rsid w:val="006E65C3"/>
    <w:rsid w:val="006E690A"/>
    <w:rsid w:val="006E6B58"/>
    <w:rsid w:val="006E6C38"/>
    <w:rsid w:val="006E6C6E"/>
    <w:rsid w:val="006E70BB"/>
    <w:rsid w:val="006E7171"/>
    <w:rsid w:val="006E727E"/>
    <w:rsid w:val="006E7288"/>
    <w:rsid w:val="006E732E"/>
    <w:rsid w:val="006E74B5"/>
    <w:rsid w:val="006E770A"/>
    <w:rsid w:val="006E795A"/>
    <w:rsid w:val="006E79AF"/>
    <w:rsid w:val="006E7BF1"/>
    <w:rsid w:val="006E7EB1"/>
    <w:rsid w:val="006F0229"/>
    <w:rsid w:val="006F0286"/>
    <w:rsid w:val="006F04D8"/>
    <w:rsid w:val="006F06CB"/>
    <w:rsid w:val="006F0761"/>
    <w:rsid w:val="006F0A1B"/>
    <w:rsid w:val="006F0C81"/>
    <w:rsid w:val="006F0F10"/>
    <w:rsid w:val="006F0F9E"/>
    <w:rsid w:val="006F1BE7"/>
    <w:rsid w:val="006F1BEE"/>
    <w:rsid w:val="006F1C94"/>
    <w:rsid w:val="006F1CEE"/>
    <w:rsid w:val="006F1E45"/>
    <w:rsid w:val="006F204F"/>
    <w:rsid w:val="006F2100"/>
    <w:rsid w:val="006F239B"/>
    <w:rsid w:val="006F2445"/>
    <w:rsid w:val="006F2924"/>
    <w:rsid w:val="006F29BF"/>
    <w:rsid w:val="006F2CAB"/>
    <w:rsid w:val="006F348D"/>
    <w:rsid w:val="006F357E"/>
    <w:rsid w:val="006F3614"/>
    <w:rsid w:val="006F363B"/>
    <w:rsid w:val="006F3842"/>
    <w:rsid w:val="006F3A9B"/>
    <w:rsid w:val="006F3B1F"/>
    <w:rsid w:val="006F3B40"/>
    <w:rsid w:val="006F4122"/>
    <w:rsid w:val="006F412C"/>
    <w:rsid w:val="006F4393"/>
    <w:rsid w:val="006F4511"/>
    <w:rsid w:val="006F473B"/>
    <w:rsid w:val="006F4751"/>
    <w:rsid w:val="006F484E"/>
    <w:rsid w:val="006F4894"/>
    <w:rsid w:val="006F49D2"/>
    <w:rsid w:val="006F4B68"/>
    <w:rsid w:val="006F4DA8"/>
    <w:rsid w:val="006F5055"/>
    <w:rsid w:val="006F5504"/>
    <w:rsid w:val="006F55EA"/>
    <w:rsid w:val="006F5AA2"/>
    <w:rsid w:val="006F6179"/>
    <w:rsid w:val="006F62EE"/>
    <w:rsid w:val="006F680E"/>
    <w:rsid w:val="006F68F7"/>
    <w:rsid w:val="006F6C3B"/>
    <w:rsid w:val="006F70C2"/>
    <w:rsid w:val="006F73BD"/>
    <w:rsid w:val="006F75DB"/>
    <w:rsid w:val="006F7843"/>
    <w:rsid w:val="006F796D"/>
    <w:rsid w:val="006F7AD8"/>
    <w:rsid w:val="006F7C5F"/>
    <w:rsid w:val="006F7D6F"/>
    <w:rsid w:val="006F7E40"/>
    <w:rsid w:val="006F7EF4"/>
    <w:rsid w:val="006F7FB2"/>
    <w:rsid w:val="00700024"/>
    <w:rsid w:val="00700027"/>
    <w:rsid w:val="00700428"/>
    <w:rsid w:val="007006F6"/>
    <w:rsid w:val="007007E6"/>
    <w:rsid w:val="0070097C"/>
    <w:rsid w:val="00700C53"/>
    <w:rsid w:val="00700DC0"/>
    <w:rsid w:val="00700EA3"/>
    <w:rsid w:val="007012E3"/>
    <w:rsid w:val="007013ED"/>
    <w:rsid w:val="0070189A"/>
    <w:rsid w:val="00701AD0"/>
    <w:rsid w:val="00701D5D"/>
    <w:rsid w:val="00701DA3"/>
    <w:rsid w:val="00701DF7"/>
    <w:rsid w:val="00701E17"/>
    <w:rsid w:val="007021F1"/>
    <w:rsid w:val="0070255A"/>
    <w:rsid w:val="007027B0"/>
    <w:rsid w:val="0070285E"/>
    <w:rsid w:val="007029D6"/>
    <w:rsid w:val="00702AE2"/>
    <w:rsid w:val="00702C25"/>
    <w:rsid w:val="00702CB0"/>
    <w:rsid w:val="007030AB"/>
    <w:rsid w:val="007032CB"/>
    <w:rsid w:val="00703301"/>
    <w:rsid w:val="00703337"/>
    <w:rsid w:val="007033D9"/>
    <w:rsid w:val="007034DD"/>
    <w:rsid w:val="00703A0C"/>
    <w:rsid w:val="00703B5E"/>
    <w:rsid w:val="00703DD2"/>
    <w:rsid w:val="00704563"/>
    <w:rsid w:val="00704603"/>
    <w:rsid w:val="0070465A"/>
    <w:rsid w:val="00704763"/>
    <w:rsid w:val="0070476E"/>
    <w:rsid w:val="007051EE"/>
    <w:rsid w:val="007053A2"/>
    <w:rsid w:val="0070551D"/>
    <w:rsid w:val="00705673"/>
    <w:rsid w:val="00705824"/>
    <w:rsid w:val="00705869"/>
    <w:rsid w:val="007058AC"/>
    <w:rsid w:val="007058DF"/>
    <w:rsid w:val="00705D12"/>
    <w:rsid w:val="00705F57"/>
    <w:rsid w:val="00705FC7"/>
    <w:rsid w:val="00706120"/>
    <w:rsid w:val="007063C4"/>
    <w:rsid w:val="007063F1"/>
    <w:rsid w:val="00706499"/>
    <w:rsid w:val="0070672A"/>
    <w:rsid w:val="007069C8"/>
    <w:rsid w:val="00706FC3"/>
    <w:rsid w:val="00706FE5"/>
    <w:rsid w:val="007071E3"/>
    <w:rsid w:val="0070764E"/>
    <w:rsid w:val="007076D4"/>
    <w:rsid w:val="007077A5"/>
    <w:rsid w:val="00707833"/>
    <w:rsid w:val="00707B51"/>
    <w:rsid w:val="00707CB9"/>
    <w:rsid w:val="00710074"/>
    <w:rsid w:val="007109F7"/>
    <w:rsid w:val="00710B15"/>
    <w:rsid w:val="00710B26"/>
    <w:rsid w:val="00710CBD"/>
    <w:rsid w:val="007114B4"/>
    <w:rsid w:val="00711C0A"/>
    <w:rsid w:val="007125CA"/>
    <w:rsid w:val="00712892"/>
    <w:rsid w:val="007129B0"/>
    <w:rsid w:val="0071329B"/>
    <w:rsid w:val="007133AF"/>
    <w:rsid w:val="00713537"/>
    <w:rsid w:val="00713584"/>
    <w:rsid w:val="00713827"/>
    <w:rsid w:val="00713DD8"/>
    <w:rsid w:val="00713ED0"/>
    <w:rsid w:val="0071419A"/>
    <w:rsid w:val="0071427D"/>
    <w:rsid w:val="00714702"/>
    <w:rsid w:val="00714D34"/>
    <w:rsid w:val="00714D73"/>
    <w:rsid w:val="00715155"/>
    <w:rsid w:val="00715179"/>
    <w:rsid w:val="007152B4"/>
    <w:rsid w:val="007157C5"/>
    <w:rsid w:val="007157FC"/>
    <w:rsid w:val="00715E87"/>
    <w:rsid w:val="00715F6F"/>
    <w:rsid w:val="00715FAF"/>
    <w:rsid w:val="00716002"/>
    <w:rsid w:val="00716263"/>
    <w:rsid w:val="007166F4"/>
    <w:rsid w:val="00716963"/>
    <w:rsid w:val="00716AB3"/>
    <w:rsid w:val="00716CFA"/>
    <w:rsid w:val="00716D02"/>
    <w:rsid w:val="00716E6B"/>
    <w:rsid w:val="00717077"/>
    <w:rsid w:val="007170BF"/>
    <w:rsid w:val="007171E4"/>
    <w:rsid w:val="00717CF5"/>
    <w:rsid w:val="00717F93"/>
    <w:rsid w:val="007205AB"/>
    <w:rsid w:val="00720CBF"/>
    <w:rsid w:val="00720CFD"/>
    <w:rsid w:val="00721690"/>
    <w:rsid w:val="007218F5"/>
    <w:rsid w:val="00721BA4"/>
    <w:rsid w:val="0072251B"/>
    <w:rsid w:val="007225B6"/>
    <w:rsid w:val="007228F9"/>
    <w:rsid w:val="00722AD7"/>
    <w:rsid w:val="00723336"/>
    <w:rsid w:val="0072348F"/>
    <w:rsid w:val="007234EA"/>
    <w:rsid w:val="00723651"/>
    <w:rsid w:val="00723837"/>
    <w:rsid w:val="007238B0"/>
    <w:rsid w:val="00723B0B"/>
    <w:rsid w:val="00723B32"/>
    <w:rsid w:val="00723B7B"/>
    <w:rsid w:val="00723EB2"/>
    <w:rsid w:val="0072402F"/>
    <w:rsid w:val="007243F6"/>
    <w:rsid w:val="007247A1"/>
    <w:rsid w:val="00724934"/>
    <w:rsid w:val="00724982"/>
    <w:rsid w:val="00724D71"/>
    <w:rsid w:val="00724DD6"/>
    <w:rsid w:val="00724F5F"/>
    <w:rsid w:val="0072504C"/>
    <w:rsid w:val="0072517A"/>
    <w:rsid w:val="0072554F"/>
    <w:rsid w:val="007255C5"/>
    <w:rsid w:val="00725780"/>
    <w:rsid w:val="00725991"/>
    <w:rsid w:val="007260D4"/>
    <w:rsid w:val="00726569"/>
    <w:rsid w:val="00726778"/>
    <w:rsid w:val="00726785"/>
    <w:rsid w:val="007269A0"/>
    <w:rsid w:val="00726BAA"/>
    <w:rsid w:val="00726E3C"/>
    <w:rsid w:val="00726F48"/>
    <w:rsid w:val="00726F82"/>
    <w:rsid w:val="00726FD3"/>
    <w:rsid w:val="0072728F"/>
    <w:rsid w:val="00727308"/>
    <w:rsid w:val="00727569"/>
    <w:rsid w:val="007275A3"/>
    <w:rsid w:val="00727D8B"/>
    <w:rsid w:val="00727F30"/>
    <w:rsid w:val="007301CF"/>
    <w:rsid w:val="007305B2"/>
    <w:rsid w:val="00730875"/>
    <w:rsid w:val="00730A97"/>
    <w:rsid w:val="00730D7D"/>
    <w:rsid w:val="00730EA8"/>
    <w:rsid w:val="00731497"/>
    <w:rsid w:val="00731703"/>
    <w:rsid w:val="0073175F"/>
    <w:rsid w:val="00731B49"/>
    <w:rsid w:val="00731B8A"/>
    <w:rsid w:val="00731E32"/>
    <w:rsid w:val="007322FF"/>
    <w:rsid w:val="00732345"/>
    <w:rsid w:val="007328A3"/>
    <w:rsid w:val="00732A16"/>
    <w:rsid w:val="00732C34"/>
    <w:rsid w:val="00732D2D"/>
    <w:rsid w:val="00732D53"/>
    <w:rsid w:val="00732E0F"/>
    <w:rsid w:val="00733181"/>
    <w:rsid w:val="007334C0"/>
    <w:rsid w:val="007336A2"/>
    <w:rsid w:val="00733926"/>
    <w:rsid w:val="007339E3"/>
    <w:rsid w:val="00733F2E"/>
    <w:rsid w:val="007342E0"/>
    <w:rsid w:val="0073461F"/>
    <w:rsid w:val="00734C6B"/>
    <w:rsid w:val="007351EF"/>
    <w:rsid w:val="00735319"/>
    <w:rsid w:val="007353B6"/>
    <w:rsid w:val="00735688"/>
    <w:rsid w:val="00735A75"/>
    <w:rsid w:val="00735B35"/>
    <w:rsid w:val="00736641"/>
    <w:rsid w:val="00736799"/>
    <w:rsid w:val="00736838"/>
    <w:rsid w:val="00736C18"/>
    <w:rsid w:val="00736C5F"/>
    <w:rsid w:val="00736E37"/>
    <w:rsid w:val="007370E7"/>
    <w:rsid w:val="00737287"/>
    <w:rsid w:val="0073742E"/>
    <w:rsid w:val="007379F2"/>
    <w:rsid w:val="00737BB0"/>
    <w:rsid w:val="00737BD4"/>
    <w:rsid w:val="00737C55"/>
    <w:rsid w:val="00737E01"/>
    <w:rsid w:val="00737E19"/>
    <w:rsid w:val="00737E68"/>
    <w:rsid w:val="00737F63"/>
    <w:rsid w:val="00740747"/>
    <w:rsid w:val="007407CF"/>
    <w:rsid w:val="007408D4"/>
    <w:rsid w:val="00740A5C"/>
    <w:rsid w:val="00740E76"/>
    <w:rsid w:val="00740FC2"/>
    <w:rsid w:val="007410D5"/>
    <w:rsid w:val="0074117F"/>
    <w:rsid w:val="0074119A"/>
    <w:rsid w:val="007412F5"/>
    <w:rsid w:val="00741625"/>
    <w:rsid w:val="00741762"/>
    <w:rsid w:val="00741876"/>
    <w:rsid w:val="00741D9E"/>
    <w:rsid w:val="00741F69"/>
    <w:rsid w:val="00742146"/>
    <w:rsid w:val="007421D1"/>
    <w:rsid w:val="00742467"/>
    <w:rsid w:val="007429DE"/>
    <w:rsid w:val="00742EE8"/>
    <w:rsid w:val="00742F2E"/>
    <w:rsid w:val="00742F49"/>
    <w:rsid w:val="00743031"/>
    <w:rsid w:val="00743192"/>
    <w:rsid w:val="007431C5"/>
    <w:rsid w:val="0074327B"/>
    <w:rsid w:val="0074373A"/>
    <w:rsid w:val="007438B7"/>
    <w:rsid w:val="007439E6"/>
    <w:rsid w:val="007439FC"/>
    <w:rsid w:val="00743CA2"/>
    <w:rsid w:val="00743D4D"/>
    <w:rsid w:val="00743D6D"/>
    <w:rsid w:val="00743F55"/>
    <w:rsid w:val="00744909"/>
    <w:rsid w:val="00744C7E"/>
    <w:rsid w:val="00744D1C"/>
    <w:rsid w:val="00745101"/>
    <w:rsid w:val="0074511C"/>
    <w:rsid w:val="00745316"/>
    <w:rsid w:val="00745405"/>
    <w:rsid w:val="007454E9"/>
    <w:rsid w:val="0074586A"/>
    <w:rsid w:val="00745BAF"/>
    <w:rsid w:val="00745BC8"/>
    <w:rsid w:val="00745F86"/>
    <w:rsid w:val="007461BE"/>
    <w:rsid w:val="00746281"/>
    <w:rsid w:val="007465B1"/>
    <w:rsid w:val="007466CB"/>
    <w:rsid w:val="00746A60"/>
    <w:rsid w:val="00746B37"/>
    <w:rsid w:val="00746C47"/>
    <w:rsid w:val="00746C97"/>
    <w:rsid w:val="00746E6C"/>
    <w:rsid w:val="00746FC4"/>
    <w:rsid w:val="007470DB"/>
    <w:rsid w:val="007470F7"/>
    <w:rsid w:val="00747120"/>
    <w:rsid w:val="00747165"/>
    <w:rsid w:val="00747198"/>
    <w:rsid w:val="00747556"/>
    <w:rsid w:val="00747722"/>
    <w:rsid w:val="007478DD"/>
    <w:rsid w:val="00747B99"/>
    <w:rsid w:val="00747C8D"/>
    <w:rsid w:val="00747D0D"/>
    <w:rsid w:val="00747DE5"/>
    <w:rsid w:val="00747F4A"/>
    <w:rsid w:val="007501DF"/>
    <w:rsid w:val="0075024F"/>
    <w:rsid w:val="007506F6"/>
    <w:rsid w:val="00750A36"/>
    <w:rsid w:val="00750AF5"/>
    <w:rsid w:val="00750CC8"/>
    <w:rsid w:val="007510EA"/>
    <w:rsid w:val="00751210"/>
    <w:rsid w:val="007513A7"/>
    <w:rsid w:val="007515AA"/>
    <w:rsid w:val="00751700"/>
    <w:rsid w:val="007517C0"/>
    <w:rsid w:val="0075180D"/>
    <w:rsid w:val="00751C49"/>
    <w:rsid w:val="00751D1E"/>
    <w:rsid w:val="007522A2"/>
    <w:rsid w:val="00752568"/>
    <w:rsid w:val="007528CE"/>
    <w:rsid w:val="007528F1"/>
    <w:rsid w:val="00752953"/>
    <w:rsid w:val="00752D3E"/>
    <w:rsid w:val="00752F04"/>
    <w:rsid w:val="00753064"/>
    <w:rsid w:val="007531EF"/>
    <w:rsid w:val="00753441"/>
    <w:rsid w:val="00753731"/>
    <w:rsid w:val="00753801"/>
    <w:rsid w:val="00753D3C"/>
    <w:rsid w:val="00753DD5"/>
    <w:rsid w:val="00754096"/>
    <w:rsid w:val="00754121"/>
    <w:rsid w:val="00754160"/>
    <w:rsid w:val="007544FE"/>
    <w:rsid w:val="00754818"/>
    <w:rsid w:val="00754D08"/>
    <w:rsid w:val="00754FCF"/>
    <w:rsid w:val="007551FA"/>
    <w:rsid w:val="00755C1B"/>
    <w:rsid w:val="00755CFC"/>
    <w:rsid w:val="00755E6A"/>
    <w:rsid w:val="0075616A"/>
    <w:rsid w:val="007561A3"/>
    <w:rsid w:val="00756250"/>
    <w:rsid w:val="0075627C"/>
    <w:rsid w:val="00756351"/>
    <w:rsid w:val="007564FD"/>
    <w:rsid w:val="00756655"/>
    <w:rsid w:val="00756662"/>
    <w:rsid w:val="00756C8E"/>
    <w:rsid w:val="00757125"/>
    <w:rsid w:val="007577FB"/>
    <w:rsid w:val="0075785E"/>
    <w:rsid w:val="007578D2"/>
    <w:rsid w:val="00757D86"/>
    <w:rsid w:val="007602D0"/>
    <w:rsid w:val="00760347"/>
    <w:rsid w:val="007603CD"/>
    <w:rsid w:val="0076051F"/>
    <w:rsid w:val="0076060B"/>
    <w:rsid w:val="00760853"/>
    <w:rsid w:val="00760BC6"/>
    <w:rsid w:val="00760CFB"/>
    <w:rsid w:val="00760EAE"/>
    <w:rsid w:val="00761110"/>
    <w:rsid w:val="007612C5"/>
    <w:rsid w:val="007619DF"/>
    <w:rsid w:val="00761E26"/>
    <w:rsid w:val="0076210F"/>
    <w:rsid w:val="007621DF"/>
    <w:rsid w:val="007622FF"/>
    <w:rsid w:val="0076265A"/>
    <w:rsid w:val="00762962"/>
    <w:rsid w:val="007629CF"/>
    <w:rsid w:val="007632C1"/>
    <w:rsid w:val="007632E3"/>
    <w:rsid w:val="00763548"/>
    <w:rsid w:val="0076360B"/>
    <w:rsid w:val="00763D18"/>
    <w:rsid w:val="00763F14"/>
    <w:rsid w:val="0076415D"/>
    <w:rsid w:val="0076430A"/>
    <w:rsid w:val="007643BF"/>
    <w:rsid w:val="00764404"/>
    <w:rsid w:val="00764B2C"/>
    <w:rsid w:val="00764B9D"/>
    <w:rsid w:val="007653C2"/>
    <w:rsid w:val="00765745"/>
    <w:rsid w:val="00766193"/>
    <w:rsid w:val="0076627A"/>
    <w:rsid w:val="00766F57"/>
    <w:rsid w:val="007671EE"/>
    <w:rsid w:val="00767978"/>
    <w:rsid w:val="00767EB8"/>
    <w:rsid w:val="00770025"/>
    <w:rsid w:val="007702A7"/>
    <w:rsid w:val="0077082E"/>
    <w:rsid w:val="00770920"/>
    <w:rsid w:val="00770997"/>
    <w:rsid w:val="00770AE6"/>
    <w:rsid w:val="00770BCD"/>
    <w:rsid w:val="00771507"/>
    <w:rsid w:val="007719F4"/>
    <w:rsid w:val="00772218"/>
    <w:rsid w:val="00772569"/>
    <w:rsid w:val="0077257F"/>
    <w:rsid w:val="00772E9B"/>
    <w:rsid w:val="00773024"/>
    <w:rsid w:val="007731B1"/>
    <w:rsid w:val="00773390"/>
    <w:rsid w:val="007733D3"/>
    <w:rsid w:val="007735D4"/>
    <w:rsid w:val="0077374B"/>
    <w:rsid w:val="00773B5A"/>
    <w:rsid w:val="00773B7D"/>
    <w:rsid w:val="00773BA1"/>
    <w:rsid w:val="00773CF2"/>
    <w:rsid w:val="007741CA"/>
    <w:rsid w:val="00774695"/>
    <w:rsid w:val="00774A38"/>
    <w:rsid w:val="00774F74"/>
    <w:rsid w:val="007751AC"/>
    <w:rsid w:val="007753C3"/>
    <w:rsid w:val="0077548A"/>
    <w:rsid w:val="00775734"/>
    <w:rsid w:val="0077580B"/>
    <w:rsid w:val="00776003"/>
    <w:rsid w:val="00776732"/>
    <w:rsid w:val="00776877"/>
    <w:rsid w:val="00776D15"/>
    <w:rsid w:val="00776D2A"/>
    <w:rsid w:val="00777085"/>
    <w:rsid w:val="0077713B"/>
    <w:rsid w:val="00777215"/>
    <w:rsid w:val="00777272"/>
    <w:rsid w:val="007776FF"/>
    <w:rsid w:val="00777E59"/>
    <w:rsid w:val="00777EA6"/>
    <w:rsid w:val="00777EBA"/>
    <w:rsid w:val="00777F2A"/>
    <w:rsid w:val="007803EE"/>
    <w:rsid w:val="0078056A"/>
    <w:rsid w:val="007806CB"/>
    <w:rsid w:val="00780829"/>
    <w:rsid w:val="007808EA"/>
    <w:rsid w:val="007808F3"/>
    <w:rsid w:val="00780C52"/>
    <w:rsid w:val="00780D62"/>
    <w:rsid w:val="0078104C"/>
    <w:rsid w:val="00781787"/>
    <w:rsid w:val="00781A2E"/>
    <w:rsid w:val="00781B1D"/>
    <w:rsid w:val="00781C03"/>
    <w:rsid w:val="00781D38"/>
    <w:rsid w:val="00782263"/>
    <w:rsid w:val="007825D6"/>
    <w:rsid w:val="0078281A"/>
    <w:rsid w:val="00782C1E"/>
    <w:rsid w:val="00782CDC"/>
    <w:rsid w:val="00783143"/>
    <w:rsid w:val="0078382A"/>
    <w:rsid w:val="00783D48"/>
    <w:rsid w:val="007840B9"/>
    <w:rsid w:val="007844DA"/>
    <w:rsid w:val="00784B6B"/>
    <w:rsid w:val="00784CC1"/>
    <w:rsid w:val="00784D9C"/>
    <w:rsid w:val="00784DAD"/>
    <w:rsid w:val="00784E77"/>
    <w:rsid w:val="00785273"/>
    <w:rsid w:val="007852AD"/>
    <w:rsid w:val="007853FB"/>
    <w:rsid w:val="00785567"/>
    <w:rsid w:val="00785576"/>
    <w:rsid w:val="007855B0"/>
    <w:rsid w:val="007855F4"/>
    <w:rsid w:val="00785645"/>
    <w:rsid w:val="0078565A"/>
    <w:rsid w:val="00785723"/>
    <w:rsid w:val="00785958"/>
    <w:rsid w:val="00785ADC"/>
    <w:rsid w:val="00785B96"/>
    <w:rsid w:val="00785F3C"/>
    <w:rsid w:val="0078602E"/>
    <w:rsid w:val="007860A5"/>
    <w:rsid w:val="007860FF"/>
    <w:rsid w:val="0078637B"/>
    <w:rsid w:val="00786773"/>
    <w:rsid w:val="00786826"/>
    <w:rsid w:val="007868F9"/>
    <w:rsid w:val="00786EB0"/>
    <w:rsid w:val="007874D3"/>
    <w:rsid w:val="007874FC"/>
    <w:rsid w:val="00787666"/>
    <w:rsid w:val="007876B4"/>
    <w:rsid w:val="007876F3"/>
    <w:rsid w:val="00787721"/>
    <w:rsid w:val="007878EF"/>
    <w:rsid w:val="0078793C"/>
    <w:rsid w:val="007879B2"/>
    <w:rsid w:val="00787F1B"/>
    <w:rsid w:val="0079049F"/>
    <w:rsid w:val="007904E1"/>
    <w:rsid w:val="0079072A"/>
    <w:rsid w:val="00790B46"/>
    <w:rsid w:val="00790BA7"/>
    <w:rsid w:val="00790C0E"/>
    <w:rsid w:val="00790EF7"/>
    <w:rsid w:val="007913AC"/>
    <w:rsid w:val="0079185B"/>
    <w:rsid w:val="0079190D"/>
    <w:rsid w:val="00791BEF"/>
    <w:rsid w:val="00792523"/>
    <w:rsid w:val="0079277C"/>
    <w:rsid w:val="0079278F"/>
    <w:rsid w:val="00792BF9"/>
    <w:rsid w:val="00792FC3"/>
    <w:rsid w:val="00793362"/>
    <w:rsid w:val="0079371C"/>
    <w:rsid w:val="00793892"/>
    <w:rsid w:val="00793C58"/>
    <w:rsid w:val="00793C72"/>
    <w:rsid w:val="00793E78"/>
    <w:rsid w:val="00794058"/>
    <w:rsid w:val="00794321"/>
    <w:rsid w:val="007946DB"/>
    <w:rsid w:val="007948B7"/>
    <w:rsid w:val="00794A51"/>
    <w:rsid w:val="007950CD"/>
    <w:rsid w:val="00795162"/>
    <w:rsid w:val="007952A9"/>
    <w:rsid w:val="007954AB"/>
    <w:rsid w:val="00795704"/>
    <w:rsid w:val="00795958"/>
    <w:rsid w:val="00795C4F"/>
    <w:rsid w:val="00795D4B"/>
    <w:rsid w:val="00795E12"/>
    <w:rsid w:val="00795F96"/>
    <w:rsid w:val="007961A7"/>
    <w:rsid w:val="007961AA"/>
    <w:rsid w:val="0079623C"/>
    <w:rsid w:val="00796470"/>
    <w:rsid w:val="007965D0"/>
    <w:rsid w:val="007965D3"/>
    <w:rsid w:val="0079696F"/>
    <w:rsid w:val="00796BFE"/>
    <w:rsid w:val="00796CD1"/>
    <w:rsid w:val="00796E22"/>
    <w:rsid w:val="00796E82"/>
    <w:rsid w:val="00797368"/>
    <w:rsid w:val="00797908"/>
    <w:rsid w:val="00797AF1"/>
    <w:rsid w:val="00797D12"/>
    <w:rsid w:val="00797FBB"/>
    <w:rsid w:val="007A0012"/>
    <w:rsid w:val="007A007F"/>
    <w:rsid w:val="007A0111"/>
    <w:rsid w:val="007A01C6"/>
    <w:rsid w:val="007A0488"/>
    <w:rsid w:val="007A0B37"/>
    <w:rsid w:val="007A0CA8"/>
    <w:rsid w:val="007A11DA"/>
    <w:rsid w:val="007A13A2"/>
    <w:rsid w:val="007A1414"/>
    <w:rsid w:val="007A15EB"/>
    <w:rsid w:val="007A162C"/>
    <w:rsid w:val="007A192C"/>
    <w:rsid w:val="007A1B1E"/>
    <w:rsid w:val="007A1C07"/>
    <w:rsid w:val="007A1C96"/>
    <w:rsid w:val="007A1D54"/>
    <w:rsid w:val="007A1EC7"/>
    <w:rsid w:val="007A278D"/>
    <w:rsid w:val="007A2A2C"/>
    <w:rsid w:val="007A2A5D"/>
    <w:rsid w:val="007A2C8E"/>
    <w:rsid w:val="007A3099"/>
    <w:rsid w:val="007A3643"/>
    <w:rsid w:val="007A36C9"/>
    <w:rsid w:val="007A3776"/>
    <w:rsid w:val="007A3B28"/>
    <w:rsid w:val="007A3D87"/>
    <w:rsid w:val="007A3EEF"/>
    <w:rsid w:val="007A409E"/>
    <w:rsid w:val="007A4268"/>
    <w:rsid w:val="007A45F0"/>
    <w:rsid w:val="007A4708"/>
    <w:rsid w:val="007A4913"/>
    <w:rsid w:val="007A4AE4"/>
    <w:rsid w:val="007A4C6E"/>
    <w:rsid w:val="007A527E"/>
    <w:rsid w:val="007A52EF"/>
    <w:rsid w:val="007A56A6"/>
    <w:rsid w:val="007A590B"/>
    <w:rsid w:val="007A5D2D"/>
    <w:rsid w:val="007A5EC2"/>
    <w:rsid w:val="007A6852"/>
    <w:rsid w:val="007A6F6C"/>
    <w:rsid w:val="007A6FCA"/>
    <w:rsid w:val="007A704F"/>
    <w:rsid w:val="007A7346"/>
    <w:rsid w:val="007A7845"/>
    <w:rsid w:val="007A7AA5"/>
    <w:rsid w:val="007A7AF7"/>
    <w:rsid w:val="007A7DB7"/>
    <w:rsid w:val="007A7E5C"/>
    <w:rsid w:val="007B082C"/>
    <w:rsid w:val="007B0EB3"/>
    <w:rsid w:val="007B11F4"/>
    <w:rsid w:val="007B15A3"/>
    <w:rsid w:val="007B1832"/>
    <w:rsid w:val="007B1845"/>
    <w:rsid w:val="007B18D0"/>
    <w:rsid w:val="007B1A25"/>
    <w:rsid w:val="007B1FDD"/>
    <w:rsid w:val="007B2A96"/>
    <w:rsid w:val="007B2B3E"/>
    <w:rsid w:val="007B2BB2"/>
    <w:rsid w:val="007B2EF3"/>
    <w:rsid w:val="007B30AF"/>
    <w:rsid w:val="007B3516"/>
    <w:rsid w:val="007B383D"/>
    <w:rsid w:val="007B3873"/>
    <w:rsid w:val="007B3909"/>
    <w:rsid w:val="007B3BC2"/>
    <w:rsid w:val="007B3DFE"/>
    <w:rsid w:val="007B4229"/>
    <w:rsid w:val="007B492C"/>
    <w:rsid w:val="007B4994"/>
    <w:rsid w:val="007B4BD2"/>
    <w:rsid w:val="007B4CEC"/>
    <w:rsid w:val="007B52B6"/>
    <w:rsid w:val="007B5468"/>
    <w:rsid w:val="007B54F1"/>
    <w:rsid w:val="007B5521"/>
    <w:rsid w:val="007B59AB"/>
    <w:rsid w:val="007B5E4A"/>
    <w:rsid w:val="007B5EB4"/>
    <w:rsid w:val="007B6046"/>
    <w:rsid w:val="007B6154"/>
    <w:rsid w:val="007B61A3"/>
    <w:rsid w:val="007B69A6"/>
    <w:rsid w:val="007B6A35"/>
    <w:rsid w:val="007B6A4B"/>
    <w:rsid w:val="007B6CBD"/>
    <w:rsid w:val="007B6DA0"/>
    <w:rsid w:val="007B6F45"/>
    <w:rsid w:val="007B7781"/>
    <w:rsid w:val="007B77DD"/>
    <w:rsid w:val="007B7950"/>
    <w:rsid w:val="007B7CAC"/>
    <w:rsid w:val="007B7F63"/>
    <w:rsid w:val="007C05E9"/>
    <w:rsid w:val="007C0838"/>
    <w:rsid w:val="007C0930"/>
    <w:rsid w:val="007C0AB1"/>
    <w:rsid w:val="007C0E2B"/>
    <w:rsid w:val="007C1014"/>
    <w:rsid w:val="007C10FC"/>
    <w:rsid w:val="007C1442"/>
    <w:rsid w:val="007C168F"/>
    <w:rsid w:val="007C178B"/>
    <w:rsid w:val="007C1929"/>
    <w:rsid w:val="007C1C95"/>
    <w:rsid w:val="007C1DFA"/>
    <w:rsid w:val="007C2491"/>
    <w:rsid w:val="007C25D4"/>
    <w:rsid w:val="007C25D6"/>
    <w:rsid w:val="007C264D"/>
    <w:rsid w:val="007C2890"/>
    <w:rsid w:val="007C28BC"/>
    <w:rsid w:val="007C299E"/>
    <w:rsid w:val="007C2A2D"/>
    <w:rsid w:val="007C2AB7"/>
    <w:rsid w:val="007C2D76"/>
    <w:rsid w:val="007C2EC0"/>
    <w:rsid w:val="007C30C8"/>
    <w:rsid w:val="007C3D13"/>
    <w:rsid w:val="007C42CE"/>
    <w:rsid w:val="007C4306"/>
    <w:rsid w:val="007C47EC"/>
    <w:rsid w:val="007C5160"/>
    <w:rsid w:val="007C519E"/>
    <w:rsid w:val="007C548E"/>
    <w:rsid w:val="007C583F"/>
    <w:rsid w:val="007C58B9"/>
    <w:rsid w:val="007C59C0"/>
    <w:rsid w:val="007C59E7"/>
    <w:rsid w:val="007C5AC1"/>
    <w:rsid w:val="007C5EB5"/>
    <w:rsid w:val="007C60E5"/>
    <w:rsid w:val="007C6299"/>
    <w:rsid w:val="007C6614"/>
    <w:rsid w:val="007C6A6D"/>
    <w:rsid w:val="007C6DAD"/>
    <w:rsid w:val="007C7AE5"/>
    <w:rsid w:val="007D0017"/>
    <w:rsid w:val="007D0289"/>
    <w:rsid w:val="007D0440"/>
    <w:rsid w:val="007D0AEC"/>
    <w:rsid w:val="007D0F80"/>
    <w:rsid w:val="007D1093"/>
    <w:rsid w:val="007D12BA"/>
    <w:rsid w:val="007D1365"/>
    <w:rsid w:val="007D16B9"/>
    <w:rsid w:val="007D224D"/>
    <w:rsid w:val="007D2905"/>
    <w:rsid w:val="007D2D91"/>
    <w:rsid w:val="007D300B"/>
    <w:rsid w:val="007D30A0"/>
    <w:rsid w:val="007D30A6"/>
    <w:rsid w:val="007D3514"/>
    <w:rsid w:val="007D354B"/>
    <w:rsid w:val="007D3844"/>
    <w:rsid w:val="007D39EF"/>
    <w:rsid w:val="007D3B05"/>
    <w:rsid w:val="007D3BAA"/>
    <w:rsid w:val="007D3CF8"/>
    <w:rsid w:val="007D4007"/>
    <w:rsid w:val="007D43E0"/>
    <w:rsid w:val="007D47AC"/>
    <w:rsid w:val="007D4823"/>
    <w:rsid w:val="007D4D83"/>
    <w:rsid w:val="007D5024"/>
    <w:rsid w:val="007D5526"/>
    <w:rsid w:val="007D5600"/>
    <w:rsid w:val="007D5DC6"/>
    <w:rsid w:val="007D6039"/>
    <w:rsid w:val="007D6119"/>
    <w:rsid w:val="007D6620"/>
    <w:rsid w:val="007D67B6"/>
    <w:rsid w:val="007D693C"/>
    <w:rsid w:val="007D6C14"/>
    <w:rsid w:val="007D6E6D"/>
    <w:rsid w:val="007D7078"/>
    <w:rsid w:val="007D70C1"/>
    <w:rsid w:val="007D739C"/>
    <w:rsid w:val="007D77B3"/>
    <w:rsid w:val="007D7918"/>
    <w:rsid w:val="007D7B22"/>
    <w:rsid w:val="007D7C98"/>
    <w:rsid w:val="007E02B6"/>
    <w:rsid w:val="007E0F33"/>
    <w:rsid w:val="007E0F9A"/>
    <w:rsid w:val="007E1442"/>
    <w:rsid w:val="007E146E"/>
    <w:rsid w:val="007E1532"/>
    <w:rsid w:val="007E1D45"/>
    <w:rsid w:val="007E1DA5"/>
    <w:rsid w:val="007E1EE1"/>
    <w:rsid w:val="007E20C5"/>
    <w:rsid w:val="007E215E"/>
    <w:rsid w:val="007E28B3"/>
    <w:rsid w:val="007E2B49"/>
    <w:rsid w:val="007E2BCA"/>
    <w:rsid w:val="007E2E41"/>
    <w:rsid w:val="007E301F"/>
    <w:rsid w:val="007E30B2"/>
    <w:rsid w:val="007E30DC"/>
    <w:rsid w:val="007E389C"/>
    <w:rsid w:val="007E3976"/>
    <w:rsid w:val="007E39B5"/>
    <w:rsid w:val="007E3BBB"/>
    <w:rsid w:val="007E3D39"/>
    <w:rsid w:val="007E40A4"/>
    <w:rsid w:val="007E4160"/>
    <w:rsid w:val="007E4468"/>
    <w:rsid w:val="007E474B"/>
    <w:rsid w:val="007E4B06"/>
    <w:rsid w:val="007E4BAF"/>
    <w:rsid w:val="007E4C37"/>
    <w:rsid w:val="007E58C4"/>
    <w:rsid w:val="007E5D0C"/>
    <w:rsid w:val="007E5F05"/>
    <w:rsid w:val="007E600E"/>
    <w:rsid w:val="007E647D"/>
    <w:rsid w:val="007E6525"/>
    <w:rsid w:val="007E67D5"/>
    <w:rsid w:val="007E6B11"/>
    <w:rsid w:val="007E6B4A"/>
    <w:rsid w:val="007E6FC3"/>
    <w:rsid w:val="007E711D"/>
    <w:rsid w:val="007E742E"/>
    <w:rsid w:val="007E7863"/>
    <w:rsid w:val="007E79EF"/>
    <w:rsid w:val="007E7F9C"/>
    <w:rsid w:val="007F02B3"/>
    <w:rsid w:val="007F04EE"/>
    <w:rsid w:val="007F0619"/>
    <w:rsid w:val="007F0C31"/>
    <w:rsid w:val="007F0FDA"/>
    <w:rsid w:val="007F1012"/>
    <w:rsid w:val="007F111F"/>
    <w:rsid w:val="007F147B"/>
    <w:rsid w:val="007F17C7"/>
    <w:rsid w:val="007F1C38"/>
    <w:rsid w:val="007F1E8F"/>
    <w:rsid w:val="007F234B"/>
    <w:rsid w:val="007F243A"/>
    <w:rsid w:val="007F2526"/>
    <w:rsid w:val="007F253C"/>
    <w:rsid w:val="007F2777"/>
    <w:rsid w:val="007F2966"/>
    <w:rsid w:val="007F29C7"/>
    <w:rsid w:val="007F2B79"/>
    <w:rsid w:val="007F2B96"/>
    <w:rsid w:val="007F3047"/>
    <w:rsid w:val="007F3455"/>
    <w:rsid w:val="007F3537"/>
    <w:rsid w:val="007F3A05"/>
    <w:rsid w:val="007F3B83"/>
    <w:rsid w:val="007F3C24"/>
    <w:rsid w:val="007F3DE5"/>
    <w:rsid w:val="007F3E7E"/>
    <w:rsid w:val="007F40B4"/>
    <w:rsid w:val="007F4433"/>
    <w:rsid w:val="007F450A"/>
    <w:rsid w:val="007F4B7E"/>
    <w:rsid w:val="007F4D69"/>
    <w:rsid w:val="007F4FD8"/>
    <w:rsid w:val="007F53A1"/>
    <w:rsid w:val="007F58FC"/>
    <w:rsid w:val="007F5945"/>
    <w:rsid w:val="007F5A1F"/>
    <w:rsid w:val="007F5B57"/>
    <w:rsid w:val="007F5D08"/>
    <w:rsid w:val="007F6158"/>
    <w:rsid w:val="007F6300"/>
    <w:rsid w:val="007F64F8"/>
    <w:rsid w:val="007F67F4"/>
    <w:rsid w:val="007F6D37"/>
    <w:rsid w:val="007F6FB0"/>
    <w:rsid w:val="007F74D8"/>
    <w:rsid w:val="007F7586"/>
    <w:rsid w:val="007F767B"/>
    <w:rsid w:val="007F775F"/>
    <w:rsid w:val="007F787F"/>
    <w:rsid w:val="007F7EB0"/>
    <w:rsid w:val="00800119"/>
    <w:rsid w:val="0080050D"/>
    <w:rsid w:val="00800915"/>
    <w:rsid w:val="00800A7C"/>
    <w:rsid w:val="00800B9B"/>
    <w:rsid w:val="0080132E"/>
    <w:rsid w:val="008013F4"/>
    <w:rsid w:val="0080153C"/>
    <w:rsid w:val="0080158E"/>
    <w:rsid w:val="0080174E"/>
    <w:rsid w:val="00801764"/>
    <w:rsid w:val="008017AF"/>
    <w:rsid w:val="008019D6"/>
    <w:rsid w:val="00801B38"/>
    <w:rsid w:val="008022EF"/>
    <w:rsid w:val="008023FD"/>
    <w:rsid w:val="00802DDC"/>
    <w:rsid w:val="0080317A"/>
    <w:rsid w:val="00803662"/>
    <w:rsid w:val="008038A5"/>
    <w:rsid w:val="008038D8"/>
    <w:rsid w:val="00803D9C"/>
    <w:rsid w:val="00803DC5"/>
    <w:rsid w:val="00803F5F"/>
    <w:rsid w:val="00804188"/>
    <w:rsid w:val="008042B9"/>
    <w:rsid w:val="00804361"/>
    <w:rsid w:val="00804683"/>
    <w:rsid w:val="008048D4"/>
    <w:rsid w:val="00804D3A"/>
    <w:rsid w:val="00804E15"/>
    <w:rsid w:val="0080528C"/>
    <w:rsid w:val="0080528F"/>
    <w:rsid w:val="0080599F"/>
    <w:rsid w:val="00805D6A"/>
    <w:rsid w:val="0080619B"/>
    <w:rsid w:val="00806635"/>
    <w:rsid w:val="00806715"/>
    <w:rsid w:val="008069F3"/>
    <w:rsid w:val="00806A38"/>
    <w:rsid w:val="00806AEC"/>
    <w:rsid w:val="00806CC0"/>
    <w:rsid w:val="00806E65"/>
    <w:rsid w:val="00806E78"/>
    <w:rsid w:val="00807045"/>
    <w:rsid w:val="0080707B"/>
    <w:rsid w:val="008071BF"/>
    <w:rsid w:val="00807677"/>
    <w:rsid w:val="00807A7A"/>
    <w:rsid w:val="00807B24"/>
    <w:rsid w:val="00807E9C"/>
    <w:rsid w:val="00810541"/>
    <w:rsid w:val="008109BF"/>
    <w:rsid w:val="00810A38"/>
    <w:rsid w:val="00810ADC"/>
    <w:rsid w:val="00810B4D"/>
    <w:rsid w:val="00810BB0"/>
    <w:rsid w:val="00810F4F"/>
    <w:rsid w:val="0081106F"/>
    <w:rsid w:val="00811110"/>
    <w:rsid w:val="00811145"/>
    <w:rsid w:val="0081156D"/>
    <w:rsid w:val="00811672"/>
    <w:rsid w:val="00811956"/>
    <w:rsid w:val="00811CE4"/>
    <w:rsid w:val="00811E72"/>
    <w:rsid w:val="00811FC8"/>
    <w:rsid w:val="00812185"/>
    <w:rsid w:val="008121FF"/>
    <w:rsid w:val="00812299"/>
    <w:rsid w:val="0081239F"/>
    <w:rsid w:val="008123A5"/>
    <w:rsid w:val="00812B39"/>
    <w:rsid w:val="00812F48"/>
    <w:rsid w:val="0081307C"/>
    <w:rsid w:val="0081317F"/>
    <w:rsid w:val="008132BF"/>
    <w:rsid w:val="0081331D"/>
    <w:rsid w:val="008133F2"/>
    <w:rsid w:val="00813643"/>
    <w:rsid w:val="0081392A"/>
    <w:rsid w:val="00813C1E"/>
    <w:rsid w:val="00813CDC"/>
    <w:rsid w:val="00813D2B"/>
    <w:rsid w:val="00813F91"/>
    <w:rsid w:val="00814060"/>
    <w:rsid w:val="00814160"/>
    <w:rsid w:val="008142C1"/>
    <w:rsid w:val="0081494B"/>
    <w:rsid w:val="00814C2C"/>
    <w:rsid w:val="00814E98"/>
    <w:rsid w:val="0081509B"/>
    <w:rsid w:val="008153B2"/>
    <w:rsid w:val="008153E0"/>
    <w:rsid w:val="0081555B"/>
    <w:rsid w:val="00815851"/>
    <w:rsid w:val="00815A18"/>
    <w:rsid w:val="00815AF4"/>
    <w:rsid w:val="00815EB8"/>
    <w:rsid w:val="00816236"/>
    <w:rsid w:val="0081628C"/>
    <w:rsid w:val="00816944"/>
    <w:rsid w:val="00816E64"/>
    <w:rsid w:val="008172BE"/>
    <w:rsid w:val="00817820"/>
    <w:rsid w:val="00817831"/>
    <w:rsid w:val="008179BE"/>
    <w:rsid w:val="008179EA"/>
    <w:rsid w:val="00817A08"/>
    <w:rsid w:val="00817AE2"/>
    <w:rsid w:val="00817B46"/>
    <w:rsid w:val="00817BAD"/>
    <w:rsid w:val="00817CD6"/>
    <w:rsid w:val="00820154"/>
    <w:rsid w:val="00820298"/>
    <w:rsid w:val="0082038C"/>
    <w:rsid w:val="008205E9"/>
    <w:rsid w:val="00820605"/>
    <w:rsid w:val="00820A97"/>
    <w:rsid w:val="00820AB4"/>
    <w:rsid w:val="00820B83"/>
    <w:rsid w:val="00820C0E"/>
    <w:rsid w:val="008213A7"/>
    <w:rsid w:val="008215C1"/>
    <w:rsid w:val="008215CB"/>
    <w:rsid w:val="00821817"/>
    <w:rsid w:val="00821A8C"/>
    <w:rsid w:val="00821BFA"/>
    <w:rsid w:val="00821C5F"/>
    <w:rsid w:val="00821DAF"/>
    <w:rsid w:val="008221DF"/>
    <w:rsid w:val="008221F3"/>
    <w:rsid w:val="008221FF"/>
    <w:rsid w:val="008222E4"/>
    <w:rsid w:val="008223A9"/>
    <w:rsid w:val="008223F4"/>
    <w:rsid w:val="008224EE"/>
    <w:rsid w:val="0082265C"/>
    <w:rsid w:val="00822B7E"/>
    <w:rsid w:val="0082312E"/>
    <w:rsid w:val="008236C8"/>
    <w:rsid w:val="008236F1"/>
    <w:rsid w:val="00823932"/>
    <w:rsid w:val="008239B6"/>
    <w:rsid w:val="00823B44"/>
    <w:rsid w:val="00824378"/>
    <w:rsid w:val="008245B9"/>
    <w:rsid w:val="008247AF"/>
    <w:rsid w:val="00824CD9"/>
    <w:rsid w:val="00824D90"/>
    <w:rsid w:val="00824E88"/>
    <w:rsid w:val="008250E6"/>
    <w:rsid w:val="00825201"/>
    <w:rsid w:val="00826038"/>
    <w:rsid w:val="0082681B"/>
    <w:rsid w:val="008269B9"/>
    <w:rsid w:val="008272BD"/>
    <w:rsid w:val="00827363"/>
    <w:rsid w:val="00827B09"/>
    <w:rsid w:val="00827BE2"/>
    <w:rsid w:val="00827C28"/>
    <w:rsid w:val="0083001A"/>
    <w:rsid w:val="00830666"/>
    <w:rsid w:val="00830987"/>
    <w:rsid w:val="00830CA1"/>
    <w:rsid w:val="00830CBA"/>
    <w:rsid w:val="00830D58"/>
    <w:rsid w:val="00831268"/>
    <w:rsid w:val="00831276"/>
    <w:rsid w:val="00831407"/>
    <w:rsid w:val="0083145D"/>
    <w:rsid w:val="00831A38"/>
    <w:rsid w:val="00831CEF"/>
    <w:rsid w:val="00831E11"/>
    <w:rsid w:val="0083211E"/>
    <w:rsid w:val="008323F1"/>
    <w:rsid w:val="00832422"/>
    <w:rsid w:val="00832453"/>
    <w:rsid w:val="0083257B"/>
    <w:rsid w:val="00832662"/>
    <w:rsid w:val="00832BCC"/>
    <w:rsid w:val="00832C1A"/>
    <w:rsid w:val="00832DE9"/>
    <w:rsid w:val="00832FF5"/>
    <w:rsid w:val="008330BF"/>
    <w:rsid w:val="00833151"/>
    <w:rsid w:val="00833347"/>
    <w:rsid w:val="00833418"/>
    <w:rsid w:val="00833623"/>
    <w:rsid w:val="00833877"/>
    <w:rsid w:val="00833935"/>
    <w:rsid w:val="0083424F"/>
    <w:rsid w:val="00834293"/>
    <w:rsid w:val="0083442C"/>
    <w:rsid w:val="008345E1"/>
    <w:rsid w:val="00834663"/>
    <w:rsid w:val="008347D4"/>
    <w:rsid w:val="00834A58"/>
    <w:rsid w:val="00834C55"/>
    <w:rsid w:val="00834C6C"/>
    <w:rsid w:val="00834D51"/>
    <w:rsid w:val="00835066"/>
    <w:rsid w:val="00835075"/>
    <w:rsid w:val="008350F5"/>
    <w:rsid w:val="008351C1"/>
    <w:rsid w:val="00835DC5"/>
    <w:rsid w:val="00835E39"/>
    <w:rsid w:val="00836229"/>
    <w:rsid w:val="00836454"/>
    <w:rsid w:val="008367FA"/>
    <w:rsid w:val="00836AB6"/>
    <w:rsid w:val="00836B41"/>
    <w:rsid w:val="00836C24"/>
    <w:rsid w:val="00836EAD"/>
    <w:rsid w:val="00836FE3"/>
    <w:rsid w:val="00837030"/>
    <w:rsid w:val="008374CC"/>
    <w:rsid w:val="00837539"/>
    <w:rsid w:val="008375FD"/>
    <w:rsid w:val="00837823"/>
    <w:rsid w:val="00837A59"/>
    <w:rsid w:val="00837DC8"/>
    <w:rsid w:val="00840018"/>
    <w:rsid w:val="00840172"/>
    <w:rsid w:val="008403C8"/>
    <w:rsid w:val="008405C7"/>
    <w:rsid w:val="00841052"/>
    <w:rsid w:val="008414C5"/>
    <w:rsid w:val="00841910"/>
    <w:rsid w:val="00841985"/>
    <w:rsid w:val="00841B9D"/>
    <w:rsid w:val="00841C22"/>
    <w:rsid w:val="00841F47"/>
    <w:rsid w:val="00842051"/>
    <w:rsid w:val="008421CC"/>
    <w:rsid w:val="0084220F"/>
    <w:rsid w:val="008424D9"/>
    <w:rsid w:val="00842567"/>
    <w:rsid w:val="00842623"/>
    <w:rsid w:val="008431DE"/>
    <w:rsid w:val="008431F7"/>
    <w:rsid w:val="008435C5"/>
    <w:rsid w:val="00843894"/>
    <w:rsid w:val="008439DE"/>
    <w:rsid w:val="00843FB6"/>
    <w:rsid w:val="0084414E"/>
    <w:rsid w:val="00844172"/>
    <w:rsid w:val="0084428D"/>
    <w:rsid w:val="0084433E"/>
    <w:rsid w:val="00844554"/>
    <w:rsid w:val="00844579"/>
    <w:rsid w:val="008447BF"/>
    <w:rsid w:val="008449CC"/>
    <w:rsid w:val="00844A48"/>
    <w:rsid w:val="00844E00"/>
    <w:rsid w:val="00844F74"/>
    <w:rsid w:val="008452A4"/>
    <w:rsid w:val="008452B9"/>
    <w:rsid w:val="00845427"/>
    <w:rsid w:val="008454B4"/>
    <w:rsid w:val="0084559B"/>
    <w:rsid w:val="00845BD2"/>
    <w:rsid w:val="00846933"/>
    <w:rsid w:val="008469A7"/>
    <w:rsid w:val="008469F7"/>
    <w:rsid w:val="00846A2E"/>
    <w:rsid w:val="00846CB7"/>
    <w:rsid w:val="0084705D"/>
    <w:rsid w:val="008471B5"/>
    <w:rsid w:val="00847713"/>
    <w:rsid w:val="008479B9"/>
    <w:rsid w:val="00847A68"/>
    <w:rsid w:val="00847C9B"/>
    <w:rsid w:val="0085033D"/>
    <w:rsid w:val="008508AF"/>
    <w:rsid w:val="00850D63"/>
    <w:rsid w:val="00850E17"/>
    <w:rsid w:val="00850EB9"/>
    <w:rsid w:val="00850F7B"/>
    <w:rsid w:val="0085137C"/>
    <w:rsid w:val="00851693"/>
    <w:rsid w:val="00851704"/>
    <w:rsid w:val="0085185A"/>
    <w:rsid w:val="00851A04"/>
    <w:rsid w:val="00851ABF"/>
    <w:rsid w:val="00851B6F"/>
    <w:rsid w:val="00851C4D"/>
    <w:rsid w:val="00851E0C"/>
    <w:rsid w:val="00851F23"/>
    <w:rsid w:val="008520EA"/>
    <w:rsid w:val="00852180"/>
    <w:rsid w:val="008526DD"/>
    <w:rsid w:val="0085274D"/>
    <w:rsid w:val="0085279A"/>
    <w:rsid w:val="00852F79"/>
    <w:rsid w:val="008531D2"/>
    <w:rsid w:val="00853B4B"/>
    <w:rsid w:val="00854042"/>
    <w:rsid w:val="008541B6"/>
    <w:rsid w:val="0085423B"/>
    <w:rsid w:val="008542C0"/>
    <w:rsid w:val="008544D1"/>
    <w:rsid w:val="0085461F"/>
    <w:rsid w:val="008546CD"/>
    <w:rsid w:val="00854A10"/>
    <w:rsid w:val="00854A33"/>
    <w:rsid w:val="00854F3B"/>
    <w:rsid w:val="00855186"/>
    <w:rsid w:val="008553A0"/>
    <w:rsid w:val="008556A4"/>
    <w:rsid w:val="00855D4B"/>
    <w:rsid w:val="00856178"/>
    <w:rsid w:val="00856223"/>
    <w:rsid w:val="0085639E"/>
    <w:rsid w:val="00856C23"/>
    <w:rsid w:val="00856CB0"/>
    <w:rsid w:val="00856DD5"/>
    <w:rsid w:val="00856F52"/>
    <w:rsid w:val="00857004"/>
    <w:rsid w:val="00857627"/>
    <w:rsid w:val="0085777B"/>
    <w:rsid w:val="00857B8C"/>
    <w:rsid w:val="00860768"/>
    <w:rsid w:val="00860810"/>
    <w:rsid w:val="00860936"/>
    <w:rsid w:val="0086156C"/>
    <w:rsid w:val="0086197B"/>
    <w:rsid w:val="00861A5E"/>
    <w:rsid w:val="00861A8B"/>
    <w:rsid w:val="00861A90"/>
    <w:rsid w:val="00862522"/>
    <w:rsid w:val="0086254F"/>
    <w:rsid w:val="008625D2"/>
    <w:rsid w:val="00862634"/>
    <w:rsid w:val="00862913"/>
    <w:rsid w:val="00862A6C"/>
    <w:rsid w:val="00862E0B"/>
    <w:rsid w:val="008630F8"/>
    <w:rsid w:val="008634A5"/>
    <w:rsid w:val="0086362F"/>
    <w:rsid w:val="0086369C"/>
    <w:rsid w:val="00863769"/>
    <w:rsid w:val="008637CD"/>
    <w:rsid w:val="00863F90"/>
    <w:rsid w:val="00864634"/>
    <w:rsid w:val="00864A03"/>
    <w:rsid w:val="00864BF7"/>
    <w:rsid w:val="00865640"/>
    <w:rsid w:val="00865968"/>
    <w:rsid w:val="00865BF9"/>
    <w:rsid w:val="00865D22"/>
    <w:rsid w:val="00866379"/>
    <w:rsid w:val="00866448"/>
    <w:rsid w:val="008666A6"/>
    <w:rsid w:val="00866736"/>
    <w:rsid w:val="00866887"/>
    <w:rsid w:val="008668D9"/>
    <w:rsid w:val="00867016"/>
    <w:rsid w:val="008675C6"/>
    <w:rsid w:val="0086794C"/>
    <w:rsid w:val="00867B43"/>
    <w:rsid w:val="00867D2E"/>
    <w:rsid w:val="00867E2E"/>
    <w:rsid w:val="00867EFF"/>
    <w:rsid w:val="00870403"/>
    <w:rsid w:val="00870502"/>
    <w:rsid w:val="00870560"/>
    <w:rsid w:val="00870973"/>
    <w:rsid w:val="00870AAB"/>
    <w:rsid w:val="00870D1E"/>
    <w:rsid w:val="00871037"/>
    <w:rsid w:val="0087109E"/>
    <w:rsid w:val="008711F6"/>
    <w:rsid w:val="00871403"/>
    <w:rsid w:val="0087170B"/>
    <w:rsid w:val="008719F9"/>
    <w:rsid w:val="00871C9F"/>
    <w:rsid w:val="00871EEC"/>
    <w:rsid w:val="008724E3"/>
    <w:rsid w:val="00872581"/>
    <w:rsid w:val="008726DB"/>
    <w:rsid w:val="00872BB4"/>
    <w:rsid w:val="00872EA9"/>
    <w:rsid w:val="00872FD0"/>
    <w:rsid w:val="00873C63"/>
    <w:rsid w:val="00874946"/>
    <w:rsid w:val="00874D62"/>
    <w:rsid w:val="00874E27"/>
    <w:rsid w:val="00875313"/>
    <w:rsid w:val="00875332"/>
    <w:rsid w:val="008754CE"/>
    <w:rsid w:val="00875B69"/>
    <w:rsid w:val="00876416"/>
    <w:rsid w:val="0087652C"/>
    <w:rsid w:val="0087664F"/>
    <w:rsid w:val="008766CD"/>
    <w:rsid w:val="008767C1"/>
    <w:rsid w:val="00876855"/>
    <w:rsid w:val="00876BED"/>
    <w:rsid w:val="0087733F"/>
    <w:rsid w:val="00877C9D"/>
    <w:rsid w:val="00877CD5"/>
    <w:rsid w:val="008801F0"/>
    <w:rsid w:val="00880AAA"/>
    <w:rsid w:val="00880BB8"/>
    <w:rsid w:val="00880C59"/>
    <w:rsid w:val="00880DBD"/>
    <w:rsid w:val="00880DD1"/>
    <w:rsid w:val="00881269"/>
    <w:rsid w:val="00881587"/>
    <w:rsid w:val="00881F2E"/>
    <w:rsid w:val="00881FAD"/>
    <w:rsid w:val="00882084"/>
    <w:rsid w:val="00882167"/>
    <w:rsid w:val="008822E0"/>
    <w:rsid w:val="00882639"/>
    <w:rsid w:val="00882A90"/>
    <w:rsid w:val="008831AE"/>
    <w:rsid w:val="00883282"/>
    <w:rsid w:val="008838AF"/>
    <w:rsid w:val="008838F3"/>
    <w:rsid w:val="00883C61"/>
    <w:rsid w:val="00883F5E"/>
    <w:rsid w:val="0088402F"/>
    <w:rsid w:val="00884BA1"/>
    <w:rsid w:val="00884C60"/>
    <w:rsid w:val="0088519F"/>
    <w:rsid w:val="008854BA"/>
    <w:rsid w:val="008857C0"/>
    <w:rsid w:val="00885C97"/>
    <w:rsid w:val="00885ED9"/>
    <w:rsid w:val="00885FA7"/>
    <w:rsid w:val="00885FD5"/>
    <w:rsid w:val="0088626C"/>
    <w:rsid w:val="00886552"/>
    <w:rsid w:val="00886655"/>
    <w:rsid w:val="00886962"/>
    <w:rsid w:val="00886AE1"/>
    <w:rsid w:val="00887168"/>
    <w:rsid w:val="0088791A"/>
    <w:rsid w:val="0088796D"/>
    <w:rsid w:val="00887AC6"/>
    <w:rsid w:val="0089013E"/>
    <w:rsid w:val="0089014F"/>
    <w:rsid w:val="008909E1"/>
    <w:rsid w:val="00890B8E"/>
    <w:rsid w:val="00890EC3"/>
    <w:rsid w:val="00891052"/>
    <w:rsid w:val="0089122E"/>
    <w:rsid w:val="00891399"/>
    <w:rsid w:val="0089183F"/>
    <w:rsid w:val="00891914"/>
    <w:rsid w:val="0089199B"/>
    <w:rsid w:val="00891A0F"/>
    <w:rsid w:val="00891A7D"/>
    <w:rsid w:val="00891D64"/>
    <w:rsid w:val="00891E5F"/>
    <w:rsid w:val="00891F79"/>
    <w:rsid w:val="008924C2"/>
    <w:rsid w:val="008925CF"/>
    <w:rsid w:val="00892791"/>
    <w:rsid w:val="00892840"/>
    <w:rsid w:val="008928F4"/>
    <w:rsid w:val="00892961"/>
    <w:rsid w:val="00892A5C"/>
    <w:rsid w:val="00892D0E"/>
    <w:rsid w:val="00892DFD"/>
    <w:rsid w:val="00892E28"/>
    <w:rsid w:val="00893112"/>
    <w:rsid w:val="008932E4"/>
    <w:rsid w:val="008932FD"/>
    <w:rsid w:val="00893326"/>
    <w:rsid w:val="008933B2"/>
    <w:rsid w:val="0089378E"/>
    <w:rsid w:val="00893D9D"/>
    <w:rsid w:val="00893E05"/>
    <w:rsid w:val="008943DD"/>
    <w:rsid w:val="00894576"/>
    <w:rsid w:val="00894800"/>
    <w:rsid w:val="0089489B"/>
    <w:rsid w:val="00894BA3"/>
    <w:rsid w:val="00894C1C"/>
    <w:rsid w:val="00894F1A"/>
    <w:rsid w:val="00895062"/>
    <w:rsid w:val="008950FD"/>
    <w:rsid w:val="0089521F"/>
    <w:rsid w:val="008955AB"/>
    <w:rsid w:val="00895AD1"/>
    <w:rsid w:val="00895C77"/>
    <w:rsid w:val="008960FF"/>
    <w:rsid w:val="00896328"/>
    <w:rsid w:val="0089649D"/>
    <w:rsid w:val="008965F4"/>
    <w:rsid w:val="0089675A"/>
    <w:rsid w:val="008967C7"/>
    <w:rsid w:val="00896EE8"/>
    <w:rsid w:val="00897015"/>
    <w:rsid w:val="0089711F"/>
    <w:rsid w:val="00897235"/>
    <w:rsid w:val="0089781A"/>
    <w:rsid w:val="00897953"/>
    <w:rsid w:val="008A0656"/>
    <w:rsid w:val="008A07AD"/>
    <w:rsid w:val="008A08AC"/>
    <w:rsid w:val="008A093B"/>
    <w:rsid w:val="008A0AFF"/>
    <w:rsid w:val="008A0ED9"/>
    <w:rsid w:val="008A1091"/>
    <w:rsid w:val="008A15D2"/>
    <w:rsid w:val="008A19D6"/>
    <w:rsid w:val="008A2298"/>
    <w:rsid w:val="008A2351"/>
    <w:rsid w:val="008A2570"/>
    <w:rsid w:val="008A25A3"/>
    <w:rsid w:val="008A2846"/>
    <w:rsid w:val="008A29B0"/>
    <w:rsid w:val="008A2A64"/>
    <w:rsid w:val="008A2CFE"/>
    <w:rsid w:val="008A2E30"/>
    <w:rsid w:val="008A3165"/>
    <w:rsid w:val="008A3195"/>
    <w:rsid w:val="008A3770"/>
    <w:rsid w:val="008A37C4"/>
    <w:rsid w:val="008A37DD"/>
    <w:rsid w:val="008A3CE9"/>
    <w:rsid w:val="008A4387"/>
    <w:rsid w:val="008A4A99"/>
    <w:rsid w:val="008A4CBB"/>
    <w:rsid w:val="008A4CEE"/>
    <w:rsid w:val="008A4F51"/>
    <w:rsid w:val="008A511E"/>
    <w:rsid w:val="008A5704"/>
    <w:rsid w:val="008A5795"/>
    <w:rsid w:val="008A596A"/>
    <w:rsid w:val="008A5AE4"/>
    <w:rsid w:val="008A5AF9"/>
    <w:rsid w:val="008A5C7A"/>
    <w:rsid w:val="008A5DA2"/>
    <w:rsid w:val="008A5F24"/>
    <w:rsid w:val="008A60C9"/>
    <w:rsid w:val="008A6525"/>
    <w:rsid w:val="008A6627"/>
    <w:rsid w:val="008A66F4"/>
    <w:rsid w:val="008A68D5"/>
    <w:rsid w:val="008A6BDC"/>
    <w:rsid w:val="008A72EB"/>
    <w:rsid w:val="008A7328"/>
    <w:rsid w:val="008A732C"/>
    <w:rsid w:val="008A75D5"/>
    <w:rsid w:val="008A7873"/>
    <w:rsid w:val="008A7C0F"/>
    <w:rsid w:val="008B03C5"/>
    <w:rsid w:val="008B0577"/>
    <w:rsid w:val="008B0779"/>
    <w:rsid w:val="008B08E7"/>
    <w:rsid w:val="008B09BC"/>
    <w:rsid w:val="008B0B69"/>
    <w:rsid w:val="008B10BE"/>
    <w:rsid w:val="008B10D1"/>
    <w:rsid w:val="008B153C"/>
    <w:rsid w:val="008B1710"/>
    <w:rsid w:val="008B1841"/>
    <w:rsid w:val="008B1844"/>
    <w:rsid w:val="008B1A53"/>
    <w:rsid w:val="008B1C5C"/>
    <w:rsid w:val="008B205E"/>
    <w:rsid w:val="008B22CA"/>
    <w:rsid w:val="008B2626"/>
    <w:rsid w:val="008B2629"/>
    <w:rsid w:val="008B284E"/>
    <w:rsid w:val="008B2C38"/>
    <w:rsid w:val="008B2CDE"/>
    <w:rsid w:val="008B2E36"/>
    <w:rsid w:val="008B2E4E"/>
    <w:rsid w:val="008B2FDD"/>
    <w:rsid w:val="008B3249"/>
    <w:rsid w:val="008B3334"/>
    <w:rsid w:val="008B37F1"/>
    <w:rsid w:val="008B39A4"/>
    <w:rsid w:val="008B40F7"/>
    <w:rsid w:val="008B4460"/>
    <w:rsid w:val="008B4BE9"/>
    <w:rsid w:val="008B506D"/>
    <w:rsid w:val="008B522E"/>
    <w:rsid w:val="008B534D"/>
    <w:rsid w:val="008B53E8"/>
    <w:rsid w:val="008B54CB"/>
    <w:rsid w:val="008B5A26"/>
    <w:rsid w:val="008B5C79"/>
    <w:rsid w:val="008B5D48"/>
    <w:rsid w:val="008B62A7"/>
    <w:rsid w:val="008B6361"/>
    <w:rsid w:val="008B6666"/>
    <w:rsid w:val="008B6B30"/>
    <w:rsid w:val="008B6B89"/>
    <w:rsid w:val="008B6D00"/>
    <w:rsid w:val="008B6E8A"/>
    <w:rsid w:val="008B6F0D"/>
    <w:rsid w:val="008B6FCA"/>
    <w:rsid w:val="008B71A4"/>
    <w:rsid w:val="008B71B4"/>
    <w:rsid w:val="008B7990"/>
    <w:rsid w:val="008B7AAA"/>
    <w:rsid w:val="008B7BE5"/>
    <w:rsid w:val="008B7C0D"/>
    <w:rsid w:val="008B7D5C"/>
    <w:rsid w:val="008B7D72"/>
    <w:rsid w:val="008C0146"/>
    <w:rsid w:val="008C069D"/>
    <w:rsid w:val="008C0743"/>
    <w:rsid w:val="008C085F"/>
    <w:rsid w:val="008C13B3"/>
    <w:rsid w:val="008C1563"/>
    <w:rsid w:val="008C1764"/>
    <w:rsid w:val="008C1CA0"/>
    <w:rsid w:val="008C1DE5"/>
    <w:rsid w:val="008C1E4B"/>
    <w:rsid w:val="008C1E4F"/>
    <w:rsid w:val="008C1F96"/>
    <w:rsid w:val="008C2B3A"/>
    <w:rsid w:val="008C35F6"/>
    <w:rsid w:val="008C4422"/>
    <w:rsid w:val="008C453F"/>
    <w:rsid w:val="008C475C"/>
    <w:rsid w:val="008C4B92"/>
    <w:rsid w:val="008C4FC2"/>
    <w:rsid w:val="008C528B"/>
    <w:rsid w:val="008C53B7"/>
    <w:rsid w:val="008C61B5"/>
    <w:rsid w:val="008C6213"/>
    <w:rsid w:val="008C656B"/>
    <w:rsid w:val="008C669A"/>
    <w:rsid w:val="008C6A5E"/>
    <w:rsid w:val="008C6DD4"/>
    <w:rsid w:val="008C6FDD"/>
    <w:rsid w:val="008C7032"/>
    <w:rsid w:val="008C74E9"/>
    <w:rsid w:val="008C762F"/>
    <w:rsid w:val="008C7A89"/>
    <w:rsid w:val="008C7B03"/>
    <w:rsid w:val="008C7D0F"/>
    <w:rsid w:val="008D0F06"/>
    <w:rsid w:val="008D1219"/>
    <w:rsid w:val="008D1775"/>
    <w:rsid w:val="008D19A4"/>
    <w:rsid w:val="008D1CC3"/>
    <w:rsid w:val="008D1D42"/>
    <w:rsid w:val="008D1D5C"/>
    <w:rsid w:val="008D1E86"/>
    <w:rsid w:val="008D1EFA"/>
    <w:rsid w:val="008D1F5F"/>
    <w:rsid w:val="008D250D"/>
    <w:rsid w:val="008D25F8"/>
    <w:rsid w:val="008D2717"/>
    <w:rsid w:val="008D2754"/>
    <w:rsid w:val="008D27F4"/>
    <w:rsid w:val="008D2A90"/>
    <w:rsid w:val="008D2B0A"/>
    <w:rsid w:val="008D2B10"/>
    <w:rsid w:val="008D2B9D"/>
    <w:rsid w:val="008D2C9A"/>
    <w:rsid w:val="008D2CA1"/>
    <w:rsid w:val="008D2D0D"/>
    <w:rsid w:val="008D2ED9"/>
    <w:rsid w:val="008D2F35"/>
    <w:rsid w:val="008D2F4A"/>
    <w:rsid w:val="008D33B6"/>
    <w:rsid w:val="008D36FA"/>
    <w:rsid w:val="008D37B6"/>
    <w:rsid w:val="008D397B"/>
    <w:rsid w:val="008D3A37"/>
    <w:rsid w:val="008D3D77"/>
    <w:rsid w:val="008D3F41"/>
    <w:rsid w:val="008D4087"/>
    <w:rsid w:val="008D422F"/>
    <w:rsid w:val="008D4278"/>
    <w:rsid w:val="008D42E3"/>
    <w:rsid w:val="008D43C7"/>
    <w:rsid w:val="008D46C1"/>
    <w:rsid w:val="008D499C"/>
    <w:rsid w:val="008D4A31"/>
    <w:rsid w:val="008D4C11"/>
    <w:rsid w:val="008D4F5C"/>
    <w:rsid w:val="008D4F85"/>
    <w:rsid w:val="008D5003"/>
    <w:rsid w:val="008D5555"/>
    <w:rsid w:val="008D5615"/>
    <w:rsid w:val="008D5BB7"/>
    <w:rsid w:val="008D5F2F"/>
    <w:rsid w:val="008D5F85"/>
    <w:rsid w:val="008D6018"/>
    <w:rsid w:val="008D6248"/>
    <w:rsid w:val="008D62C0"/>
    <w:rsid w:val="008D64E5"/>
    <w:rsid w:val="008D6928"/>
    <w:rsid w:val="008D6D7A"/>
    <w:rsid w:val="008D6DB0"/>
    <w:rsid w:val="008D6EC6"/>
    <w:rsid w:val="008D7027"/>
    <w:rsid w:val="008D70CC"/>
    <w:rsid w:val="008D73BD"/>
    <w:rsid w:val="008D73E7"/>
    <w:rsid w:val="008D75C6"/>
    <w:rsid w:val="008D7766"/>
    <w:rsid w:val="008D7D93"/>
    <w:rsid w:val="008D7E49"/>
    <w:rsid w:val="008E08ED"/>
    <w:rsid w:val="008E0A43"/>
    <w:rsid w:val="008E0A5D"/>
    <w:rsid w:val="008E0FBB"/>
    <w:rsid w:val="008E1079"/>
    <w:rsid w:val="008E1406"/>
    <w:rsid w:val="008E15D3"/>
    <w:rsid w:val="008E16D9"/>
    <w:rsid w:val="008E1A4A"/>
    <w:rsid w:val="008E1A71"/>
    <w:rsid w:val="008E1F39"/>
    <w:rsid w:val="008E1F88"/>
    <w:rsid w:val="008E1FAE"/>
    <w:rsid w:val="008E20F2"/>
    <w:rsid w:val="008E23C8"/>
    <w:rsid w:val="008E2851"/>
    <w:rsid w:val="008E295B"/>
    <w:rsid w:val="008E310E"/>
    <w:rsid w:val="008E32D2"/>
    <w:rsid w:val="008E3399"/>
    <w:rsid w:val="008E33F0"/>
    <w:rsid w:val="008E3540"/>
    <w:rsid w:val="008E36EA"/>
    <w:rsid w:val="008E38A2"/>
    <w:rsid w:val="008E3952"/>
    <w:rsid w:val="008E3A02"/>
    <w:rsid w:val="008E3AD8"/>
    <w:rsid w:val="008E3B42"/>
    <w:rsid w:val="008E3B91"/>
    <w:rsid w:val="008E3D94"/>
    <w:rsid w:val="008E3E74"/>
    <w:rsid w:val="008E3FAD"/>
    <w:rsid w:val="008E4199"/>
    <w:rsid w:val="008E481C"/>
    <w:rsid w:val="008E4927"/>
    <w:rsid w:val="008E4A87"/>
    <w:rsid w:val="008E4D95"/>
    <w:rsid w:val="008E5012"/>
    <w:rsid w:val="008E5083"/>
    <w:rsid w:val="008E52EC"/>
    <w:rsid w:val="008E558F"/>
    <w:rsid w:val="008E5641"/>
    <w:rsid w:val="008E5760"/>
    <w:rsid w:val="008E5774"/>
    <w:rsid w:val="008E5835"/>
    <w:rsid w:val="008E5A75"/>
    <w:rsid w:val="008E5FC4"/>
    <w:rsid w:val="008E60B0"/>
    <w:rsid w:val="008E60CD"/>
    <w:rsid w:val="008E6444"/>
    <w:rsid w:val="008E6618"/>
    <w:rsid w:val="008E6835"/>
    <w:rsid w:val="008E6DEF"/>
    <w:rsid w:val="008E6F10"/>
    <w:rsid w:val="008E7614"/>
    <w:rsid w:val="008E7702"/>
    <w:rsid w:val="008E778C"/>
    <w:rsid w:val="008E7BCF"/>
    <w:rsid w:val="008F0025"/>
    <w:rsid w:val="008F02AC"/>
    <w:rsid w:val="008F02B0"/>
    <w:rsid w:val="008F042D"/>
    <w:rsid w:val="008F06BA"/>
    <w:rsid w:val="008F0E0E"/>
    <w:rsid w:val="008F0E55"/>
    <w:rsid w:val="008F164A"/>
    <w:rsid w:val="008F1650"/>
    <w:rsid w:val="008F1681"/>
    <w:rsid w:val="008F1DBA"/>
    <w:rsid w:val="008F2174"/>
    <w:rsid w:val="008F2279"/>
    <w:rsid w:val="008F22B8"/>
    <w:rsid w:val="008F2546"/>
    <w:rsid w:val="008F2784"/>
    <w:rsid w:val="008F2C5E"/>
    <w:rsid w:val="008F2D5A"/>
    <w:rsid w:val="008F2D69"/>
    <w:rsid w:val="008F2E7B"/>
    <w:rsid w:val="008F30E9"/>
    <w:rsid w:val="008F3674"/>
    <w:rsid w:val="008F3EA4"/>
    <w:rsid w:val="008F4083"/>
    <w:rsid w:val="008F40D3"/>
    <w:rsid w:val="008F4249"/>
    <w:rsid w:val="008F4490"/>
    <w:rsid w:val="008F4D7A"/>
    <w:rsid w:val="008F4F71"/>
    <w:rsid w:val="008F4FAA"/>
    <w:rsid w:val="008F4FCE"/>
    <w:rsid w:val="008F4FDB"/>
    <w:rsid w:val="008F55D5"/>
    <w:rsid w:val="008F560B"/>
    <w:rsid w:val="008F5786"/>
    <w:rsid w:val="008F5941"/>
    <w:rsid w:val="008F5DAA"/>
    <w:rsid w:val="008F5E8B"/>
    <w:rsid w:val="008F5EB6"/>
    <w:rsid w:val="008F618E"/>
    <w:rsid w:val="008F6480"/>
    <w:rsid w:val="008F669C"/>
    <w:rsid w:val="008F6834"/>
    <w:rsid w:val="008F6B34"/>
    <w:rsid w:val="008F6B37"/>
    <w:rsid w:val="008F6C3D"/>
    <w:rsid w:val="008F6CEB"/>
    <w:rsid w:val="008F7560"/>
    <w:rsid w:val="008F7E61"/>
    <w:rsid w:val="008F7EAC"/>
    <w:rsid w:val="0090014F"/>
    <w:rsid w:val="009002B8"/>
    <w:rsid w:val="009002F0"/>
    <w:rsid w:val="00900402"/>
    <w:rsid w:val="00900610"/>
    <w:rsid w:val="009008DF"/>
    <w:rsid w:val="00900C36"/>
    <w:rsid w:val="00901131"/>
    <w:rsid w:val="0090140E"/>
    <w:rsid w:val="00901615"/>
    <w:rsid w:val="00901871"/>
    <w:rsid w:val="00902040"/>
    <w:rsid w:val="00902076"/>
    <w:rsid w:val="009021DC"/>
    <w:rsid w:val="0090220F"/>
    <w:rsid w:val="0090222A"/>
    <w:rsid w:val="0090227C"/>
    <w:rsid w:val="00902482"/>
    <w:rsid w:val="0090294C"/>
    <w:rsid w:val="00902A25"/>
    <w:rsid w:val="00902AC3"/>
    <w:rsid w:val="00902C0E"/>
    <w:rsid w:val="00902C98"/>
    <w:rsid w:val="00902CCC"/>
    <w:rsid w:val="00902DF6"/>
    <w:rsid w:val="009030AE"/>
    <w:rsid w:val="0090360E"/>
    <w:rsid w:val="00903BA2"/>
    <w:rsid w:val="00903E1E"/>
    <w:rsid w:val="00903E55"/>
    <w:rsid w:val="0090409F"/>
    <w:rsid w:val="009041D4"/>
    <w:rsid w:val="009043C1"/>
    <w:rsid w:val="00904BE5"/>
    <w:rsid w:val="00904CA0"/>
    <w:rsid w:val="00904CBA"/>
    <w:rsid w:val="00904DC8"/>
    <w:rsid w:val="00904E72"/>
    <w:rsid w:val="00904FAC"/>
    <w:rsid w:val="00904FFA"/>
    <w:rsid w:val="00905593"/>
    <w:rsid w:val="00905AF2"/>
    <w:rsid w:val="00905C69"/>
    <w:rsid w:val="00905DD7"/>
    <w:rsid w:val="00906161"/>
    <w:rsid w:val="009061E5"/>
    <w:rsid w:val="00906463"/>
    <w:rsid w:val="00906840"/>
    <w:rsid w:val="00906D52"/>
    <w:rsid w:val="0090710F"/>
    <w:rsid w:val="00907973"/>
    <w:rsid w:val="00907A1F"/>
    <w:rsid w:val="00907A7F"/>
    <w:rsid w:val="00907CF0"/>
    <w:rsid w:val="009101F6"/>
    <w:rsid w:val="009104EB"/>
    <w:rsid w:val="00910540"/>
    <w:rsid w:val="009105C2"/>
    <w:rsid w:val="009105E2"/>
    <w:rsid w:val="00910BD3"/>
    <w:rsid w:val="009112C7"/>
    <w:rsid w:val="00911561"/>
    <w:rsid w:val="00911569"/>
    <w:rsid w:val="009116C1"/>
    <w:rsid w:val="00911CF5"/>
    <w:rsid w:val="00912406"/>
    <w:rsid w:val="00912479"/>
    <w:rsid w:val="00912578"/>
    <w:rsid w:val="00912580"/>
    <w:rsid w:val="009127F1"/>
    <w:rsid w:val="0091280A"/>
    <w:rsid w:val="00912C4D"/>
    <w:rsid w:val="00912D71"/>
    <w:rsid w:val="00912D93"/>
    <w:rsid w:val="00912F45"/>
    <w:rsid w:val="0091304E"/>
    <w:rsid w:val="009132D9"/>
    <w:rsid w:val="009138A5"/>
    <w:rsid w:val="00913A74"/>
    <w:rsid w:val="00913AC1"/>
    <w:rsid w:val="00913DA7"/>
    <w:rsid w:val="00913F09"/>
    <w:rsid w:val="00913F4C"/>
    <w:rsid w:val="00913F83"/>
    <w:rsid w:val="00913FB0"/>
    <w:rsid w:val="009144D5"/>
    <w:rsid w:val="0091458B"/>
    <w:rsid w:val="00914BD5"/>
    <w:rsid w:val="00914D76"/>
    <w:rsid w:val="009151C7"/>
    <w:rsid w:val="009152F8"/>
    <w:rsid w:val="00915364"/>
    <w:rsid w:val="00915591"/>
    <w:rsid w:val="009156B9"/>
    <w:rsid w:val="00915824"/>
    <w:rsid w:val="00915B23"/>
    <w:rsid w:val="00915FCB"/>
    <w:rsid w:val="00916227"/>
    <w:rsid w:val="009162D8"/>
    <w:rsid w:val="0091636E"/>
    <w:rsid w:val="00916BEB"/>
    <w:rsid w:val="00916F55"/>
    <w:rsid w:val="00916FCB"/>
    <w:rsid w:val="0091704B"/>
    <w:rsid w:val="009173E7"/>
    <w:rsid w:val="00917804"/>
    <w:rsid w:val="00917A98"/>
    <w:rsid w:val="00917F22"/>
    <w:rsid w:val="009201A2"/>
    <w:rsid w:val="009202F1"/>
    <w:rsid w:val="009206FC"/>
    <w:rsid w:val="00920857"/>
    <w:rsid w:val="0092091E"/>
    <w:rsid w:val="00920954"/>
    <w:rsid w:val="009209AF"/>
    <w:rsid w:val="00920CB7"/>
    <w:rsid w:val="00920D0D"/>
    <w:rsid w:val="00920ED1"/>
    <w:rsid w:val="00920F20"/>
    <w:rsid w:val="00921076"/>
    <w:rsid w:val="00921275"/>
    <w:rsid w:val="009213A2"/>
    <w:rsid w:val="00921B96"/>
    <w:rsid w:val="0092246B"/>
    <w:rsid w:val="009229E3"/>
    <w:rsid w:val="00922CAB"/>
    <w:rsid w:val="00922CE3"/>
    <w:rsid w:val="009237B0"/>
    <w:rsid w:val="00923ABC"/>
    <w:rsid w:val="00923E4F"/>
    <w:rsid w:val="0092402A"/>
    <w:rsid w:val="0092438C"/>
    <w:rsid w:val="00924A34"/>
    <w:rsid w:val="00924B44"/>
    <w:rsid w:val="00924FB3"/>
    <w:rsid w:val="009251E5"/>
    <w:rsid w:val="0092534C"/>
    <w:rsid w:val="009254D2"/>
    <w:rsid w:val="009257E5"/>
    <w:rsid w:val="009259E3"/>
    <w:rsid w:val="00925D56"/>
    <w:rsid w:val="00925DA4"/>
    <w:rsid w:val="00925EEA"/>
    <w:rsid w:val="0092610D"/>
    <w:rsid w:val="009261A5"/>
    <w:rsid w:val="0092629B"/>
    <w:rsid w:val="00926308"/>
    <w:rsid w:val="00926548"/>
    <w:rsid w:val="009266CD"/>
    <w:rsid w:val="0092672D"/>
    <w:rsid w:val="00926BC7"/>
    <w:rsid w:val="00926EA4"/>
    <w:rsid w:val="00926F3F"/>
    <w:rsid w:val="00927414"/>
    <w:rsid w:val="00927A24"/>
    <w:rsid w:val="00927C84"/>
    <w:rsid w:val="00930550"/>
    <w:rsid w:val="0093070B"/>
    <w:rsid w:val="00930974"/>
    <w:rsid w:val="00930AC1"/>
    <w:rsid w:val="00930B7D"/>
    <w:rsid w:val="00930C79"/>
    <w:rsid w:val="00930D8E"/>
    <w:rsid w:val="00930DAA"/>
    <w:rsid w:val="00930F07"/>
    <w:rsid w:val="009313D6"/>
    <w:rsid w:val="0093170C"/>
    <w:rsid w:val="00931880"/>
    <w:rsid w:val="0093194C"/>
    <w:rsid w:val="009319E1"/>
    <w:rsid w:val="00931A59"/>
    <w:rsid w:val="00931A98"/>
    <w:rsid w:val="00931BD9"/>
    <w:rsid w:val="00931C9D"/>
    <w:rsid w:val="00931D18"/>
    <w:rsid w:val="00931DB1"/>
    <w:rsid w:val="00931FBD"/>
    <w:rsid w:val="009320F9"/>
    <w:rsid w:val="0093249C"/>
    <w:rsid w:val="009325B4"/>
    <w:rsid w:val="009326A4"/>
    <w:rsid w:val="009328FA"/>
    <w:rsid w:val="00932F3F"/>
    <w:rsid w:val="00932FDD"/>
    <w:rsid w:val="00933832"/>
    <w:rsid w:val="00933B48"/>
    <w:rsid w:val="00933C0B"/>
    <w:rsid w:val="00933D3C"/>
    <w:rsid w:val="00933DFE"/>
    <w:rsid w:val="00934921"/>
    <w:rsid w:val="009349CD"/>
    <w:rsid w:val="009349E3"/>
    <w:rsid w:val="009349FB"/>
    <w:rsid w:val="00934BB2"/>
    <w:rsid w:val="00934C58"/>
    <w:rsid w:val="00934CA1"/>
    <w:rsid w:val="00934FC5"/>
    <w:rsid w:val="009350D2"/>
    <w:rsid w:val="009352A7"/>
    <w:rsid w:val="0093531F"/>
    <w:rsid w:val="0093550F"/>
    <w:rsid w:val="0093556E"/>
    <w:rsid w:val="009357BA"/>
    <w:rsid w:val="009359A0"/>
    <w:rsid w:val="009359D7"/>
    <w:rsid w:val="00935B03"/>
    <w:rsid w:val="00935E40"/>
    <w:rsid w:val="00935ED3"/>
    <w:rsid w:val="00935FD3"/>
    <w:rsid w:val="0093620A"/>
    <w:rsid w:val="009363D2"/>
    <w:rsid w:val="0093659A"/>
    <w:rsid w:val="00936652"/>
    <w:rsid w:val="009368C1"/>
    <w:rsid w:val="00936B1E"/>
    <w:rsid w:val="00936CD3"/>
    <w:rsid w:val="00936EA1"/>
    <w:rsid w:val="009373C1"/>
    <w:rsid w:val="00937BF6"/>
    <w:rsid w:val="00937C24"/>
    <w:rsid w:val="00937CF3"/>
    <w:rsid w:val="00937F5B"/>
    <w:rsid w:val="00940673"/>
    <w:rsid w:val="009409EF"/>
    <w:rsid w:val="00940B82"/>
    <w:rsid w:val="00940CFF"/>
    <w:rsid w:val="00940F0A"/>
    <w:rsid w:val="00940F1F"/>
    <w:rsid w:val="009411F5"/>
    <w:rsid w:val="009412D8"/>
    <w:rsid w:val="009412E9"/>
    <w:rsid w:val="00941321"/>
    <w:rsid w:val="009414AB"/>
    <w:rsid w:val="0094168F"/>
    <w:rsid w:val="00941A30"/>
    <w:rsid w:val="00941B03"/>
    <w:rsid w:val="00941CA0"/>
    <w:rsid w:val="00941CCF"/>
    <w:rsid w:val="00941D8E"/>
    <w:rsid w:val="00941DFD"/>
    <w:rsid w:val="00941FB5"/>
    <w:rsid w:val="009427A8"/>
    <w:rsid w:val="0094290B"/>
    <w:rsid w:val="00942A55"/>
    <w:rsid w:val="00942B52"/>
    <w:rsid w:val="00942DBE"/>
    <w:rsid w:val="00942F5E"/>
    <w:rsid w:val="009437BF"/>
    <w:rsid w:val="00943C75"/>
    <w:rsid w:val="00943D72"/>
    <w:rsid w:val="00943FB6"/>
    <w:rsid w:val="00944182"/>
    <w:rsid w:val="0094438B"/>
    <w:rsid w:val="00944657"/>
    <w:rsid w:val="0094465E"/>
    <w:rsid w:val="00944782"/>
    <w:rsid w:val="00944A7A"/>
    <w:rsid w:val="00944ACB"/>
    <w:rsid w:val="00944B5A"/>
    <w:rsid w:val="00944B88"/>
    <w:rsid w:val="00944D90"/>
    <w:rsid w:val="00944E93"/>
    <w:rsid w:val="00944FC6"/>
    <w:rsid w:val="00944FCC"/>
    <w:rsid w:val="0094502D"/>
    <w:rsid w:val="009452F7"/>
    <w:rsid w:val="009455B2"/>
    <w:rsid w:val="009458A2"/>
    <w:rsid w:val="009459D8"/>
    <w:rsid w:val="00945B30"/>
    <w:rsid w:val="00945E66"/>
    <w:rsid w:val="00945F0F"/>
    <w:rsid w:val="00945F75"/>
    <w:rsid w:val="0094621A"/>
    <w:rsid w:val="009462B5"/>
    <w:rsid w:val="00946316"/>
    <w:rsid w:val="00946CC4"/>
    <w:rsid w:val="00946E04"/>
    <w:rsid w:val="009473E2"/>
    <w:rsid w:val="00947442"/>
    <w:rsid w:val="00947785"/>
    <w:rsid w:val="00947C11"/>
    <w:rsid w:val="00947C9F"/>
    <w:rsid w:val="00947D37"/>
    <w:rsid w:val="00947EFA"/>
    <w:rsid w:val="00950260"/>
    <w:rsid w:val="00950665"/>
    <w:rsid w:val="0095099B"/>
    <w:rsid w:val="0095099D"/>
    <w:rsid w:val="009509D4"/>
    <w:rsid w:val="009509D7"/>
    <w:rsid w:val="00951273"/>
    <w:rsid w:val="009512B8"/>
    <w:rsid w:val="00951EF1"/>
    <w:rsid w:val="00951FD4"/>
    <w:rsid w:val="009520BE"/>
    <w:rsid w:val="009523E3"/>
    <w:rsid w:val="0095260A"/>
    <w:rsid w:val="00952D52"/>
    <w:rsid w:val="00952E86"/>
    <w:rsid w:val="00952F80"/>
    <w:rsid w:val="00952F89"/>
    <w:rsid w:val="009532A1"/>
    <w:rsid w:val="009533E1"/>
    <w:rsid w:val="00954326"/>
    <w:rsid w:val="009543A5"/>
    <w:rsid w:val="00954636"/>
    <w:rsid w:val="009548D3"/>
    <w:rsid w:val="009548DF"/>
    <w:rsid w:val="00954B35"/>
    <w:rsid w:val="00954E81"/>
    <w:rsid w:val="00954F2E"/>
    <w:rsid w:val="0095504D"/>
    <w:rsid w:val="00955112"/>
    <w:rsid w:val="0095512F"/>
    <w:rsid w:val="00955217"/>
    <w:rsid w:val="009554D2"/>
    <w:rsid w:val="00955519"/>
    <w:rsid w:val="00955B1B"/>
    <w:rsid w:val="00955E2F"/>
    <w:rsid w:val="00955FBA"/>
    <w:rsid w:val="0095613F"/>
    <w:rsid w:val="00956217"/>
    <w:rsid w:val="00956231"/>
    <w:rsid w:val="00956412"/>
    <w:rsid w:val="00956835"/>
    <w:rsid w:val="00956FC5"/>
    <w:rsid w:val="009572A7"/>
    <w:rsid w:val="009572BA"/>
    <w:rsid w:val="009575A4"/>
    <w:rsid w:val="00957D17"/>
    <w:rsid w:val="00957DE5"/>
    <w:rsid w:val="00957EAC"/>
    <w:rsid w:val="00957FBA"/>
    <w:rsid w:val="009600F3"/>
    <w:rsid w:val="009601F8"/>
    <w:rsid w:val="00960255"/>
    <w:rsid w:val="009602C3"/>
    <w:rsid w:val="009602CE"/>
    <w:rsid w:val="0096081B"/>
    <w:rsid w:val="009608BF"/>
    <w:rsid w:val="00960B80"/>
    <w:rsid w:val="00960F5A"/>
    <w:rsid w:val="009612D0"/>
    <w:rsid w:val="0096140C"/>
    <w:rsid w:val="009615A5"/>
    <w:rsid w:val="00961821"/>
    <w:rsid w:val="00961B62"/>
    <w:rsid w:val="00961B77"/>
    <w:rsid w:val="00961CFB"/>
    <w:rsid w:val="00961D02"/>
    <w:rsid w:val="00961F13"/>
    <w:rsid w:val="00961F31"/>
    <w:rsid w:val="009621F2"/>
    <w:rsid w:val="00962346"/>
    <w:rsid w:val="00962405"/>
    <w:rsid w:val="0096262E"/>
    <w:rsid w:val="00962716"/>
    <w:rsid w:val="0096289A"/>
    <w:rsid w:val="009629B0"/>
    <w:rsid w:val="00962B71"/>
    <w:rsid w:val="00962C39"/>
    <w:rsid w:val="00962CE6"/>
    <w:rsid w:val="00962DB7"/>
    <w:rsid w:val="00962E67"/>
    <w:rsid w:val="00962F71"/>
    <w:rsid w:val="00963197"/>
    <w:rsid w:val="00963329"/>
    <w:rsid w:val="0096344B"/>
    <w:rsid w:val="009639CE"/>
    <w:rsid w:val="00963AF8"/>
    <w:rsid w:val="00963B0B"/>
    <w:rsid w:val="00963DC5"/>
    <w:rsid w:val="00964063"/>
    <w:rsid w:val="0096465C"/>
    <w:rsid w:val="009646CD"/>
    <w:rsid w:val="009646DD"/>
    <w:rsid w:val="00964A42"/>
    <w:rsid w:val="00964BE1"/>
    <w:rsid w:val="00964C9A"/>
    <w:rsid w:val="00964F40"/>
    <w:rsid w:val="009651E6"/>
    <w:rsid w:val="009652B6"/>
    <w:rsid w:val="009652DD"/>
    <w:rsid w:val="009653CC"/>
    <w:rsid w:val="00965884"/>
    <w:rsid w:val="00965961"/>
    <w:rsid w:val="009659CD"/>
    <w:rsid w:val="00965A5B"/>
    <w:rsid w:val="00965B71"/>
    <w:rsid w:val="009664A1"/>
    <w:rsid w:val="009664BE"/>
    <w:rsid w:val="009666AC"/>
    <w:rsid w:val="009666C5"/>
    <w:rsid w:val="00966748"/>
    <w:rsid w:val="009667E6"/>
    <w:rsid w:val="00966CC2"/>
    <w:rsid w:val="00966F43"/>
    <w:rsid w:val="00967470"/>
    <w:rsid w:val="0096758B"/>
    <w:rsid w:val="009675D0"/>
    <w:rsid w:val="0096769F"/>
    <w:rsid w:val="009676A9"/>
    <w:rsid w:val="00967775"/>
    <w:rsid w:val="00967DF1"/>
    <w:rsid w:val="0097008B"/>
    <w:rsid w:val="0097033A"/>
    <w:rsid w:val="00970594"/>
    <w:rsid w:val="00970613"/>
    <w:rsid w:val="00970614"/>
    <w:rsid w:val="00970675"/>
    <w:rsid w:val="00970C57"/>
    <w:rsid w:val="00970EC9"/>
    <w:rsid w:val="009712D8"/>
    <w:rsid w:val="009713CF"/>
    <w:rsid w:val="0097164E"/>
    <w:rsid w:val="00971BE7"/>
    <w:rsid w:val="00972084"/>
    <w:rsid w:val="00972097"/>
    <w:rsid w:val="009726AA"/>
    <w:rsid w:val="00972E1B"/>
    <w:rsid w:val="0097304F"/>
    <w:rsid w:val="00973208"/>
    <w:rsid w:val="0097368D"/>
    <w:rsid w:val="009737CA"/>
    <w:rsid w:val="00973FAB"/>
    <w:rsid w:val="00974218"/>
    <w:rsid w:val="009743FA"/>
    <w:rsid w:val="00974434"/>
    <w:rsid w:val="00974792"/>
    <w:rsid w:val="0097537B"/>
    <w:rsid w:val="00975852"/>
    <w:rsid w:val="00975B1D"/>
    <w:rsid w:val="00975D10"/>
    <w:rsid w:val="00975F0F"/>
    <w:rsid w:val="00976526"/>
    <w:rsid w:val="00976629"/>
    <w:rsid w:val="009768B8"/>
    <w:rsid w:val="00976B43"/>
    <w:rsid w:val="00976C90"/>
    <w:rsid w:val="00976E93"/>
    <w:rsid w:val="009773B0"/>
    <w:rsid w:val="00977723"/>
    <w:rsid w:val="00977E45"/>
    <w:rsid w:val="00977FD2"/>
    <w:rsid w:val="00977FDC"/>
    <w:rsid w:val="00980155"/>
    <w:rsid w:val="00980517"/>
    <w:rsid w:val="0098065D"/>
    <w:rsid w:val="009809F2"/>
    <w:rsid w:val="00981431"/>
    <w:rsid w:val="00981463"/>
    <w:rsid w:val="00981823"/>
    <w:rsid w:val="009818A1"/>
    <w:rsid w:val="00981960"/>
    <w:rsid w:val="00981A00"/>
    <w:rsid w:val="00981B8C"/>
    <w:rsid w:val="00981BA7"/>
    <w:rsid w:val="00981BE6"/>
    <w:rsid w:val="00981BFD"/>
    <w:rsid w:val="00982090"/>
    <w:rsid w:val="00982534"/>
    <w:rsid w:val="00982AD6"/>
    <w:rsid w:val="00982AEC"/>
    <w:rsid w:val="00982D1E"/>
    <w:rsid w:val="00982DA1"/>
    <w:rsid w:val="0098338F"/>
    <w:rsid w:val="00983479"/>
    <w:rsid w:val="009834C5"/>
    <w:rsid w:val="00983A7E"/>
    <w:rsid w:val="00983AD8"/>
    <w:rsid w:val="00983B8F"/>
    <w:rsid w:val="00983F4A"/>
    <w:rsid w:val="0098492D"/>
    <w:rsid w:val="00984B4F"/>
    <w:rsid w:val="00984D00"/>
    <w:rsid w:val="00985710"/>
    <w:rsid w:val="0098592B"/>
    <w:rsid w:val="0098641D"/>
    <w:rsid w:val="0098642C"/>
    <w:rsid w:val="00986430"/>
    <w:rsid w:val="009866DD"/>
    <w:rsid w:val="00986727"/>
    <w:rsid w:val="009867D6"/>
    <w:rsid w:val="009869A9"/>
    <w:rsid w:val="00986B2E"/>
    <w:rsid w:val="00986C1C"/>
    <w:rsid w:val="00986DB1"/>
    <w:rsid w:val="00986EBD"/>
    <w:rsid w:val="00986EE6"/>
    <w:rsid w:val="00987436"/>
    <w:rsid w:val="0098774A"/>
    <w:rsid w:val="00987875"/>
    <w:rsid w:val="0098792D"/>
    <w:rsid w:val="00987B61"/>
    <w:rsid w:val="00987C68"/>
    <w:rsid w:val="009909C4"/>
    <w:rsid w:val="00990A96"/>
    <w:rsid w:val="00990AA8"/>
    <w:rsid w:val="00990D6C"/>
    <w:rsid w:val="0099104A"/>
    <w:rsid w:val="00991165"/>
    <w:rsid w:val="0099128F"/>
    <w:rsid w:val="009913E6"/>
    <w:rsid w:val="0099152E"/>
    <w:rsid w:val="00991574"/>
    <w:rsid w:val="009916BC"/>
    <w:rsid w:val="009916BE"/>
    <w:rsid w:val="00991716"/>
    <w:rsid w:val="009917ED"/>
    <w:rsid w:val="00991851"/>
    <w:rsid w:val="00991914"/>
    <w:rsid w:val="00991AAD"/>
    <w:rsid w:val="00991B85"/>
    <w:rsid w:val="00991B86"/>
    <w:rsid w:val="00991BA6"/>
    <w:rsid w:val="00991CE6"/>
    <w:rsid w:val="00991F5E"/>
    <w:rsid w:val="00992A1F"/>
    <w:rsid w:val="00992D63"/>
    <w:rsid w:val="009932C7"/>
    <w:rsid w:val="009932CF"/>
    <w:rsid w:val="0099334E"/>
    <w:rsid w:val="00993358"/>
    <w:rsid w:val="009933E4"/>
    <w:rsid w:val="009934B0"/>
    <w:rsid w:val="0099382E"/>
    <w:rsid w:val="00993B70"/>
    <w:rsid w:val="00993C1C"/>
    <w:rsid w:val="00993F12"/>
    <w:rsid w:val="00994040"/>
    <w:rsid w:val="009940CC"/>
    <w:rsid w:val="009942D3"/>
    <w:rsid w:val="0099443C"/>
    <w:rsid w:val="00994491"/>
    <w:rsid w:val="00994529"/>
    <w:rsid w:val="00994724"/>
    <w:rsid w:val="00994A25"/>
    <w:rsid w:val="00994C47"/>
    <w:rsid w:val="00994CD8"/>
    <w:rsid w:val="0099518B"/>
    <w:rsid w:val="0099525A"/>
    <w:rsid w:val="00995B30"/>
    <w:rsid w:val="00995D7E"/>
    <w:rsid w:val="00995D8B"/>
    <w:rsid w:val="00995EC1"/>
    <w:rsid w:val="009960BA"/>
    <w:rsid w:val="0099640A"/>
    <w:rsid w:val="00996881"/>
    <w:rsid w:val="00996897"/>
    <w:rsid w:val="00996B8A"/>
    <w:rsid w:val="00996BA6"/>
    <w:rsid w:val="009970B6"/>
    <w:rsid w:val="009973AD"/>
    <w:rsid w:val="009978AB"/>
    <w:rsid w:val="00997B4B"/>
    <w:rsid w:val="00997C14"/>
    <w:rsid w:val="00997C20"/>
    <w:rsid w:val="00997C8E"/>
    <w:rsid w:val="00997D1C"/>
    <w:rsid w:val="00997D5A"/>
    <w:rsid w:val="00997F01"/>
    <w:rsid w:val="009A01BF"/>
    <w:rsid w:val="009A0743"/>
    <w:rsid w:val="009A07B9"/>
    <w:rsid w:val="009A0E71"/>
    <w:rsid w:val="009A0F9A"/>
    <w:rsid w:val="009A1509"/>
    <w:rsid w:val="009A1667"/>
    <w:rsid w:val="009A1BD5"/>
    <w:rsid w:val="009A1CA5"/>
    <w:rsid w:val="009A1E06"/>
    <w:rsid w:val="009A23E1"/>
    <w:rsid w:val="009A24B7"/>
    <w:rsid w:val="009A2814"/>
    <w:rsid w:val="009A293D"/>
    <w:rsid w:val="009A2981"/>
    <w:rsid w:val="009A2A1B"/>
    <w:rsid w:val="009A2CDE"/>
    <w:rsid w:val="009A2DAE"/>
    <w:rsid w:val="009A2F58"/>
    <w:rsid w:val="009A3076"/>
    <w:rsid w:val="009A30B5"/>
    <w:rsid w:val="009A30C7"/>
    <w:rsid w:val="009A3438"/>
    <w:rsid w:val="009A34DE"/>
    <w:rsid w:val="009A3C83"/>
    <w:rsid w:val="009A3FBF"/>
    <w:rsid w:val="009A4096"/>
    <w:rsid w:val="009A40F7"/>
    <w:rsid w:val="009A438A"/>
    <w:rsid w:val="009A4963"/>
    <w:rsid w:val="009A4A07"/>
    <w:rsid w:val="009A4BFC"/>
    <w:rsid w:val="009A4FF9"/>
    <w:rsid w:val="009A5110"/>
    <w:rsid w:val="009A563D"/>
    <w:rsid w:val="009A56BF"/>
    <w:rsid w:val="009A5907"/>
    <w:rsid w:val="009A5AB5"/>
    <w:rsid w:val="009A5EC4"/>
    <w:rsid w:val="009A64DC"/>
    <w:rsid w:val="009A64EF"/>
    <w:rsid w:val="009A65C8"/>
    <w:rsid w:val="009A67A2"/>
    <w:rsid w:val="009A6991"/>
    <w:rsid w:val="009A6B47"/>
    <w:rsid w:val="009A6CE2"/>
    <w:rsid w:val="009A6F59"/>
    <w:rsid w:val="009A7015"/>
    <w:rsid w:val="009A72DC"/>
    <w:rsid w:val="009A7498"/>
    <w:rsid w:val="009A7732"/>
    <w:rsid w:val="009A795D"/>
    <w:rsid w:val="009A79A1"/>
    <w:rsid w:val="009A7A07"/>
    <w:rsid w:val="009A7A74"/>
    <w:rsid w:val="009A7BF7"/>
    <w:rsid w:val="009A7CCE"/>
    <w:rsid w:val="009A7DDD"/>
    <w:rsid w:val="009A7E7A"/>
    <w:rsid w:val="009B01AA"/>
    <w:rsid w:val="009B0220"/>
    <w:rsid w:val="009B0266"/>
    <w:rsid w:val="009B0730"/>
    <w:rsid w:val="009B083D"/>
    <w:rsid w:val="009B0CEE"/>
    <w:rsid w:val="009B108A"/>
    <w:rsid w:val="009B117C"/>
    <w:rsid w:val="009B18B8"/>
    <w:rsid w:val="009B196D"/>
    <w:rsid w:val="009B1A15"/>
    <w:rsid w:val="009B1DE1"/>
    <w:rsid w:val="009B1E02"/>
    <w:rsid w:val="009B1E57"/>
    <w:rsid w:val="009B1F11"/>
    <w:rsid w:val="009B2023"/>
    <w:rsid w:val="009B23B9"/>
    <w:rsid w:val="009B2B82"/>
    <w:rsid w:val="009B2BD3"/>
    <w:rsid w:val="009B319F"/>
    <w:rsid w:val="009B33AF"/>
    <w:rsid w:val="009B3402"/>
    <w:rsid w:val="009B3452"/>
    <w:rsid w:val="009B3546"/>
    <w:rsid w:val="009B3841"/>
    <w:rsid w:val="009B396C"/>
    <w:rsid w:val="009B3E05"/>
    <w:rsid w:val="009B3FA4"/>
    <w:rsid w:val="009B4400"/>
    <w:rsid w:val="009B48A9"/>
    <w:rsid w:val="009B4BDD"/>
    <w:rsid w:val="009B4F99"/>
    <w:rsid w:val="009B5422"/>
    <w:rsid w:val="009B55A9"/>
    <w:rsid w:val="009B561D"/>
    <w:rsid w:val="009B5720"/>
    <w:rsid w:val="009B5DB6"/>
    <w:rsid w:val="009B6141"/>
    <w:rsid w:val="009B61F2"/>
    <w:rsid w:val="009B6295"/>
    <w:rsid w:val="009B62C8"/>
    <w:rsid w:val="009B643D"/>
    <w:rsid w:val="009B64C2"/>
    <w:rsid w:val="009B6E3A"/>
    <w:rsid w:val="009B6EDE"/>
    <w:rsid w:val="009B6F36"/>
    <w:rsid w:val="009B6F7B"/>
    <w:rsid w:val="009B7070"/>
    <w:rsid w:val="009B7105"/>
    <w:rsid w:val="009B753C"/>
    <w:rsid w:val="009B7C56"/>
    <w:rsid w:val="009B7EB7"/>
    <w:rsid w:val="009C03EB"/>
    <w:rsid w:val="009C06DA"/>
    <w:rsid w:val="009C070D"/>
    <w:rsid w:val="009C0781"/>
    <w:rsid w:val="009C0BD7"/>
    <w:rsid w:val="009C1063"/>
    <w:rsid w:val="009C10F0"/>
    <w:rsid w:val="009C1910"/>
    <w:rsid w:val="009C1C2B"/>
    <w:rsid w:val="009C2461"/>
    <w:rsid w:val="009C259F"/>
    <w:rsid w:val="009C27E2"/>
    <w:rsid w:val="009C291E"/>
    <w:rsid w:val="009C2D51"/>
    <w:rsid w:val="009C3357"/>
    <w:rsid w:val="009C33B2"/>
    <w:rsid w:val="009C343C"/>
    <w:rsid w:val="009C3698"/>
    <w:rsid w:val="009C3763"/>
    <w:rsid w:val="009C39C5"/>
    <w:rsid w:val="009C3F75"/>
    <w:rsid w:val="009C413B"/>
    <w:rsid w:val="009C43F2"/>
    <w:rsid w:val="009C4590"/>
    <w:rsid w:val="009C45BD"/>
    <w:rsid w:val="009C4A42"/>
    <w:rsid w:val="009C4A98"/>
    <w:rsid w:val="009C4AAC"/>
    <w:rsid w:val="009C4BFE"/>
    <w:rsid w:val="009C50EE"/>
    <w:rsid w:val="009C5675"/>
    <w:rsid w:val="009C5693"/>
    <w:rsid w:val="009C57A9"/>
    <w:rsid w:val="009C5864"/>
    <w:rsid w:val="009C59BC"/>
    <w:rsid w:val="009C5E01"/>
    <w:rsid w:val="009C6041"/>
    <w:rsid w:val="009C61BD"/>
    <w:rsid w:val="009C6621"/>
    <w:rsid w:val="009C67BF"/>
    <w:rsid w:val="009C69DE"/>
    <w:rsid w:val="009C6E96"/>
    <w:rsid w:val="009C6EDF"/>
    <w:rsid w:val="009C6F88"/>
    <w:rsid w:val="009C6FF8"/>
    <w:rsid w:val="009C7012"/>
    <w:rsid w:val="009C71B3"/>
    <w:rsid w:val="009C7304"/>
    <w:rsid w:val="009C744F"/>
    <w:rsid w:val="009C7507"/>
    <w:rsid w:val="009C78CA"/>
    <w:rsid w:val="009C79FC"/>
    <w:rsid w:val="009C7A6A"/>
    <w:rsid w:val="009C7AD3"/>
    <w:rsid w:val="009C7E13"/>
    <w:rsid w:val="009D0060"/>
    <w:rsid w:val="009D0880"/>
    <w:rsid w:val="009D0968"/>
    <w:rsid w:val="009D0C50"/>
    <w:rsid w:val="009D0D9B"/>
    <w:rsid w:val="009D0E82"/>
    <w:rsid w:val="009D0FC1"/>
    <w:rsid w:val="009D0FC5"/>
    <w:rsid w:val="009D1037"/>
    <w:rsid w:val="009D11EA"/>
    <w:rsid w:val="009D1431"/>
    <w:rsid w:val="009D186D"/>
    <w:rsid w:val="009D18F4"/>
    <w:rsid w:val="009D1E9B"/>
    <w:rsid w:val="009D208E"/>
    <w:rsid w:val="009D23F2"/>
    <w:rsid w:val="009D2452"/>
    <w:rsid w:val="009D2577"/>
    <w:rsid w:val="009D2DAF"/>
    <w:rsid w:val="009D2DF3"/>
    <w:rsid w:val="009D2E47"/>
    <w:rsid w:val="009D2E86"/>
    <w:rsid w:val="009D3043"/>
    <w:rsid w:val="009D31CB"/>
    <w:rsid w:val="009D3349"/>
    <w:rsid w:val="009D33A2"/>
    <w:rsid w:val="009D356A"/>
    <w:rsid w:val="009D36B0"/>
    <w:rsid w:val="009D40E5"/>
    <w:rsid w:val="009D42C5"/>
    <w:rsid w:val="009D435B"/>
    <w:rsid w:val="009D4750"/>
    <w:rsid w:val="009D4AD9"/>
    <w:rsid w:val="009D4DB3"/>
    <w:rsid w:val="009D52AD"/>
    <w:rsid w:val="009D545C"/>
    <w:rsid w:val="009D558D"/>
    <w:rsid w:val="009D587A"/>
    <w:rsid w:val="009D5B4A"/>
    <w:rsid w:val="009D5BA2"/>
    <w:rsid w:val="009D6120"/>
    <w:rsid w:val="009D61EE"/>
    <w:rsid w:val="009D634B"/>
    <w:rsid w:val="009D637C"/>
    <w:rsid w:val="009D639D"/>
    <w:rsid w:val="009D6AFB"/>
    <w:rsid w:val="009D6CAD"/>
    <w:rsid w:val="009D6CFF"/>
    <w:rsid w:val="009D7207"/>
    <w:rsid w:val="009D72A4"/>
    <w:rsid w:val="009D7776"/>
    <w:rsid w:val="009D7824"/>
    <w:rsid w:val="009D792A"/>
    <w:rsid w:val="009D7C5C"/>
    <w:rsid w:val="009D7CE1"/>
    <w:rsid w:val="009D7D2E"/>
    <w:rsid w:val="009E0068"/>
    <w:rsid w:val="009E0442"/>
    <w:rsid w:val="009E0618"/>
    <w:rsid w:val="009E0BB6"/>
    <w:rsid w:val="009E0D36"/>
    <w:rsid w:val="009E0DA9"/>
    <w:rsid w:val="009E0E9A"/>
    <w:rsid w:val="009E1373"/>
    <w:rsid w:val="009E13D9"/>
    <w:rsid w:val="009E1501"/>
    <w:rsid w:val="009E1770"/>
    <w:rsid w:val="009E182D"/>
    <w:rsid w:val="009E1A95"/>
    <w:rsid w:val="009E1D85"/>
    <w:rsid w:val="009E21A8"/>
    <w:rsid w:val="009E21D2"/>
    <w:rsid w:val="009E23E6"/>
    <w:rsid w:val="009E2751"/>
    <w:rsid w:val="009E2AA2"/>
    <w:rsid w:val="009E30DD"/>
    <w:rsid w:val="009E3282"/>
    <w:rsid w:val="009E35A2"/>
    <w:rsid w:val="009E374D"/>
    <w:rsid w:val="009E37C2"/>
    <w:rsid w:val="009E3E1E"/>
    <w:rsid w:val="009E3F62"/>
    <w:rsid w:val="009E3F6F"/>
    <w:rsid w:val="009E412D"/>
    <w:rsid w:val="009E42A1"/>
    <w:rsid w:val="009E45C6"/>
    <w:rsid w:val="009E460C"/>
    <w:rsid w:val="009E4FA1"/>
    <w:rsid w:val="009E51A9"/>
    <w:rsid w:val="009E5282"/>
    <w:rsid w:val="009E53F1"/>
    <w:rsid w:val="009E5605"/>
    <w:rsid w:val="009E58AA"/>
    <w:rsid w:val="009E5D6A"/>
    <w:rsid w:val="009E6214"/>
    <w:rsid w:val="009E631B"/>
    <w:rsid w:val="009E6A2A"/>
    <w:rsid w:val="009E6D4A"/>
    <w:rsid w:val="009E6E26"/>
    <w:rsid w:val="009E7030"/>
    <w:rsid w:val="009E7413"/>
    <w:rsid w:val="009E7453"/>
    <w:rsid w:val="009E74F7"/>
    <w:rsid w:val="009E7A78"/>
    <w:rsid w:val="009E7C5D"/>
    <w:rsid w:val="009E7E78"/>
    <w:rsid w:val="009E7F1B"/>
    <w:rsid w:val="009E7F6D"/>
    <w:rsid w:val="009F0530"/>
    <w:rsid w:val="009F0AE0"/>
    <w:rsid w:val="009F0B05"/>
    <w:rsid w:val="009F0B7F"/>
    <w:rsid w:val="009F0D3E"/>
    <w:rsid w:val="009F11B5"/>
    <w:rsid w:val="009F120C"/>
    <w:rsid w:val="009F15A9"/>
    <w:rsid w:val="009F15E6"/>
    <w:rsid w:val="009F15E9"/>
    <w:rsid w:val="009F1A32"/>
    <w:rsid w:val="009F1B32"/>
    <w:rsid w:val="009F1CD7"/>
    <w:rsid w:val="009F1D0A"/>
    <w:rsid w:val="009F1F12"/>
    <w:rsid w:val="009F1F42"/>
    <w:rsid w:val="009F1F5B"/>
    <w:rsid w:val="009F29C7"/>
    <w:rsid w:val="009F2A45"/>
    <w:rsid w:val="009F2BFC"/>
    <w:rsid w:val="009F2E8F"/>
    <w:rsid w:val="009F2F7F"/>
    <w:rsid w:val="009F3349"/>
    <w:rsid w:val="009F349D"/>
    <w:rsid w:val="009F3B0B"/>
    <w:rsid w:val="009F413A"/>
    <w:rsid w:val="009F43A4"/>
    <w:rsid w:val="009F43DC"/>
    <w:rsid w:val="009F43FF"/>
    <w:rsid w:val="009F46AC"/>
    <w:rsid w:val="009F4958"/>
    <w:rsid w:val="009F4B77"/>
    <w:rsid w:val="009F4E88"/>
    <w:rsid w:val="009F4FDA"/>
    <w:rsid w:val="009F525C"/>
    <w:rsid w:val="009F56CB"/>
    <w:rsid w:val="009F5766"/>
    <w:rsid w:val="009F577A"/>
    <w:rsid w:val="009F57EC"/>
    <w:rsid w:val="009F59EC"/>
    <w:rsid w:val="009F5C70"/>
    <w:rsid w:val="009F5E59"/>
    <w:rsid w:val="009F5FFE"/>
    <w:rsid w:val="009F60E1"/>
    <w:rsid w:val="009F6106"/>
    <w:rsid w:val="009F6191"/>
    <w:rsid w:val="009F61AB"/>
    <w:rsid w:val="009F627F"/>
    <w:rsid w:val="009F66BF"/>
    <w:rsid w:val="009F689C"/>
    <w:rsid w:val="009F6EFA"/>
    <w:rsid w:val="009F6FB1"/>
    <w:rsid w:val="009F70A8"/>
    <w:rsid w:val="009F75D0"/>
    <w:rsid w:val="009F78D8"/>
    <w:rsid w:val="009F7929"/>
    <w:rsid w:val="009F7FAC"/>
    <w:rsid w:val="00A0006E"/>
    <w:rsid w:val="00A006E8"/>
    <w:rsid w:val="00A00BB2"/>
    <w:rsid w:val="00A00C07"/>
    <w:rsid w:val="00A00F85"/>
    <w:rsid w:val="00A016B2"/>
    <w:rsid w:val="00A0175C"/>
    <w:rsid w:val="00A01978"/>
    <w:rsid w:val="00A01B35"/>
    <w:rsid w:val="00A01DB5"/>
    <w:rsid w:val="00A01FAF"/>
    <w:rsid w:val="00A02485"/>
    <w:rsid w:val="00A024E0"/>
    <w:rsid w:val="00A02566"/>
    <w:rsid w:val="00A02AD6"/>
    <w:rsid w:val="00A02BBE"/>
    <w:rsid w:val="00A02C12"/>
    <w:rsid w:val="00A02F2A"/>
    <w:rsid w:val="00A030AF"/>
    <w:rsid w:val="00A0317E"/>
    <w:rsid w:val="00A031BA"/>
    <w:rsid w:val="00A0343A"/>
    <w:rsid w:val="00A037B6"/>
    <w:rsid w:val="00A03855"/>
    <w:rsid w:val="00A03C0D"/>
    <w:rsid w:val="00A03D49"/>
    <w:rsid w:val="00A03E33"/>
    <w:rsid w:val="00A03FB2"/>
    <w:rsid w:val="00A04007"/>
    <w:rsid w:val="00A043C8"/>
    <w:rsid w:val="00A05395"/>
    <w:rsid w:val="00A0572F"/>
    <w:rsid w:val="00A05A7D"/>
    <w:rsid w:val="00A05C2D"/>
    <w:rsid w:val="00A05D04"/>
    <w:rsid w:val="00A060DB"/>
    <w:rsid w:val="00A06192"/>
    <w:rsid w:val="00A06330"/>
    <w:rsid w:val="00A06369"/>
    <w:rsid w:val="00A06479"/>
    <w:rsid w:val="00A066C7"/>
    <w:rsid w:val="00A0694A"/>
    <w:rsid w:val="00A06C3D"/>
    <w:rsid w:val="00A0797B"/>
    <w:rsid w:val="00A07A6A"/>
    <w:rsid w:val="00A07B82"/>
    <w:rsid w:val="00A07FF6"/>
    <w:rsid w:val="00A07FFD"/>
    <w:rsid w:val="00A10357"/>
    <w:rsid w:val="00A10371"/>
    <w:rsid w:val="00A105CD"/>
    <w:rsid w:val="00A1065D"/>
    <w:rsid w:val="00A106AA"/>
    <w:rsid w:val="00A10CD2"/>
    <w:rsid w:val="00A10E34"/>
    <w:rsid w:val="00A10F55"/>
    <w:rsid w:val="00A11122"/>
    <w:rsid w:val="00A119BD"/>
    <w:rsid w:val="00A11C61"/>
    <w:rsid w:val="00A11C6F"/>
    <w:rsid w:val="00A11EE3"/>
    <w:rsid w:val="00A11F08"/>
    <w:rsid w:val="00A12507"/>
    <w:rsid w:val="00A125FA"/>
    <w:rsid w:val="00A128A8"/>
    <w:rsid w:val="00A128BA"/>
    <w:rsid w:val="00A129F8"/>
    <w:rsid w:val="00A12A78"/>
    <w:rsid w:val="00A12BB2"/>
    <w:rsid w:val="00A12C67"/>
    <w:rsid w:val="00A13002"/>
    <w:rsid w:val="00A1319A"/>
    <w:rsid w:val="00A134E7"/>
    <w:rsid w:val="00A1355A"/>
    <w:rsid w:val="00A13635"/>
    <w:rsid w:val="00A13690"/>
    <w:rsid w:val="00A13B84"/>
    <w:rsid w:val="00A13BD3"/>
    <w:rsid w:val="00A13BD8"/>
    <w:rsid w:val="00A1411D"/>
    <w:rsid w:val="00A14FD6"/>
    <w:rsid w:val="00A150CF"/>
    <w:rsid w:val="00A15214"/>
    <w:rsid w:val="00A15656"/>
    <w:rsid w:val="00A15906"/>
    <w:rsid w:val="00A16279"/>
    <w:rsid w:val="00A16281"/>
    <w:rsid w:val="00A1667F"/>
    <w:rsid w:val="00A16697"/>
    <w:rsid w:val="00A1679E"/>
    <w:rsid w:val="00A16A5B"/>
    <w:rsid w:val="00A170F8"/>
    <w:rsid w:val="00A17319"/>
    <w:rsid w:val="00A17506"/>
    <w:rsid w:val="00A175D8"/>
    <w:rsid w:val="00A17795"/>
    <w:rsid w:val="00A17819"/>
    <w:rsid w:val="00A2007E"/>
    <w:rsid w:val="00A200B5"/>
    <w:rsid w:val="00A20AE5"/>
    <w:rsid w:val="00A20EEA"/>
    <w:rsid w:val="00A21261"/>
    <w:rsid w:val="00A212E1"/>
    <w:rsid w:val="00A21366"/>
    <w:rsid w:val="00A21886"/>
    <w:rsid w:val="00A21B06"/>
    <w:rsid w:val="00A21CEE"/>
    <w:rsid w:val="00A21DBC"/>
    <w:rsid w:val="00A21F73"/>
    <w:rsid w:val="00A22338"/>
    <w:rsid w:val="00A22395"/>
    <w:rsid w:val="00A22774"/>
    <w:rsid w:val="00A22967"/>
    <w:rsid w:val="00A22A80"/>
    <w:rsid w:val="00A22D20"/>
    <w:rsid w:val="00A23670"/>
    <w:rsid w:val="00A23816"/>
    <w:rsid w:val="00A23A0D"/>
    <w:rsid w:val="00A23AB0"/>
    <w:rsid w:val="00A23D9A"/>
    <w:rsid w:val="00A2408E"/>
    <w:rsid w:val="00A240BF"/>
    <w:rsid w:val="00A245F4"/>
    <w:rsid w:val="00A24924"/>
    <w:rsid w:val="00A24D87"/>
    <w:rsid w:val="00A24FB5"/>
    <w:rsid w:val="00A24FBA"/>
    <w:rsid w:val="00A2516D"/>
    <w:rsid w:val="00A2521D"/>
    <w:rsid w:val="00A2524A"/>
    <w:rsid w:val="00A25257"/>
    <w:rsid w:val="00A25419"/>
    <w:rsid w:val="00A2542F"/>
    <w:rsid w:val="00A2568C"/>
    <w:rsid w:val="00A259D1"/>
    <w:rsid w:val="00A25F35"/>
    <w:rsid w:val="00A26B57"/>
    <w:rsid w:val="00A26D03"/>
    <w:rsid w:val="00A26E87"/>
    <w:rsid w:val="00A2728B"/>
    <w:rsid w:val="00A27643"/>
    <w:rsid w:val="00A27D37"/>
    <w:rsid w:val="00A27E9A"/>
    <w:rsid w:val="00A304CB"/>
    <w:rsid w:val="00A308D7"/>
    <w:rsid w:val="00A30B0D"/>
    <w:rsid w:val="00A30CE8"/>
    <w:rsid w:val="00A30F4E"/>
    <w:rsid w:val="00A310AE"/>
    <w:rsid w:val="00A3170F"/>
    <w:rsid w:val="00A319AC"/>
    <w:rsid w:val="00A31C44"/>
    <w:rsid w:val="00A31CC0"/>
    <w:rsid w:val="00A31E3B"/>
    <w:rsid w:val="00A31F93"/>
    <w:rsid w:val="00A32078"/>
    <w:rsid w:val="00A3217F"/>
    <w:rsid w:val="00A322BD"/>
    <w:rsid w:val="00A322D0"/>
    <w:rsid w:val="00A32305"/>
    <w:rsid w:val="00A3237C"/>
    <w:rsid w:val="00A323D2"/>
    <w:rsid w:val="00A32633"/>
    <w:rsid w:val="00A32802"/>
    <w:rsid w:val="00A330A2"/>
    <w:rsid w:val="00A334C1"/>
    <w:rsid w:val="00A33667"/>
    <w:rsid w:val="00A33762"/>
    <w:rsid w:val="00A33859"/>
    <w:rsid w:val="00A33A86"/>
    <w:rsid w:val="00A33BAE"/>
    <w:rsid w:val="00A33DA0"/>
    <w:rsid w:val="00A33FE6"/>
    <w:rsid w:val="00A340E0"/>
    <w:rsid w:val="00A34120"/>
    <w:rsid w:val="00A34197"/>
    <w:rsid w:val="00A3419D"/>
    <w:rsid w:val="00A34B31"/>
    <w:rsid w:val="00A34BE3"/>
    <w:rsid w:val="00A34C25"/>
    <w:rsid w:val="00A34C79"/>
    <w:rsid w:val="00A355CB"/>
    <w:rsid w:val="00A356C0"/>
    <w:rsid w:val="00A35A3B"/>
    <w:rsid w:val="00A35D2F"/>
    <w:rsid w:val="00A35E6E"/>
    <w:rsid w:val="00A36283"/>
    <w:rsid w:val="00A36412"/>
    <w:rsid w:val="00A36536"/>
    <w:rsid w:val="00A3655B"/>
    <w:rsid w:val="00A3672F"/>
    <w:rsid w:val="00A36837"/>
    <w:rsid w:val="00A36AE6"/>
    <w:rsid w:val="00A36EBE"/>
    <w:rsid w:val="00A3715C"/>
    <w:rsid w:val="00A371DA"/>
    <w:rsid w:val="00A376AA"/>
    <w:rsid w:val="00A37BA5"/>
    <w:rsid w:val="00A37CE5"/>
    <w:rsid w:val="00A37CF0"/>
    <w:rsid w:val="00A37F22"/>
    <w:rsid w:val="00A40176"/>
    <w:rsid w:val="00A40189"/>
    <w:rsid w:val="00A4088C"/>
    <w:rsid w:val="00A40936"/>
    <w:rsid w:val="00A40C63"/>
    <w:rsid w:val="00A40D30"/>
    <w:rsid w:val="00A40D4A"/>
    <w:rsid w:val="00A40EF1"/>
    <w:rsid w:val="00A41156"/>
    <w:rsid w:val="00A41311"/>
    <w:rsid w:val="00A4196B"/>
    <w:rsid w:val="00A41A14"/>
    <w:rsid w:val="00A41CF5"/>
    <w:rsid w:val="00A41EE6"/>
    <w:rsid w:val="00A42022"/>
    <w:rsid w:val="00A42373"/>
    <w:rsid w:val="00A42543"/>
    <w:rsid w:val="00A425DF"/>
    <w:rsid w:val="00A426C7"/>
    <w:rsid w:val="00A426D9"/>
    <w:rsid w:val="00A42B2E"/>
    <w:rsid w:val="00A42F83"/>
    <w:rsid w:val="00A43271"/>
    <w:rsid w:val="00A4327F"/>
    <w:rsid w:val="00A4345E"/>
    <w:rsid w:val="00A44175"/>
    <w:rsid w:val="00A44711"/>
    <w:rsid w:val="00A44738"/>
    <w:rsid w:val="00A4480F"/>
    <w:rsid w:val="00A4497F"/>
    <w:rsid w:val="00A44BBD"/>
    <w:rsid w:val="00A44D62"/>
    <w:rsid w:val="00A45322"/>
    <w:rsid w:val="00A45332"/>
    <w:rsid w:val="00A455AC"/>
    <w:rsid w:val="00A45A0B"/>
    <w:rsid w:val="00A45B2C"/>
    <w:rsid w:val="00A45C5C"/>
    <w:rsid w:val="00A45F7B"/>
    <w:rsid w:val="00A460E5"/>
    <w:rsid w:val="00A4667C"/>
    <w:rsid w:val="00A46AB3"/>
    <w:rsid w:val="00A46B18"/>
    <w:rsid w:val="00A47175"/>
    <w:rsid w:val="00A47182"/>
    <w:rsid w:val="00A4743E"/>
    <w:rsid w:val="00A4754B"/>
    <w:rsid w:val="00A47624"/>
    <w:rsid w:val="00A476EC"/>
    <w:rsid w:val="00A477CF"/>
    <w:rsid w:val="00A47836"/>
    <w:rsid w:val="00A47CD3"/>
    <w:rsid w:val="00A47CE7"/>
    <w:rsid w:val="00A47D7E"/>
    <w:rsid w:val="00A47E7E"/>
    <w:rsid w:val="00A5031D"/>
    <w:rsid w:val="00A50415"/>
    <w:rsid w:val="00A50422"/>
    <w:rsid w:val="00A5080F"/>
    <w:rsid w:val="00A50D21"/>
    <w:rsid w:val="00A50D34"/>
    <w:rsid w:val="00A50E5A"/>
    <w:rsid w:val="00A512A8"/>
    <w:rsid w:val="00A51609"/>
    <w:rsid w:val="00A516AF"/>
    <w:rsid w:val="00A517B8"/>
    <w:rsid w:val="00A517F8"/>
    <w:rsid w:val="00A51867"/>
    <w:rsid w:val="00A51A24"/>
    <w:rsid w:val="00A51E03"/>
    <w:rsid w:val="00A52155"/>
    <w:rsid w:val="00A5226F"/>
    <w:rsid w:val="00A522F3"/>
    <w:rsid w:val="00A52586"/>
    <w:rsid w:val="00A52670"/>
    <w:rsid w:val="00A526E3"/>
    <w:rsid w:val="00A529AC"/>
    <w:rsid w:val="00A52AA0"/>
    <w:rsid w:val="00A52B6E"/>
    <w:rsid w:val="00A52C5F"/>
    <w:rsid w:val="00A52E09"/>
    <w:rsid w:val="00A52E97"/>
    <w:rsid w:val="00A53408"/>
    <w:rsid w:val="00A537CA"/>
    <w:rsid w:val="00A53CDE"/>
    <w:rsid w:val="00A53D04"/>
    <w:rsid w:val="00A53EB8"/>
    <w:rsid w:val="00A53FA9"/>
    <w:rsid w:val="00A5417E"/>
    <w:rsid w:val="00A548DD"/>
    <w:rsid w:val="00A5492A"/>
    <w:rsid w:val="00A54A0B"/>
    <w:rsid w:val="00A54D81"/>
    <w:rsid w:val="00A54DA8"/>
    <w:rsid w:val="00A5500A"/>
    <w:rsid w:val="00A55017"/>
    <w:rsid w:val="00A5562C"/>
    <w:rsid w:val="00A55AF9"/>
    <w:rsid w:val="00A55D85"/>
    <w:rsid w:val="00A55EE9"/>
    <w:rsid w:val="00A55F1E"/>
    <w:rsid w:val="00A56125"/>
    <w:rsid w:val="00A5646B"/>
    <w:rsid w:val="00A5658F"/>
    <w:rsid w:val="00A56696"/>
    <w:rsid w:val="00A5689B"/>
    <w:rsid w:val="00A56A48"/>
    <w:rsid w:val="00A56FA9"/>
    <w:rsid w:val="00A56FE0"/>
    <w:rsid w:val="00A57016"/>
    <w:rsid w:val="00A574A3"/>
    <w:rsid w:val="00A57DD8"/>
    <w:rsid w:val="00A6005E"/>
    <w:rsid w:val="00A60088"/>
    <w:rsid w:val="00A60208"/>
    <w:rsid w:val="00A60298"/>
    <w:rsid w:val="00A6038F"/>
    <w:rsid w:val="00A60501"/>
    <w:rsid w:val="00A6051A"/>
    <w:rsid w:val="00A606ED"/>
    <w:rsid w:val="00A607F4"/>
    <w:rsid w:val="00A60D36"/>
    <w:rsid w:val="00A60EF4"/>
    <w:rsid w:val="00A60F41"/>
    <w:rsid w:val="00A6112A"/>
    <w:rsid w:val="00A6119A"/>
    <w:rsid w:val="00A611AE"/>
    <w:rsid w:val="00A612C6"/>
    <w:rsid w:val="00A613D5"/>
    <w:rsid w:val="00A61400"/>
    <w:rsid w:val="00A614C8"/>
    <w:rsid w:val="00A6168C"/>
    <w:rsid w:val="00A61717"/>
    <w:rsid w:val="00A61782"/>
    <w:rsid w:val="00A617D1"/>
    <w:rsid w:val="00A61932"/>
    <w:rsid w:val="00A61B6F"/>
    <w:rsid w:val="00A61F37"/>
    <w:rsid w:val="00A61F44"/>
    <w:rsid w:val="00A61F89"/>
    <w:rsid w:val="00A61FDD"/>
    <w:rsid w:val="00A6214E"/>
    <w:rsid w:val="00A621A6"/>
    <w:rsid w:val="00A62915"/>
    <w:rsid w:val="00A62943"/>
    <w:rsid w:val="00A62DDB"/>
    <w:rsid w:val="00A62F2F"/>
    <w:rsid w:val="00A6301A"/>
    <w:rsid w:val="00A63632"/>
    <w:rsid w:val="00A636E0"/>
    <w:rsid w:val="00A638BD"/>
    <w:rsid w:val="00A63ADF"/>
    <w:rsid w:val="00A63BD1"/>
    <w:rsid w:val="00A63E07"/>
    <w:rsid w:val="00A64078"/>
    <w:rsid w:val="00A6429B"/>
    <w:rsid w:val="00A64816"/>
    <w:rsid w:val="00A64B7B"/>
    <w:rsid w:val="00A64C01"/>
    <w:rsid w:val="00A64E00"/>
    <w:rsid w:val="00A65237"/>
    <w:rsid w:val="00A653CF"/>
    <w:rsid w:val="00A656DB"/>
    <w:rsid w:val="00A6580F"/>
    <w:rsid w:val="00A659D2"/>
    <w:rsid w:val="00A65EFC"/>
    <w:rsid w:val="00A66521"/>
    <w:rsid w:val="00A66DF5"/>
    <w:rsid w:val="00A66EC4"/>
    <w:rsid w:val="00A66F36"/>
    <w:rsid w:val="00A6725E"/>
    <w:rsid w:val="00A67340"/>
    <w:rsid w:val="00A67350"/>
    <w:rsid w:val="00A675AC"/>
    <w:rsid w:val="00A675D7"/>
    <w:rsid w:val="00A6776B"/>
    <w:rsid w:val="00A67D2B"/>
    <w:rsid w:val="00A67F69"/>
    <w:rsid w:val="00A70303"/>
    <w:rsid w:val="00A707C3"/>
    <w:rsid w:val="00A70B2A"/>
    <w:rsid w:val="00A711D9"/>
    <w:rsid w:val="00A71285"/>
    <w:rsid w:val="00A71364"/>
    <w:rsid w:val="00A7136B"/>
    <w:rsid w:val="00A71644"/>
    <w:rsid w:val="00A71EA7"/>
    <w:rsid w:val="00A7210B"/>
    <w:rsid w:val="00A721A6"/>
    <w:rsid w:val="00A723DD"/>
    <w:rsid w:val="00A723EA"/>
    <w:rsid w:val="00A72480"/>
    <w:rsid w:val="00A7264B"/>
    <w:rsid w:val="00A729F7"/>
    <w:rsid w:val="00A72BA7"/>
    <w:rsid w:val="00A72C48"/>
    <w:rsid w:val="00A7303E"/>
    <w:rsid w:val="00A734CD"/>
    <w:rsid w:val="00A73659"/>
    <w:rsid w:val="00A736DA"/>
    <w:rsid w:val="00A73985"/>
    <w:rsid w:val="00A73A03"/>
    <w:rsid w:val="00A73B49"/>
    <w:rsid w:val="00A7440A"/>
    <w:rsid w:val="00A744EB"/>
    <w:rsid w:val="00A74AA5"/>
    <w:rsid w:val="00A7582A"/>
    <w:rsid w:val="00A7583D"/>
    <w:rsid w:val="00A75ADC"/>
    <w:rsid w:val="00A75EB2"/>
    <w:rsid w:val="00A75FB0"/>
    <w:rsid w:val="00A75FB9"/>
    <w:rsid w:val="00A76228"/>
    <w:rsid w:val="00A763AE"/>
    <w:rsid w:val="00A76792"/>
    <w:rsid w:val="00A76A64"/>
    <w:rsid w:val="00A76F99"/>
    <w:rsid w:val="00A76FA0"/>
    <w:rsid w:val="00A772BE"/>
    <w:rsid w:val="00A77306"/>
    <w:rsid w:val="00A77364"/>
    <w:rsid w:val="00A77391"/>
    <w:rsid w:val="00A773B8"/>
    <w:rsid w:val="00A7743E"/>
    <w:rsid w:val="00A77705"/>
    <w:rsid w:val="00A778A7"/>
    <w:rsid w:val="00A779AF"/>
    <w:rsid w:val="00A77A41"/>
    <w:rsid w:val="00A77AB4"/>
    <w:rsid w:val="00A77B16"/>
    <w:rsid w:val="00A801C1"/>
    <w:rsid w:val="00A80355"/>
    <w:rsid w:val="00A806A2"/>
    <w:rsid w:val="00A807AC"/>
    <w:rsid w:val="00A80B95"/>
    <w:rsid w:val="00A80C95"/>
    <w:rsid w:val="00A80CAA"/>
    <w:rsid w:val="00A80FF5"/>
    <w:rsid w:val="00A81856"/>
    <w:rsid w:val="00A81861"/>
    <w:rsid w:val="00A819E0"/>
    <w:rsid w:val="00A81DC3"/>
    <w:rsid w:val="00A8232A"/>
    <w:rsid w:val="00A827BE"/>
    <w:rsid w:val="00A82917"/>
    <w:rsid w:val="00A82BA1"/>
    <w:rsid w:val="00A82C21"/>
    <w:rsid w:val="00A82DBD"/>
    <w:rsid w:val="00A82FEE"/>
    <w:rsid w:val="00A83014"/>
    <w:rsid w:val="00A834D6"/>
    <w:rsid w:val="00A83A6C"/>
    <w:rsid w:val="00A84109"/>
    <w:rsid w:val="00A8426A"/>
    <w:rsid w:val="00A8439A"/>
    <w:rsid w:val="00A843C8"/>
    <w:rsid w:val="00A84835"/>
    <w:rsid w:val="00A84E7E"/>
    <w:rsid w:val="00A85094"/>
    <w:rsid w:val="00A852B2"/>
    <w:rsid w:val="00A85487"/>
    <w:rsid w:val="00A85823"/>
    <w:rsid w:val="00A85AA9"/>
    <w:rsid w:val="00A85C45"/>
    <w:rsid w:val="00A85D3D"/>
    <w:rsid w:val="00A85E58"/>
    <w:rsid w:val="00A85FC3"/>
    <w:rsid w:val="00A862D5"/>
    <w:rsid w:val="00A86BF9"/>
    <w:rsid w:val="00A86C2A"/>
    <w:rsid w:val="00A86C86"/>
    <w:rsid w:val="00A86FB0"/>
    <w:rsid w:val="00A87036"/>
    <w:rsid w:val="00A87221"/>
    <w:rsid w:val="00A8778D"/>
    <w:rsid w:val="00A87F1C"/>
    <w:rsid w:val="00A900CF"/>
    <w:rsid w:val="00A901FC"/>
    <w:rsid w:val="00A905CF"/>
    <w:rsid w:val="00A90BAC"/>
    <w:rsid w:val="00A90D84"/>
    <w:rsid w:val="00A90D98"/>
    <w:rsid w:val="00A90EB8"/>
    <w:rsid w:val="00A910D7"/>
    <w:rsid w:val="00A9118F"/>
    <w:rsid w:val="00A912E4"/>
    <w:rsid w:val="00A91614"/>
    <w:rsid w:val="00A91655"/>
    <w:rsid w:val="00A916E2"/>
    <w:rsid w:val="00A9194F"/>
    <w:rsid w:val="00A91962"/>
    <w:rsid w:val="00A91BC6"/>
    <w:rsid w:val="00A92149"/>
    <w:rsid w:val="00A926CA"/>
    <w:rsid w:val="00A92754"/>
    <w:rsid w:val="00A9288E"/>
    <w:rsid w:val="00A93024"/>
    <w:rsid w:val="00A932BB"/>
    <w:rsid w:val="00A934E3"/>
    <w:rsid w:val="00A936E5"/>
    <w:rsid w:val="00A937DF"/>
    <w:rsid w:val="00A93837"/>
    <w:rsid w:val="00A93FFF"/>
    <w:rsid w:val="00A94445"/>
    <w:rsid w:val="00A9463F"/>
    <w:rsid w:val="00A94ABD"/>
    <w:rsid w:val="00A94AEA"/>
    <w:rsid w:val="00A95105"/>
    <w:rsid w:val="00A95576"/>
    <w:rsid w:val="00A957C7"/>
    <w:rsid w:val="00A95B2D"/>
    <w:rsid w:val="00A95C28"/>
    <w:rsid w:val="00A95D6F"/>
    <w:rsid w:val="00A9670B"/>
    <w:rsid w:val="00A9673E"/>
    <w:rsid w:val="00A96D0E"/>
    <w:rsid w:val="00A96F15"/>
    <w:rsid w:val="00A970BF"/>
    <w:rsid w:val="00A971CC"/>
    <w:rsid w:val="00A97C37"/>
    <w:rsid w:val="00A97CC2"/>
    <w:rsid w:val="00A97D08"/>
    <w:rsid w:val="00A97DB6"/>
    <w:rsid w:val="00A97EF7"/>
    <w:rsid w:val="00AA0029"/>
    <w:rsid w:val="00AA016B"/>
    <w:rsid w:val="00AA0304"/>
    <w:rsid w:val="00AA0464"/>
    <w:rsid w:val="00AA0647"/>
    <w:rsid w:val="00AA07B9"/>
    <w:rsid w:val="00AA095A"/>
    <w:rsid w:val="00AA095C"/>
    <w:rsid w:val="00AA0B61"/>
    <w:rsid w:val="00AA0C05"/>
    <w:rsid w:val="00AA0D25"/>
    <w:rsid w:val="00AA0E96"/>
    <w:rsid w:val="00AA1014"/>
    <w:rsid w:val="00AA1057"/>
    <w:rsid w:val="00AA129E"/>
    <w:rsid w:val="00AA13FA"/>
    <w:rsid w:val="00AA1461"/>
    <w:rsid w:val="00AA19D8"/>
    <w:rsid w:val="00AA1BAB"/>
    <w:rsid w:val="00AA2125"/>
    <w:rsid w:val="00AA2208"/>
    <w:rsid w:val="00AA2324"/>
    <w:rsid w:val="00AA2BEF"/>
    <w:rsid w:val="00AA2C32"/>
    <w:rsid w:val="00AA2D45"/>
    <w:rsid w:val="00AA2DDF"/>
    <w:rsid w:val="00AA2E47"/>
    <w:rsid w:val="00AA2F05"/>
    <w:rsid w:val="00AA2F75"/>
    <w:rsid w:val="00AA3086"/>
    <w:rsid w:val="00AA30D8"/>
    <w:rsid w:val="00AA314C"/>
    <w:rsid w:val="00AA31EA"/>
    <w:rsid w:val="00AA3366"/>
    <w:rsid w:val="00AA342C"/>
    <w:rsid w:val="00AA381E"/>
    <w:rsid w:val="00AA38B2"/>
    <w:rsid w:val="00AA40DB"/>
    <w:rsid w:val="00AA44E4"/>
    <w:rsid w:val="00AA484A"/>
    <w:rsid w:val="00AA4A44"/>
    <w:rsid w:val="00AA4B04"/>
    <w:rsid w:val="00AA4B40"/>
    <w:rsid w:val="00AA537A"/>
    <w:rsid w:val="00AA53FC"/>
    <w:rsid w:val="00AA5504"/>
    <w:rsid w:val="00AA565F"/>
    <w:rsid w:val="00AA5A8E"/>
    <w:rsid w:val="00AA5D3E"/>
    <w:rsid w:val="00AA655D"/>
    <w:rsid w:val="00AA6620"/>
    <w:rsid w:val="00AA6744"/>
    <w:rsid w:val="00AA6788"/>
    <w:rsid w:val="00AA681F"/>
    <w:rsid w:val="00AA687D"/>
    <w:rsid w:val="00AA6929"/>
    <w:rsid w:val="00AA6C77"/>
    <w:rsid w:val="00AA6DBB"/>
    <w:rsid w:val="00AA6E5F"/>
    <w:rsid w:val="00AA6E78"/>
    <w:rsid w:val="00AA6EFC"/>
    <w:rsid w:val="00AA730A"/>
    <w:rsid w:val="00AA7596"/>
    <w:rsid w:val="00AA799B"/>
    <w:rsid w:val="00AA7BDD"/>
    <w:rsid w:val="00AA7EE9"/>
    <w:rsid w:val="00AB0154"/>
    <w:rsid w:val="00AB0300"/>
    <w:rsid w:val="00AB0908"/>
    <w:rsid w:val="00AB094A"/>
    <w:rsid w:val="00AB0A48"/>
    <w:rsid w:val="00AB0B7F"/>
    <w:rsid w:val="00AB0BF2"/>
    <w:rsid w:val="00AB14FA"/>
    <w:rsid w:val="00AB15D0"/>
    <w:rsid w:val="00AB16E8"/>
    <w:rsid w:val="00AB17F0"/>
    <w:rsid w:val="00AB1A04"/>
    <w:rsid w:val="00AB1B49"/>
    <w:rsid w:val="00AB1CF0"/>
    <w:rsid w:val="00AB1D09"/>
    <w:rsid w:val="00AB1D99"/>
    <w:rsid w:val="00AB2835"/>
    <w:rsid w:val="00AB2960"/>
    <w:rsid w:val="00AB29C8"/>
    <w:rsid w:val="00AB2A05"/>
    <w:rsid w:val="00AB2C11"/>
    <w:rsid w:val="00AB2D3B"/>
    <w:rsid w:val="00AB2E5D"/>
    <w:rsid w:val="00AB2EE9"/>
    <w:rsid w:val="00AB2EFB"/>
    <w:rsid w:val="00AB32C7"/>
    <w:rsid w:val="00AB3684"/>
    <w:rsid w:val="00AB36F4"/>
    <w:rsid w:val="00AB3BE6"/>
    <w:rsid w:val="00AB3E75"/>
    <w:rsid w:val="00AB43EC"/>
    <w:rsid w:val="00AB46D8"/>
    <w:rsid w:val="00AB4C63"/>
    <w:rsid w:val="00AB4E06"/>
    <w:rsid w:val="00AB4EB5"/>
    <w:rsid w:val="00AB4F3C"/>
    <w:rsid w:val="00AB510D"/>
    <w:rsid w:val="00AB5388"/>
    <w:rsid w:val="00AB53FC"/>
    <w:rsid w:val="00AB5635"/>
    <w:rsid w:val="00AB566A"/>
    <w:rsid w:val="00AB56DD"/>
    <w:rsid w:val="00AB60EF"/>
    <w:rsid w:val="00AB6199"/>
    <w:rsid w:val="00AB61BE"/>
    <w:rsid w:val="00AB62E4"/>
    <w:rsid w:val="00AB6436"/>
    <w:rsid w:val="00AB65EF"/>
    <w:rsid w:val="00AB6790"/>
    <w:rsid w:val="00AB6A43"/>
    <w:rsid w:val="00AB6C25"/>
    <w:rsid w:val="00AB6E65"/>
    <w:rsid w:val="00AB6FD2"/>
    <w:rsid w:val="00AB72B9"/>
    <w:rsid w:val="00AB747A"/>
    <w:rsid w:val="00AB7494"/>
    <w:rsid w:val="00AB75EB"/>
    <w:rsid w:val="00AB7E82"/>
    <w:rsid w:val="00AC00ED"/>
    <w:rsid w:val="00AC09F7"/>
    <w:rsid w:val="00AC0D44"/>
    <w:rsid w:val="00AC0F7E"/>
    <w:rsid w:val="00AC0FEE"/>
    <w:rsid w:val="00AC1049"/>
    <w:rsid w:val="00AC12CC"/>
    <w:rsid w:val="00AC1588"/>
    <w:rsid w:val="00AC1914"/>
    <w:rsid w:val="00AC1C7B"/>
    <w:rsid w:val="00AC1D32"/>
    <w:rsid w:val="00AC210F"/>
    <w:rsid w:val="00AC2412"/>
    <w:rsid w:val="00AC273F"/>
    <w:rsid w:val="00AC27E3"/>
    <w:rsid w:val="00AC286E"/>
    <w:rsid w:val="00AC2944"/>
    <w:rsid w:val="00AC2AAF"/>
    <w:rsid w:val="00AC2BD8"/>
    <w:rsid w:val="00AC2F1D"/>
    <w:rsid w:val="00AC3182"/>
    <w:rsid w:val="00AC32DA"/>
    <w:rsid w:val="00AC3886"/>
    <w:rsid w:val="00AC395B"/>
    <w:rsid w:val="00AC3A61"/>
    <w:rsid w:val="00AC3A67"/>
    <w:rsid w:val="00AC3B1E"/>
    <w:rsid w:val="00AC3D50"/>
    <w:rsid w:val="00AC3E71"/>
    <w:rsid w:val="00AC41F6"/>
    <w:rsid w:val="00AC448C"/>
    <w:rsid w:val="00AC45F7"/>
    <w:rsid w:val="00AC4987"/>
    <w:rsid w:val="00AC4AFE"/>
    <w:rsid w:val="00AC5063"/>
    <w:rsid w:val="00AC542A"/>
    <w:rsid w:val="00AC5FDF"/>
    <w:rsid w:val="00AC61F8"/>
    <w:rsid w:val="00AC636B"/>
    <w:rsid w:val="00AC64E1"/>
    <w:rsid w:val="00AC651D"/>
    <w:rsid w:val="00AC65D1"/>
    <w:rsid w:val="00AC6637"/>
    <w:rsid w:val="00AC66DA"/>
    <w:rsid w:val="00AC6875"/>
    <w:rsid w:val="00AC705D"/>
    <w:rsid w:val="00AC7361"/>
    <w:rsid w:val="00AC7374"/>
    <w:rsid w:val="00AC7576"/>
    <w:rsid w:val="00AC7913"/>
    <w:rsid w:val="00AC79FF"/>
    <w:rsid w:val="00AC7EEC"/>
    <w:rsid w:val="00AD009A"/>
    <w:rsid w:val="00AD036E"/>
    <w:rsid w:val="00AD062E"/>
    <w:rsid w:val="00AD0697"/>
    <w:rsid w:val="00AD0699"/>
    <w:rsid w:val="00AD070D"/>
    <w:rsid w:val="00AD084F"/>
    <w:rsid w:val="00AD085F"/>
    <w:rsid w:val="00AD099A"/>
    <w:rsid w:val="00AD0B6B"/>
    <w:rsid w:val="00AD0B72"/>
    <w:rsid w:val="00AD0EC2"/>
    <w:rsid w:val="00AD0F5B"/>
    <w:rsid w:val="00AD105F"/>
    <w:rsid w:val="00AD12BA"/>
    <w:rsid w:val="00AD139F"/>
    <w:rsid w:val="00AD1489"/>
    <w:rsid w:val="00AD167F"/>
    <w:rsid w:val="00AD1FE6"/>
    <w:rsid w:val="00AD20B7"/>
    <w:rsid w:val="00AD218C"/>
    <w:rsid w:val="00AD2867"/>
    <w:rsid w:val="00AD292E"/>
    <w:rsid w:val="00AD2936"/>
    <w:rsid w:val="00AD297E"/>
    <w:rsid w:val="00AD2B98"/>
    <w:rsid w:val="00AD32B5"/>
    <w:rsid w:val="00AD3438"/>
    <w:rsid w:val="00AD34EF"/>
    <w:rsid w:val="00AD39CF"/>
    <w:rsid w:val="00AD3E16"/>
    <w:rsid w:val="00AD3FB6"/>
    <w:rsid w:val="00AD407D"/>
    <w:rsid w:val="00AD40FF"/>
    <w:rsid w:val="00AD4158"/>
    <w:rsid w:val="00AD426A"/>
    <w:rsid w:val="00AD43A6"/>
    <w:rsid w:val="00AD43A8"/>
    <w:rsid w:val="00AD43DC"/>
    <w:rsid w:val="00AD454C"/>
    <w:rsid w:val="00AD455B"/>
    <w:rsid w:val="00AD45F6"/>
    <w:rsid w:val="00AD47B9"/>
    <w:rsid w:val="00AD4BCF"/>
    <w:rsid w:val="00AD4C30"/>
    <w:rsid w:val="00AD4FA9"/>
    <w:rsid w:val="00AD5162"/>
    <w:rsid w:val="00AD51C4"/>
    <w:rsid w:val="00AD564C"/>
    <w:rsid w:val="00AD5664"/>
    <w:rsid w:val="00AD5D3C"/>
    <w:rsid w:val="00AD5E99"/>
    <w:rsid w:val="00AD5EED"/>
    <w:rsid w:val="00AD627C"/>
    <w:rsid w:val="00AD62C6"/>
    <w:rsid w:val="00AD6579"/>
    <w:rsid w:val="00AD6586"/>
    <w:rsid w:val="00AD6ACF"/>
    <w:rsid w:val="00AD6BB1"/>
    <w:rsid w:val="00AD6D1C"/>
    <w:rsid w:val="00AD7018"/>
    <w:rsid w:val="00AD7028"/>
    <w:rsid w:val="00AD7150"/>
    <w:rsid w:val="00AD76F6"/>
    <w:rsid w:val="00AE01EF"/>
    <w:rsid w:val="00AE0B41"/>
    <w:rsid w:val="00AE0D05"/>
    <w:rsid w:val="00AE0D90"/>
    <w:rsid w:val="00AE132C"/>
    <w:rsid w:val="00AE1756"/>
    <w:rsid w:val="00AE18DD"/>
    <w:rsid w:val="00AE18DF"/>
    <w:rsid w:val="00AE1B11"/>
    <w:rsid w:val="00AE2066"/>
    <w:rsid w:val="00AE2141"/>
    <w:rsid w:val="00AE21B6"/>
    <w:rsid w:val="00AE2288"/>
    <w:rsid w:val="00AE23FD"/>
    <w:rsid w:val="00AE25F8"/>
    <w:rsid w:val="00AE264A"/>
    <w:rsid w:val="00AE2E7A"/>
    <w:rsid w:val="00AE345A"/>
    <w:rsid w:val="00AE359B"/>
    <w:rsid w:val="00AE3D26"/>
    <w:rsid w:val="00AE3FD9"/>
    <w:rsid w:val="00AE3FEC"/>
    <w:rsid w:val="00AE4139"/>
    <w:rsid w:val="00AE416B"/>
    <w:rsid w:val="00AE42E1"/>
    <w:rsid w:val="00AE4322"/>
    <w:rsid w:val="00AE447B"/>
    <w:rsid w:val="00AE4680"/>
    <w:rsid w:val="00AE4710"/>
    <w:rsid w:val="00AE4733"/>
    <w:rsid w:val="00AE4CFC"/>
    <w:rsid w:val="00AE4F3F"/>
    <w:rsid w:val="00AE5101"/>
    <w:rsid w:val="00AE5865"/>
    <w:rsid w:val="00AE58E1"/>
    <w:rsid w:val="00AE5ABC"/>
    <w:rsid w:val="00AE5DEA"/>
    <w:rsid w:val="00AE5E1E"/>
    <w:rsid w:val="00AE6116"/>
    <w:rsid w:val="00AE6AC1"/>
    <w:rsid w:val="00AE7152"/>
    <w:rsid w:val="00AE7379"/>
    <w:rsid w:val="00AE738F"/>
    <w:rsid w:val="00AE751C"/>
    <w:rsid w:val="00AE7654"/>
    <w:rsid w:val="00AE7655"/>
    <w:rsid w:val="00AE7BE9"/>
    <w:rsid w:val="00AE7C9E"/>
    <w:rsid w:val="00AE7E1C"/>
    <w:rsid w:val="00AE7FB8"/>
    <w:rsid w:val="00AF0166"/>
    <w:rsid w:val="00AF0697"/>
    <w:rsid w:val="00AF07D4"/>
    <w:rsid w:val="00AF07F1"/>
    <w:rsid w:val="00AF09E5"/>
    <w:rsid w:val="00AF102C"/>
    <w:rsid w:val="00AF11AD"/>
    <w:rsid w:val="00AF162A"/>
    <w:rsid w:val="00AF1770"/>
    <w:rsid w:val="00AF17E3"/>
    <w:rsid w:val="00AF1D69"/>
    <w:rsid w:val="00AF2096"/>
    <w:rsid w:val="00AF2114"/>
    <w:rsid w:val="00AF233C"/>
    <w:rsid w:val="00AF236E"/>
    <w:rsid w:val="00AF27A1"/>
    <w:rsid w:val="00AF29A0"/>
    <w:rsid w:val="00AF29AB"/>
    <w:rsid w:val="00AF2E4A"/>
    <w:rsid w:val="00AF2FC0"/>
    <w:rsid w:val="00AF30CC"/>
    <w:rsid w:val="00AF3206"/>
    <w:rsid w:val="00AF3321"/>
    <w:rsid w:val="00AF359E"/>
    <w:rsid w:val="00AF36F7"/>
    <w:rsid w:val="00AF3841"/>
    <w:rsid w:val="00AF3903"/>
    <w:rsid w:val="00AF3C9B"/>
    <w:rsid w:val="00AF40C3"/>
    <w:rsid w:val="00AF40E1"/>
    <w:rsid w:val="00AF45B9"/>
    <w:rsid w:val="00AF46C5"/>
    <w:rsid w:val="00AF48B1"/>
    <w:rsid w:val="00AF48CB"/>
    <w:rsid w:val="00AF4D7C"/>
    <w:rsid w:val="00AF4F4B"/>
    <w:rsid w:val="00AF4F57"/>
    <w:rsid w:val="00AF53EA"/>
    <w:rsid w:val="00AF56EC"/>
    <w:rsid w:val="00AF5A3D"/>
    <w:rsid w:val="00AF5BA3"/>
    <w:rsid w:val="00AF5F43"/>
    <w:rsid w:val="00AF5F78"/>
    <w:rsid w:val="00AF61D8"/>
    <w:rsid w:val="00AF6205"/>
    <w:rsid w:val="00AF634C"/>
    <w:rsid w:val="00AF641B"/>
    <w:rsid w:val="00AF64B5"/>
    <w:rsid w:val="00AF673B"/>
    <w:rsid w:val="00AF6A3C"/>
    <w:rsid w:val="00AF6E97"/>
    <w:rsid w:val="00AF7009"/>
    <w:rsid w:val="00AF71DC"/>
    <w:rsid w:val="00AF730B"/>
    <w:rsid w:val="00AF7362"/>
    <w:rsid w:val="00AF772E"/>
    <w:rsid w:val="00AF7B2D"/>
    <w:rsid w:val="00AF7E93"/>
    <w:rsid w:val="00B00389"/>
    <w:rsid w:val="00B00508"/>
    <w:rsid w:val="00B0050F"/>
    <w:rsid w:val="00B007FC"/>
    <w:rsid w:val="00B00EA9"/>
    <w:rsid w:val="00B01618"/>
    <w:rsid w:val="00B01C38"/>
    <w:rsid w:val="00B01F0C"/>
    <w:rsid w:val="00B02030"/>
    <w:rsid w:val="00B0213E"/>
    <w:rsid w:val="00B02152"/>
    <w:rsid w:val="00B021A7"/>
    <w:rsid w:val="00B0241D"/>
    <w:rsid w:val="00B02910"/>
    <w:rsid w:val="00B02916"/>
    <w:rsid w:val="00B029CD"/>
    <w:rsid w:val="00B02AF6"/>
    <w:rsid w:val="00B02BF5"/>
    <w:rsid w:val="00B02D60"/>
    <w:rsid w:val="00B02F92"/>
    <w:rsid w:val="00B0301A"/>
    <w:rsid w:val="00B0339B"/>
    <w:rsid w:val="00B03784"/>
    <w:rsid w:val="00B03E3F"/>
    <w:rsid w:val="00B042FF"/>
    <w:rsid w:val="00B043A5"/>
    <w:rsid w:val="00B04533"/>
    <w:rsid w:val="00B04694"/>
    <w:rsid w:val="00B04BB6"/>
    <w:rsid w:val="00B04E5E"/>
    <w:rsid w:val="00B052B2"/>
    <w:rsid w:val="00B054A6"/>
    <w:rsid w:val="00B054E0"/>
    <w:rsid w:val="00B054EA"/>
    <w:rsid w:val="00B05997"/>
    <w:rsid w:val="00B05E16"/>
    <w:rsid w:val="00B05EBF"/>
    <w:rsid w:val="00B063B7"/>
    <w:rsid w:val="00B064EE"/>
    <w:rsid w:val="00B065A0"/>
    <w:rsid w:val="00B065A8"/>
    <w:rsid w:val="00B0676E"/>
    <w:rsid w:val="00B07003"/>
    <w:rsid w:val="00B075A8"/>
    <w:rsid w:val="00B07608"/>
    <w:rsid w:val="00B07707"/>
    <w:rsid w:val="00B07865"/>
    <w:rsid w:val="00B079E6"/>
    <w:rsid w:val="00B07B2B"/>
    <w:rsid w:val="00B07B35"/>
    <w:rsid w:val="00B07BA9"/>
    <w:rsid w:val="00B07E2A"/>
    <w:rsid w:val="00B07E73"/>
    <w:rsid w:val="00B07FF6"/>
    <w:rsid w:val="00B102A8"/>
    <w:rsid w:val="00B10B56"/>
    <w:rsid w:val="00B10BB1"/>
    <w:rsid w:val="00B10D45"/>
    <w:rsid w:val="00B10F42"/>
    <w:rsid w:val="00B11126"/>
    <w:rsid w:val="00B1117C"/>
    <w:rsid w:val="00B1166D"/>
    <w:rsid w:val="00B11910"/>
    <w:rsid w:val="00B119D5"/>
    <w:rsid w:val="00B11AC6"/>
    <w:rsid w:val="00B11B11"/>
    <w:rsid w:val="00B11D45"/>
    <w:rsid w:val="00B11F86"/>
    <w:rsid w:val="00B11F8D"/>
    <w:rsid w:val="00B12105"/>
    <w:rsid w:val="00B12241"/>
    <w:rsid w:val="00B1244B"/>
    <w:rsid w:val="00B12C47"/>
    <w:rsid w:val="00B130C0"/>
    <w:rsid w:val="00B13164"/>
    <w:rsid w:val="00B13206"/>
    <w:rsid w:val="00B133C1"/>
    <w:rsid w:val="00B138E4"/>
    <w:rsid w:val="00B13920"/>
    <w:rsid w:val="00B1392E"/>
    <w:rsid w:val="00B13950"/>
    <w:rsid w:val="00B1397A"/>
    <w:rsid w:val="00B13B08"/>
    <w:rsid w:val="00B14183"/>
    <w:rsid w:val="00B1425B"/>
    <w:rsid w:val="00B14350"/>
    <w:rsid w:val="00B145B8"/>
    <w:rsid w:val="00B145DB"/>
    <w:rsid w:val="00B149EC"/>
    <w:rsid w:val="00B14B27"/>
    <w:rsid w:val="00B14FD1"/>
    <w:rsid w:val="00B1541A"/>
    <w:rsid w:val="00B154CC"/>
    <w:rsid w:val="00B157E0"/>
    <w:rsid w:val="00B15964"/>
    <w:rsid w:val="00B15A8A"/>
    <w:rsid w:val="00B15F94"/>
    <w:rsid w:val="00B161DC"/>
    <w:rsid w:val="00B1663C"/>
    <w:rsid w:val="00B16DAC"/>
    <w:rsid w:val="00B16DCA"/>
    <w:rsid w:val="00B17436"/>
    <w:rsid w:val="00B174B3"/>
    <w:rsid w:val="00B1766B"/>
    <w:rsid w:val="00B17767"/>
    <w:rsid w:val="00B17B52"/>
    <w:rsid w:val="00B17CAA"/>
    <w:rsid w:val="00B17E26"/>
    <w:rsid w:val="00B2014B"/>
    <w:rsid w:val="00B201FB"/>
    <w:rsid w:val="00B207E6"/>
    <w:rsid w:val="00B20AE7"/>
    <w:rsid w:val="00B20C16"/>
    <w:rsid w:val="00B20DA6"/>
    <w:rsid w:val="00B20DAB"/>
    <w:rsid w:val="00B21131"/>
    <w:rsid w:val="00B2133E"/>
    <w:rsid w:val="00B21433"/>
    <w:rsid w:val="00B214F2"/>
    <w:rsid w:val="00B216A2"/>
    <w:rsid w:val="00B21AED"/>
    <w:rsid w:val="00B21C21"/>
    <w:rsid w:val="00B21DF0"/>
    <w:rsid w:val="00B21F6A"/>
    <w:rsid w:val="00B2216A"/>
    <w:rsid w:val="00B22409"/>
    <w:rsid w:val="00B2267D"/>
    <w:rsid w:val="00B22DF3"/>
    <w:rsid w:val="00B230E1"/>
    <w:rsid w:val="00B231B4"/>
    <w:rsid w:val="00B232C6"/>
    <w:rsid w:val="00B233CB"/>
    <w:rsid w:val="00B236B2"/>
    <w:rsid w:val="00B239E4"/>
    <w:rsid w:val="00B23AED"/>
    <w:rsid w:val="00B23F46"/>
    <w:rsid w:val="00B24C2D"/>
    <w:rsid w:val="00B24C51"/>
    <w:rsid w:val="00B25342"/>
    <w:rsid w:val="00B25948"/>
    <w:rsid w:val="00B26CF2"/>
    <w:rsid w:val="00B26D9D"/>
    <w:rsid w:val="00B26E0E"/>
    <w:rsid w:val="00B26E32"/>
    <w:rsid w:val="00B26E87"/>
    <w:rsid w:val="00B26F52"/>
    <w:rsid w:val="00B27005"/>
    <w:rsid w:val="00B2746F"/>
    <w:rsid w:val="00B275E4"/>
    <w:rsid w:val="00B278F3"/>
    <w:rsid w:val="00B27B5D"/>
    <w:rsid w:val="00B27CB4"/>
    <w:rsid w:val="00B3055D"/>
    <w:rsid w:val="00B3084F"/>
    <w:rsid w:val="00B308AD"/>
    <w:rsid w:val="00B30BAB"/>
    <w:rsid w:val="00B30EA6"/>
    <w:rsid w:val="00B31167"/>
    <w:rsid w:val="00B31677"/>
    <w:rsid w:val="00B31801"/>
    <w:rsid w:val="00B31A20"/>
    <w:rsid w:val="00B32014"/>
    <w:rsid w:val="00B32165"/>
    <w:rsid w:val="00B321AA"/>
    <w:rsid w:val="00B3228D"/>
    <w:rsid w:val="00B32381"/>
    <w:rsid w:val="00B32396"/>
    <w:rsid w:val="00B3239C"/>
    <w:rsid w:val="00B32598"/>
    <w:rsid w:val="00B32647"/>
    <w:rsid w:val="00B3268C"/>
    <w:rsid w:val="00B32EE6"/>
    <w:rsid w:val="00B3305D"/>
    <w:rsid w:val="00B3395D"/>
    <w:rsid w:val="00B33A01"/>
    <w:rsid w:val="00B33D15"/>
    <w:rsid w:val="00B34046"/>
    <w:rsid w:val="00B346F2"/>
    <w:rsid w:val="00B34987"/>
    <w:rsid w:val="00B34B2F"/>
    <w:rsid w:val="00B34C4C"/>
    <w:rsid w:val="00B34D07"/>
    <w:rsid w:val="00B34FA5"/>
    <w:rsid w:val="00B34FF4"/>
    <w:rsid w:val="00B351D6"/>
    <w:rsid w:val="00B35847"/>
    <w:rsid w:val="00B358EF"/>
    <w:rsid w:val="00B35910"/>
    <w:rsid w:val="00B35CFD"/>
    <w:rsid w:val="00B35D91"/>
    <w:rsid w:val="00B35E43"/>
    <w:rsid w:val="00B35EF4"/>
    <w:rsid w:val="00B3607B"/>
    <w:rsid w:val="00B363EA"/>
    <w:rsid w:val="00B367F6"/>
    <w:rsid w:val="00B36BB4"/>
    <w:rsid w:val="00B3721F"/>
    <w:rsid w:val="00B37320"/>
    <w:rsid w:val="00B3748C"/>
    <w:rsid w:val="00B37624"/>
    <w:rsid w:val="00B377C4"/>
    <w:rsid w:val="00B37957"/>
    <w:rsid w:val="00B37A18"/>
    <w:rsid w:val="00B37DBA"/>
    <w:rsid w:val="00B37E8C"/>
    <w:rsid w:val="00B400AE"/>
    <w:rsid w:val="00B40346"/>
    <w:rsid w:val="00B4054D"/>
    <w:rsid w:val="00B406A5"/>
    <w:rsid w:val="00B40B21"/>
    <w:rsid w:val="00B40C33"/>
    <w:rsid w:val="00B40CE7"/>
    <w:rsid w:val="00B40CE9"/>
    <w:rsid w:val="00B40EFB"/>
    <w:rsid w:val="00B410B7"/>
    <w:rsid w:val="00B41180"/>
    <w:rsid w:val="00B41492"/>
    <w:rsid w:val="00B41857"/>
    <w:rsid w:val="00B41C7A"/>
    <w:rsid w:val="00B41C8A"/>
    <w:rsid w:val="00B41D44"/>
    <w:rsid w:val="00B41D49"/>
    <w:rsid w:val="00B41F1A"/>
    <w:rsid w:val="00B41F9F"/>
    <w:rsid w:val="00B423F5"/>
    <w:rsid w:val="00B42751"/>
    <w:rsid w:val="00B42A32"/>
    <w:rsid w:val="00B42A4D"/>
    <w:rsid w:val="00B42CC2"/>
    <w:rsid w:val="00B42F12"/>
    <w:rsid w:val="00B431CF"/>
    <w:rsid w:val="00B432E1"/>
    <w:rsid w:val="00B43AF3"/>
    <w:rsid w:val="00B43B69"/>
    <w:rsid w:val="00B43EA8"/>
    <w:rsid w:val="00B43F54"/>
    <w:rsid w:val="00B442A5"/>
    <w:rsid w:val="00B44856"/>
    <w:rsid w:val="00B44BA0"/>
    <w:rsid w:val="00B44BD0"/>
    <w:rsid w:val="00B451A2"/>
    <w:rsid w:val="00B4524D"/>
    <w:rsid w:val="00B453CE"/>
    <w:rsid w:val="00B457BE"/>
    <w:rsid w:val="00B458A0"/>
    <w:rsid w:val="00B45B99"/>
    <w:rsid w:val="00B45D80"/>
    <w:rsid w:val="00B45DE0"/>
    <w:rsid w:val="00B460ED"/>
    <w:rsid w:val="00B4618A"/>
    <w:rsid w:val="00B4620E"/>
    <w:rsid w:val="00B46338"/>
    <w:rsid w:val="00B464C4"/>
    <w:rsid w:val="00B46566"/>
    <w:rsid w:val="00B46598"/>
    <w:rsid w:val="00B466AA"/>
    <w:rsid w:val="00B469C8"/>
    <w:rsid w:val="00B46E2B"/>
    <w:rsid w:val="00B4749D"/>
    <w:rsid w:val="00B474FA"/>
    <w:rsid w:val="00B4756F"/>
    <w:rsid w:val="00B47DD4"/>
    <w:rsid w:val="00B47EBD"/>
    <w:rsid w:val="00B47F39"/>
    <w:rsid w:val="00B50689"/>
    <w:rsid w:val="00B50864"/>
    <w:rsid w:val="00B50880"/>
    <w:rsid w:val="00B50AC0"/>
    <w:rsid w:val="00B50B93"/>
    <w:rsid w:val="00B51354"/>
    <w:rsid w:val="00B51973"/>
    <w:rsid w:val="00B51B22"/>
    <w:rsid w:val="00B51C00"/>
    <w:rsid w:val="00B51C10"/>
    <w:rsid w:val="00B51F9B"/>
    <w:rsid w:val="00B526D6"/>
    <w:rsid w:val="00B5281A"/>
    <w:rsid w:val="00B52D89"/>
    <w:rsid w:val="00B52DB2"/>
    <w:rsid w:val="00B53165"/>
    <w:rsid w:val="00B53190"/>
    <w:rsid w:val="00B53334"/>
    <w:rsid w:val="00B53350"/>
    <w:rsid w:val="00B53722"/>
    <w:rsid w:val="00B53D06"/>
    <w:rsid w:val="00B53EF4"/>
    <w:rsid w:val="00B54083"/>
    <w:rsid w:val="00B54187"/>
    <w:rsid w:val="00B54393"/>
    <w:rsid w:val="00B54659"/>
    <w:rsid w:val="00B546AE"/>
    <w:rsid w:val="00B546C6"/>
    <w:rsid w:val="00B546DF"/>
    <w:rsid w:val="00B54785"/>
    <w:rsid w:val="00B54AA6"/>
    <w:rsid w:val="00B54EBD"/>
    <w:rsid w:val="00B5503D"/>
    <w:rsid w:val="00B550EC"/>
    <w:rsid w:val="00B55110"/>
    <w:rsid w:val="00B553BE"/>
    <w:rsid w:val="00B5588E"/>
    <w:rsid w:val="00B55A72"/>
    <w:rsid w:val="00B55AAB"/>
    <w:rsid w:val="00B55F7C"/>
    <w:rsid w:val="00B56178"/>
    <w:rsid w:val="00B567A8"/>
    <w:rsid w:val="00B56A14"/>
    <w:rsid w:val="00B56DF3"/>
    <w:rsid w:val="00B5715C"/>
    <w:rsid w:val="00B574A9"/>
    <w:rsid w:val="00B57546"/>
    <w:rsid w:val="00B577FE"/>
    <w:rsid w:val="00B579F4"/>
    <w:rsid w:val="00B57BEA"/>
    <w:rsid w:val="00B57D7F"/>
    <w:rsid w:val="00B57DAD"/>
    <w:rsid w:val="00B57F72"/>
    <w:rsid w:val="00B60264"/>
    <w:rsid w:val="00B60546"/>
    <w:rsid w:val="00B6062E"/>
    <w:rsid w:val="00B60677"/>
    <w:rsid w:val="00B6067B"/>
    <w:rsid w:val="00B60A5F"/>
    <w:rsid w:val="00B60E80"/>
    <w:rsid w:val="00B60EBD"/>
    <w:rsid w:val="00B6114F"/>
    <w:rsid w:val="00B6168C"/>
    <w:rsid w:val="00B61829"/>
    <w:rsid w:val="00B61B7D"/>
    <w:rsid w:val="00B625C7"/>
    <w:rsid w:val="00B62771"/>
    <w:rsid w:val="00B62B48"/>
    <w:rsid w:val="00B62C29"/>
    <w:rsid w:val="00B62E21"/>
    <w:rsid w:val="00B630AB"/>
    <w:rsid w:val="00B63117"/>
    <w:rsid w:val="00B63200"/>
    <w:rsid w:val="00B63244"/>
    <w:rsid w:val="00B6338B"/>
    <w:rsid w:val="00B63782"/>
    <w:rsid w:val="00B6387C"/>
    <w:rsid w:val="00B638AA"/>
    <w:rsid w:val="00B63A2A"/>
    <w:rsid w:val="00B63DCE"/>
    <w:rsid w:val="00B63F2C"/>
    <w:rsid w:val="00B63F9F"/>
    <w:rsid w:val="00B643BD"/>
    <w:rsid w:val="00B6457D"/>
    <w:rsid w:val="00B6465E"/>
    <w:rsid w:val="00B649E8"/>
    <w:rsid w:val="00B64D65"/>
    <w:rsid w:val="00B64F6B"/>
    <w:rsid w:val="00B64F98"/>
    <w:rsid w:val="00B650F8"/>
    <w:rsid w:val="00B65551"/>
    <w:rsid w:val="00B65592"/>
    <w:rsid w:val="00B65822"/>
    <w:rsid w:val="00B65EA0"/>
    <w:rsid w:val="00B65F89"/>
    <w:rsid w:val="00B662E0"/>
    <w:rsid w:val="00B66528"/>
    <w:rsid w:val="00B6675F"/>
    <w:rsid w:val="00B668C8"/>
    <w:rsid w:val="00B66957"/>
    <w:rsid w:val="00B66C15"/>
    <w:rsid w:val="00B66CC5"/>
    <w:rsid w:val="00B66DC5"/>
    <w:rsid w:val="00B66DEF"/>
    <w:rsid w:val="00B66F95"/>
    <w:rsid w:val="00B6735E"/>
    <w:rsid w:val="00B675C6"/>
    <w:rsid w:val="00B67870"/>
    <w:rsid w:val="00B67CE8"/>
    <w:rsid w:val="00B67DB2"/>
    <w:rsid w:val="00B700A4"/>
    <w:rsid w:val="00B701E3"/>
    <w:rsid w:val="00B7049C"/>
    <w:rsid w:val="00B704BD"/>
    <w:rsid w:val="00B705E7"/>
    <w:rsid w:val="00B70628"/>
    <w:rsid w:val="00B706E2"/>
    <w:rsid w:val="00B7099D"/>
    <w:rsid w:val="00B709F1"/>
    <w:rsid w:val="00B70B72"/>
    <w:rsid w:val="00B70DD0"/>
    <w:rsid w:val="00B71251"/>
    <w:rsid w:val="00B713BE"/>
    <w:rsid w:val="00B71863"/>
    <w:rsid w:val="00B72DEB"/>
    <w:rsid w:val="00B72FF9"/>
    <w:rsid w:val="00B736A7"/>
    <w:rsid w:val="00B73741"/>
    <w:rsid w:val="00B738CB"/>
    <w:rsid w:val="00B73BC8"/>
    <w:rsid w:val="00B73BDD"/>
    <w:rsid w:val="00B741B3"/>
    <w:rsid w:val="00B74466"/>
    <w:rsid w:val="00B746DE"/>
    <w:rsid w:val="00B74A72"/>
    <w:rsid w:val="00B74DF1"/>
    <w:rsid w:val="00B75464"/>
    <w:rsid w:val="00B75829"/>
    <w:rsid w:val="00B75B81"/>
    <w:rsid w:val="00B761A8"/>
    <w:rsid w:val="00B7637D"/>
    <w:rsid w:val="00B766B5"/>
    <w:rsid w:val="00B76DC4"/>
    <w:rsid w:val="00B7704F"/>
    <w:rsid w:val="00B77955"/>
    <w:rsid w:val="00B77B1B"/>
    <w:rsid w:val="00B77B84"/>
    <w:rsid w:val="00B77E05"/>
    <w:rsid w:val="00B77E22"/>
    <w:rsid w:val="00B804D2"/>
    <w:rsid w:val="00B80606"/>
    <w:rsid w:val="00B80614"/>
    <w:rsid w:val="00B806DB"/>
    <w:rsid w:val="00B80962"/>
    <w:rsid w:val="00B80A22"/>
    <w:rsid w:val="00B80C9D"/>
    <w:rsid w:val="00B80EB9"/>
    <w:rsid w:val="00B80FF1"/>
    <w:rsid w:val="00B8152E"/>
    <w:rsid w:val="00B8166A"/>
    <w:rsid w:val="00B81835"/>
    <w:rsid w:val="00B8197F"/>
    <w:rsid w:val="00B819C4"/>
    <w:rsid w:val="00B819EE"/>
    <w:rsid w:val="00B81B7A"/>
    <w:rsid w:val="00B81CCD"/>
    <w:rsid w:val="00B81DCB"/>
    <w:rsid w:val="00B821EE"/>
    <w:rsid w:val="00B8266D"/>
    <w:rsid w:val="00B827D6"/>
    <w:rsid w:val="00B82899"/>
    <w:rsid w:val="00B82A3B"/>
    <w:rsid w:val="00B82A8E"/>
    <w:rsid w:val="00B8320B"/>
    <w:rsid w:val="00B8334E"/>
    <w:rsid w:val="00B834E1"/>
    <w:rsid w:val="00B835A4"/>
    <w:rsid w:val="00B83A56"/>
    <w:rsid w:val="00B83B20"/>
    <w:rsid w:val="00B83C5E"/>
    <w:rsid w:val="00B845C6"/>
    <w:rsid w:val="00B8484B"/>
    <w:rsid w:val="00B852A7"/>
    <w:rsid w:val="00B8546B"/>
    <w:rsid w:val="00B855DC"/>
    <w:rsid w:val="00B85765"/>
    <w:rsid w:val="00B85B20"/>
    <w:rsid w:val="00B85BCC"/>
    <w:rsid w:val="00B85D04"/>
    <w:rsid w:val="00B85F60"/>
    <w:rsid w:val="00B85F9F"/>
    <w:rsid w:val="00B86135"/>
    <w:rsid w:val="00B86186"/>
    <w:rsid w:val="00B861C5"/>
    <w:rsid w:val="00B86295"/>
    <w:rsid w:val="00B86632"/>
    <w:rsid w:val="00B8686C"/>
    <w:rsid w:val="00B86B6A"/>
    <w:rsid w:val="00B86CD6"/>
    <w:rsid w:val="00B86E87"/>
    <w:rsid w:val="00B872B2"/>
    <w:rsid w:val="00B87388"/>
    <w:rsid w:val="00B873B1"/>
    <w:rsid w:val="00B8751C"/>
    <w:rsid w:val="00B87C69"/>
    <w:rsid w:val="00B87CC5"/>
    <w:rsid w:val="00B900BB"/>
    <w:rsid w:val="00B90148"/>
    <w:rsid w:val="00B9035C"/>
    <w:rsid w:val="00B90A4B"/>
    <w:rsid w:val="00B91328"/>
    <w:rsid w:val="00B914BA"/>
    <w:rsid w:val="00B914ED"/>
    <w:rsid w:val="00B915CC"/>
    <w:rsid w:val="00B9170D"/>
    <w:rsid w:val="00B918ED"/>
    <w:rsid w:val="00B91A06"/>
    <w:rsid w:val="00B91BEE"/>
    <w:rsid w:val="00B9223F"/>
    <w:rsid w:val="00B9245B"/>
    <w:rsid w:val="00B9247E"/>
    <w:rsid w:val="00B924B3"/>
    <w:rsid w:val="00B92516"/>
    <w:rsid w:val="00B9258E"/>
    <w:rsid w:val="00B92B72"/>
    <w:rsid w:val="00B9309E"/>
    <w:rsid w:val="00B93289"/>
    <w:rsid w:val="00B937DC"/>
    <w:rsid w:val="00B938E0"/>
    <w:rsid w:val="00B939E0"/>
    <w:rsid w:val="00B93AC0"/>
    <w:rsid w:val="00B93D9D"/>
    <w:rsid w:val="00B93F06"/>
    <w:rsid w:val="00B94189"/>
    <w:rsid w:val="00B94435"/>
    <w:rsid w:val="00B94458"/>
    <w:rsid w:val="00B94493"/>
    <w:rsid w:val="00B949A9"/>
    <w:rsid w:val="00B94AF8"/>
    <w:rsid w:val="00B94D05"/>
    <w:rsid w:val="00B94E57"/>
    <w:rsid w:val="00B94FDB"/>
    <w:rsid w:val="00B954C6"/>
    <w:rsid w:val="00B959CE"/>
    <w:rsid w:val="00B95B5B"/>
    <w:rsid w:val="00B95C80"/>
    <w:rsid w:val="00B96436"/>
    <w:rsid w:val="00B96468"/>
    <w:rsid w:val="00B96469"/>
    <w:rsid w:val="00B965ED"/>
    <w:rsid w:val="00B96B6E"/>
    <w:rsid w:val="00B96BDB"/>
    <w:rsid w:val="00B96F73"/>
    <w:rsid w:val="00B974B2"/>
    <w:rsid w:val="00B975E9"/>
    <w:rsid w:val="00B97607"/>
    <w:rsid w:val="00B9792F"/>
    <w:rsid w:val="00B97B83"/>
    <w:rsid w:val="00B97D4C"/>
    <w:rsid w:val="00BA0300"/>
    <w:rsid w:val="00BA0587"/>
    <w:rsid w:val="00BA0BA5"/>
    <w:rsid w:val="00BA0BF9"/>
    <w:rsid w:val="00BA0CEE"/>
    <w:rsid w:val="00BA0FDC"/>
    <w:rsid w:val="00BA12C2"/>
    <w:rsid w:val="00BA13B6"/>
    <w:rsid w:val="00BA145A"/>
    <w:rsid w:val="00BA1488"/>
    <w:rsid w:val="00BA14ED"/>
    <w:rsid w:val="00BA1550"/>
    <w:rsid w:val="00BA1645"/>
    <w:rsid w:val="00BA178F"/>
    <w:rsid w:val="00BA19FF"/>
    <w:rsid w:val="00BA1E31"/>
    <w:rsid w:val="00BA1EEB"/>
    <w:rsid w:val="00BA1FE8"/>
    <w:rsid w:val="00BA24AC"/>
    <w:rsid w:val="00BA24D0"/>
    <w:rsid w:val="00BA2523"/>
    <w:rsid w:val="00BA2838"/>
    <w:rsid w:val="00BA2F52"/>
    <w:rsid w:val="00BA3079"/>
    <w:rsid w:val="00BA3348"/>
    <w:rsid w:val="00BA33EC"/>
    <w:rsid w:val="00BA3580"/>
    <w:rsid w:val="00BA35A0"/>
    <w:rsid w:val="00BA3809"/>
    <w:rsid w:val="00BA3901"/>
    <w:rsid w:val="00BA393C"/>
    <w:rsid w:val="00BA3AE2"/>
    <w:rsid w:val="00BA3CCD"/>
    <w:rsid w:val="00BA432F"/>
    <w:rsid w:val="00BA435D"/>
    <w:rsid w:val="00BA4A07"/>
    <w:rsid w:val="00BA4BEF"/>
    <w:rsid w:val="00BA4D27"/>
    <w:rsid w:val="00BA50B5"/>
    <w:rsid w:val="00BA5161"/>
    <w:rsid w:val="00BA5530"/>
    <w:rsid w:val="00BA5661"/>
    <w:rsid w:val="00BA5F12"/>
    <w:rsid w:val="00BA5FD8"/>
    <w:rsid w:val="00BA6012"/>
    <w:rsid w:val="00BA6682"/>
    <w:rsid w:val="00BA66BE"/>
    <w:rsid w:val="00BA699D"/>
    <w:rsid w:val="00BA6AEE"/>
    <w:rsid w:val="00BA6FB7"/>
    <w:rsid w:val="00BA7553"/>
    <w:rsid w:val="00BA75A0"/>
    <w:rsid w:val="00BA7615"/>
    <w:rsid w:val="00BA762A"/>
    <w:rsid w:val="00BA7675"/>
    <w:rsid w:val="00BA79E2"/>
    <w:rsid w:val="00BA7B48"/>
    <w:rsid w:val="00BA7C05"/>
    <w:rsid w:val="00BB0033"/>
    <w:rsid w:val="00BB0287"/>
    <w:rsid w:val="00BB0394"/>
    <w:rsid w:val="00BB0521"/>
    <w:rsid w:val="00BB0744"/>
    <w:rsid w:val="00BB0B71"/>
    <w:rsid w:val="00BB11A4"/>
    <w:rsid w:val="00BB12A5"/>
    <w:rsid w:val="00BB13CD"/>
    <w:rsid w:val="00BB1865"/>
    <w:rsid w:val="00BB18CD"/>
    <w:rsid w:val="00BB19D4"/>
    <w:rsid w:val="00BB1AAF"/>
    <w:rsid w:val="00BB1BF9"/>
    <w:rsid w:val="00BB21D2"/>
    <w:rsid w:val="00BB2200"/>
    <w:rsid w:val="00BB229D"/>
    <w:rsid w:val="00BB23E7"/>
    <w:rsid w:val="00BB26D9"/>
    <w:rsid w:val="00BB2AA4"/>
    <w:rsid w:val="00BB2FA9"/>
    <w:rsid w:val="00BB335A"/>
    <w:rsid w:val="00BB3440"/>
    <w:rsid w:val="00BB3617"/>
    <w:rsid w:val="00BB3A83"/>
    <w:rsid w:val="00BB3C32"/>
    <w:rsid w:val="00BB4083"/>
    <w:rsid w:val="00BB4122"/>
    <w:rsid w:val="00BB46C6"/>
    <w:rsid w:val="00BB4729"/>
    <w:rsid w:val="00BB4EA2"/>
    <w:rsid w:val="00BB4F5C"/>
    <w:rsid w:val="00BB52C3"/>
    <w:rsid w:val="00BB5581"/>
    <w:rsid w:val="00BB5BC3"/>
    <w:rsid w:val="00BB63E8"/>
    <w:rsid w:val="00BB64CC"/>
    <w:rsid w:val="00BB64D1"/>
    <w:rsid w:val="00BB6CD9"/>
    <w:rsid w:val="00BB6CFA"/>
    <w:rsid w:val="00BB7459"/>
    <w:rsid w:val="00BB7471"/>
    <w:rsid w:val="00BB7516"/>
    <w:rsid w:val="00BB7BBF"/>
    <w:rsid w:val="00BB7DB4"/>
    <w:rsid w:val="00BB7DBD"/>
    <w:rsid w:val="00BB7F54"/>
    <w:rsid w:val="00BC0126"/>
    <w:rsid w:val="00BC0138"/>
    <w:rsid w:val="00BC0391"/>
    <w:rsid w:val="00BC09E8"/>
    <w:rsid w:val="00BC0B43"/>
    <w:rsid w:val="00BC0D03"/>
    <w:rsid w:val="00BC121D"/>
    <w:rsid w:val="00BC1441"/>
    <w:rsid w:val="00BC1501"/>
    <w:rsid w:val="00BC1549"/>
    <w:rsid w:val="00BC1A04"/>
    <w:rsid w:val="00BC1ADD"/>
    <w:rsid w:val="00BC1CAC"/>
    <w:rsid w:val="00BC1E65"/>
    <w:rsid w:val="00BC1FF6"/>
    <w:rsid w:val="00BC201B"/>
    <w:rsid w:val="00BC20B8"/>
    <w:rsid w:val="00BC20D1"/>
    <w:rsid w:val="00BC218D"/>
    <w:rsid w:val="00BC2433"/>
    <w:rsid w:val="00BC26D1"/>
    <w:rsid w:val="00BC2759"/>
    <w:rsid w:val="00BC27BC"/>
    <w:rsid w:val="00BC294E"/>
    <w:rsid w:val="00BC3148"/>
    <w:rsid w:val="00BC3370"/>
    <w:rsid w:val="00BC3382"/>
    <w:rsid w:val="00BC35CC"/>
    <w:rsid w:val="00BC4456"/>
    <w:rsid w:val="00BC47BF"/>
    <w:rsid w:val="00BC4803"/>
    <w:rsid w:val="00BC4843"/>
    <w:rsid w:val="00BC48CD"/>
    <w:rsid w:val="00BC5111"/>
    <w:rsid w:val="00BC5187"/>
    <w:rsid w:val="00BC5269"/>
    <w:rsid w:val="00BC52EC"/>
    <w:rsid w:val="00BC54CB"/>
    <w:rsid w:val="00BC5753"/>
    <w:rsid w:val="00BC5968"/>
    <w:rsid w:val="00BC5D38"/>
    <w:rsid w:val="00BC6089"/>
    <w:rsid w:val="00BC6157"/>
    <w:rsid w:val="00BC61DC"/>
    <w:rsid w:val="00BC645F"/>
    <w:rsid w:val="00BC6516"/>
    <w:rsid w:val="00BC6BCE"/>
    <w:rsid w:val="00BC6CA4"/>
    <w:rsid w:val="00BC6DDC"/>
    <w:rsid w:val="00BC6E06"/>
    <w:rsid w:val="00BC76C2"/>
    <w:rsid w:val="00BC7A32"/>
    <w:rsid w:val="00BC7C4F"/>
    <w:rsid w:val="00BD0448"/>
    <w:rsid w:val="00BD05DE"/>
    <w:rsid w:val="00BD07FE"/>
    <w:rsid w:val="00BD0ECE"/>
    <w:rsid w:val="00BD0EEC"/>
    <w:rsid w:val="00BD0FAC"/>
    <w:rsid w:val="00BD10A4"/>
    <w:rsid w:val="00BD1348"/>
    <w:rsid w:val="00BD1726"/>
    <w:rsid w:val="00BD1730"/>
    <w:rsid w:val="00BD173E"/>
    <w:rsid w:val="00BD191B"/>
    <w:rsid w:val="00BD1CBC"/>
    <w:rsid w:val="00BD1D0F"/>
    <w:rsid w:val="00BD1D80"/>
    <w:rsid w:val="00BD1F6A"/>
    <w:rsid w:val="00BD2018"/>
    <w:rsid w:val="00BD255A"/>
    <w:rsid w:val="00BD2B9A"/>
    <w:rsid w:val="00BD2D8C"/>
    <w:rsid w:val="00BD2E9F"/>
    <w:rsid w:val="00BD2EBE"/>
    <w:rsid w:val="00BD3142"/>
    <w:rsid w:val="00BD3EDB"/>
    <w:rsid w:val="00BD451B"/>
    <w:rsid w:val="00BD4595"/>
    <w:rsid w:val="00BD4BC4"/>
    <w:rsid w:val="00BD5235"/>
    <w:rsid w:val="00BD52C9"/>
    <w:rsid w:val="00BD5752"/>
    <w:rsid w:val="00BD591D"/>
    <w:rsid w:val="00BD5B72"/>
    <w:rsid w:val="00BD5D7F"/>
    <w:rsid w:val="00BD5FDD"/>
    <w:rsid w:val="00BD6125"/>
    <w:rsid w:val="00BD626A"/>
    <w:rsid w:val="00BD6509"/>
    <w:rsid w:val="00BD67CB"/>
    <w:rsid w:val="00BD6AEE"/>
    <w:rsid w:val="00BD6D17"/>
    <w:rsid w:val="00BD6F78"/>
    <w:rsid w:val="00BD7071"/>
    <w:rsid w:val="00BD7329"/>
    <w:rsid w:val="00BD765C"/>
    <w:rsid w:val="00BD779D"/>
    <w:rsid w:val="00BD7B4D"/>
    <w:rsid w:val="00BD7C4D"/>
    <w:rsid w:val="00BD7FCD"/>
    <w:rsid w:val="00BE0003"/>
    <w:rsid w:val="00BE0530"/>
    <w:rsid w:val="00BE05B8"/>
    <w:rsid w:val="00BE0AD6"/>
    <w:rsid w:val="00BE11D8"/>
    <w:rsid w:val="00BE12CB"/>
    <w:rsid w:val="00BE13A7"/>
    <w:rsid w:val="00BE13FC"/>
    <w:rsid w:val="00BE1499"/>
    <w:rsid w:val="00BE152A"/>
    <w:rsid w:val="00BE1A6C"/>
    <w:rsid w:val="00BE1D72"/>
    <w:rsid w:val="00BE1EB8"/>
    <w:rsid w:val="00BE1FA5"/>
    <w:rsid w:val="00BE2693"/>
    <w:rsid w:val="00BE2697"/>
    <w:rsid w:val="00BE26D9"/>
    <w:rsid w:val="00BE2CCC"/>
    <w:rsid w:val="00BE2D05"/>
    <w:rsid w:val="00BE32E5"/>
    <w:rsid w:val="00BE333D"/>
    <w:rsid w:val="00BE3493"/>
    <w:rsid w:val="00BE358E"/>
    <w:rsid w:val="00BE367F"/>
    <w:rsid w:val="00BE372E"/>
    <w:rsid w:val="00BE3A19"/>
    <w:rsid w:val="00BE3A4B"/>
    <w:rsid w:val="00BE4288"/>
    <w:rsid w:val="00BE4323"/>
    <w:rsid w:val="00BE45EB"/>
    <w:rsid w:val="00BE4A77"/>
    <w:rsid w:val="00BE4B15"/>
    <w:rsid w:val="00BE4BEC"/>
    <w:rsid w:val="00BE4E50"/>
    <w:rsid w:val="00BE4E57"/>
    <w:rsid w:val="00BE4F20"/>
    <w:rsid w:val="00BE4F56"/>
    <w:rsid w:val="00BE4F58"/>
    <w:rsid w:val="00BE512E"/>
    <w:rsid w:val="00BE54C8"/>
    <w:rsid w:val="00BE5769"/>
    <w:rsid w:val="00BE57FF"/>
    <w:rsid w:val="00BE5980"/>
    <w:rsid w:val="00BE6015"/>
    <w:rsid w:val="00BE628C"/>
    <w:rsid w:val="00BE64EF"/>
    <w:rsid w:val="00BE6551"/>
    <w:rsid w:val="00BE68B2"/>
    <w:rsid w:val="00BE6A9B"/>
    <w:rsid w:val="00BE6AE5"/>
    <w:rsid w:val="00BE6CD6"/>
    <w:rsid w:val="00BE6DA7"/>
    <w:rsid w:val="00BE70B1"/>
    <w:rsid w:val="00BE7141"/>
    <w:rsid w:val="00BE724F"/>
    <w:rsid w:val="00BE7774"/>
    <w:rsid w:val="00BE7A0C"/>
    <w:rsid w:val="00BE7ADE"/>
    <w:rsid w:val="00BE7BF7"/>
    <w:rsid w:val="00BE7EEE"/>
    <w:rsid w:val="00BE7F04"/>
    <w:rsid w:val="00BE7F12"/>
    <w:rsid w:val="00BE7FDC"/>
    <w:rsid w:val="00BF02F3"/>
    <w:rsid w:val="00BF0347"/>
    <w:rsid w:val="00BF0686"/>
    <w:rsid w:val="00BF07E9"/>
    <w:rsid w:val="00BF0909"/>
    <w:rsid w:val="00BF0F3F"/>
    <w:rsid w:val="00BF131D"/>
    <w:rsid w:val="00BF1321"/>
    <w:rsid w:val="00BF1383"/>
    <w:rsid w:val="00BF16DC"/>
    <w:rsid w:val="00BF177D"/>
    <w:rsid w:val="00BF1D12"/>
    <w:rsid w:val="00BF20BF"/>
    <w:rsid w:val="00BF227E"/>
    <w:rsid w:val="00BF2479"/>
    <w:rsid w:val="00BF2A7F"/>
    <w:rsid w:val="00BF2ACE"/>
    <w:rsid w:val="00BF2B6F"/>
    <w:rsid w:val="00BF2BE0"/>
    <w:rsid w:val="00BF2F24"/>
    <w:rsid w:val="00BF2FA6"/>
    <w:rsid w:val="00BF3116"/>
    <w:rsid w:val="00BF32CC"/>
    <w:rsid w:val="00BF3501"/>
    <w:rsid w:val="00BF359A"/>
    <w:rsid w:val="00BF35C5"/>
    <w:rsid w:val="00BF3684"/>
    <w:rsid w:val="00BF3E0E"/>
    <w:rsid w:val="00BF4317"/>
    <w:rsid w:val="00BF43AE"/>
    <w:rsid w:val="00BF4550"/>
    <w:rsid w:val="00BF465F"/>
    <w:rsid w:val="00BF4DF2"/>
    <w:rsid w:val="00BF4E4A"/>
    <w:rsid w:val="00BF4E76"/>
    <w:rsid w:val="00BF508A"/>
    <w:rsid w:val="00BF5126"/>
    <w:rsid w:val="00BF5374"/>
    <w:rsid w:val="00BF5437"/>
    <w:rsid w:val="00BF54F7"/>
    <w:rsid w:val="00BF5544"/>
    <w:rsid w:val="00BF5599"/>
    <w:rsid w:val="00BF578C"/>
    <w:rsid w:val="00BF5BF7"/>
    <w:rsid w:val="00BF5C33"/>
    <w:rsid w:val="00BF5CBC"/>
    <w:rsid w:val="00BF5CF1"/>
    <w:rsid w:val="00BF6067"/>
    <w:rsid w:val="00BF60A1"/>
    <w:rsid w:val="00BF6803"/>
    <w:rsid w:val="00BF6E31"/>
    <w:rsid w:val="00BF7091"/>
    <w:rsid w:val="00BF71F1"/>
    <w:rsid w:val="00BF7815"/>
    <w:rsid w:val="00BF7B9A"/>
    <w:rsid w:val="00BF7C95"/>
    <w:rsid w:val="00C000A2"/>
    <w:rsid w:val="00C003A6"/>
    <w:rsid w:val="00C007D2"/>
    <w:rsid w:val="00C007E0"/>
    <w:rsid w:val="00C00803"/>
    <w:rsid w:val="00C0086A"/>
    <w:rsid w:val="00C00984"/>
    <w:rsid w:val="00C00AA6"/>
    <w:rsid w:val="00C0149A"/>
    <w:rsid w:val="00C014A9"/>
    <w:rsid w:val="00C014C0"/>
    <w:rsid w:val="00C01637"/>
    <w:rsid w:val="00C01A08"/>
    <w:rsid w:val="00C01B76"/>
    <w:rsid w:val="00C02062"/>
    <w:rsid w:val="00C020FB"/>
    <w:rsid w:val="00C023CA"/>
    <w:rsid w:val="00C024F1"/>
    <w:rsid w:val="00C02868"/>
    <w:rsid w:val="00C02BBE"/>
    <w:rsid w:val="00C02EAA"/>
    <w:rsid w:val="00C02EFB"/>
    <w:rsid w:val="00C033B6"/>
    <w:rsid w:val="00C039F1"/>
    <w:rsid w:val="00C03B6F"/>
    <w:rsid w:val="00C03FBA"/>
    <w:rsid w:val="00C0406A"/>
    <w:rsid w:val="00C04104"/>
    <w:rsid w:val="00C04479"/>
    <w:rsid w:val="00C04593"/>
    <w:rsid w:val="00C0490D"/>
    <w:rsid w:val="00C04B3A"/>
    <w:rsid w:val="00C04CBC"/>
    <w:rsid w:val="00C04CEA"/>
    <w:rsid w:val="00C04FB3"/>
    <w:rsid w:val="00C050AE"/>
    <w:rsid w:val="00C052E1"/>
    <w:rsid w:val="00C05632"/>
    <w:rsid w:val="00C058E6"/>
    <w:rsid w:val="00C058EC"/>
    <w:rsid w:val="00C05AC6"/>
    <w:rsid w:val="00C05B16"/>
    <w:rsid w:val="00C05CB4"/>
    <w:rsid w:val="00C06027"/>
    <w:rsid w:val="00C061EC"/>
    <w:rsid w:val="00C062F4"/>
    <w:rsid w:val="00C063A2"/>
    <w:rsid w:val="00C064A3"/>
    <w:rsid w:val="00C066CF"/>
    <w:rsid w:val="00C068C6"/>
    <w:rsid w:val="00C06924"/>
    <w:rsid w:val="00C06C0B"/>
    <w:rsid w:val="00C06D44"/>
    <w:rsid w:val="00C06DC8"/>
    <w:rsid w:val="00C07190"/>
    <w:rsid w:val="00C07228"/>
    <w:rsid w:val="00C072E3"/>
    <w:rsid w:val="00C07404"/>
    <w:rsid w:val="00C07A99"/>
    <w:rsid w:val="00C07BEA"/>
    <w:rsid w:val="00C101B8"/>
    <w:rsid w:val="00C1051F"/>
    <w:rsid w:val="00C10582"/>
    <w:rsid w:val="00C10643"/>
    <w:rsid w:val="00C106E1"/>
    <w:rsid w:val="00C1070A"/>
    <w:rsid w:val="00C10ADE"/>
    <w:rsid w:val="00C10CDF"/>
    <w:rsid w:val="00C10F96"/>
    <w:rsid w:val="00C11055"/>
    <w:rsid w:val="00C11441"/>
    <w:rsid w:val="00C11740"/>
    <w:rsid w:val="00C119D4"/>
    <w:rsid w:val="00C11D95"/>
    <w:rsid w:val="00C12315"/>
    <w:rsid w:val="00C123F7"/>
    <w:rsid w:val="00C12422"/>
    <w:rsid w:val="00C12594"/>
    <w:rsid w:val="00C125F9"/>
    <w:rsid w:val="00C129E3"/>
    <w:rsid w:val="00C12BA5"/>
    <w:rsid w:val="00C12CAA"/>
    <w:rsid w:val="00C12CF6"/>
    <w:rsid w:val="00C12DD5"/>
    <w:rsid w:val="00C12F68"/>
    <w:rsid w:val="00C13080"/>
    <w:rsid w:val="00C132EB"/>
    <w:rsid w:val="00C132FA"/>
    <w:rsid w:val="00C13328"/>
    <w:rsid w:val="00C13338"/>
    <w:rsid w:val="00C135D9"/>
    <w:rsid w:val="00C1371A"/>
    <w:rsid w:val="00C137BA"/>
    <w:rsid w:val="00C138A3"/>
    <w:rsid w:val="00C13904"/>
    <w:rsid w:val="00C139C0"/>
    <w:rsid w:val="00C13E46"/>
    <w:rsid w:val="00C13E47"/>
    <w:rsid w:val="00C1428C"/>
    <w:rsid w:val="00C142D4"/>
    <w:rsid w:val="00C142F4"/>
    <w:rsid w:val="00C14392"/>
    <w:rsid w:val="00C14669"/>
    <w:rsid w:val="00C148AE"/>
    <w:rsid w:val="00C1494E"/>
    <w:rsid w:val="00C14E66"/>
    <w:rsid w:val="00C14F96"/>
    <w:rsid w:val="00C1537E"/>
    <w:rsid w:val="00C1547E"/>
    <w:rsid w:val="00C15902"/>
    <w:rsid w:val="00C15A95"/>
    <w:rsid w:val="00C15ADC"/>
    <w:rsid w:val="00C15B6D"/>
    <w:rsid w:val="00C15B71"/>
    <w:rsid w:val="00C16017"/>
    <w:rsid w:val="00C160EB"/>
    <w:rsid w:val="00C16232"/>
    <w:rsid w:val="00C165D2"/>
    <w:rsid w:val="00C1687B"/>
    <w:rsid w:val="00C16B45"/>
    <w:rsid w:val="00C16D2C"/>
    <w:rsid w:val="00C16FE4"/>
    <w:rsid w:val="00C171B8"/>
    <w:rsid w:val="00C171D4"/>
    <w:rsid w:val="00C173FB"/>
    <w:rsid w:val="00C17C14"/>
    <w:rsid w:val="00C17DDC"/>
    <w:rsid w:val="00C17FF7"/>
    <w:rsid w:val="00C200FF"/>
    <w:rsid w:val="00C20422"/>
    <w:rsid w:val="00C204E3"/>
    <w:rsid w:val="00C20A21"/>
    <w:rsid w:val="00C20B75"/>
    <w:rsid w:val="00C21139"/>
    <w:rsid w:val="00C215BD"/>
    <w:rsid w:val="00C215C4"/>
    <w:rsid w:val="00C215F9"/>
    <w:rsid w:val="00C2176F"/>
    <w:rsid w:val="00C21915"/>
    <w:rsid w:val="00C219B0"/>
    <w:rsid w:val="00C21A44"/>
    <w:rsid w:val="00C21B04"/>
    <w:rsid w:val="00C21DCF"/>
    <w:rsid w:val="00C21EBF"/>
    <w:rsid w:val="00C21EF5"/>
    <w:rsid w:val="00C21FA9"/>
    <w:rsid w:val="00C21FFA"/>
    <w:rsid w:val="00C2207B"/>
    <w:rsid w:val="00C220C0"/>
    <w:rsid w:val="00C22AAD"/>
    <w:rsid w:val="00C22C5E"/>
    <w:rsid w:val="00C2316F"/>
    <w:rsid w:val="00C23C00"/>
    <w:rsid w:val="00C23EB7"/>
    <w:rsid w:val="00C2412D"/>
    <w:rsid w:val="00C2413C"/>
    <w:rsid w:val="00C2438D"/>
    <w:rsid w:val="00C243FD"/>
    <w:rsid w:val="00C24807"/>
    <w:rsid w:val="00C248EF"/>
    <w:rsid w:val="00C24FAF"/>
    <w:rsid w:val="00C25395"/>
    <w:rsid w:val="00C25549"/>
    <w:rsid w:val="00C25820"/>
    <w:rsid w:val="00C2586D"/>
    <w:rsid w:val="00C25B64"/>
    <w:rsid w:val="00C25C17"/>
    <w:rsid w:val="00C26045"/>
    <w:rsid w:val="00C2633E"/>
    <w:rsid w:val="00C26584"/>
    <w:rsid w:val="00C265DB"/>
    <w:rsid w:val="00C265DD"/>
    <w:rsid w:val="00C26779"/>
    <w:rsid w:val="00C26BC6"/>
    <w:rsid w:val="00C26E65"/>
    <w:rsid w:val="00C27024"/>
    <w:rsid w:val="00C270CD"/>
    <w:rsid w:val="00C271F0"/>
    <w:rsid w:val="00C272FB"/>
    <w:rsid w:val="00C27517"/>
    <w:rsid w:val="00C27A8D"/>
    <w:rsid w:val="00C27CD1"/>
    <w:rsid w:val="00C27DBE"/>
    <w:rsid w:val="00C27E18"/>
    <w:rsid w:val="00C300E0"/>
    <w:rsid w:val="00C301FA"/>
    <w:rsid w:val="00C306D7"/>
    <w:rsid w:val="00C30788"/>
    <w:rsid w:val="00C31274"/>
    <w:rsid w:val="00C31643"/>
    <w:rsid w:val="00C31763"/>
    <w:rsid w:val="00C317F8"/>
    <w:rsid w:val="00C31876"/>
    <w:rsid w:val="00C319D2"/>
    <w:rsid w:val="00C319F3"/>
    <w:rsid w:val="00C31F5D"/>
    <w:rsid w:val="00C32172"/>
    <w:rsid w:val="00C32655"/>
    <w:rsid w:val="00C326FC"/>
    <w:rsid w:val="00C32742"/>
    <w:rsid w:val="00C32D07"/>
    <w:rsid w:val="00C32D2F"/>
    <w:rsid w:val="00C335AD"/>
    <w:rsid w:val="00C33886"/>
    <w:rsid w:val="00C338CC"/>
    <w:rsid w:val="00C33998"/>
    <w:rsid w:val="00C33CE5"/>
    <w:rsid w:val="00C33D00"/>
    <w:rsid w:val="00C33E1A"/>
    <w:rsid w:val="00C3429C"/>
    <w:rsid w:val="00C34362"/>
    <w:rsid w:val="00C34553"/>
    <w:rsid w:val="00C345B2"/>
    <w:rsid w:val="00C345DD"/>
    <w:rsid w:val="00C346F1"/>
    <w:rsid w:val="00C347F8"/>
    <w:rsid w:val="00C34A63"/>
    <w:rsid w:val="00C34B0A"/>
    <w:rsid w:val="00C34CAF"/>
    <w:rsid w:val="00C34D03"/>
    <w:rsid w:val="00C34F19"/>
    <w:rsid w:val="00C35068"/>
    <w:rsid w:val="00C352C1"/>
    <w:rsid w:val="00C35B51"/>
    <w:rsid w:val="00C35F8E"/>
    <w:rsid w:val="00C3621B"/>
    <w:rsid w:val="00C3673C"/>
    <w:rsid w:val="00C3680F"/>
    <w:rsid w:val="00C36F14"/>
    <w:rsid w:val="00C370CA"/>
    <w:rsid w:val="00C373B2"/>
    <w:rsid w:val="00C3751D"/>
    <w:rsid w:val="00C3772B"/>
    <w:rsid w:val="00C37878"/>
    <w:rsid w:val="00C378DF"/>
    <w:rsid w:val="00C37AF8"/>
    <w:rsid w:val="00C37CED"/>
    <w:rsid w:val="00C37EBC"/>
    <w:rsid w:val="00C37F6E"/>
    <w:rsid w:val="00C40308"/>
    <w:rsid w:val="00C406EB"/>
    <w:rsid w:val="00C407E2"/>
    <w:rsid w:val="00C408CA"/>
    <w:rsid w:val="00C40A86"/>
    <w:rsid w:val="00C40A9B"/>
    <w:rsid w:val="00C40CCD"/>
    <w:rsid w:val="00C40CE3"/>
    <w:rsid w:val="00C40F8E"/>
    <w:rsid w:val="00C41012"/>
    <w:rsid w:val="00C41138"/>
    <w:rsid w:val="00C41416"/>
    <w:rsid w:val="00C41794"/>
    <w:rsid w:val="00C41CAF"/>
    <w:rsid w:val="00C41E50"/>
    <w:rsid w:val="00C41F60"/>
    <w:rsid w:val="00C41F82"/>
    <w:rsid w:val="00C41F8B"/>
    <w:rsid w:val="00C42553"/>
    <w:rsid w:val="00C42F0F"/>
    <w:rsid w:val="00C42F6F"/>
    <w:rsid w:val="00C42F92"/>
    <w:rsid w:val="00C42FDC"/>
    <w:rsid w:val="00C431B2"/>
    <w:rsid w:val="00C43742"/>
    <w:rsid w:val="00C4390A"/>
    <w:rsid w:val="00C43B43"/>
    <w:rsid w:val="00C43BCA"/>
    <w:rsid w:val="00C43D27"/>
    <w:rsid w:val="00C441DF"/>
    <w:rsid w:val="00C44414"/>
    <w:rsid w:val="00C449E6"/>
    <w:rsid w:val="00C44A17"/>
    <w:rsid w:val="00C44A6C"/>
    <w:rsid w:val="00C44CAB"/>
    <w:rsid w:val="00C44E04"/>
    <w:rsid w:val="00C45042"/>
    <w:rsid w:val="00C45300"/>
    <w:rsid w:val="00C4559E"/>
    <w:rsid w:val="00C4575C"/>
    <w:rsid w:val="00C457C1"/>
    <w:rsid w:val="00C459F2"/>
    <w:rsid w:val="00C45CC4"/>
    <w:rsid w:val="00C45F48"/>
    <w:rsid w:val="00C46444"/>
    <w:rsid w:val="00C46523"/>
    <w:rsid w:val="00C46622"/>
    <w:rsid w:val="00C4694C"/>
    <w:rsid w:val="00C46CF4"/>
    <w:rsid w:val="00C47257"/>
    <w:rsid w:val="00C47822"/>
    <w:rsid w:val="00C47C4D"/>
    <w:rsid w:val="00C47ED4"/>
    <w:rsid w:val="00C5015A"/>
    <w:rsid w:val="00C504F7"/>
    <w:rsid w:val="00C50565"/>
    <w:rsid w:val="00C505DC"/>
    <w:rsid w:val="00C506D0"/>
    <w:rsid w:val="00C507EE"/>
    <w:rsid w:val="00C50B6F"/>
    <w:rsid w:val="00C50ED1"/>
    <w:rsid w:val="00C50FB2"/>
    <w:rsid w:val="00C5126F"/>
    <w:rsid w:val="00C5172C"/>
    <w:rsid w:val="00C51901"/>
    <w:rsid w:val="00C51C9F"/>
    <w:rsid w:val="00C51CBD"/>
    <w:rsid w:val="00C52028"/>
    <w:rsid w:val="00C5215A"/>
    <w:rsid w:val="00C52550"/>
    <w:rsid w:val="00C5256A"/>
    <w:rsid w:val="00C52637"/>
    <w:rsid w:val="00C5263A"/>
    <w:rsid w:val="00C52A2D"/>
    <w:rsid w:val="00C52AD0"/>
    <w:rsid w:val="00C53408"/>
    <w:rsid w:val="00C53433"/>
    <w:rsid w:val="00C5345F"/>
    <w:rsid w:val="00C535F1"/>
    <w:rsid w:val="00C53813"/>
    <w:rsid w:val="00C53A4B"/>
    <w:rsid w:val="00C54222"/>
    <w:rsid w:val="00C5428F"/>
    <w:rsid w:val="00C5447B"/>
    <w:rsid w:val="00C5475F"/>
    <w:rsid w:val="00C54B0B"/>
    <w:rsid w:val="00C54BD7"/>
    <w:rsid w:val="00C54E64"/>
    <w:rsid w:val="00C55032"/>
    <w:rsid w:val="00C5539E"/>
    <w:rsid w:val="00C55534"/>
    <w:rsid w:val="00C5570B"/>
    <w:rsid w:val="00C558DC"/>
    <w:rsid w:val="00C55AB6"/>
    <w:rsid w:val="00C55B4D"/>
    <w:rsid w:val="00C55BD2"/>
    <w:rsid w:val="00C55BDA"/>
    <w:rsid w:val="00C55EF8"/>
    <w:rsid w:val="00C55F34"/>
    <w:rsid w:val="00C56303"/>
    <w:rsid w:val="00C566E0"/>
    <w:rsid w:val="00C5689F"/>
    <w:rsid w:val="00C569B4"/>
    <w:rsid w:val="00C56A36"/>
    <w:rsid w:val="00C56EAA"/>
    <w:rsid w:val="00C56F24"/>
    <w:rsid w:val="00C5708B"/>
    <w:rsid w:val="00C570DB"/>
    <w:rsid w:val="00C57145"/>
    <w:rsid w:val="00C573E2"/>
    <w:rsid w:val="00C57BCC"/>
    <w:rsid w:val="00C57C7D"/>
    <w:rsid w:val="00C57CDB"/>
    <w:rsid w:val="00C57E17"/>
    <w:rsid w:val="00C601B1"/>
    <w:rsid w:val="00C60377"/>
    <w:rsid w:val="00C603B9"/>
    <w:rsid w:val="00C6097C"/>
    <w:rsid w:val="00C60983"/>
    <w:rsid w:val="00C60A23"/>
    <w:rsid w:val="00C60DD4"/>
    <w:rsid w:val="00C60E40"/>
    <w:rsid w:val="00C61347"/>
    <w:rsid w:val="00C613C9"/>
    <w:rsid w:val="00C61415"/>
    <w:rsid w:val="00C615EA"/>
    <w:rsid w:val="00C6167B"/>
    <w:rsid w:val="00C61CA6"/>
    <w:rsid w:val="00C61D85"/>
    <w:rsid w:val="00C61E91"/>
    <w:rsid w:val="00C625A1"/>
    <w:rsid w:val="00C6265C"/>
    <w:rsid w:val="00C628BD"/>
    <w:rsid w:val="00C62A11"/>
    <w:rsid w:val="00C62B65"/>
    <w:rsid w:val="00C62EC3"/>
    <w:rsid w:val="00C62F3D"/>
    <w:rsid w:val="00C62F41"/>
    <w:rsid w:val="00C6349B"/>
    <w:rsid w:val="00C634D2"/>
    <w:rsid w:val="00C63A30"/>
    <w:rsid w:val="00C63BAA"/>
    <w:rsid w:val="00C63DEA"/>
    <w:rsid w:val="00C63DEF"/>
    <w:rsid w:val="00C64014"/>
    <w:rsid w:val="00C640F6"/>
    <w:rsid w:val="00C64269"/>
    <w:rsid w:val="00C642D1"/>
    <w:rsid w:val="00C647DA"/>
    <w:rsid w:val="00C6488F"/>
    <w:rsid w:val="00C649BD"/>
    <w:rsid w:val="00C64C29"/>
    <w:rsid w:val="00C64C81"/>
    <w:rsid w:val="00C653CC"/>
    <w:rsid w:val="00C6558E"/>
    <w:rsid w:val="00C655CC"/>
    <w:rsid w:val="00C6575C"/>
    <w:rsid w:val="00C6597F"/>
    <w:rsid w:val="00C65AA8"/>
    <w:rsid w:val="00C65F47"/>
    <w:rsid w:val="00C65FF4"/>
    <w:rsid w:val="00C66179"/>
    <w:rsid w:val="00C661A5"/>
    <w:rsid w:val="00C6624E"/>
    <w:rsid w:val="00C6630B"/>
    <w:rsid w:val="00C6639D"/>
    <w:rsid w:val="00C6670D"/>
    <w:rsid w:val="00C66E6A"/>
    <w:rsid w:val="00C66F03"/>
    <w:rsid w:val="00C6751F"/>
    <w:rsid w:val="00C67A1E"/>
    <w:rsid w:val="00C67CAF"/>
    <w:rsid w:val="00C700D5"/>
    <w:rsid w:val="00C706B1"/>
    <w:rsid w:val="00C70932"/>
    <w:rsid w:val="00C70B56"/>
    <w:rsid w:val="00C710B3"/>
    <w:rsid w:val="00C711ED"/>
    <w:rsid w:val="00C71748"/>
    <w:rsid w:val="00C71FD8"/>
    <w:rsid w:val="00C72099"/>
    <w:rsid w:val="00C723D7"/>
    <w:rsid w:val="00C727CF"/>
    <w:rsid w:val="00C72D35"/>
    <w:rsid w:val="00C730F3"/>
    <w:rsid w:val="00C731C3"/>
    <w:rsid w:val="00C7359F"/>
    <w:rsid w:val="00C735A4"/>
    <w:rsid w:val="00C736EE"/>
    <w:rsid w:val="00C737B2"/>
    <w:rsid w:val="00C738DC"/>
    <w:rsid w:val="00C73BF3"/>
    <w:rsid w:val="00C73D78"/>
    <w:rsid w:val="00C73DED"/>
    <w:rsid w:val="00C73FAD"/>
    <w:rsid w:val="00C74185"/>
    <w:rsid w:val="00C74D06"/>
    <w:rsid w:val="00C74D30"/>
    <w:rsid w:val="00C754CE"/>
    <w:rsid w:val="00C755F2"/>
    <w:rsid w:val="00C75963"/>
    <w:rsid w:val="00C75994"/>
    <w:rsid w:val="00C75BD9"/>
    <w:rsid w:val="00C75D22"/>
    <w:rsid w:val="00C75DED"/>
    <w:rsid w:val="00C76136"/>
    <w:rsid w:val="00C761CE"/>
    <w:rsid w:val="00C765D1"/>
    <w:rsid w:val="00C76751"/>
    <w:rsid w:val="00C76AFB"/>
    <w:rsid w:val="00C771C0"/>
    <w:rsid w:val="00C77A1F"/>
    <w:rsid w:val="00C77AF1"/>
    <w:rsid w:val="00C77B1E"/>
    <w:rsid w:val="00C77B8D"/>
    <w:rsid w:val="00C77C4D"/>
    <w:rsid w:val="00C77F8C"/>
    <w:rsid w:val="00C804B0"/>
    <w:rsid w:val="00C804C1"/>
    <w:rsid w:val="00C8064F"/>
    <w:rsid w:val="00C80DFE"/>
    <w:rsid w:val="00C817B6"/>
    <w:rsid w:val="00C81943"/>
    <w:rsid w:val="00C81AE6"/>
    <w:rsid w:val="00C81CC1"/>
    <w:rsid w:val="00C81E23"/>
    <w:rsid w:val="00C820B4"/>
    <w:rsid w:val="00C82206"/>
    <w:rsid w:val="00C822A8"/>
    <w:rsid w:val="00C82340"/>
    <w:rsid w:val="00C8240C"/>
    <w:rsid w:val="00C8244E"/>
    <w:rsid w:val="00C824C8"/>
    <w:rsid w:val="00C824F3"/>
    <w:rsid w:val="00C8251B"/>
    <w:rsid w:val="00C8263E"/>
    <w:rsid w:val="00C82A7C"/>
    <w:rsid w:val="00C82C09"/>
    <w:rsid w:val="00C82D7C"/>
    <w:rsid w:val="00C82D7F"/>
    <w:rsid w:val="00C8324D"/>
    <w:rsid w:val="00C833B1"/>
    <w:rsid w:val="00C8356A"/>
    <w:rsid w:val="00C83772"/>
    <w:rsid w:val="00C83E7E"/>
    <w:rsid w:val="00C83F0D"/>
    <w:rsid w:val="00C8419D"/>
    <w:rsid w:val="00C845FA"/>
    <w:rsid w:val="00C847E0"/>
    <w:rsid w:val="00C84A7E"/>
    <w:rsid w:val="00C84B01"/>
    <w:rsid w:val="00C85092"/>
    <w:rsid w:val="00C852AD"/>
    <w:rsid w:val="00C8575B"/>
    <w:rsid w:val="00C858E3"/>
    <w:rsid w:val="00C85AB8"/>
    <w:rsid w:val="00C85B6F"/>
    <w:rsid w:val="00C860E6"/>
    <w:rsid w:val="00C863C6"/>
    <w:rsid w:val="00C8663E"/>
    <w:rsid w:val="00C86982"/>
    <w:rsid w:val="00C86A6D"/>
    <w:rsid w:val="00C86B99"/>
    <w:rsid w:val="00C86EBD"/>
    <w:rsid w:val="00C86F18"/>
    <w:rsid w:val="00C870E8"/>
    <w:rsid w:val="00C870F3"/>
    <w:rsid w:val="00C87321"/>
    <w:rsid w:val="00C87464"/>
    <w:rsid w:val="00C874A7"/>
    <w:rsid w:val="00C87664"/>
    <w:rsid w:val="00C90434"/>
    <w:rsid w:val="00C90503"/>
    <w:rsid w:val="00C90512"/>
    <w:rsid w:val="00C9066E"/>
    <w:rsid w:val="00C908E6"/>
    <w:rsid w:val="00C90BB7"/>
    <w:rsid w:val="00C90C79"/>
    <w:rsid w:val="00C90CAE"/>
    <w:rsid w:val="00C90DF9"/>
    <w:rsid w:val="00C91616"/>
    <w:rsid w:val="00C9163E"/>
    <w:rsid w:val="00C918F1"/>
    <w:rsid w:val="00C91C22"/>
    <w:rsid w:val="00C91D73"/>
    <w:rsid w:val="00C91ECE"/>
    <w:rsid w:val="00C9205A"/>
    <w:rsid w:val="00C9236F"/>
    <w:rsid w:val="00C924D6"/>
    <w:rsid w:val="00C9279B"/>
    <w:rsid w:val="00C92B05"/>
    <w:rsid w:val="00C92C3C"/>
    <w:rsid w:val="00C92EA9"/>
    <w:rsid w:val="00C9321F"/>
    <w:rsid w:val="00C9327C"/>
    <w:rsid w:val="00C933E3"/>
    <w:rsid w:val="00C93A12"/>
    <w:rsid w:val="00C93E16"/>
    <w:rsid w:val="00C93EF7"/>
    <w:rsid w:val="00C9410F"/>
    <w:rsid w:val="00C94296"/>
    <w:rsid w:val="00C94606"/>
    <w:rsid w:val="00C946B3"/>
    <w:rsid w:val="00C9483E"/>
    <w:rsid w:val="00C94EBE"/>
    <w:rsid w:val="00C95141"/>
    <w:rsid w:val="00C95A32"/>
    <w:rsid w:val="00C95DF9"/>
    <w:rsid w:val="00C96108"/>
    <w:rsid w:val="00C961BE"/>
    <w:rsid w:val="00C9629E"/>
    <w:rsid w:val="00C96377"/>
    <w:rsid w:val="00C965A6"/>
    <w:rsid w:val="00C96902"/>
    <w:rsid w:val="00C96E55"/>
    <w:rsid w:val="00C970F5"/>
    <w:rsid w:val="00C974A4"/>
    <w:rsid w:val="00C97512"/>
    <w:rsid w:val="00C97575"/>
    <w:rsid w:val="00C97842"/>
    <w:rsid w:val="00C97C91"/>
    <w:rsid w:val="00CA0097"/>
    <w:rsid w:val="00CA06C4"/>
    <w:rsid w:val="00CA06F9"/>
    <w:rsid w:val="00CA0A8B"/>
    <w:rsid w:val="00CA0ADD"/>
    <w:rsid w:val="00CA0E0C"/>
    <w:rsid w:val="00CA0F89"/>
    <w:rsid w:val="00CA19C4"/>
    <w:rsid w:val="00CA1C9F"/>
    <w:rsid w:val="00CA1E87"/>
    <w:rsid w:val="00CA1EC7"/>
    <w:rsid w:val="00CA1F42"/>
    <w:rsid w:val="00CA211D"/>
    <w:rsid w:val="00CA22D3"/>
    <w:rsid w:val="00CA2780"/>
    <w:rsid w:val="00CA283C"/>
    <w:rsid w:val="00CA291A"/>
    <w:rsid w:val="00CA2982"/>
    <w:rsid w:val="00CA2B4C"/>
    <w:rsid w:val="00CA3322"/>
    <w:rsid w:val="00CA3336"/>
    <w:rsid w:val="00CA3509"/>
    <w:rsid w:val="00CA361F"/>
    <w:rsid w:val="00CA3875"/>
    <w:rsid w:val="00CA3A4D"/>
    <w:rsid w:val="00CA3BF9"/>
    <w:rsid w:val="00CA3C31"/>
    <w:rsid w:val="00CA3C42"/>
    <w:rsid w:val="00CA3D7C"/>
    <w:rsid w:val="00CA4030"/>
    <w:rsid w:val="00CA43D3"/>
    <w:rsid w:val="00CA4512"/>
    <w:rsid w:val="00CA4789"/>
    <w:rsid w:val="00CA488D"/>
    <w:rsid w:val="00CA4EFC"/>
    <w:rsid w:val="00CA4F3E"/>
    <w:rsid w:val="00CA4FB9"/>
    <w:rsid w:val="00CA4FF6"/>
    <w:rsid w:val="00CA528D"/>
    <w:rsid w:val="00CA55D9"/>
    <w:rsid w:val="00CA592F"/>
    <w:rsid w:val="00CA5C82"/>
    <w:rsid w:val="00CA5F18"/>
    <w:rsid w:val="00CA5FA0"/>
    <w:rsid w:val="00CA60CA"/>
    <w:rsid w:val="00CA61D6"/>
    <w:rsid w:val="00CA6BC2"/>
    <w:rsid w:val="00CA6E8C"/>
    <w:rsid w:val="00CA6FBC"/>
    <w:rsid w:val="00CA7399"/>
    <w:rsid w:val="00CA73D2"/>
    <w:rsid w:val="00CA7467"/>
    <w:rsid w:val="00CA75AE"/>
    <w:rsid w:val="00CA76C7"/>
    <w:rsid w:val="00CA770B"/>
    <w:rsid w:val="00CA7FB4"/>
    <w:rsid w:val="00CB0206"/>
    <w:rsid w:val="00CB028E"/>
    <w:rsid w:val="00CB044A"/>
    <w:rsid w:val="00CB047A"/>
    <w:rsid w:val="00CB0680"/>
    <w:rsid w:val="00CB0705"/>
    <w:rsid w:val="00CB0AAA"/>
    <w:rsid w:val="00CB0C09"/>
    <w:rsid w:val="00CB0E26"/>
    <w:rsid w:val="00CB1500"/>
    <w:rsid w:val="00CB1620"/>
    <w:rsid w:val="00CB19B6"/>
    <w:rsid w:val="00CB1E26"/>
    <w:rsid w:val="00CB1E7A"/>
    <w:rsid w:val="00CB1EA7"/>
    <w:rsid w:val="00CB1F3B"/>
    <w:rsid w:val="00CB20C5"/>
    <w:rsid w:val="00CB2106"/>
    <w:rsid w:val="00CB213B"/>
    <w:rsid w:val="00CB2164"/>
    <w:rsid w:val="00CB220C"/>
    <w:rsid w:val="00CB254F"/>
    <w:rsid w:val="00CB2594"/>
    <w:rsid w:val="00CB26E0"/>
    <w:rsid w:val="00CB271E"/>
    <w:rsid w:val="00CB2959"/>
    <w:rsid w:val="00CB2DBA"/>
    <w:rsid w:val="00CB35B7"/>
    <w:rsid w:val="00CB397B"/>
    <w:rsid w:val="00CB3C94"/>
    <w:rsid w:val="00CB3CFB"/>
    <w:rsid w:val="00CB4249"/>
    <w:rsid w:val="00CB42A4"/>
    <w:rsid w:val="00CB44E1"/>
    <w:rsid w:val="00CB473F"/>
    <w:rsid w:val="00CB486C"/>
    <w:rsid w:val="00CB48BB"/>
    <w:rsid w:val="00CB499F"/>
    <w:rsid w:val="00CB4F6C"/>
    <w:rsid w:val="00CB5093"/>
    <w:rsid w:val="00CB5338"/>
    <w:rsid w:val="00CB53E4"/>
    <w:rsid w:val="00CB5452"/>
    <w:rsid w:val="00CB57E0"/>
    <w:rsid w:val="00CB5942"/>
    <w:rsid w:val="00CB5C6F"/>
    <w:rsid w:val="00CB5CA5"/>
    <w:rsid w:val="00CB5D74"/>
    <w:rsid w:val="00CB623D"/>
    <w:rsid w:val="00CB6574"/>
    <w:rsid w:val="00CB658A"/>
    <w:rsid w:val="00CB65C5"/>
    <w:rsid w:val="00CB6720"/>
    <w:rsid w:val="00CB6D0F"/>
    <w:rsid w:val="00CB7920"/>
    <w:rsid w:val="00CB79E2"/>
    <w:rsid w:val="00CB7B13"/>
    <w:rsid w:val="00CB7B80"/>
    <w:rsid w:val="00CB7CCC"/>
    <w:rsid w:val="00CC06AC"/>
    <w:rsid w:val="00CC072C"/>
    <w:rsid w:val="00CC07C4"/>
    <w:rsid w:val="00CC0888"/>
    <w:rsid w:val="00CC0BB9"/>
    <w:rsid w:val="00CC0BD1"/>
    <w:rsid w:val="00CC0C38"/>
    <w:rsid w:val="00CC0D33"/>
    <w:rsid w:val="00CC0D3E"/>
    <w:rsid w:val="00CC10ED"/>
    <w:rsid w:val="00CC1100"/>
    <w:rsid w:val="00CC1236"/>
    <w:rsid w:val="00CC17FB"/>
    <w:rsid w:val="00CC1840"/>
    <w:rsid w:val="00CC1867"/>
    <w:rsid w:val="00CC1986"/>
    <w:rsid w:val="00CC2120"/>
    <w:rsid w:val="00CC2387"/>
    <w:rsid w:val="00CC23F6"/>
    <w:rsid w:val="00CC286C"/>
    <w:rsid w:val="00CC28EB"/>
    <w:rsid w:val="00CC2A38"/>
    <w:rsid w:val="00CC2C0F"/>
    <w:rsid w:val="00CC2DD0"/>
    <w:rsid w:val="00CC2F03"/>
    <w:rsid w:val="00CC3071"/>
    <w:rsid w:val="00CC3194"/>
    <w:rsid w:val="00CC3220"/>
    <w:rsid w:val="00CC34C9"/>
    <w:rsid w:val="00CC3793"/>
    <w:rsid w:val="00CC38DB"/>
    <w:rsid w:val="00CC393E"/>
    <w:rsid w:val="00CC39EB"/>
    <w:rsid w:val="00CC3BD5"/>
    <w:rsid w:val="00CC3FC4"/>
    <w:rsid w:val="00CC40CB"/>
    <w:rsid w:val="00CC4290"/>
    <w:rsid w:val="00CC45F2"/>
    <w:rsid w:val="00CC475A"/>
    <w:rsid w:val="00CC477D"/>
    <w:rsid w:val="00CC482C"/>
    <w:rsid w:val="00CC4FFE"/>
    <w:rsid w:val="00CC51A3"/>
    <w:rsid w:val="00CC536E"/>
    <w:rsid w:val="00CC571A"/>
    <w:rsid w:val="00CC584F"/>
    <w:rsid w:val="00CC5FD4"/>
    <w:rsid w:val="00CC6783"/>
    <w:rsid w:val="00CC6965"/>
    <w:rsid w:val="00CC6A3C"/>
    <w:rsid w:val="00CC6DD8"/>
    <w:rsid w:val="00CC6E3C"/>
    <w:rsid w:val="00CC6F69"/>
    <w:rsid w:val="00CC715F"/>
    <w:rsid w:val="00CC72B2"/>
    <w:rsid w:val="00CC74E6"/>
    <w:rsid w:val="00CC7586"/>
    <w:rsid w:val="00CC75C4"/>
    <w:rsid w:val="00CC7BF5"/>
    <w:rsid w:val="00CC7C72"/>
    <w:rsid w:val="00CC7E3D"/>
    <w:rsid w:val="00CD0362"/>
    <w:rsid w:val="00CD06B2"/>
    <w:rsid w:val="00CD0912"/>
    <w:rsid w:val="00CD0937"/>
    <w:rsid w:val="00CD0C9A"/>
    <w:rsid w:val="00CD0DD0"/>
    <w:rsid w:val="00CD0FC9"/>
    <w:rsid w:val="00CD103A"/>
    <w:rsid w:val="00CD1676"/>
    <w:rsid w:val="00CD1967"/>
    <w:rsid w:val="00CD1B67"/>
    <w:rsid w:val="00CD2027"/>
    <w:rsid w:val="00CD2044"/>
    <w:rsid w:val="00CD20E5"/>
    <w:rsid w:val="00CD2323"/>
    <w:rsid w:val="00CD263F"/>
    <w:rsid w:val="00CD2C11"/>
    <w:rsid w:val="00CD2ED0"/>
    <w:rsid w:val="00CD3006"/>
    <w:rsid w:val="00CD304E"/>
    <w:rsid w:val="00CD30BD"/>
    <w:rsid w:val="00CD3397"/>
    <w:rsid w:val="00CD33A7"/>
    <w:rsid w:val="00CD3545"/>
    <w:rsid w:val="00CD3895"/>
    <w:rsid w:val="00CD3D77"/>
    <w:rsid w:val="00CD41A3"/>
    <w:rsid w:val="00CD41DD"/>
    <w:rsid w:val="00CD4388"/>
    <w:rsid w:val="00CD43A1"/>
    <w:rsid w:val="00CD48FB"/>
    <w:rsid w:val="00CD4AFE"/>
    <w:rsid w:val="00CD4B84"/>
    <w:rsid w:val="00CD4E47"/>
    <w:rsid w:val="00CD4E9D"/>
    <w:rsid w:val="00CD5175"/>
    <w:rsid w:val="00CD5421"/>
    <w:rsid w:val="00CD5939"/>
    <w:rsid w:val="00CD5DAC"/>
    <w:rsid w:val="00CD6070"/>
    <w:rsid w:val="00CD618A"/>
    <w:rsid w:val="00CD6239"/>
    <w:rsid w:val="00CD6478"/>
    <w:rsid w:val="00CD6659"/>
    <w:rsid w:val="00CD69E8"/>
    <w:rsid w:val="00CD6AE0"/>
    <w:rsid w:val="00CD6BFB"/>
    <w:rsid w:val="00CD6D5C"/>
    <w:rsid w:val="00CD6E90"/>
    <w:rsid w:val="00CD6F45"/>
    <w:rsid w:val="00CD706F"/>
    <w:rsid w:val="00CD712D"/>
    <w:rsid w:val="00CD71FA"/>
    <w:rsid w:val="00CD7793"/>
    <w:rsid w:val="00CD7973"/>
    <w:rsid w:val="00CD7FD3"/>
    <w:rsid w:val="00CE0001"/>
    <w:rsid w:val="00CE019F"/>
    <w:rsid w:val="00CE0554"/>
    <w:rsid w:val="00CE089C"/>
    <w:rsid w:val="00CE08A6"/>
    <w:rsid w:val="00CE0983"/>
    <w:rsid w:val="00CE0A50"/>
    <w:rsid w:val="00CE0BE7"/>
    <w:rsid w:val="00CE0C75"/>
    <w:rsid w:val="00CE0D17"/>
    <w:rsid w:val="00CE12A3"/>
    <w:rsid w:val="00CE14F8"/>
    <w:rsid w:val="00CE1F8C"/>
    <w:rsid w:val="00CE2128"/>
    <w:rsid w:val="00CE214C"/>
    <w:rsid w:val="00CE2341"/>
    <w:rsid w:val="00CE266B"/>
    <w:rsid w:val="00CE2874"/>
    <w:rsid w:val="00CE2C2C"/>
    <w:rsid w:val="00CE316C"/>
    <w:rsid w:val="00CE338D"/>
    <w:rsid w:val="00CE365D"/>
    <w:rsid w:val="00CE39D3"/>
    <w:rsid w:val="00CE3F27"/>
    <w:rsid w:val="00CE3F55"/>
    <w:rsid w:val="00CE3F60"/>
    <w:rsid w:val="00CE3FC8"/>
    <w:rsid w:val="00CE4666"/>
    <w:rsid w:val="00CE4689"/>
    <w:rsid w:val="00CE480F"/>
    <w:rsid w:val="00CE4825"/>
    <w:rsid w:val="00CE4BBD"/>
    <w:rsid w:val="00CE4D05"/>
    <w:rsid w:val="00CE4D1F"/>
    <w:rsid w:val="00CE4F03"/>
    <w:rsid w:val="00CE54CE"/>
    <w:rsid w:val="00CE55DC"/>
    <w:rsid w:val="00CE5689"/>
    <w:rsid w:val="00CE5A86"/>
    <w:rsid w:val="00CE5F81"/>
    <w:rsid w:val="00CE5FA0"/>
    <w:rsid w:val="00CE6395"/>
    <w:rsid w:val="00CE63CB"/>
    <w:rsid w:val="00CE64A2"/>
    <w:rsid w:val="00CE65EE"/>
    <w:rsid w:val="00CE6891"/>
    <w:rsid w:val="00CE6B5E"/>
    <w:rsid w:val="00CE6C16"/>
    <w:rsid w:val="00CE6C37"/>
    <w:rsid w:val="00CE6FD2"/>
    <w:rsid w:val="00CE71D7"/>
    <w:rsid w:val="00CE7443"/>
    <w:rsid w:val="00CE7672"/>
    <w:rsid w:val="00CE7C0F"/>
    <w:rsid w:val="00CE7EBC"/>
    <w:rsid w:val="00CF020B"/>
    <w:rsid w:val="00CF07AA"/>
    <w:rsid w:val="00CF07EF"/>
    <w:rsid w:val="00CF08C1"/>
    <w:rsid w:val="00CF08E7"/>
    <w:rsid w:val="00CF0931"/>
    <w:rsid w:val="00CF09CA"/>
    <w:rsid w:val="00CF0B47"/>
    <w:rsid w:val="00CF0B8A"/>
    <w:rsid w:val="00CF0BCA"/>
    <w:rsid w:val="00CF0D2E"/>
    <w:rsid w:val="00CF0EF7"/>
    <w:rsid w:val="00CF0FD9"/>
    <w:rsid w:val="00CF0FE3"/>
    <w:rsid w:val="00CF16A3"/>
    <w:rsid w:val="00CF1809"/>
    <w:rsid w:val="00CF193B"/>
    <w:rsid w:val="00CF1A55"/>
    <w:rsid w:val="00CF1F29"/>
    <w:rsid w:val="00CF20DA"/>
    <w:rsid w:val="00CF294F"/>
    <w:rsid w:val="00CF2971"/>
    <w:rsid w:val="00CF3781"/>
    <w:rsid w:val="00CF3901"/>
    <w:rsid w:val="00CF3BFE"/>
    <w:rsid w:val="00CF3CA7"/>
    <w:rsid w:val="00CF3F6C"/>
    <w:rsid w:val="00CF400E"/>
    <w:rsid w:val="00CF40DE"/>
    <w:rsid w:val="00CF454A"/>
    <w:rsid w:val="00CF4562"/>
    <w:rsid w:val="00CF4AC2"/>
    <w:rsid w:val="00CF4B21"/>
    <w:rsid w:val="00CF4E6C"/>
    <w:rsid w:val="00CF524D"/>
    <w:rsid w:val="00CF52C7"/>
    <w:rsid w:val="00CF5A0A"/>
    <w:rsid w:val="00CF5C78"/>
    <w:rsid w:val="00CF5EDA"/>
    <w:rsid w:val="00CF5F69"/>
    <w:rsid w:val="00CF6134"/>
    <w:rsid w:val="00CF632D"/>
    <w:rsid w:val="00CF679C"/>
    <w:rsid w:val="00CF6F35"/>
    <w:rsid w:val="00CF702F"/>
    <w:rsid w:val="00CF7156"/>
    <w:rsid w:val="00CF7506"/>
    <w:rsid w:val="00CF7819"/>
    <w:rsid w:val="00CF7B16"/>
    <w:rsid w:val="00CF7B5F"/>
    <w:rsid w:val="00CF7E76"/>
    <w:rsid w:val="00D0040E"/>
    <w:rsid w:val="00D004A0"/>
    <w:rsid w:val="00D006B0"/>
    <w:rsid w:val="00D008E1"/>
    <w:rsid w:val="00D0099E"/>
    <w:rsid w:val="00D00E22"/>
    <w:rsid w:val="00D00EB4"/>
    <w:rsid w:val="00D00FC2"/>
    <w:rsid w:val="00D00FF7"/>
    <w:rsid w:val="00D011D8"/>
    <w:rsid w:val="00D012CB"/>
    <w:rsid w:val="00D01490"/>
    <w:rsid w:val="00D016F9"/>
    <w:rsid w:val="00D01721"/>
    <w:rsid w:val="00D01A41"/>
    <w:rsid w:val="00D01D23"/>
    <w:rsid w:val="00D01DE8"/>
    <w:rsid w:val="00D02167"/>
    <w:rsid w:val="00D0220E"/>
    <w:rsid w:val="00D024E3"/>
    <w:rsid w:val="00D0262B"/>
    <w:rsid w:val="00D02A14"/>
    <w:rsid w:val="00D02B57"/>
    <w:rsid w:val="00D02D35"/>
    <w:rsid w:val="00D02DFC"/>
    <w:rsid w:val="00D03240"/>
    <w:rsid w:val="00D036CE"/>
    <w:rsid w:val="00D03D89"/>
    <w:rsid w:val="00D040EC"/>
    <w:rsid w:val="00D04181"/>
    <w:rsid w:val="00D042FA"/>
    <w:rsid w:val="00D04305"/>
    <w:rsid w:val="00D043F8"/>
    <w:rsid w:val="00D04C23"/>
    <w:rsid w:val="00D04D32"/>
    <w:rsid w:val="00D04FB1"/>
    <w:rsid w:val="00D05011"/>
    <w:rsid w:val="00D052F7"/>
    <w:rsid w:val="00D05401"/>
    <w:rsid w:val="00D0545C"/>
    <w:rsid w:val="00D05AE3"/>
    <w:rsid w:val="00D05D78"/>
    <w:rsid w:val="00D062B2"/>
    <w:rsid w:val="00D0636D"/>
    <w:rsid w:val="00D063BC"/>
    <w:rsid w:val="00D065B0"/>
    <w:rsid w:val="00D06C15"/>
    <w:rsid w:val="00D0704C"/>
    <w:rsid w:val="00D07926"/>
    <w:rsid w:val="00D07A30"/>
    <w:rsid w:val="00D07BE8"/>
    <w:rsid w:val="00D07FDC"/>
    <w:rsid w:val="00D104CF"/>
    <w:rsid w:val="00D10523"/>
    <w:rsid w:val="00D106D3"/>
    <w:rsid w:val="00D109E0"/>
    <w:rsid w:val="00D10C14"/>
    <w:rsid w:val="00D10C22"/>
    <w:rsid w:val="00D110EF"/>
    <w:rsid w:val="00D11349"/>
    <w:rsid w:val="00D11B09"/>
    <w:rsid w:val="00D11CCB"/>
    <w:rsid w:val="00D12568"/>
    <w:rsid w:val="00D128A0"/>
    <w:rsid w:val="00D12C96"/>
    <w:rsid w:val="00D131F0"/>
    <w:rsid w:val="00D137C3"/>
    <w:rsid w:val="00D137D9"/>
    <w:rsid w:val="00D1383E"/>
    <w:rsid w:val="00D13A86"/>
    <w:rsid w:val="00D13ACE"/>
    <w:rsid w:val="00D13F98"/>
    <w:rsid w:val="00D140C5"/>
    <w:rsid w:val="00D143A9"/>
    <w:rsid w:val="00D143BE"/>
    <w:rsid w:val="00D14426"/>
    <w:rsid w:val="00D145D9"/>
    <w:rsid w:val="00D1475C"/>
    <w:rsid w:val="00D147B8"/>
    <w:rsid w:val="00D1483D"/>
    <w:rsid w:val="00D148A3"/>
    <w:rsid w:val="00D14ABA"/>
    <w:rsid w:val="00D15268"/>
    <w:rsid w:val="00D15385"/>
    <w:rsid w:val="00D15A7C"/>
    <w:rsid w:val="00D15C15"/>
    <w:rsid w:val="00D16146"/>
    <w:rsid w:val="00D16921"/>
    <w:rsid w:val="00D16F12"/>
    <w:rsid w:val="00D17268"/>
    <w:rsid w:val="00D176AD"/>
    <w:rsid w:val="00D17CF4"/>
    <w:rsid w:val="00D17D19"/>
    <w:rsid w:val="00D17D5D"/>
    <w:rsid w:val="00D17D83"/>
    <w:rsid w:val="00D17DAE"/>
    <w:rsid w:val="00D20446"/>
    <w:rsid w:val="00D207AC"/>
    <w:rsid w:val="00D208E3"/>
    <w:rsid w:val="00D20B67"/>
    <w:rsid w:val="00D20F65"/>
    <w:rsid w:val="00D21604"/>
    <w:rsid w:val="00D21851"/>
    <w:rsid w:val="00D21E36"/>
    <w:rsid w:val="00D22264"/>
    <w:rsid w:val="00D223FF"/>
    <w:rsid w:val="00D2261D"/>
    <w:rsid w:val="00D22745"/>
    <w:rsid w:val="00D22F13"/>
    <w:rsid w:val="00D2333B"/>
    <w:rsid w:val="00D23396"/>
    <w:rsid w:val="00D235A5"/>
    <w:rsid w:val="00D2360B"/>
    <w:rsid w:val="00D2380B"/>
    <w:rsid w:val="00D23A22"/>
    <w:rsid w:val="00D23B77"/>
    <w:rsid w:val="00D23FE1"/>
    <w:rsid w:val="00D24138"/>
    <w:rsid w:val="00D24234"/>
    <w:rsid w:val="00D24262"/>
    <w:rsid w:val="00D242CD"/>
    <w:rsid w:val="00D24334"/>
    <w:rsid w:val="00D248B8"/>
    <w:rsid w:val="00D248D0"/>
    <w:rsid w:val="00D24AB7"/>
    <w:rsid w:val="00D24C82"/>
    <w:rsid w:val="00D24E4C"/>
    <w:rsid w:val="00D250E2"/>
    <w:rsid w:val="00D25372"/>
    <w:rsid w:val="00D253FC"/>
    <w:rsid w:val="00D25440"/>
    <w:rsid w:val="00D25E1D"/>
    <w:rsid w:val="00D2613E"/>
    <w:rsid w:val="00D2657C"/>
    <w:rsid w:val="00D2669F"/>
    <w:rsid w:val="00D26D74"/>
    <w:rsid w:val="00D26EC5"/>
    <w:rsid w:val="00D274AC"/>
    <w:rsid w:val="00D27A3A"/>
    <w:rsid w:val="00D3012B"/>
    <w:rsid w:val="00D301EF"/>
    <w:rsid w:val="00D30400"/>
    <w:rsid w:val="00D309D2"/>
    <w:rsid w:val="00D30B89"/>
    <w:rsid w:val="00D30C11"/>
    <w:rsid w:val="00D30CB9"/>
    <w:rsid w:val="00D311D3"/>
    <w:rsid w:val="00D31707"/>
    <w:rsid w:val="00D318A8"/>
    <w:rsid w:val="00D31977"/>
    <w:rsid w:val="00D31C73"/>
    <w:rsid w:val="00D31FAC"/>
    <w:rsid w:val="00D322EF"/>
    <w:rsid w:val="00D3233E"/>
    <w:rsid w:val="00D32584"/>
    <w:rsid w:val="00D32740"/>
    <w:rsid w:val="00D3292F"/>
    <w:rsid w:val="00D32BF4"/>
    <w:rsid w:val="00D331A7"/>
    <w:rsid w:val="00D337C9"/>
    <w:rsid w:val="00D337E0"/>
    <w:rsid w:val="00D3380F"/>
    <w:rsid w:val="00D33830"/>
    <w:rsid w:val="00D339AE"/>
    <w:rsid w:val="00D33CB6"/>
    <w:rsid w:val="00D33CCA"/>
    <w:rsid w:val="00D34071"/>
    <w:rsid w:val="00D344A0"/>
    <w:rsid w:val="00D3466A"/>
    <w:rsid w:val="00D347B2"/>
    <w:rsid w:val="00D347FD"/>
    <w:rsid w:val="00D34A6D"/>
    <w:rsid w:val="00D34B48"/>
    <w:rsid w:val="00D34E35"/>
    <w:rsid w:val="00D35050"/>
    <w:rsid w:val="00D35718"/>
    <w:rsid w:val="00D35A04"/>
    <w:rsid w:val="00D35A43"/>
    <w:rsid w:val="00D35C33"/>
    <w:rsid w:val="00D35F02"/>
    <w:rsid w:val="00D364A2"/>
    <w:rsid w:val="00D36530"/>
    <w:rsid w:val="00D36A4B"/>
    <w:rsid w:val="00D36B61"/>
    <w:rsid w:val="00D36D75"/>
    <w:rsid w:val="00D36F58"/>
    <w:rsid w:val="00D370FC"/>
    <w:rsid w:val="00D3721D"/>
    <w:rsid w:val="00D37264"/>
    <w:rsid w:val="00D37323"/>
    <w:rsid w:val="00D3735E"/>
    <w:rsid w:val="00D374A9"/>
    <w:rsid w:val="00D37988"/>
    <w:rsid w:val="00D37B81"/>
    <w:rsid w:val="00D37CF4"/>
    <w:rsid w:val="00D37DD6"/>
    <w:rsid w:val="00D402F9"/>
    <w:rsid w:val="00D4041B"/>
    <w:rsid w:val="00D405D5"/>
    <w:rsid w:val="00D40EAF"/>
    <w:rsid w:val="00D410D0"/>
    <w:rsid w:val="00D415EA"/>
    <w:rsid w:val="00D41B9C"/>
    <w:rsid w:val="00D41C59"/>
    <w:rsid w:val="00D41D21"/>
    <w:rsid w:val="00D41EEA"/>
    <w:rsid w:val="00D41FE1"/>
    <w:rsid w:val="00D4238B"/>
    <w:rsid w:val="00D42739"/>
    <w:rsid w:val="00D4278E"/>
    <w:rsid w:val="00D42A70"/>
    <w:rsid w:val="00D42AD8"/>
    <w:rsid w:val="00D42CBA"/>
    <w:rsid w:val="00D430CD"/>
    <w:rsid w:val="00D43213"/>
    <w:rsid w:val="00D43E8B"/>
    <w:rsid w:val="00D43EC5"/>
    <w:rsid w:val="00D44245"/>
    <w:rsid w:val="00D442AA"/>
    <w:rsid w:val="00D443C7"/>
    <w:rsid w:val="00D4443D"/>
    <w:rsid w:val="00D44BE3"/>
    <w:rsid w:val="00D44EC8"/>
    <w:rsid w:val="00D4515A"/>
    <w:rsid w:val="00D451E7"/>
    <w:rsid w:val="00D455AD"/>
    <w:rsid w:val="00D45802"/>
    <w:rsid w:val="00D45C0A"/>
    <w:rsid w:val="00D45DE7"/>
    <w:rsid w:val="00D45E67"/>
    <w:rsid w:val="00D45F5B"/>
    <w:rsid w:val="00D46201"/>
    <w:rsid w:val="00D46210"/>
    <w:rsid w:val="00D467CB"/>
    <w:rsid w:val="00D46931"/>
    <w:rsid w:val="00D46FB7"/>
    <w:rsid w:val="00D47107"/>
    <w:rsid w:val="00D4725B"/>
    <w:rsid w:val="00D472FB"/>
    <w:rsid w:val="00D47363"/>
    <w:rsid w:val="00D47497"/>
    <w:rsid w:val="00D47549"/>
    <w:rsid w:val="00D47605"/>
    <w:rsid w:val="00D47858"/>
    <w:rsid w:val="00D479D2"/>
    <w:rsid w:val="00D47A86"/>
    <w:rsid w:val="00D47B47"/>
    <w:rsid w:val="00D47DC2"/>
    <w:rsid w:val="00D47E4C"/>
    <w:rsid w:val="00D47F89"/>
    <w:rsid w:val="00D50317"/>
    <w:rsid w:val="00D506AD"/>
    <w:rsid w:val="00D507B2"/>
    <w:rsid w:val="00D508E1"/>
    <w:rsid w:val="00D509FE"/>
    <w:rsid w:val="00D50BB9"/>
    <w:rsid w:val="00D50E01"/>
    <w:rsid w:val="00D51231"/>
    <w:rsid w:val="00D5125E"/>
    <w:rsid w:val="00D51891"/>
    <w:rsid w:val="00D5194E"/>
    <w:rsid w:val="00D51A35"/>
    <w:rsid w:val="00D51BCD"/>
    <w:rsid w:val="00D51E29"/>
    <w:rsid w:val="00D520E0"/>
    <w:rsid w:val="00D52933"/>
    <w:rsid w:val="00D52B4D"/>
    <w:rsid w:val="00D530B1"/>
    <w:rsid w:val="00D53B12"/>
    <w:rsid w:val="00D53CA4"/>
    <w:rsid w:val="00D53D2E"/>
    <w:rsid w:val="00D53F6A"/>
    <w:rsid w:val="00D545CC"/>
    <w:rsid w:val="00D54842"/>
    <w:rsid w:val="00D5485F"/>
    <w:rsid w:val="00D5496B"/>
    <w:rsid w:val="00D54D96"/>
    <w:rsid w:val="00D5508B"/>
    <w:rsid w:val="00D551AE"/>
    <w:rsid w:val="00D55310"/>
    <w:rsid w:val="00D559B8"/>
    <w:rsid w:val="00D55A42"/>
    <w:rsid w:val="00D55AC9"/>
    <w:rsid w:val="00D55DAD"/>
    <w:rsid w:val="00D55EF4"/>
    <w:rsid w:val="00D560F6"/>
    <w:rsid w:val="00D561DD"/>
    <w:rsid w:val="00D56266"/>
    <w:rsid w:val="00D56286"/>
    <w:rsid w:val="00D5646D"/>
    <w:rsid w:val="00D56754"/>
    <w:rsid w:val="00D56A46"/>
    <w:rsid w:val="00D56A63"/>
    <w:rsid w:val="00D56EA1"/>
    <w:rsid w:val="00D56EDE"/>
    <w:rsid w:val="00D57125"/>
    <w:rsid w:val="00D5737F"/>
    <w:rsid w:val="00D573D6"/>
    <w:rsid w:val="00D57661"/>
    <w:rsid w:val="00D57750"/>
    <w:rsid w:val="00D57828"/>
    <w:rsid w:val="00D57C65"/>
    <w:rsid w:val="00D57E84"/>
    <w:rsid w:val="00D601A3"/>
    <w:rsid w:val="00D606AF"/>
    <w:rsid w:val="00D60938"/>
    <w:rsid w:val="00D609AC"/>
    <w:rsid w:val="00D60A59"/>
    <w:rsid w:val="00D60CFE"/>
    <w:rsid w:val="00D60DFE"/>
    <w:rsid w:val="00D60E17"/>
    <w:rsid w:val="00D60E7A"/>
    <w:rsid w:val="00D60EA2"/>
    <w:rsid w:val="00D60FB1"/>
    <w:rsid w:val="00D6142B"/>
    <w:rsid w:val="00D61AB6"/>
    <w:rsid w:val="00D61AC3"/>
    <w:rsid w:val="00D6208F"/>
    <w:rsid w:val="00D621D7"/>
    <w:rsid w:val="00D6235E"/>
    <w:rsid w:val="00D623ED"/>
    <w:rsid w:val="00D624EF"/>
    <w:rsid w:val="00D62F7F"/>
    <w:rsid w:val="00D635A2"/>
    <w:rsid w:val="00D63A03"/>
    <w:rsid w:val="00D63B4C"/>
    <w:rsid w:val="00D63DA1"/>
    <w:rsid w:val="00D641CF"/>
    <w:rsid w:val="00D64A76"/>
    <w:rsid w:val="00D64BFE"/>
    <w:rsid w:val="00D64E8A"/>
    <w:rsid w:val="00D64EC0"/>
    <w:rsid w:val="00D64F4A"/>
    <w:rsid w:val="00D65269"/>
    <w:rsid w:val="00D6568C"/>
    <w:rsid w:val="00D657AD"/>
    <w:rsid w:val="00D65924"/>
    <w:rsid w:val="00D659AA"/>
    <w:rsid w:val="00D65DF8"/>
    <w:rsid w:val="00D66692"/>
    <w:rsid w:val="00D66C1B"/>
    <w:rsid w:val="00D66D9F"/>
    <w:rsid w:val="00D6756F"/>
    <w:rsid w:val="00D67701"/>
    <w:rsid w:val="00D67754"/>
    <w:rsid w:val="00D6783C"/>
    <w:rsid w:val="00D6788A"/>
    <w:rsid w:val="00D67901"/>
    <w:rsid w:val="00D6794D"/>
    <w:rsid w:val="00D67DED"/>
    <w:rsid w:val="00D67EEC"/>
    <w:rsid w:val="00D703F2"/>
    <w:rsid w:val="00D70492"/>
    <w:rsid w:val="00D70592"/>
    <w:rsid w:val="00D7078A"/>
    <w:rsid w:val="00D70B4B"/>
    <w:rsid w:val="00D70C93"/>
    <w:rsid w:val="00D70F1D"/>
    <w:rsid w:val="00D710B8"/>
    <w:rsid w:val="00D710D9"/>
    <w:rsid w:val="00D710E0"/>
    <w:rsid w:val="00D71150"/>
    <w:rsid w:val="00D714C4"/>
    <w:rsid w:val="00D717F8"/>
    <w:rsid w:val="00D71AD4"/>
    <w:rsid w:val="00D72299"/>
    <w:rsid w:val="00D727BA"/>
    <w:rsid w:val="00D72CE0"/>
    <w:rsid w:val="00D72D4C"/>
    <w:rsid w:val="00D72EF4"/>
    <w:rsid w:val="00D72F44"/>
    <w:rsid w:val="00D730E3"/>
    <w:rsid w:val="00D7349A"/>
    <w:rsid w:val="00D734E8"/>
    <w:rsid w:val="00D73543"/>
    <w:rsid w:val="00D73DBD"/>
    <w:rsid w:val="00D73E0A"/>
    <w:rsid w:val="00D7466C"/>
    <w:rsid w:val="00D747F6"/>
    <w:rsid w:val="00D74B0B"/>
    <w:rsid w:val="00D74BF3"/>
    <w:rsid w:val="00D74DB9"/>
    <w:rsid w:val="00D751FD"/>
    <w:rsid w:val="00D7531D"/>
    <w:rsid w:val="00D756A7"/>
    <w:rsid w:val="00D75992"/>
    <w:rsid w:val="00D75C18"/>
    <w:rsid w:val="00D75DC3"/>
    <w:rsid w:val="00D7608F"/>
    <w:rsid w:val="00D7619D"/>
    <w:rsid w:val="00D761D8"/>
    <w:rsid w:val="00D7656C"/>
    <w:rsid w:val="00D767A0"/>
    <w:rsid w:val="00D76AAE"/>
    <w:rsid w:val="00D76E4F"/>
    <w:rsid w:val="00D76FE0"/>
    <w:rsid w:val="00D77102"/>
    <w:rsid w:val="00D77131"/>
    <w:rsid w:val="00D77458"/>
    <w:rsid w:val="00D77A01"/>
    <w:rsid w:val="00D77DA9"/>
    <w:rsid w:val="00D77FA4"/>
    <w:rsid w:val="00D8018D"/>
    <w:rsid w:val="00D80582"/>
    <w:rsid w:val="00D80607"/>
    <w:rsid w:val="00D80A79"/>
    <w:rsid w:val="00D80A8D"/>
    <w:rsid w:val="00D80B17"/>
    <w:rsid w:val="00D80CEB"/>
    <w:rsid w:val="00D80E5B"/>
    <w:rsid w:val="00D81001"/>
    <w:rsid w:val="00D816C2"/>
    <w:rsid w:val="00D81819"/>
    <w:rsid w:val="00D81A8F"/>
    <w:rsid w:val="00D81EA7"/>
    <w:rsid w:val="00D825B4"/>
    <w:rsid w:val="00D82794"/>
    <w:rsid w:val="00D827AE"/>
    <w:rsid w:val="00D82849"/>
    <w:rsid w:val="00D82BFF"/>
    <w:rsid w:val="00D82C2C"/>
    <w:rsid w:val="00D82CD8"/>
    <w:rsid w:val="00D82D9C"/>
    <w:rsid w:val="00D82EA7"/>
    <w:rsid w:val="00D830DC"/>
    <w:rsid w:val="00D835B6"/>
    <w:rsid w:val="00D835DB"/>
    <w:rsid w:val="00D835E1"/>
    <w:rsid w:val="00D83657"/>
    <w:rsid w:val="00D836EA"/>
    <w:rsid w:val="00D83826"/>
    <w:rsid w:val="00D83972"/>
    <w:rsid w:val="00D83BAB"/>
    <w:rsid w:val="00D83C2F"/>
    <w:rsid w:val="00D83DF8"/>
    <w:rsid w:val="00D83E36"/>
    <w:rsid w:val="00D8407F"/>
    <w:rsid w:val="00D84250"/>
    <w:rsid w:val="00D84563"/>
    <w:rsid w:val="00D84646"/>
    <w:rsid w:val="00D8472B"/>
    <w:rsid w:val="00D847E9"/>
    <w:rsid w:val="00D84933"/>
    <w:rsid w:val="00D84A54"/>
    <w:rsid w:val="00D84A69"/>
    <w:rsid w:val="00D850C8"/>
    <w:rsid w:val="00D857AF"/>
    <w:rsid w:val="00D8587F"/>
    <w:rsid w:val="00D858E4"/>
    <w:rsid w:val="00D85934"/>
    <w:rsid w:val="00D8598F"/>
    <w:rsid w:val="00D85A2B"/>
    <w:rsid w:val="00D85B27"/>
    <w:rsid w:val="00D85B32"/>
    <w:rsid w:val="00D85E06"/>
    <w:rsid w:val="00D86225"/>
    <w:rsid w:val="00D862CB"/>
    <w:rsid w:val="00D862E4"/>
    <w:rsid w:val="00D862F9"/>
    <w:rsid w:val="00D863D9"/>
    <w:rsid w:val="00D8667A"/>
    <w:rsid w:val="00D866A3"/>
    <w:rsid w:val="00D86D40"/>
    <w:rsid w:val="00D86F09"/>
    <w:rsid w:val="00D86FED"/>
    <w:rsid w:val="00D87439"/>
    <w:rsid w:val="00D8764E"/>
    <w:rsid w:val="00D87876"/>
    <w:rsid w:val="00D87910"/>
    <w:rsid w:val="00D87A24"/>
    <w:rsid w:val="00D87B88"/>
    <w:rsid w:val="00D87BAE"/>
    <w:rsid w:val="00D901C3"/>
    <w:rsid w:val="00D902D6"/>
    <w:rsid w:val="00D906AE"/>
    <w:rsid w:val="00D90C74"/>
    <w:rsid w:val="00D90D8A"/>
    <w:rsid w:val="00D910BB"/>
    <w:rsid w:val="00D9190D"/>
    <w:rsid w:val="00D91ABA"/>
    <w:rsid w:val="00D91BCA"/>
    <w:rsid w:val="00D92231"/>
    <w:rsid w:val="00D92318"/>
    <w:rsid w:val="00D9244D"/>
    <w:rsid w:val="00D9252E"/>
    <w:rsid w:val="00D925B6"/>
    <w:rsid w:val="00D9260B"/>
    <w:rsid w:val="00D92840"/>
    <w:rsid w:val="00D92A9F"/>
    <w:rsid w:val="00D92CEB"/>
    <w:rsid w:val="00D92FC3"/>
    <w:rsid w:val="00D9300F"/>
    <w:rsid w:val="00D935B8"/>
    <w:rsid w:val="00D93651"/>
    <w:rsid w:val="00D93F07"/>
    <w:rsid w:val="00D9405A"/>
    <w:rsid w:val="00D940F7"/>
    <w:rsid w:val="00D9456B"/>
    <w:rsid w:val="00D94835"/>
    <w:rsid w:val="00D94A5C"/>
    <w:rsid w:val="00D94B50"/>
    <w:rsid w:val="00D94F82"/>
    <w:rsid w:val="00D9533A"/>
    <w:rsid w:val="00D95559"/>
    <w:rsid w:val="00D9560B"/>
    <w:rsid w:val="00D95A0F"/>
    <w:rsid w:val="00D95F99"/>
    <w:rsid w:val="00D961E4"/>
    <w:rsid w:val="00D964CD"/>
    <w:rsid w:val="00D966BB"/>
    <w:rsid w:val="00D96888"/>
    <w:rsid w:val="00D96CF8"/>
    <w:rsid w:val="00D96E30"/>
    <w:rsid w:val="00D96EC9"/>
    <w:rsid w:val="00D97381"/>
    <w:rsid w:val="00D97403"/>
    <w:rsid w:val="00D974B9"/>
    <w:rsid w:val="00D9754B"/>
    <w:rsid w:val="00D9778B"/>
    <w:rsid w:val="00D977AE"/>
    <w:rsid w:val="00D97A9E"/>
    <w:rsid w:val="00D97DE4"/>
    <w:rsid w:val="00DA0263"/>
    <w:rsid w:val="00DA0288"/>
    <w:rsid w:val="00DA02A0"/>
    <w:rsid w:val="00DA04DE"/>
    <w:rsid w:val="00DA0722"/>
    <w:rsid w:val="00DA07EA"/>
    <w:rsid w:val="00DA0B7D"/>
    <w:rsid w:val="00DA0D82"/>
    <w:rsid w:val="00DA10CD"/>
    <w:rsid w:val="00DA1444"/>
    <w:rsid w:val="00DA1619"/>
    <w:rsid w:val="00DA19DF"/>
    <w:rsid w:val="00DA19F7"/>
    <w:rsid w:val="00DA1AEB"/>
    <w:rsid w:val="00DA1D3E"/>
    <w:rsid w:val="00DA1DE0"/>
    <w:rsid w:val="00DA1E4F"/>
    <w:rsid w:val="00DA1EA4"/>
    <w:rsid w:val="00DA1F0B"/>
    <w:rsid w:val="00DA2068"/>
    <w:rsid w:val="00DA214B"/>
    <w:rsid w:val="00DA2346"/>
    <w:rsid w:val="00DA24A1"/>
    <w:rsid w:val="00DA267C"/>
    <w:rsid w:val="00DA2736"/>
    <w:rsid w:val="00DA2739"/>
    <w:rsid w:val="00DA2B16"/>
    <w:rsid w:val="00DA2B39"/>
    <w:rsid w:val="00DA3289"/>
    <w:rsid w:val="00DA37C9"/>
    <w:rsid w:val="00DA39E0"/>
    <w:rsid w:val="00DA3A39"/>
    <w:rsid w:val="00DA3D25"/>
    <w:rsid w:val="00DA3E67"/>
    <w:rsid w:val="00DA406F"/>
    <w:rsid w:val="00DA47BC"/>
    <w:rsid w:val="00DA47F6"/>
    <w:rsid w:val="00DA49E1"/>
    <w:rsid w:val="00DA4DB6"/>
    <w:rsid w:val="00DA552A"/>
    <w:rsid w:val="00DA55FF"/>
    <w:rsid w:val="00DA56EA"/>
    <w:rsid w:val="00DA581D"/>
    <w:rsid w:val="00DA5952"/>
    <w:rsid w:val="00DA5DE7"/>
    <w:rsid w:val="00DA666E"/>
    <w:rsid w:val="00DA698A"/>
    <w:rsid w:val="00DA6A43"/>
    <w:rsid w:val="00DA6E84"/>
    <w:rsid w:val="00DA6FCD"/>
    <w:rsid w:val="00DA7198"/>
    <w:rsid w:val="00DA735A"/>
    <w:rsid w:val="00DA7481"/>
    <w:rsid w:val="00DA76E7"/>
    <w:rsid w:val="00DA7A4C"/>
    <w:rsid w:val="00DA7B3A"/>
    <w:rsid w:val="00DA7D05"/>
    <w:rsid w:val="00DB025C"/>
    <w:rsid w:val="00DB0760"/>
    <w:rsid w:val="00DB08A6"/>
    <w:rsid w:val="00DB0BAE"/>
    <w:rsid w:val="00DB0F5C"/>
    <w:rsid w:val="00DB1261"/>
    <w:rsid w:val="00DB12BD"/>
    <w:rsid w:val="00DB1409"/>
    <w:rsid w:val="00DB19BD"/>
    <w:rsid w:val="00DB2309"/>
    <w:rsid w:val="00DB246F"/>
    <w:rsid w:val="00DB2536"/>
    <w:rsid w:val="00DB2567"/>
    <w:rsid w:val="00DB2627"/>
    <w:rsid w:val="00DB269F"/>
    <w:rsid w:val="00DB2DC9"/>
    <w:rsid w:val="00DB3182"/>
    <w:rsid w:val="00DB40CE"/>
    <w:rsid w:val="00DB4168"/>
    <w:rsid w:val="00DB42ED"/>
    <w:rsid w:val="00DB4687"/>
    <w:rsid w:val="00DB46CD"/>
    <w:rsid w:val="00DB48A9"/>
    <w:rsid w:val="00DB4C0C"/>
    <w:rsid w:val="00DB4D06"/>
    <w:rsid w:val="00DB4DB2"/>
    <w:rsid w:val="00DB4DB6"/>
    <w:rsid w:val="00DB5BA0"/>
    <w:rsid w:val="00DB5D36"/>
    <w:rsid w:val="00DB5DD5"/>
    <w:rsid w:val="00DB5EB5"/>
    <w:rsid w:val="00DB5F6A"/>
    <w:rsid w:val="00DB61DC"/>
    <w:rsid w:val="00DB6410"/>
    <w:rsid w:val="00DB664E"/>
    <w:rsid w:val="00DB676A"/>
    <w:rsid w:val="00DB6A73"/>
    <w:rsid w:val="00DB6D8B"/>
    <w:rsid w:val="00DB7348"/>
    <w:rsid w:val="00DB73DA"/>
    <w:rsid w:val="00DB74C6"/>
    <w:rsid w:val="00DB75DA"/>
    <w:rsid w:val="00DB79C6"/>
    <w:rsid w:val="00DB7A0E"/>
    <w:rsid w:val="00DB7E0B"/>
    <w:rsid w:val="00DC0E73"/>
    <w:rsid w:val="00DC0F20"/>
    <w:rsid w:val="00DC11BD"/>
    <w:rsid w:val="00DC15AF"/>
    <w:rsid w:val="00DC1818"/>
    <w:rsid w:val="00DC18C6"/>
    <w:rsid w:val="00DC1C0C"/>
    <w:rsid w:val="00DC1CBB"/>
    <w:rsid w:val="00DC2448"/>
    <w:rsid w:val="00DC24EB"/>
    <w:rsid w:val="00DC2563"/>
    <w:rsid w:val="00DC25EF"/>
    <w:rsid w:val="00DC2680"/>
    <w:rsid w:val="00DC2686"/>
    <w:rsid w:val="00DC2743"/>
    <w:rsid w:val="00DC2B85"/>
    <w:rsid w:val="00DC2F9A"/>
    <w:rsid w:val="00DC3109"/>
    <w:rsid w:val="00DC3117"/>
    <w:rsid w:val="00DC3D6D"/>
    <w:rsid w:val="00DC3FFD"/>
    <w:rsid w:val="00DC4299"/>
    <w:rsid w:val="00DC4541"/>
    <w:rsid w:val="00DC4941"/>
    <w:rsid w:val="00DC49AA"/>
    <w:rsid w:val="00DC5031"/>
    <w:rsid w:val="00DC51BE"/>
    <w:rsid w:val="00DC52ED"/>
    <w:rsid w:val="00DC5479"/>
    <w:rsid w:val="00DC5589"/>
    <w:rsid w:val="00DC5946"/>
    <w:rsid w:val="00DC5A05"/>
    <w:rsid w:val="00DC5A0D"/>
    <w:rsid w:val="00DC5AA9"/>
    <w:rsid w:val="00DC61D2"/>
    <w:rsid w:val="00DC6406"/>
    <w:rsid w:val="00DC66B3"/>
    <w:rsid w:val="00DC68DF"/>
    <w:rsid w:val="00DC6920"/>
    <w:rsid w:val="00DC698C"/>
    <w:rsid w:val="00DC6B8D"/>
    <w:rsid w:val="00DC7170"/>
    <w:rsid w:val="00DC722C"/>
    <w:rsid w:val="00DC757A"/>
    <w:rsid w:val="00DC75D8"/>
    <w:rsid w:val="00DC76CE"/>
    <w:rsid w:val="00DC7A74"/>
    <w:rsid w:val="00DC7B23"/>
    <w:rsid w:val="00DC7DE3"/>
    <w:rsid w:val="00DD032F"/>
    <w:rsid w:val="00DD03FF"/>
    <w:rsid w:val="00DD0992"/>
    <w:rsid w:val="00DD0E8A"/>
    <w:rsid w:val="00DD1315"/>
    <w:rsid w:val="00DD17AA"/>
    <w:rsid w:val="00DD1C41"/>
    <w:rsid w:val="00DD1C4C"/>
    <w:rsid w:val="00DD1C8D"/>
    <w:rsid w:val="00DD1FAB"/>
    <w:rsid w:val="00DD2298"/>
    <w:rsid w:val="00DD2526"/>
    <w:rsid w:val="00DD257F"/>
    <w:rsid w:val="00DD2668"/>
    <w:rsid w:val="00DD27E2"/>
    <w:rsid w:val="00DD2830"/>
    <w:rsid w:val="00DD28E6"/>
    <w:rsid w:val="00DD2ABE"/>
    <w:rsid w:val="00DD2EFD"/>
    <w:rsid w:val="00DD2FD7"/>
    <w:rsid w:val="00DD301C"/>
    <w:rsid w:val="00DD3BCC"/>
    <w:rsid w:val="00DD3E23"/>
    <w:rsid w:val="00DD3FB7"/>
    <w:rsid w:val="00DD41DD"/>
    <w:rsid w:val="00DD431F"/>
    <w:rsid w:val="00DD4689"/>
    <w:rsid w:val="00DD47D6"/>
    <w:rsid w:val="00DD4BC8"/>
    <w:rsid w:val="00DD4D5B"/>
    <w:rsid w:val="00DD512D"/>
    <w:rsid w:val="00DD51A0"/>
    <w:rsid w:val="00DD523B"/>
    <w:rsid w:val="00DD529C"/>
    <w:rsid w:val="00DD5670"/>
    <w:rsid w:val="00DD56B4"/>
    <w:rsid w:val="00DD58F1"/>
    <w:rsid w:val="00DD59A0"/>
    <w:rsid w:val="00DD59C6"/>
    <w:rsid w:val="00DD5DD9"/>
    <w:rsid w:val="00DD6219"/>
    <w:rsid w:val="00DD699A"/>
    <w:rsid w:val="00DD6CE0"/>
    <w:rsid w:val="00DD7325"/>
    <w:rsid w:val="00DD741F"/>
    <w:rsid w:val="00DD7464"/>
    <w:rsid w:val="00DD74C4"/>
    <w:rsid w:val="00DD7A2B"/>
    <w:rsid w:val="00DD7AB2"/>
    <w:rsid w:val="00DD7AD4"/>
    <w:rsid w:val="00DD7B13"/>
    <w:rsid w:val="00DD7B75"/>
    <w:rsid w:val="00DE044D"/>
    <w:rsid w:val="00DE049A"/>
    <w:rsid w:val="00DE0589"/>
    <w:rsid w:val="00DE05E8"/>
    <w:rsid w:val="00DE0D2A"/>
    <w:rsid w:val="00DE1589"/>
    <w:rsid w:val="00DE1614"/>
    <w:rsid w:val="00DE1873"/>
    <w:rsid w:val="00DE1B16"/>
    <w:rsid w:val="00DE1BF1"/>
    <w:rsid w:val="00DE1C5D"/>
    <w:rsid w:val="00DE2045"/>
    <w:rsid w:val="00DE20CA"/>
    <w:rsid w:val="00DE2662"/>
    <w:rsid w:val="00DE269D"/>
    <w:rsid w:val="00DE26E2"/>
    <w:rsid w:val="00DE2DE8"/>
    <w:rsid w:val="00DE2E4C"/>
    <w:rsid w:val="00DE3084"/>
    <w:rsid w:val="00DE3312"/>
    <w:rsid w:val="00DE38DF"/>
    <w:rsid w:val="00DE390E"/>
    <w:rsid w:val="00DE3C9D"/>
    <w:rsid w:val="00DE3D83"/>
    <w:rsid w:val="00DE3F25"/>
    <w:rsid w:val="00DE4261"/>
    <w:rsid w:val="00DE44B9"/>
    <w:rsid w:val="00DE4595"/>
    <w:rsid w:val="00DE46B2"/>
    <w:rsid w:val="00DE46DD"/>
    <w:rsid w:val="00DE4757"/>
    <w:rsid w:val="00DE476F"/>
    <w:rsid w:val="00DE4794"/>
    <w:rsid w:val="00DE4C82"/>
    <w:rsid w:val="00DE4C94"/>
    <w:rsid w:val="00DE4E08"/>
    <w:rsid w:val="00DE4EED"/>
    <w:rsid w:val="00DE4F56"/>
    <w:rsid w:val="00DE4F99"/>
    <w:rsid w:val="00DE5381"/>
    <w:rsid w:val="00DE54D7"/>
    <w:rsid w:val="00DE55FB"/>
    <w:rsid w:val="00DE5AB5"/>
    <w:rsid w:val="00DE607D"/>
    <w:rsid w:val="00DE619F"/>
    <w:rsid w:val="00DE63B1"/>
    <w:rsid w:val="00DE63D0"/>
    <w:rsid w:val="00DE6736"/>
    <w:rsid w:val="00DE6ADE"/>
    <w:rsid w:val="00DE702B"/>
    <w:rsid w:val="00DE72F8"/>
    <w:rsid w:val="00DE73AC"/>
    <w:rsid w:val="00DE747B"/>
    <w:rsid w:val="00DE7520"/>
    <w:rsid w:val="00DE765A"/>
    <w:rsid w:val="00DE7A5D"/>
    <w:rsid w:val="00DE7B25"/>
    <w:rsid w:val="00DE7B64"/>
    <w:rsid w:val="00DE7D37"/>
    <w:rsid w:val="00DF0312"/>
    <w:rsid w:val="00DF047D"/>
    <w:rsid w:val="00DF04F2"/>
    <w:rsid w:val="00DF0522"/>
    <w:rsid w:val="00DF0539"/>
    <w:rsid w:val="00DF0FD1"/>
    <w:rsid w:val="00DF10D5"/>
    <w:rsid w:val="00DF1460"/>
    <w:rsid w:val="00DF16A8"/>
    <w:rsid w:val="00DF1735"/>
    <w:rsid w:val="00DF1C7C"/>
    <w:rsid w:val="00DF1E21"/>
    <w:rsid w:val="00DF241C"/>
    <w:rsid w:val="00DF243F"/>
    <w:rsid w:val="00DF258F"/>
    <w:rsid w:val="00DF25EF"/>
    <w:rsid w:val="00DF2620"/>
    <w:rsid w:val="00DF28B9"/>
    <w:rsid w:val="00DF2A43"/>
    <w:rsid w:val="00DF2E76"/>
    <w:rsid w:val="00DF3752"/>
    <w:rsid w:val="00DF394D"/>
    <w:rsid w:val="00DF3BE9"/>
    <w:rsid w:val="00DF3C5A"/>
    <w:rsid w:val="00DF3D41"/>
    <w:rsid w:val="00DF3D9A"/>
    <w:rsid w:val="00DF41F4"/>
    <w:rsid w:val="00DF4284"/>
    <w:rsid w:val="00DF4B7A"/>
    <w:rsid w:val="00DF4C7C"/>
    <w:rsid w:val="00DF4E0D"/>
    <w:rsid w:val="00DF513D"/>
    <w:rsid w:val="00DF513E"/>
    <w:rsid w:val="00DF5223"/>
    <w:rsid w:val="00DF534A"/>
    <w:rsid w:val="00DF55BF"/>
    <w:rsid w:val="00DF582D"/>
    <w:rsid w:val="00DF5C70"/>
    <w:rsid w:val="00DF5ED3"/>
    <w:rsid w:val="00DF60E1"/>
    <w:rsid w:val="00DF632C"/>
    <w:rsid w:val="00DF642A"/>
    <w:rsid w:val="00DF64B1"/>
    <w:rsid w:val="00DF67D3"/>
    <w:rsid w:val="00DF6937"/>
    <w:rsid w:val="00DF6955"/>
    <w:rsid w:val="00DF6EB0"/>
    <w:rsid w:val="00DF7030"/>
    <w:rsid w:val="00DF70EB"/>
    <w:rsid w:val="00DF7295"/>
    <w:rsid w:val="00DF73D2"/>
    <w:rsid w:val="00DF755F"/>
    <w:rsid w:val="00DF77C6"/>
    <w:rsid w:val="00E00139"/>
    <w:rsid w:val="00E00181"/>
    <w:rsid w:val="00E00613"/>
    <w:rsid w:val="00E0072D"/>
    <w:rsid w:val="00E008E3"/>
    <w:rsid w:val="00E0091C"/>
    <w:rsid w:val="00E00B2C"/>
    <w:rsid w:val="00E00E1F"/>
    <w:rsid w:val="00E01292"/>
    <w:rsid w:val="00E01299"/>
    <w:rsid w:val="00E0146C"/>
    <w:rsid w:val="00E01BBB"/>
    <w:rsid w:val="00E01C45"/>
    <w:rsid w:val="00E02204"/>
    <w:rsid w:val="00E027CE"/>
    <w:rsid w:val="00E02CE2"/>
    <w:rsid w:val="00E02E3C"/>
    <w:rsid w:val="00E0302F"/>
    <w:rsid w:val="00E03216"/>
    <w:rsid w:val="00E0391F"/>
    <w:rsid w:val="00E03994"/>
    <w:rsid w:val="00E03A1D"/>
    <w:rsid w:val="00E03A7A"/>
    <w:rsid w:val="00E03D26"/>
    <w:rsid w:val="00E0411F"/>
    <w:rsid w:val="00E0414C"/>
    <w:rsid w:val="00E0423C"/>
    <w:rsid w:val="00E043B6"/>
    <w:rsid w:val="00E046F5"/>
    <w:rsid w:val="00E04732"/>
    <w:rsid w:val="00E049B4"/>
    <w:rsid w:val="00E049B8"/>
    <w:rsid w:val="00E04A5C"/>
    <w:rsid w:val="00E04BBE"/>
    <w:rsid w:val="00E04D52"/>
    <w:rsid w:val="00E04F31"/>
    <w:rsid w:val="00E05070"/>
    <w:rsid w:val="00E05169"/>
    <w:rsid w:val="00E05287"/>
    <w:rsid w:val="00E05A0E"/>
    <w:rsid w:val="00E05CB0"/>
    <w:rsid w:val="00E05F8A"/>
    <w:rsid w:val="00E060ED"/>
    <w:rsid w:val="00E0617F"/>
    <w:rsid w:val="00E061C6"/>
    <w:rsid w:val="00E06243"/>
    <w:rsid w:val="00E062E8"/>
    <w:rsid w:val="00E06609"/>
    <w:rsid w:val="00E06CD6"/>
    <w:rsid w:val="00E06D0D"/>
    <w:rsid w:val="00E06FFF"/>
    <w:rsid w:val="00E07019"/>
    <w:rsid w:val="00E0717E"/>
    <w:rsid w:val="00E0764E"/>
    <w:rsid w:val="00E079DD"/>
    <w:rsid w:val="00E07D04"/>
    <w:rsid w:val="00E1032B"/>
    <w:rsid w:val="00E104C1"/>
    <w:rsid w:val="00E106BC"/>
    <w:rsid w:val="00E107FF"/>
    <w:rsid w:val="00E10844"/>
    <w:rsid w:val="00E10845"/>
    <w:rsid w:val="00E109C5"/>
    <w:rsid w:val="00E10C50"/>
    <w:rsid w:val="00E111A8"/>
    <w:rsid w:val="00E112B3"/>
    <w:rsid w:val="00E116A7"/>
    <w:rsid w:val="00E11F16"/>
    <w:rsid w:val="00E11FB2"/>
    <w:rsid w:val="00E12105"/>
    <w:rsid w:val="00E12987"/>
    <w:rsid w:val="00E12A46"/>
    <w:rsid w:val="00E12B08"/>
    <w:rsid w:val="00E12D3E"/>
    <w:rsid w:val="00E12F0E"/>
    <w:rsid w:val="00E12FD2"/>
    <w:rsid w:val="00E131CC"/>
    <w:rsid w:val="00E132A7"/>
    <w:rsid w:val="00E138F8"/>
    <w:rsid w:val="00E13A8A"/>
    <w:rsid w:val="00E13B47"/>
    <w:rsid w:val="00E13D61"/>
    <w:rsid w:val="00E13E9D"/>
    <w:rsid w:val="00E13EB8"/>
    <w:rsid w:val="00E1432F"/>
    <w:rsid w:val="00E14646"/>
    <w:rsid w:val="00E14670"/>
    <w:rsid w:val="00E1467A"/>
    <w:rsid w:val="00E14876"/>
    <w:rsid w:val="00E14933"/>
    <w:rsid w:val="00E14A96"/>
    <w:rsid w:val="00E14C1F"/>
    <w:rsid w:val="00E14D23"/>
    <w:rsid w:val="00E14E30"/>
    <w:rsid w:val="00E14F81"/>
    <w:rsid w:val="00E153FB"/>
    <w:rsid w:val="00E15493"/>
    <w:rsid w:val="00E15734"/>
    <w:rsid w:val="00E15B00"/>
    <w:rsid w:val="00E15BA6"/>
    <w:rsid w:val="00E16066"/>
    <w:rsid w:val="00E16146"/>
    <w:rsid w:val="00E16195"/>
    <w:rsid w:val="00E162CC"/>
    <w:rsid w:val="00E16322"/>
    <w:rsid w:val="00E165F5"/>
    <w:rsid w:val="00E16780"/>
    <w:rsid w:val="00E169CF"/>
    <w:rsid w:val="00E16B2E"/>
    <w:rsid w:val="00E16D54"/>
    <w:rsid w:val="00E16E37"/>
    <w:rsid w:val="00E17427"/>
    <w:rsid w:val="00E17680"/>
    <w:rsid w:val="00E177F8"/>
    <w:rsid w:val="00E1794B"/>
    <w:rsid w:val="00E17DD3"/>
    <w:rsid w:val="00E17E81"/>
    <w:rsid w:val="00E20168"/>
    <w:rsid w:val="00E201D0"/>
    <w:rsid w:val="00E2058F"/>
    <w:rsid w:val="00E205A5"/>
    <w:rsid w:val="00E20671"/>
    <w:rsid w:val="00E20704"/>
    <w:rsid w:val="00E2076E"/>
    <w:rsid w:val="00E20E0E"/>
    <w:rsid w:val="00E20E12"/>
    <w:rsid w:val="00E2136C"/>
    <w:rsid w:val="00E214A8"/>
    <w:rsid w:val="00E2152E"/>
    <w:rsid w:val="00E217C9"/>
    <w:rsid w:val="00E2189F"/>
    <w:rsid w:val="00E21E1F"/>
    <w:rsid w:val="00E21FC8"/>
    <w:rsid w:val="00E22006"/>
    <w:rsid w:val="00E22085"/>
    <w:rsid w:val="00E2248B"/>
    <w:rsid w:val="00E22686"/>
    <w:rsid w:val="00E22CBE"/>
    <w:rsid w:val="00E22DFD"/>
    <w:rsid w:val="00E23170"/>
    <w:rsid w:val="00E23C25"/>
    <w:rsid w:val="00E23D2C"/>
    <w:rsid w:val="00E23F07"/>
    <w:rsid w:val="00E24020"/>
    <w:rsid w:val="00E24104"/>
    <w:rsid w:val="00E24168"/>
    <w:rsid w:val="00E2439E"/>
    <w:rsid w:val="00E2450D"/>
    <w:rsid w:val="00E247B0"/>
    <w:rsid w:val="00E24957"/>
    <w:rsid w:val="00E24969"/>
    <w:rsid w:val="00E24C26"/>
    <w:rsid w:val="00E24FEA"/>
    <w:rsid w:val="00E255D6"/>
    <w:rsid w:val="00E25782"/>
    <w:rsid w:val="00E25964"/>
    <w:rsid w:val="00E25F51"/>
    <w:rsid w:val="00E261DA"/>
    <w:rsid w:val="00E2621E"/>
    <w:rsid w:val="00E264BD"/>
    <w:rsid w:val="00E264CE"/>
    <w:rsid w:val="00E26716"/>
    <w:rsid w:val="00E269BA"/>
    <w:rsid w:val="00E26A25"/>
    <w:rsid w:val="00E26A59"/>
    <w:rsid w:val="00E26C70"/>
    <w:rsid w:val="00E26E6C"/>
    <w:rsid w:val="00E26F3D"/>
    <w:rsid w:val="00E27425"/>
    <w:rsid w:val="00E2786F"/>
    <w:rsid w:val="00E278E9"/>
    <w:rsid w:val="00E279C2"/>
    <w:rsid w:val="00E27F8C"/>
    <w:rsid w:val="00E30093"/>
    <w:rsid w:val="00E3010E"/>
    <w:rsid w:val="00E30134"/>
    <w:rsid w:val="00E30267"/>
    <w:rsid w:val="00E3069F"/>
    <w:rsid w:val="00E30DEB"/>
    <w:rsid w:val="00E30ED6"/>
    <w:rsid w:val="00E3112C"/>
    <w:rsid w:val="00E31440"/>
    <w:rsid w:val="00E3146A"/>
    <w:rsid w:val="00E31A4C"/>
    <w:rsid w:val="00E31BE7"/>
    <w:rsid w:val="00E31E50"/>
    <w:rsid w:val="00E31F3F"/>
    <w:rsid w:val="00E31FF5"/>
    <w:rsid w:val="00E322A4"/>
    <w:rsid w:val="00E32309"/>
    <w:rsid w:val="00E32444"/>
    <w:rsid w:val="00E325B3"/>
    <w:rsid w:val="00E325F4"/>
    <w:rsid w:val="00E32A0B"/>
    <w:rsid w:val="00E32BB9"/>
    <w:rsid w:val="00E32ED1"/>
    <w:rsid w:val="00E32F19"/>
    <w:rsid w:val="00E32F9B"/>
    <w:rsid w:val="00E33025"/>
    <w:rsid w:val="00E33454"/>
    <w:rsid w:val="00E3382E"/>
    <w:rsid w:val="00E3397A"/>
    <w:rsid w:val="00E33A0B"/>
    <w:rsid w:val="00E33A62"/>
    <w:rsid w:val="00E33B0E"/>
    <w:rsid w:val="00E33B72"/>
    <w:rsid w:val="00E33E3E"/>
    <w:rsid w:val="00E33F87"/>
    <w:rsid w:val="00E33FCE"/>
    <w:rsid w:val="00E34410"/>
    <w:rsid w:val="00E3465A"/>
    <w:rsid w:val="00E348B0"/>
    <w:rsid w:val="00E348CE"/>
    <w:rsid w:val="00E34B9D"/>
    <w:rsid w:val="00E34BAB"/>
    <w:rsid w:val="00E34BE8"/>
    <w:rsid w:val="00E34C31"/>
    <w:rsid w:val="00E34D8C"/>
    <w:rsid w:val="00E34E14"/>
    <w:rsid w:val="00E34E71"/>
    <w:rsid w:val="00E350D6"/>
    <w:rsid w:val="00E355CA"/>
    <w:rsid w:val="00E3583B"/>
    <w:rsid w:val="00E35C5B"/>
    <w:rsid w:val="00E35E9E"/>
    <w:rsid w:val="00E3673E"/>
    <w:rsid w:val="00E36784"/>
    <w:rsid w:val="00E3691E"/>
    <w:rsid w:val="00E3692B"/>
    <w:rsid w:val="00E37400"/>
    <w:rsid w:val="00E374F2"/>
    <w:rsid w:val="00E37582"/>
    <w:rsid w:val="00E37839"/>
    <w:rsid w:val="00E37972"/>
    <w:rsid w:val="00E37A09"/>
    <w:rsid w:val="00E37BB1"/>
    <w:rsid w:val="00E37BF7"/>
    <w:rsid w:val="00E4037B"/>
    <w:rsid w:val="00E403B3"/>
    <w:rsid w:val="00E4061C"/>
    <w:rsid w:val="00E41276"/>
    <w:rsid w:val="00E4146A"/>
    <w:rsid w:val="00E418DA"/>
    <w:rsid w:val="00E41EC5"/>
    <w:rsid w:val="00E423CA"/>
    <w:rsid w:val="00E4269B"/>
    <w:rsid w:val="00E427AF"/>
    <w:rsid w:val="00E42878"/>
    <w:rsid w:val="00E429A4"/>
    <w:rsid w:val="00E429DC"/>
    <w:rsid w:val="00E42D48"/>
    <w:rsid w:val="00E42E56"/>
    <w:rsid w:val="00E430B5"/>
    <w:rsid w:val="00E4340D"/>
    <w:rsid w:val="00E436F7"/>
    <w:rsid w:val="00E43DF9"/>
    <w:rsid w:val="00E43EF4"/>
    <w:rsid w:val="00E443DE"/>
    <w:rsid w:val="00E44575"/>
    <w:rsid w:val="00E44655"/>
    <w:rsid w:val="00E4466C"/>
    <w:rsid w:val="00E44726"/>
    <w:rsid w:val="00E44881"/>
    <w:rsid w:val="00E44F1F"/>
    <w:rsid w:val="00E45145"/>
    <w:rsid w:val="00E451BD"/>
    <w:rsid w:val="00E45740"/>
    <w:rsid w:val="00E45888"/>
    <w:rsid w:val="00E45B27"/>
    <w:rsid w:val="00E45D26"/>
    <w:rsid w:val="00E45E63"/>
    <w:rsid w:val="00E4690B"/>
    <w:rsid w:val="00E46B82"/>
    <w:rsid w:val="00E46C2D"/>
    <w:rsid w:val="00E46E23"/>
    <w:rsid w:val="00E46F3D"/>
    <w:rsid w:val="00E46FDF"/>
    <w:rsid w:val="00E4726D"/>
    <w:rsid w:val="00E474D9"/>
    <w:rsid w:val="00E47709"/>
    <w:rsid w:val="00E477BC"/>
    <w:rsid w:val="00E47809"/>
    <w:rsid w:val="00E47971"/>
    <w:rsid w:val="00E47E2B"/>
    <w:rsid w:val="00E47E9B"/>
    <w:rsid w:val="00E50033"/>
    <w:rsid w:val="00E50088"/>
    <w:rsid w:val="00E501BC"/>
    <w:rsid w:val="00E503BF"/>
    <w:rsid w:val="00E50930"/>
    <w:rsid w:val="00E5095E"/>
    <w:rsid w:val="00E50C73"/>
    <w:rsid w:val="00E50D7E"/>
    <w:rsid w:val="00E50E42"/>
    <w:rsid w:val="00E50E92"/>
    <w:rsid w:val="00E50ECB"/>
    <w:rsid w:val="00E513AD"/>
    <w:rsid w:val="00E5142D"/>
    <w:rsid w:val="00E51829"/>
    <w:rsid w:val="00E518F9"/>
    <w:rsid w:val="00E5190C"/>
    <w:rsid w:val="00E51947"/>
    <w:rsid w:val="00E51F5D"/>
    <w:rsid w:val="00E52038"/>
    <w:rsid w:val="00E52232"/>
    <w:rsid w:val="00E523D1"/>
    <w:rsid w:val="00E524D0"/>
    <w:rsid w:val="00E52534"/>
    <w:rsid w:val="00E529A3"/>
    <w:rsid w:val="00E52A64"/>
    <w:rsid w:val="00E52AFA"/>
    <w:rsid w:val="00E532FD"/>
    <w:rsid w:val="00E53350"/>
    <w:rsid w:val="00E5397A"/>
    <w:rsid w:val="00E53FEB"/>
    <w:rsid w:val="00E54088"/>
    <w:rsid w:val="00E54588"/>
    <w:rsid w:val="00E545CD"/>
    <w:rsid w:val="00E54DDA"/>
    <w:rsid w:val="00E54E61"/>
    <w:rsid w:val="00E54E8C"/>
    <w:rsid w:val="00E550BA"/>
    <w:rsid w:val="00E55212"/>
    <w:rsid w:val="00E5542C"/>
    <w:rsid w:val="00E5544B"/>
    <w:rsid w:val="00E5554C"/>
    <w:rsid w:val="00E557E8"/>
    <w:rsid w:val="00E55EAB"/>
    <w:rsid w:val="00E561D4"/>
    <w:rsid w:val="00E5638B"/>
    <w:rsid w:val="00E563BE"/>
    <w:rsid w:val="00E567E0"/>
    <w:rsid w:val="00E57684"/>
    <w:rsid w:val="00E57727"/>
    <w:rsid w:val="00E5794A"/>
    <w:rsid w:val="00E57AAD"/>
    <w:rsid w:val="00E60157"/>
    <w:rsid w:val="00E6016B"/>
    <w:rsid w:val="00E604CB"/>
    <w:rsid w:val="00E60736"/>
    <w:rsid w:val="00E608E5"/>
    <w:rsid w:val="00E6096A"/>
    <w:rsid w:val="00E60CE1"/>
    <w:rsid w:val="00E60E6C"/>
    <w:rsid w:val="00E60FE5"/>
    <w:rsid w:val="00E61568"/>
    <w:rsid w:val="00E616DC"/>
    <w:rsid w:val="00E6171A"/>
    <w:rsid w:val="00E618C0"/>
    <w:rsid w:val="00E61A9F"/>
    <w:rsid w:val="00E61ECD"/>
    <w:rsid w:val="00E62271"/>
    <w:rsid w:val="00E624A0"/>
    <w:rsid w:val="00E62691"/>
    <w:rsid w:val="00E632EA"/>
    <w:rsid w:val="00E6381F"/>
    <w:rsid w:val="00E6390D"/>
    <w:rsid w:val="00E639A7"/>
    <w:rsid w:val="00E639B7"/>
    <w:rsid w:val="00E63A69"/>
    <w:rsid w:val="00E64090"/>
    <w:rsid w:val="00E640A4"/>
    <w:rsid w:val="00E643AA"/>
    <w:rsid w:val="00E64529"/>
    <w:rsid w:val="00E64B8C"/>
    <w:rsid w:val="00E64BE0"/>
    <w:rsid w:val="00E64EEF"/>
    <w:rsid w:val="00E65483"/>
    <w:rsid w:val="00E65875"/>
    <w:rsid w:val="00E6651F"/>
    <w:rsid w:val="00E6666A"/>
    <w:rsid w:val="00E66760"/>
    <w:rsid w:val="00E66802"/>
    <w:rsid w:val="00E66B25"/>
    <w:rsid w:val="00E66DE3"/>
    <w:rsid w:val="00E66DED"/>
    <w:rsid w:val="00E66F5B"/>
    <w:rsid w:val="00E66F6B"/>
    <w:rsid w:val="00E673C4"/>
    <w:rsid w:val="00E67434"/>
    <w:rsid w:val="00E67566"/>
    <w:rsid w:val="00E676BD"/>
    <w:rsid w:val="00E67ABE"/>
    <w:rsid w:val="00E67AF6"/>
    <w:rsid w:val="00E67D7A"/>
    <w:rsid w:val="00E67E2D"/>
    <w:rsid w:val="00E67FAD"/>
    <w:rsid w:val="00E67FCD"/>
    <w:rsid w:val="00E7000E"/>
    <w:rsid w:val="00E70051"/>
    <w:rsid w:val="00E70325"/>
    <w:rsid w:val="00E703D7"/>
    <w:rsid w:val="00E7040C"/>
    <w:rsid w:val="00E70476"/>
    <w:rsid w:val="00E7079D"/>
    <w:rsid w:val="00E708B4"/>
    <w:rsid w:val="00E709D9"/>
    <w:rsid w:val="00E70A15"/>
    <w:rsid w:val="00E70B04"/>
    <w:rsid w:val="00E70E26"/>
    <w:rsid w:val="00E70E6F"/>
    <w:rsid w:val="00E711FC"/>
    <w:rsid w:val="00E7142E"/>
    <w:rsid w:val="00E71551"/>
    <w:rsid w:val="00E71C09"/>
    <w:rsid w:val="00E72129"/>
    <w:rsid w:val="00E72190"/>
    <w:rsid w:val="00E722C9"/>
    <w:rsid w:val="00E724D9"/>
    <w:rsid w:val="00E72950"/>
    <w:rsid w:val="00E72983"/>
    <w:rsid w:val="00E72A21"/>
    <w:rsid w:val="00E72A77"/>
    <w:rsid w:val="00E72D06"/>
    <w:rsid w:val="00E73085"/>
    <w:rsid w:val="00E7331C"/>
    <w:rsid w:val="00E73D4B"/>
    <w:rsid w:val="00E743ED"/>
    <w:rsid w:val="00E74417"/>
    <w:rsid w:val="00E74441"/>
    <w:rsid w:val="00E7495E"/>
    <w:rsid w:val="00E74A6A"/>
    <w:rsid w:val="00E74DB2"/>
    <w:rsid w:val="00E75003"/>
    <w:rsid w:val="00E7506C"/>
    <w:rsid w:val="00E752A0"/>
    <w:rsid w:val="00E75566"/>
    <w:rsid w:val="00E755DB"/>
    <w:rsid w:val="00E7565A"/>
    <w:rsid w:val="00E75661"/>
    <w:rsid w:val="00E75748"/>
    <w:rsid w:val="00E7585B"/>
    <w:rsid w:val="00E75ABF"/>
    <w:rsid w:val="00E75BB2"/>
    <w:rsid w:val="00E75C00"/>
    <w:rsid w:val="00E75C95"/>
    <w:rsid w:val="00E75DE4"/>
    <w:rsid w:val="00E7621A"/>
    <w:rsid w:val="00E7658B"/>
    <w:rsid w:val="00E766BA"/>
    <w:rsid w:val="00E76DE4"/>
    <w:rsid w:val="00E76E3E"/>
    <w:rsid w:val="00E772DE"/>
    <w:rsid w:val="00E77319"/>
    <w:rsid w:val="00E77652"/>
    <w:rsid w:val="00E776A3"/>
    <w:rsid w:val="00E77E9C"/>
    <w:rsid w:val="00E8028D"/>
    <w:rsid w:val="00E805C1"/>
    <w:rsid w:val="00E80C3B"/>
    <w:rsid w:val="00E80D8C"/>
    <w:rsid w:val="00E817AE"/>
    <w:rsid w:val="00E817D0"/>
    <w:rsid w:val="00E8189A"/>
    <w:rsid w:val="00E81908"/>
    <w:rsid w:val="00E8192B"/>
    <w:rsid w:val="00E81B70"/>
    <w:rsid w:val="00E81E3F"/>
    <w:rsid w:val="00E822B6"/>
    <w:rsid w:val="00E8264C"/>
    <w:rsid w:val="00E82B69"/>
    <w:rsid w:val="00E82DE5"/>
    <w:rsid w:val="00E83118"/>
    <w:rsid w:val="00E83669"/>
    <w:rsid w:val="00E836BB"/>
    <w:rsid w:val="00E8373B"/>
    <w:rsid w:val="00E8380D"/>
    <w:rsid w:val="00E83919"/>
    <w:rsid w:val="00E83BAC"/>
    <w:rsid w:val="00E83C02"/>
    <w:rsid w:val="00E83F6C"/>
    <w:rsid w:val="00E846BB"/>
    <w:rsid w:val="00E84CE6"/>
    <w:rsid w:val="00E850DE"/>
    <w:rsid w:val="00E85AE9"/>
    <w:rsid w:val="00E85BED"/>
    <w:rsid w:val="00E85D0D"/>
    <w:rsid w:val="00E85E1B"/>
    <w:rsid w:val="00E85E28"/>
    <w:rsid w:val="00E862A7"/>
    <w:rsid w:val="00E866E6"/>
    <w:rsid w:val="00E86718"/>
    <w:rsid w:val="00E86D1F"/>
    <w:rsid w:val="00E86E23"/>
    <w:rsid w:val="00E87011"/>
    <w:rsid w:val="00E87027"/>
    <w:rsid w:val="00E8765F"/>
    <w:rsid w:val="00E8766E"/>
    <w:rsid w:val="00E87701"/>
    <w:rsid w:val="00E878A2"/>
    <w:rsid w:val="00E878A6"/>
    <w:rsid w:val="00E87BB5"/>
    <w:rsid w:val="00E87F46"/>
    <w:rsid w:val="00E87F7C"/>
    <w:rsid w:val="00E90844"/>
    <w:rsid w:val="00E90AD6"/>
    <w:rsid w:val="00E90C4F"/>
    <w:rsid w:val="00E90DB8"/>
    <w:rsid w:val="00E90EDB"/>
    <w:rsid w:val="00E910CB"/>
    <w:rsid w:val="00E9141E"/>
    <w:rsid w:val="00E914C6"/>
    <w:rsid w:val="00E91597"/>
    <w:rsid w:val="00E9162F"/>
    <w:rsid w:val="00E916A7"/>
    <w:rsid w:val="00E9183A"/>
    <w:rsid w:val="00E919BD"/>
    <w:rsid w:val="00E91B15"/>
    <w:rsid w:val="00E92122"/>
    <w:rsid w:val="00E92195"/>
    <w:rsid w:val="00E921B9"/>
    <w:rsid w:val="00E922B2"/>
    <w:rsid w:val="00E9237B"/>
    <w:rsid w:val="00E9249A"/>
    <w:rsid w:val="00E9264C"/>
    <w:rsid w:val="00E92D57"/>
    <w:rsid w:val="00E92D7E"/>
    <w:rsid w:val="00E92D8C"/>
    <w:rsid w:val="00E93016"/>
    <w:rsid w:val="00E934FB"/>
    <w:rsid w:val="00E93606"/>
    <w:rsid w:val="00E93E66"/>
    <w:rsid w:val="00E9400A"/>
    <w:rsid w:val="00E9412A"/>
    <w:rsid w:val="00E94358"/>
    <w:rsid w:val="00E949F2"/>
    <w:rsid w:val="00E94CAF"/>
    <w:rsid w:val="00E94FB3"/>
    <w:rsid w:val="00E9540E"/>
    <w:rsid w:val="00E954CC"/>
    <w:rsid w:val="00E959C1"/>
    <w:rsid w:val="00E95B0E"/>
    <w:rsid w:val="00E95BD2"/>
    <w:rsid w:val="00E95D95"/>
    <w:rsid w:val="00E95F9F"/>
    <w:rsid w:val="00E96211"/>
    <w:rsid w:val="00E962EF"/>
    <w:rsid w:val="00E96517"/>
    <w:rsid w:val="00E96988"/>
    <w:rsid w:val="00E96B07"/>
    <w:rsid w:val="00E96B77"/>
    <w:rsid w:val="00E96BE6"/>
    <w:rsid w:val="00E96D38"/>
    <w:rsid w:val="00E97307"/>
    <w:rsid w:val="00E97313"/>
    <w:rsid w:val="00E9743B"/>
    <w:rsid w:val="00E974BE"/>
    <w:rsid w:val="00E97543"/>
    <w:rsid w:val="00E97A65"/>
    <w:rsid w:val="00E97D40"/>
    <w:rsid w:val="00E97E7D"/>
    <w:rsid w:val="00E97FC3"/>
    <w:rsid w:val="00EA0178"/>
    <w:rsid w:val="00EA02B3"/>
    <w:rsid w:val="00EA0359"/>
    <w:rsid w:val="00EA064E"/>
    <w:rsid w:val="00EA09F5"/>
    <w:rsid w:val="00EA0A17"/>
    <w:rsid w:val="00EA0A75"/>
    <w:rsid w:val="00EA0D9C"/>
    <w:rsid w:val="00EA0EA7"/>
    <w:rsid w:val="00EA1107"/>
    <w:rsid w:val="00EA12E4"/>
    <w:rsid w:val="00EA153C"/>
    <w:rsid w:val="00EA1726"/>
    <w:rsid w:val="00EA183B"/>
    <w:rsid w:val="00EA191A"/>
    <w:rsid w:val="00EA19DA"/>
    <w:rsid w:val="00EA2289"/>
    <w:rsid w:val="00EA22AC"/>
    <w:rsid w:val="00EA2329"/>
    <w:rsid w:val="00EA255E"/>
    <w:rsid w:val="00EA2604"/>
    <w:rsid w:val="00EA2BCD"/>
    <w:rsid w:val="00EA2C27"/>
    <w:rsid w:val="00EA333E"/>
    <w:rsid w:val="00EA337C"/>
    <w:rsid w:val="00EA340C"/>
    <w:rsid w:val="00EA35C0"/>
    <w:rsid w:val="00EA375F"/>
    <w:rsid w:val="00EA39BB"/>
    <w:rsid w:val="00EA3BDA"/>
    <w:rsid w:val="00EA3C4F"/>
    <w:rsid w:val="00EA3D71"/>
    <w:rsid w:val="00EA4891"/>
    <w:rsid w:val="00EA4A9C"/>
    <w:rsid w:val="00EA4B3D"/>
    <w:rsid w:val="00EA4F4B"/>
    <w:rsid w:val="00EA5CF9"/>
    <w:rsid w:val="00EA5D03"/>
    <w:rsid w:val="00EA605A"/>
    <w:rsid w:val="00EA6222"/>
    <w:rsid w:val="00EA62A7"/>
    <w:rsid w:val="00EA647C"/>
    <w:rsid w:val="00EA647E"/>
    <w:rsid w:val="00EA652B"/>
    <w:rsid w:val="00EA6A58"/>
    <w:rsid w:val="00EA6B97"/>
    <w:rsid w:val="00EA6BE2"/>
    <w:rsid w:val="00EA752E"/>
    <w:rsid w:val="00EA762B"/>
    <w:rsid w:val="00EB016E"/>
    <w:rsid w:val="00EB0215"/>
    <w:rsid w:val="00EB0307"/>
    <w:rsid w:val="00EB0597"/>
    <w:rsid w:val="00EB074A"/>
    <w:rsid w:val="00EB085C"/>
    <w:rsid w:val="00EB0951"/>
    <w:rsid w:val="00EB0D8F"/>
    <w:rsid w:val="00EB0FF8"/>
    <w:rsid w:val="00EB130B"/>
    <w:rsid w:val="00EB1367"/>
    <w:rsid w:val="00EB1542"/>
    <w:rsid w:val="00EB1546"/>
    <w:rsid w:val="00EB1AD5"/>
    <w:rsid w:val="00EB1E05"/>
    <w:rsid w:val="00EB1F37"/>
    <w:rsid w:val="00EB2106"/>
    <w:rsid w:val="00EB245D"/>
    <w:rsid w:val="00EB27F5"/>
    <w:rsid w:val="00EB304D"/>
    <w:rsid w:val="00EB330B"/>
    <w:rsid w:val="00EB3347"/>
    <w:rsid w:val="00EB348E"/>
    <w:rsid w:val="00EB3959"/>
    <w:rsid w:val="00EB3BAE"/>
    <w:rsid w:val="00EB3BBF"/>
    <w:rsid w:val="00EB4086"/>
    <w:rsid w:val="00EB410A"/>
    <w:rsid w:val="00EB41DB"/>
    <w:rsid w:val="00EB4571"/>
    <w:rsid w:val="00EB4874"/>
    <w:rsid w:val="00EB4A41"/>
    <w:rsid w:val="00EB4C04"/>
    <w:rsid w:val="00EB4D4B"/>
    <w:rsid w:val="00EB5078"/>
    <w:rsid w:val="00EB51A5"/>
    <w:rsid w:val="00EB527E"/>
    <w:rsid w:val="00EB5A19"/>
    <w:rsid w:val="00EB5C79"/>
    <w:rsid w:val="00EB6000"/>
    <w:rsid w:val="00EB66E8"/>
    <w:rsid w:val="00EB6916"/>
    <w:rsid w:val="00EB6A9C"/>
    <w:rsid w:val="00EB6DB4"/>
    <w:rsid w:val="00EB6E3A"/>
    <w:rsid w:val="00EB6E9F"/>
    <w:rsid w:val="00EB6F1D"/>
    <w:rsid w:val="00EB6FF2"/>
    <w:rsid w:val="00EB7053"/>
    <w:rsid w:val="00EB79F6"/>
    <w:rsid w:val="00EB7AD6"/>
    <w:rsid w:val="00EB7C66"/>
    <w:rsid w:val="00EC0229"/>
    <w:rsid w:val="00EC02B8"/>
    <w:rsid w:val="00EC0480"/>
    <w:rsid w:val="00EC0915"/>
    <w:rsid w:val="00EC0C1C"/>
    <w:rsid w:val="00EC0D43"/>
    <w:rsid w:val="00EC11BA"/>
    <w:rsid w:val="00EC1602"/>
    <w:rsid w:val="00EC1C57"/>
    <w:rsid w:val="00EC1D44"/>
    <w:rsid w:val="00EC1E8E"/>
    <w:rsid w:val="00EC2005"/>
    <w:rsid w:val="00EC2097"/>
    <w:rsid w:val="00EC20ED"/>
    <w:rsid w:val="00EC2182"/>
    <w:rsid w:val="00EC267C"/>
    <w:rsid w:val="00EC283C"/>
    <w:rsid w:val="00EC28B2"/>
    <w:rsid w:val="00EC292B"/>
    <w:rsid w:val="00EC297E"/>
    <w:rsid w:val="00EC2B00"/>
    <w:rsid w:val="00EC2DAF"/>
    <w:rsid w:val="00EC2F1F"/>
    <w:rsid w:val="00EC2F75"/>
    <w:rsid w:val="00EC2FB1"/>
    <w:rsid w:val="00EC3109"/>
    <w:rsid w:val="00EC36A3"/>
    <w:rsid w:val="00EC374F"/>
    <w:rsid w:val="00EC3778"/>
    <w:rsid w:val="00EC3B1B"/>
    <w:rsid w:val="00EC487B"/>
    <w:rsid w:val="00EC4D9F"/>
    <w:rsid w:val="00EC4FCE"/>
    <w:rsid w:val="00EC5704"/>
    <w:rsid w:val="00EC5AD4"/>
    <w:rsid w:val="00EC5C7F"/>
    <w:rsid w:val="00EC5D0F"/>
    <w:rsid w:val="00EC5F63"/>
    <w:rsid w:val="00EC5F76"/>
    <w:rsid w:val="00EC61C7"/>
    <w:rsid w:val="00EC621A"/>
    <w:rsid w:val="00EC6257"/>
    <w:rsid w:val="00EC6315"/>
    <w:rsid w:val="00EC63C7"/>
    <w:rsid w:val="00EC6513"/>
    <w:rsid w:val="00EC6603"/>
    <w:rsid w:val="00EC66A2"/>
    <w:rsid w:val="00EC695B"/>
    <w:rsid w:val="00EC69A1"/>
    <w:rsid w:val="00EC69E0"/>
    <w:rsid w:val="00EC721C"/>
    <w:rsid w:val="00EC730C"/>
    <w:rsid w:val="00EC7481"/>
    <w:rsid w:val="00EC78D0"/>
    <w:rsid w:val="00EC7C8F"/>
    <w:rsid w:val="00EC7EF8"/>
    <w:rsid w:val="00EC7FBF"/>
    <w:rsid w:val="00ED02F2"/>
    <w:rsid w:val="00ED05E5"/>
    <w:rsid w:val="00ED0620"/>
    <w:rsid w:val="00ED062A"/>
    <w:rsid w:val="00ED0A59"/>
    <w:rsid w:val="00ED0AE7"/>
    <w:rsid w:val="00ED0BEB"/>
    <w:rsid w:val="00ED0D33"/>
    <w:rsid w:val="00ED0E4C"/>
    <w:rsid w:val="00ED0F9D"/>
    <w:rsid w:val="00ED1070"/>
    <w:rsid w:val="00ED1161"/>
    <w:rsid w:val="00ED1181"/>
    <w:rsid w:val="00ED13F2"/>
    <w:rsid w:val="00ED1B3A"/>
    <w:rsid w:val="00ED1CBD"/>
    <w:rsid w:val="00ED1E58"/>
    <w:rsid w:val="00ED1F51"/>
    <w:rsid w:val="00ED22B2"/>
    <w:rsid w:val="00ED25CD"/>
    <w:rsid w:val="00ED29EA"/>
    <w:rsid w:val="00ED29FA"/>
    <w:rsid w:val="00ED2C3A"/>
    <w:rsid w:val="00ED2D5C"/>
    <w:rsid w:val="00ED2DF1"/>
    <w:rsid w:val="00ED31BF"/>
    <w:rsid w:val="00ED3881"/>
    <w:rsid w:val="00ED3A0F"/>
    <w:rsid w:val="00ED3C80"/>
    <w:rsid w:val="00ED3FF6"/>
    <w:rsid w:val="00ED4105"/>
    <w:rsid w:val="00ED4121"/>
    <w:rsid w:val="00ED445A"/>
    <w:rsid w:val="00ED458A"/>
    <w:rsid w:val="00ED483A"/>
    <w:rsid w:val="00ED483D"/>
    <w:rsid w:val="00ED4884"/>
    <w:rsid w:val="00ED56C4"/>
    <w:rsid w:val="00ED5780"/>
    <w:rsid w:val="00ED58F6"/>
    <w:rsid w:val="00ED5B8D"/>
    <w:rsid w:val="00ED5E33"/>
    <w:rsid w:val="00ED6376"/>
    <w:rsid w:val="00ED643F"/>
    <w:rsid w:val="00ED6754"/>
    <w:rsid w:val="00ED6827"/>
    <w:rsid w:val="00ED6A30"/>
    <w:rsid w:val="00ED6B64"/>
    <w:rsid w:val="00ED6ED0"/>
    <w:rsid w:val="00ED6F81"/>
    <w:rsid w:val="00ED709C"/>
    <w:rsid w:val="00ED7214"/>
    <w:rsid w:val="00ED7490"/>
    <w:rsid w:val="00ED762B"/>
    <w:rsid w:val="00ED7707"/>
    <w:rsid w:val="00ED79AB"/>
    <w:rsid w:val="00ED7A71"/>
    <w:rsid w:val="00ED7A91"/>
    <w:rsid w:val="00ED7C95"/>
    <w:rsid w:val="00ED7CA7"/>
    <w:rsid w:val="00EE0052"/>
    <w:rsid w:val="00EE0157"/>
    <w:rsid w:val="00EE055A"/>
    <w:rsid w:val="00EE06CA"/>
    <w:rsid w:val="00EE0A80"/>
    <w:rsid w:val="00EE0CCF"/>
    <w:rsid w:val="00EE0DB2"/>
    <w:rsid w:val="00EE0DD5"/>
    <w:rsid w:val="00EE0F5D"/>
    <w:rsid w:val="00EE0F76"/>
    <w:rsid w:val="00EE0FFB"/>
    <w:rsid w:val="00EE100D"/>
    <w:rsid w:val="00EE10CE"/>
    <w:rsid w:val="00EE11CB"/>
    <w:rsid w:val="00EE1328"/>
    <w:rsid w:val="00EE14FB"/>
    <w:rsid w:val="00EE1562"/>
    <w:rsid w:val="00EE1569"/>
    <w:rsid w:val="00EE179D"/>
    <w:rsid w:val="00EE17CB"/>
    <w:rsid w:val="00EE1A04"/>
    <w:rsid w:val="00EE1B3A"/>
    <w:rsid w:val="00EE1DA0"/>
    <w:rsid w:val="00EE20E9"/>
    <w:rsid w:val="00EE2253"/>
    <w:rsid w:val="00EE2515"/>
    <w:rsid w:val="00EE354C"/>
    <w:rsid w:val="00EE35E6"/>
    <w:rsid w:val="00EE3A00"/>
    <w:rsid w:val="00EE3DA5"/>
    <w:rsid w:val="00EE4324"/>
    <w:rsid w:val="00EE44CA"/>
    <w:rsid w:val="00EE44F9"/>
    <w:rsid w:val="00EE4B3E"/>
    <w:rsid w:val="00EE4BF0"/>
    <w:rsid w:val="00EE4F28"/>
    <w:rsid w:val="00EE51A6"/>
    <w:rsid w:val="00EE58C3"/>
    <w:rsid w:val="00EE5DAF"/>
    <w:rsid w:val="00EE60D3"/>
    <w:rsid w:val="00EE68DC"/>
    <w:rsid w:val="00EE69C7"/>
    <w:rsid w:val="00EE69E3"/>
    <w:rsid w:val="00EE7212"/>
    <w:rsid w:val="00EE73A6"/>
    <w:rsid w:val="00EE75B5"/>
    <w:rsid w:val="00EE7A5E"/>
    <w:rsid w:val="00EE7B15"/>
    <w:rsid w:val="00EE7EE3"/>
    <w:rsid w:val="00EF01CE"/>
    <w:rsid w:val="00EF01D6"/>
    <w:rsid w:val="00EF0593"/>
    <w:rsid w:val="00EF0877"/>
    <w:rsid w:val="00EF0A2F"/>
    <w:rsid w:val="00EF0B01"/>
    <w:rsid w:val="00EF0B65"/>
    <w:rsid w:val="00EF0B6F"/>
    <w:rsid w:val="00EF0C52"/>
    <w:rsid w:val="00EF0D48"/>
    <w:rsid w:val="00EF0F89"/>
    <w:rsid w:val="00EF1141"/>
    <w:rsid w:val="00EF12B5"/>
    <w:rsid w:val="00EF134F"/>
    <w:rsid w:val="00EF13C6"/>
    <w:rsid w:val="00EF1514"/>
    <w:rsid w:val="00EF168B"/>
    <w:rsid w:val="00EF179C"/>
    <w:rsid w:val="00EF18C5"/>
    <w:rsid w:val="00EF18DE"/>
    <w:rsid w:val="00EF19E8"/>
    <w:rsid w:val="00EF1AFA"/>
    <w:rsid w:val="00EF1EA6"/>
    <w:rsid w:val="00EF2037"/>
    <w:rsid w:val="00EF20AE"/>
    <w:rsid w:val="00EF220F"/>
    <w:rsid w:val="00EF2216"/>
    <w:rsid w:val="00EF240C"/>
    <w:rsid w:val="00EF255E"/>
    <w:rsid w:val="00EF281F"/>
    <w:rsid w:val="00EF2C4B"/>
    <w:rsid w:val="00EF2CE1"/>
    <w:rsid w:val="00EF30FB"/>
    <w:rsid w:val="00EF30FD"/>
    <w:rsid w:val="00EF3636"/>
    <w:rsid w:val="00EF38F4"/>
    <w:rsid w:val="00EF394C"/>
    <w:rsid w:val="00EF3D84"/>
    <w:rsid w:val="00EF3EAE"/>
    <w:rsid w:val="00EF4172"/>
    <w:rsid w:val="00EF450F"/>
    <w:rsid w:val="00EF455A"/>
    <w:rsid w:val="00EF4EE8"/>
    <w:rsid w:val="00EF4F08"/>
    <w:rsid w:val="00EF4F70"/>
    <w:rsid w:val="00EF4FBB"/>
    <w:rsid w:val="00EF522D"/>
    <w:rsid w:val="00EF53D8"/>
    <w:rsid w:val="00EF56FC"/>
    <w:rsid w:val="00EF590E"/>
    <w:rsid w:val="00EF595F"/>
    <w:rsid w:val="00EF5A32"/>
    <w:rsid w:val="00EF5C9B"/>
    <w:rsid w:val="00EF6208"/>
    <w:rsid w:val="00EF626A"/>
    <w:rsid w:val="00EF68EF"/>
    <w:rsid w:val="00EF69F7"/>
    <w:rsid w:val="00EF6BB9"/>
    <w:rsid w:val="00EF6C2C"/>
    <w:rsid w:val="00EF6EEC"/>
    <w:rsid w:val="00EF7278"/>
    <w:rsid w:val="00EF735A"/>
    <w:rsid w:val="00EF7723"/>
    <w:rsid w:val="00EF7EDD"/>
    <w:rsid w:val="00F00303"/>
    <w:rsid w:val="00F0039D"/>
    <w:rsid w:val="00F00693"/>
    <w:rsid w:val="00F00848"/>
    <w:rsid w:val="00F00935"/>
    <w:rsid w:val="00F00B2A"/>
    <w:rsid w:val="00F00D7D"/>
    <w:rsid w:val="00F00DAE"/>
    <w:rsid w:val="00F00E97"/>
    <w:rsid w:val="00F011B8"/>
    <w:rsid w:val="00F01284"/>
    <w:rsid w:val="00F01397"/>
    <w:rsid w:val="00F01419"/>
    <w:rsid w:val="00F017C5"/>
    <w:rsid w:val="00F01844"/>
    <w:rsid w:val="00F01902"/>
    <w:rsid w:val="00F01F35"/>
    <w:rsid w:val="00F02128"/>
    <w:rsid w:val="00F023D6"/>
    <w:rsid w:val="00F02496"/>
    <w:rsid w:val="00F02899"/>
    <w:rsid w:val="00F028A1"/>
    <w:rsid w:val="00F028F8"/>
    <w:rsid w:val="00F02911"/>
    <w:rsid w:val="00F02D9D"/>
    <w:rsid w:val="00F0320F"/>
    <w:rsid w:val="00F0379E"/>
    <w:rsid w:val="00F03CA2"/>
    <w:rsid w:val="00F0422F"/>
    <w:rsid w:val="00F0437C"/>
    <w:rsid w:val="00F043CE"/>
    <w:rsid w:val="00F0458D"/>
    <w:rsid w:val="00F04873"/>
    <w:rsid w:val="00F048D3"/>
    <w:rsid w:val="00F04BD1"/>
    <w:rsid w:val="00F04E65"/>
    <w:rsid w:val="00F04EEB"/>
    <w:rsid w:val="00F04F7F"/>
    <w:rsid w:val="00F05086"/>
    <w:rsid w:val="00F05305"/>
    <w:rsid w:val="00F05481"/>
    <w:rsid w:val="00F055E9"/>
    <w:rsid w:val="00F0579D"/>
    <w:rsid w:val="00F05999"/>
    <w:rsid w:val="00F059AF"/>
    <w:rsid w:val="00F059E0"/>
    <w:rsid w:val="00F05B7D"/>
    <w:rsid w:val="00F063CC"/>
    <w:rsid w:val="00F0649A"/>
    <w:rsid w:val="00F077B4"/>
    <w:rsid w:val="00F077DE"/>
    <w:rsid w:val="00F07D2D"/>
    <w:rsid w:val="00F10401"/>
    <w:rsid w:val="00F1048F"/>
    <w:rsid w:val="00F10535"/>
    <w:rsid w:val="00F10622"/>
    <w:rsid w:val="00F10B7D"/>
    <w:rsid w:val="00F10F17"/>
    <w:rsid w:val="00F1100A"/>
    <w:rsid w:val="00F110F4"/>
    <w:rsid w:val="00F1110F"/>
    <w:rsid w:val="00F1167B"/>
    <w:rsid w:val="00F116A4"/>
    <w:rsid w:val="00F117DD"/>
    <w:rsid w:val="00F120C7"/>
    <w:rsid w:val="00F1218A"/>
    <w:rsid w:val="00F12378"/>
    <w:rsid w:val="00F12559"/>
    <w:rsid w:val="00F125B7"/>
    <w:rsid w:val="00F1266F"/>
    <w:rsid w:val="00F12D29"/>
    <w:rsid w:val="00F12D75"/>
    <w:rsid w:val="00F12E5B"/>
    <w:rsid w:val="00F1322C"/>
    <w:rsid w:val="00F13390"/>
    <w:rsid w:val="00F135B9"/>
    <w:rsid w:val="00F137CF"/>
    <w:rsid w:val="00F13831"/>
    <w:rsid w:val="00F13DA1"/>
    <w:rsid w:val="00F14018"/>
    <w:rsid w:val="00F14132"/>
    <w:rsid w:val="00F142DB"/>
    <w:rsid w:val="00F1434A"/>
    <w:rsid w:val="00F14645"/>
    <w:rsid w:val="00F1474C"/>
    <w:rsid w:val="00F14995"/>
    <w:rsid w:val="00F14B58"/>
    <w:rsid w:val="00F14B75"/>
    <w:rsid w:val="00F14BB5"/>
    <w:rsid w:val="00F14C86"/>
    <w:rsid w:val="00F15483"/>
    <w:rsid w:val="00F15C57"/>
    <w:rsid w:val="00F15D32"/>
    <w:rsid w:val="00F15FD5"/>
    <w:rsid w:val="00F16204"/>
    <w:rsid w:val="00F16223"/>
    <w:rsid w:val="00F16606"/>
    <w:rsid w:val="00F16B03"/>
    <w:rsid w:val="00F16FD4"/>
    <w:rsid w:val="00F17061"/>
    <w:rsid w:val="00F17850"/>
    <w:rsid w:val="00F17BAF"/>
    <w:rsid w:val="00F17E55"/>
    <w:rsid w:val="00F207A3"/>
    <w:rsid w:val="00F208E3"/>
    <w:rsid w:val="00F20B4A"/>
    <w:rsid w:val="00F20C58"/>
    <w:rsid w:val="00F20D29"/>
    <w:rsid w:val="00F20E36"/>
    <w:rsid w:val="00F20E3A"/>
    <w:rsid w:val="00F20EA6"/>
    <w:rsid w:val="00F20EF5"/>
    <w:rsid w:val="00F21038"/>
    <w:rsid w:val="00F2109B"/>
    <w:rsid w:val="00F21215"/>
    <w:rsid w:val="00F2127F"/>
    <w:rsid w:val="00F213A6"/>
    <w:rsid w:val="00F21691"/>
    <w:rsid w:val="00F21697"/>
    <w:rsid w:val="00F21D83"/>
    <w:rsid w:val="00F21F96"/>
    <w:rsid w:val="00F221FB"/>
    <w:rsid w:val="00F22610"/>
    <w:rsid w:val="00F226D2"/>
    <w:rsid w:val="00F228CE"/>
    <w:rsid w:val="00F229D2"/>
    <w:rsid w:val="00F22E0E"/>
    <w:rsid w:val="00F230B5"/>
    <w:rsid w:val="00F23147"/>
    <w:rsid w:val="00F23291"/>
    <w:rsid w:val="00F23420"/>
    <w:rsid w:val="00F23732"/>
    <w:rsid w:val="00F23AD1"/>
    <w:rsid w:val="00F23D00"/>
    <w:rsid w:val="00F2432E"/>
    <w:rsid w:val="00F246B1"/>
    <w:rsid w:val="00F247DB"/>
    <w:rsid w:val="00F248C2"/>
    <w:rsid w:val="00F24CF6"/>
    <w:rsid w:val="00F24E33"/>
    <w:rsid w:val="00F250B0"/>
    <w:rsid w:val="00F250C8"/>
    <w:rsid w:val="00F25AE8"/>
    <w:rsid w:val="00F25B01"/>
    <w:rsid w:val="00F25BB2"/>
    <w:rsid w:val="00F262DF"/>
    <w:rsid w:val="00F26445"/>
    <w:rsid w:val="00F26594"/>
    <w:rsid w:val="00F267E3"/>
    <w:rsid w:val="00F26922"/>
    <w:rsid w:val="00F26E33"/>
    <w:rsid w:val="00F26E70"/>
    <w:rsid w:val="00F274C1"/>
    <w:rsid w:val="00F274D5"/>
    <w:rsid w:val="00F27A5F"/>
    <w:rsid w:val="00F27CC8"/>
    <w:rsid w:val="00F27DFB"/>
    <w:rsid w:val="00F30480"/>
    <w:rsid w:val="00F30FC0"/>
    <w:rsid w:val="00F31190"/>
    <w:rsid w:val="00F312BB"/>
    <w:rsid w:val="00F312E7"/>
    <w:rsid w:val="00F315D5"/>
    <w:rsid w:val="00F31676"/>
    <w:rsid w:val="00F31FD3"/>
    <w:rsid w:val="00F3213F"/>
    <w:rsid w:val="00F32EFF"/>
    <w:rsid w:val="00F3300F"/>
    <w:rsid w:val="00F33066"/>
    <w:rsid w:val="00F333AE"/>
    <w:rsid w:val="00F33459"/>
    <w:rsid w:val="00F33847"/>
    <w:rsid w:val="00F3386E"/>
    <w:rsid w:val="00F33874"/>
    <w:rsid w:val="00F33BFD"/>
    <w:rsid w:val="00F33CA7"/>
    <w:rsid w:val="00F33D12"/>
    <w:rsid w:val="00F341C6"/>
    <w:rsid w:val="00F345D1"/>
    <w:rsid w:val="00F345E3"/>
    <w:rsid w:val="00F34C36"/>
    <w:rsid w:val="00F35076"/>
    <w:rsid w:val="00F350A0"/>
    <w:rsid w:val="00F35123"/>
    <w:rsid w:val="00F3536E"/>
    <w:rsid w:val="00F35706"/>
    <w:rsid w:val="00F35779"/>
    <w:rsid w:val="00F35798"/>
    <w:rsid w:val="00F357F6"/>
    <w:rsid w:val="00F3585D"/>
    <w:rsid w:val="00F35E2B"/>
    <w:rsid w:val="00F361F5"/>
    <w:rsid w:val="00F3669E"/>
    <w:rsid w:val="00F367BC"/>
    <w:rsid w:val="00F36800"/>
    <w:rsid w:val="00F36B2C"/>
    <w:rsid w:val="00F36E90"/>
    <w:rsid w:val="00F36F08"/>
    <w:rsid w:val="00F36F98"/>
    <w:rsid w:val="00F37090"/>
    <w:rsid w:val="00F37155"/>
    <w:rsid w:val="00F371B3"/>
    <w:rsid w:val="00F37439"/>
    <w:rsid w:val="00F3746B"/>
    <w:rsid w:val="00F377A9"/>
    <w:rsid w:val="00F377F8"/>
    <w:rsid w:val="00F37984"/>
    <w:rsid w:val="00F379C5"/>
    <w:rsid w:val="00F37B11"/>
    <w:rsid w:val="00F37B24"/>
    <w:rsid w:val="00F37B71"/>
    <w:rsid w:val="00F37CF0"/>
    <w:rsid w:val="00F37ED8"/>
    <w:rsid w:val="00F37F65"/>
    <w:rsid w:val="00F40005"/>
    <w:rsid w:val="00F401FF"/>
    <w:rsid w:val="00F40546"/>
    <w:rsid w:val="00F405B0"/>
    <w:rsid w:val="00F40631"/>
    <w:rsid w:val="00F40710"/>
    <w:rsid w:val="00F407B9"/>
    <w:rsid w:val="00F409A5"/>
    <w:rsid w:val="00F40A3A"/>
    <w:rsid w:val="00F40A8F"/>
    <w:rsid w:val="00F40AD7"/>
    <w:rsid w:val="00F40C51"/>
    <w:rsid w:val="00F40DE9"/>
    <w:rsid w:val="00F40E75"/>
    <w:rsid w:val="00F415BB"/>
    <w:rsid w:val="00F415D8"/>
    <w:rsid w:val="00F41812"/>
    <w:rsid w:val="00F41856"/>
    <w:rsid w:val="00F41AC6"/>
    <w:rsid w:val="00F41C75"/>
    <w:rsid w:val="00F41E16"/>
    <w:rsid w:val="00F42125"/>
    <w:rsid w:val="00F42314"/>
    <w:rsid w:val="00F42570"/>
    <w:rsid w:val="00F42649"/>
    <w:rsid w:val="00F42A97"/>
    <w:rsid w:val="00F42DCF"/>
    <w:rsid w:val="00F43101"/>
    <w:rsid w:val="00F435BC"/>
    <w:rsid w:val="00F43AA8"/>
    <w:rsid w:val="00F43D67"/>
    <w:rsid w:val="00F441BF"/>
    <w:rsid w:val="00F4440C"/>
    <w:rsid w:val="00F44481"/>
    <w:rsid w:val="00F4448A"/>
    <w:rsid w:val="00F44610"/>
    <w:rsid w:val="00F4489E"/>
    <w:rsid w:val="00F4493D"/>
    <w:rsid w:val="00F44CAF"/>
    <w:rsid w:val="00F44CB2"/>
    <w:rsid w:val="00F44CF7"/>
    <w:rsid w:val="00F44D71"/>
    <w:rsid w:val="00F44EB0"/>
    <w:rsid w:val="00F452F5"/>
    <w:rsid w:val="00F458C4"/>
    <w:rsid w:val="00F45C37"/>
    <w:rsid w:val="00F45CCA"/>
    <w:rsid w:val="00F45E98"/>
    <w:rsid w:val="00F4619C"/>
    <w:rsid w:val="00F461B6"/>
    <w:rsid w:val="00F4625C"/>
    <w:rsid w:val="00F4656E"/>
    <w:rsid w:val="00F465EF"/>
    <w:rsid w:val="00F46767"/>
    <w:rsid w:val="00F467C2"/>
    <w:rsid w:val="00F469A6"/>
    <w:rsid w:val="00F46A8E"/>
    <w:rsid w:val="00F46F8E"/>
    <w:rsid w:val="00F46FFB"/>
    <w:rsid w:val="00F476F5"/>
    <w:rsid w:val="00F4782B"/>
    <w:rsid w:val="00F47A09"/>
    <w:rsid w:val="00F47CDD"/>
    <w:rsid w:val="00F47E7A"/>
    <w:rsid w:val="00F500AA"/>
    <w:rsid w:val="00F500F0"/>
    <w:rsid w:val="00F501ED"/>
    <w:rsid w:val="00F504D5"/>
    <w:rsid w:val="00F505B2"/>
    <w:rsid w:val="00F509D5"/>
    <w:rsid w:val="00F50CAC"/>
    <w:rsid w:val="00F50F10"/>
    <w:rsid w:val="00F50F86"/>
    <w:rsid w:val="00F5104E"/>
    <w:rsid w:val="00F5147F"/>
    <w:rsid w:val="00F515D1"/>
    <w:rsid w:val="00F51B25"/>
    <w:rsid w:val="00F51B26"/>
    <w:rsid w:val="00F51BF3"/>
    <w:rsid w:val="00F51FA4"/>
    <w:rsid w:val="00F521F1"/>
    <w:rsid w:val="00F524F2"/>
    <w:rsid w:val="00F52547"/>
    <w:rsid w:val="00F52962"/>
    <w:rsid w:val="00F529B3"/>
    <w:rsid w:val="00F52CC5"/>
    <w:rsid w:val="00F5347D"/>
    <w:rsid w:val="00F53492"/>
    <w:rsid w:val="00F536D7"/>
    <w:rsid w:val="00F537B5"/>
    <w:rsid w:val="00F5395D"/>
    <w:rsid w:val="00F53C71"/>
    <w:rsid w:val="00F53DB6"/>
    <w:rsid w:val="00F5422C"/>
    <w:rsid w:val="00F54340"/>
    <w:rsid w:val="00F5437E"/>
    <w:rsid w:val="00F544E6"/>
    <w:rsid w:val="00F5466C"/>
    <w:rsid w:val="00F54851"/>
    <w:rsid w:val="00F54965"/>
    <w:rsid w:val="00F5568E"/>
    <w:rsid w:val="00F55B50"/>
    <w:rsid w:val="00F560A2"/>
    <w:rsid w:val="00F562AB"/>
    <w:rsid w:val="00F563E8"/>
    <w:rsid w:val="00F56404"/>
    <w:rsid w:val="00F57698"/>
    <w:rsid w:val="00F5799C"/>
    <w:rsid w:val="00F57A54"/>
    <w:rsid w:val="00F57C80"/>
    <w:rsid w:val="00F57E4A"/>
    <w:rsid w:val="00F60144"/>
    <w:rsid w:val="00F60285"/>
    <w:rsid w:val="00F60363"/>
    <w:rsid w:val="00F603C2"/>
    <w:rsid w:val="00F60678"/>
    <w:rsid w:val="00F60759"/>
    <w:rsid w:val="00F6081D"/>
    <w:rsid w:val="00F609A9"/>
    <w:rsid w:val="00F60B25"/>
    <w:rsid w:val="00F60E05"/>
    <w:rsid w:val="00F60FC1"/>
    <w:rsid w:val="00F61133"/>
    <w:rsid w:val="00F615AA"/>
    <w:rsid w:val="00F61689"/>
    <w:rsid w:val="00F617B3"/>
    <w:rsid w:val="00F6187E"/>
    <w:rsid w:val="00F61B1A"/>
    <w:rsid w:val="00F61B37"/>
    <w:rsid w:val="00F61BDF"/>
    <w:rsid w:val="00F61C1B"/>
    <w:rsid w:val="00F61E1B"/>
    <w:rsid w:val="00F62096"/>
    <w:rsid w:val="00F62352"/>
    <w:rsid w:val="00F62781"/>
    <w:rsid w:val="00F627BF"/>
    <w:rsid w:val="00F62B74"/>
    <w:rsid w:val="00F63055"/>
    <w:rsid w:val="00F631B8"/>
    <w:rsid w:val="00F6351A"/>
    <w:rsid w:val="00F636E5"/>
    <w:rsid w:val="00F637C9"/>
    <w:rsid w:val="00F63B20"/>
    <w:rsid w:val="00F641D5"/>
    <w:rsid w:val="00F64510"/>
    <w:rsid w:val="00F645E4"/>
    <w:rsid w:val="00F64D5E"/>
    <w:rsid w:val="00F64DA4"/>
    <w:rsid w:val="00F64E1C"/>
    <w:rsid w:val="00F65344"/>
    <w:rsid w:val="00F65400"/>
    <w:rsid w:val="00F65721"/>
    <w:rsid w:val="00F65897"/>
    <w:rsid w:val="00F658EA"/>
    <w:rsid w:val="00F65AF4"/>
    <w:rsid w:val="00F65BB4"/>
    <w:rsid w:val="00F65CE9"/>
    <w:rsid w:val="00F65D14"/>
    <w:rsid w:val="00F65E17"/>
    <w:rsid w:val="00F66066"/>
    <w:rsid w:val="00F660C8"/>
    <w:rsid w:val="00F66353"/>
    <w:rsid w:val="00F663F8"/>
    <w:rsid w:val="00F6652F"/>
    <w:rsid w:val="00F66870"/>
    <w:rsid w:val="00F66B60"/>
    <w:rsid w:val="00F66DC9"/>
    <w:rsid w:val="00F66F76"/>
    <w:rsid w:val="00F67015"/>
    <w:rsid w:val="00F670C7"/>
    <w:rsid w:val="00F67226"/>
    <w:rsid w:val="00F672F4"/>
    <w:rsid w:val="00F674DD"/>
    <w:rsid w:val="00F67557"/>
    <w:rsid w:val="00F67B14"/>
    <w:rsid w:val="00F67B32"/>
    <w:rsid w:val="00F67D59"/>
    <w:rsid w:val="00F67EA7"/>
    <w:rsid w:val="00F67FAA"/>
    <w:rsid w:val="00F70103"/>
    <w:rsid w:val="00F70768"/>
    <w:rsid w:val="00F70878"/>
    <w:rsid w:val="00F70938"/>
    <w:rsid w:val="00F70B04"/>
    <w:rsid w:val="00F70B65"/>
    <w:rsid w:val="00F71162"/>
    <w:rsid w:val="00F712B2"/>
    <w:rsid w:val="00F712D7"/>
    <w:rsid w:val="00F71533"/>
    <w:rsid w:val="00F716F7"/>
    <w:rsid w:val="00F71980"/>
    <w:rsid w:val="00F71D99"/>
    <w:rsid w:val="00F72195"/>
    <w:rsid w:val="00F7229A"/>
    <w:rsid w:val="00F7279F"/>
    <w:rsid w:val="00F72A48"/>
    <w:rsid w:val="00F72CAD"/>
    <w:rsid w:val="00F72E38"/>
    <w:rsid w:val="00F73008"/>
    <w:rsid w:val="00F733B9"/>
    <w:rsid w:val="00F73465"/>
    <w:rsid w:val="00F7351C"/>
    <w:rsid w:val="00F73889"/>
    <w:rsid w:val="00F739BB"/>
    <w:rsid w:val="00F73F60"/>
    <w:rsid w:val="00F74128"/>
    <w:rsid w:val="00F7455C"/>
    <w:rsid w:val="00F745D7"/>
    <w:rsid w:val="00F74640"/>
    <w:rsid w:val="00F746CE"/>
    <w:rsid w:val="00F7475C"/>
    <w:rsid w:val="00F74A6C"/>
    <w:rsid w:val="00F74FB1"/>
    <w:rsid w:val="00F7507D"/>
    <w:rsid w:val="00F751C8"/>
    <w:rsid w:val="00F754A6"/>
    <w:rsid w:val="00F75552"/>
    <w:rsid w:val="00F75917"/>
    <w:rsid w:val="00F75A64"/>
    <w:rsid w:val="00F75AC7"/>
    <w:rsid w:val="00F75C36"/>
    <w:rsid w:val="00F75E10"/>
    <w:rsid w:val="00F75E16"/>
    <w:rsid w:val="00F75E88"/>
    <w:rsid w:val="00F76034"/>
    <w:rsid w:val="00F7626E"/>
    <w:rsid w:val="00F763A0"/>
    <w:rsid w:val="00F76748"/>
    <w:rsid w:val="00F76B94"/>
    <w:rsid w:val="00F76D13"/>
    <w:rsid w:val="00F76D3F"/>
    <w:rsid w:val="00F76F6A"/>
    <w:rsid w:val="00F77080"/>
    <w:rsid w:val="00F771F1"/>
    <w:rsid w:val="00F77228"/>
    <w:rsid w:val="00F775B3"/>
    <w:rsid w:val="00F77D40"/>
    <w:rsid w:val="00F77D57"/>
    <w:rsid w:val="00F77D79"/>
    <w:rsid w:val="00F77E2D"/>
    <w:rsid w:val="00F77FC6"/>
    <w:rsid w:val="00F805CE"/>
    <w:rsid w:val="00F80A61"/>
    <w:rsid w:val="00F80C24"/>
    <w:rsid w:val="00F80D7F"/>
    <w:rsid w:val="00F810A4"/>
    <w:rsid w:val="00F812B7"/>
    <w:rsid w:val="00F81324"/>
    <w:rsid w:val="00F81782"/>
    <w:rsid w:val="00F81B14"/>
    <w:rsid w:val="00F81B19"/>
    <w:rsid w:val="00F81CF2"/>
    <w:rsid w:val="00F81DB0"/>
    <w:rsid w:val="00F81DC1"/>
    <w:rsid w:val="00F81FDB"/>
    <w:rsid w:val="00F8219B"/>
    <w:rsid w:val="00F8237A"/>
    <w:rsid w:val="00F8249E"/>
    <w:rsid w:val="00F8250E"/>
    <w:rsid w:val="00F826C3"/>
    <w:rsid w:val="00F827FB"/>
    <w:rsid w:val="00F82844"/>
    <w:rsid w:val="00F829B9"/>
    <w:rsid w:val="00F82BF5"/>
    <w:rsid w:val="00F82C6F"/>
    <w:rsid w:val="00F83007"/>
    <w:rsid w:val="00F831C6"/>
    <w:rsid w:val="00F8329E"/>
    <w:rsid w:val="00F836FC"/>
    <w:rsid w:val="00F83809"/>
    <w:rsid w:val="00F841ED"/>
    <w:rsid w:val="00F842A4"/>
    <w:rsid w:val="00F84B90"/>
    <w:rsid w:val="00F84D53"/>
    <w:rsid w:val="00F84F1B"/>
    <w:rsid w:val="00F84F7C"/>
    <w:rsid w:val="00F8542D"/>
    <w:rsid w:val="00F8551C"/>
    <w:rsid w:val="00F85692"/>
    <w:rsid w:val="00F8581E"/>
    <w:rsid w:val="00F858FD"/>
    <w:rsid w:val="00F8598E"/>
    <w:rsid w:val="00F85A4E"/>
    <w:rsid w:val="00F85A89"/>
    <w:rsid w:val="00F860B4"/>
    <w:rsid w:val="00F862A4"/>
    <w:rsid w:val="00F870C4"/>
    <w:rsid w:val="00F874C6"/>
    <w:rsid w:val="00F87839"/>
    <w:rsid w:val="00F9032E"/>
    <w:rsid w:val="00F90449"/>
    <w:rsid w:val="00F90842"/>
    <w:rsid w:val="00F90941"/>
    <w:rsid w:val="00F90DDA"/>
    <w:rsid w:val="00F9100C"/>
    <w:rsid w:val="00F91201"/>
    <w:rsid w:val="00F9134B"/>
    <w:rsid w:val="00F913B4"/>
    <w:rsid w:val="00F91436"/>
    <w:rsid w:val="00F91600"/>
    <w:rsid w:val="00F91688"/>
    <w:rsid w:val="00F917EC"/>
    <w:rsid w:val="00F91838"/>
    <w:rsid w:val="00F91918"/>
    <w:rsid w:val="00F919F6"/>
    <w:rsid w:val="00F9207D"/>
    <w:rsid w:val="00F92660"/>
    <w:rsid w:val="00F9278F"/>
    <w:rsid w:val="00F928C6"/>
    <w:rsid w:val="00F92925"/>
    <w:rsid w:val="00F92943"/>
    <w:rsid w:val="00F92A90"/>
    <w:rsid w:val="00F92BE9"/>
    <w:rsid w:val="00F92C85"/>
    <w:rsid w:val="00F931EC"/>
    <w:rsid w:val="00F93C3C"/>
    <w:rsid w:val="00F93C67"/>
    <w:rsid w:val="00F93E22"/>
    <w:rsid w:val="00F93E6E"/>
    <w:rsid w:val="00F9409A"/>
    <w:rsid w:val="00F94197"/>
    <w:rsid w:val="00F946D6"/>
    <w:rsid w:val="00F94EBA"/>
    <w:rsid w:val="00F952CB"/>
    <w:rsid w:val="00F95E05"/>
    <w:rsid w:val="00F9600B"/>
    <w:rsid w:val="00F9645B"/>
    <w:rsid w:val="00F967F0"/>
    <w:rsid w:val="00F96A1F"/>
    <w:rsid w:val="00F96B30"/>
    <w:rsid w:val="00F96C09"/>
    <w:rsid w:val="00F96E41"/>
    <w:rsid w:val="00F9703D"/>
    <w:rsid w:val="00F97145"/>
    <w:rsid w:val="00F974C2"/>
    <w:rsid w:val="00F9755A"/>
    <w:rsid w:val="00F97718"/>
    <w:rsid w:val="00F977C3"/>
    <w:rsid w:val="00FA022F"/>
    <w:rsid w:val="00FA0472"/>
    <w:rsid w:val="00FA07C1"/>
    <w:rsid w:val="00FA081D"/>
    <w:rsid w:val="00FA1336"/>
    <w:rsid w:val="00FA14A3"/>
    <w:rsid w:val="00FA1781"/>
    <w:rsid w:val="00FA1B12"/>
    <w:rsid w:val="00FA1B32"/>
    <w:rsid w:val="00FA1BB8"/>
    <w:rsid w:val="00FA1C36"/>
    <w:rsid w:val="00FA1C7D"/>
    <w:rsid w:val="00FA21AB"/>
    <w:rsid w:val="00FA2275"/>
    <w:rsid w:val="00FA2484"/>
    <w:rsid w:val="00FA24E0"/>
    <w:rsid w:val="00FA2DC5"/>
    <w:rsid w:val="00FA2F8B"/>
    <w:rsid w:val="00FA2F8C"/>
    <w:rsid w:val="00FA2FC6"/>
    <w:rsid w:val="00FA30F7"/>
    <w:rsid w:val="00FA3286"/>
    <w:rsid w:val="00FA32EF"/>
    <w:rsid w:val="00FA333F"/>
    <w:rsid w:val="00FA3606"/>
    <w:rsid w:val="00FA3648"/>
    <w:rsid w:val="00FA374C"/>
    <w:rsid w:val="00FA417E"/>
    <w:rsid w:val="00FA43DD"/>
    <w:rsid w:val="00FA4533"/>
    <w:rsid w:val="00FA45A0"/>
    <w:rsid w:val="00FA4681"/>
    <w:rsid w:val="00FA483F"/>
    <w:rsid w:val="00FA487C"/>
    <w:rsid w:val="00FA4B12"/>
    <w:rsid w:val="00FA4C6B"/>
    <w:rsid w:val="00FA4C99"/>
    <w:rsid w:val="00FA4D18"/>
    <w:rsid w:val="00FA4F0C"/>
    <w:rsid w:val="00FA4FF3"/>
    <w:rsid w:val="00FA5631"/>
    <w:rsid w:val="00FA5744"/>
    <w:rsid w:val="00FA5A85"/>
    <w:rsid w:val="00FA5C12"/>
    <w:rsid w:val="00FA5CA3"/>
    <w:rsid w:val="00FA5E6B"/>
    <w:rsid w:val="00FA5FD6"/>
    <w:rsid w:val="00FA6294"/>
    <w:rsid w:val="00FA6470"/>
    <w:rsid w:val="00FA673C"/>
    <w:rsid w:val="00FA6777"/>
    <w:rsid w:val="00FA6908"/>
    <w:rsid w:val="00FA71DE"/>
    <w:rsid w:val="00FA7256"/>
    <w:rsid w:val="00FA783C"/>
    <w:rsid w:val="00FA7856"/>
    <w:rsid w:val="00FA7AC1"/>
    <w:rsid w:val="00FA7BD4"/>
    <w:rsid w:val="00FA7D34"/>
    <w:rsid w:val="00FA7D96"/>
    <w:rsid w:val="00FB014F"/>
    <w:rsid w:val="00FB0D3C"/>
    <w:rsid w:val="00FB0D61"/>
    <w:rsid w:val="00FB1154"/>
    <w:rsid w:val="00FB1166"/>
    <w:rsid w:val="00FB12AD"/>
    <w:rsid w:val="00FB12B9"/>
    <w:rsid w:val="00FB143A"/>
    <w:rsid w:val="00FB14B0"/>
    <w:rsid w:val="00FB1646"/>
    <w:rsid w:val="00FB16CC"/>
    <w:rsid w:val="00FB1BBF"/>
    <w:rsid w:val="00FB1E74"/>
    <w:rsid w:val="00FB209F"/>
    <w:rsid w:val="00FB2324"/>
    <w:rsid w:val="00FB280F"/>
    <w:rsid w:val="00FB29C8"/>
    <w:rsid w:val="00FB2ADB"/>
    <w:rsid w:val="00FB2BC2"/>
    <w:rsid w:val="00FB2F15"/>
    <w:rsid w:val="00FB332C"/>
    <w:rsid w:val="00FB3413"/>
    <w:rsid w:val="00FB35A7"/>
    <w:rsid w:val="00FB3677"/>
    <w:rsid w:val="00FB36C8"/>
    <w:rsid w:val="00FB3785"/>
    <w:rsid w:val="00FB379A"/>
    <w:rsid w:val="00FB3D6F"/>
    <w:rsid w:val="00FB3F45"/>
    <w:rsid w:val="00FB40A2"/>
    <w:rsid w:val="00FB40FC"/>
    <w:rsid w:val="00FB41D6"/>
    <w:rsid w:val="00FB42A9"/>
    <w:rsid w:val="00FB472E"/>
    <w:rsid w:val="00FB4995"/>
    <w:rsid w:val="00FB4D25"/>
    <w:rsid w:val="00FB4E65"/>
    <w:rsid w:val="00FB5006"/>
    <w:rsid w:val="00FB504A"/>
    <w:rsid w:val="00FB5050"/>
    <w:rsid w:val="00FB512C"/>
    <w:rsid w:val="00FB53D0"/>
    <w:rsid w:val="00FB5411"/>
    <w:rsid w:val="00FB5426"/>
    <w:rsid w:val="00FB548B"/>
    <w:rsid w:val="00FB5836"/>
    <w:rsid w:val="00FB5919"/>
    <w:rsid w:val="00FB59B9"/>
    <w:rsid w:val="00FB5BC2"/>
    <w:rsid w:val="00FB5F58"/>
    <w:rsid w:val="00FB65C6"/>
    <w:rsid w:val="00FB68F5"/>
    <w:rsid w:val="00FB6A15"/>
    <w:rsid w:val="00FB6E9B"/>
    <w:rsid w:val="00FB6F95"/>
    <w:rsid w:val="00FB708C"/>
    <w:rsid w:val="00FB7324"/>
    <w:rsid w:val="00FB7654"/>
    <w:rsid w:val="00FB767A"/>
    <w:rsid w:val="00FB775D"/>
    <w:rsid w:val="00FB79D2"/>
    <w:rsid w:val="00FB7B44"/>
    <w:rsid w:val="00FB7DB1"/>
    <w:rsid w:val="00FB7E55"/>
    <w:rsid w:val="00FB7EE7"/>
    <w:rsid w:val="00FC01B7"/>
    <w:rsid w:val="00FC0487"/>
    <w:rsid w:val="00FC05C4"/>
    <w:rsid w:val="00FC06C1"/>
    <w:rsid w:val="00FC08A1"/>
    <w:rsid w:val="00FC098D"/>
    <w:rsid w:val="00FC0E36"/>
    <w:rsid w:val="00FC0FC4"/>
    <w:rsid w:val="00FC1842"/>
    <w:rsid w:val="00FC1928"/>
    <w:rsid w:val="00FC1CCF"/>
    <w:rsid w:val="00FC1DB0"/>
    <w:rsid w:val="00FC203B"/>
    <w:rsid w:val="00FC20C1"/>
    <w:rsid w:val="00FC216B"/>
    <w:rsid w:val="00FC2525"/>
    <w:rsid w:val="00FC28A1"/>
    <w:rsid w:val="00FC2A1C"/>
    <w:rsid w:val="00FC2AB1"/>
    <w:rsid w:val="00FC2ABD"/>
    <w:rsid w:val="00FC2D00"/>
    <w:rsid w:val="00FC33AD"/>
    <w:rsid w:val="00FC3419"/>
    <w:rsid w:val="00FC35EB"/>
    <w:rsid w:val="00FC36C0"/>
    <w:rsid w:val="00FC39C6"/>
    <w:rsid w:val="00FC3A98"/>
    <w:rsid w:val="00FC3ECD"/>
    <w:rsid w:val="00FC46F1"/>
    <w:rsid w:val="00FC4919"/>
    <w:rsid w:val="00FC4DBB"/>
    <w:rsid w:val="00FC4FB1"/>
    <w:rsid w:val="00FC5507"/>
    <w:rsid w:val="00FC5787"/>
    <w:rsid w:val="00FC57DA"/>
    <w:rsid w:val="00FC5E56"/>
    <w:rsid w:val="00FC60BD"/>
    <w:rsid w:val="00FC62EF"/>
    <w:rsid w:val="00FC66F2"/>
    <w:rsid w:val="00FC6AFE"/>
    <w:rsid w:val="00FC6C95"/>
    <w:rsid w:val="00FC6DC0"/>
    <w:rsid w:val="00FC76AD"/>
    <w:rsid w:val="00FC7A60"/>
    <w:rsid w:val="00FC7BB2"/>
    <w:rsid w:val="00FC7DB1"/>
    <w:rsid w:val="00FC7EA5"/>
    <w:rsid w:val="00FC7F62"/>
    <w:rsid w:val="00FD011C"/>
    <w:rsid w:val="00FD0184"/>
    <w:rsid w:val="00FD06EF"/>
    <w:rsid w:val="00FD0732"/>
    <w:rsid w:val="00FD0CAF"/>
    <w:rsid w:val="00FD0E8C"/>
    <w:rsid w:val="00FD1303"/>
    <w:rsid w:val="00FD15FF"/>
    <w:rsid w:val="00FD1B1D"/>
    <w:rsid w:val="00FD1B6D"/>
    <w:rsid w:val="00FD1BFE"/>
    <w:rsid w:val="00FD1D61"/>
    <w:rsid w:val="00FD1DE7"/>
    <w:rsid w:val="00FD22B4"/>
    <w:rsid w:val="00FD23DC"/>
    <w:rsid w:val="00FD28F3"/>
    <w:rsid w:val="00FD2DB6"/>
    <w:rsid w:val="00FD3165"/>
    <w:rsid w:val="00FD347C"/>
    <w:rsid w:val="00FD374B"/>
    <w:rsid w:val="00FD39A5"/>
    <w:rsid w:val="00FD3EC1"/>
    <w:rsid w:val="00FD4198"/>
    <w:rsid w:val="00FD4AF7"/>
    <w:rsid w:val="00FD4DB1"/>
    <w:rsid w:val="00FD500E"/>
    <w:rsid w:val="00FD5304"/>
    <w:rsid w:val="00FD53CF"/>
    <w:rsid w:val="00FD5589"/>
    <w:rsid w:val="00FD5949"/>
    <w:rsid w:val="00FD5B1D"/>
    <w:rsid w:val="00FD655D"/>
    <w:rsid w:val="00FD674A"/>
    <w:rsid w:val="00FD6BE2"/>
    <w:rsid w:val="00FD6C4C"/>
    <w:rsid w:val="00FD6CDC"/>
    <w:rsid w:val="00FD6E48"/>
    <w:rsid w:val="00FD7412"/>
    <w:rsid w:val="00FD7807"/>
    <w:rsid w:val="00FD7898"/>
    <w:rsid w:val="00FD7DBB"/>
    <w:rsid w:val="00FD7F0B"/>
    <w:rsid w:val="00FE04F0"/>
    <w:rsid w:val="00FE0994"/>
    <w:rsid w:val="00FE09EB"/>
    <w:rsid w:val="00FE0AB6"/>
    <w:rsid w:val="00FE0C42"/>
    <w:rsid w:val="00FE0D5B"/>
    <w:rsid w:val="00FE0DC3"/>
    <w:rsid w:val="00FE11D5"/>
    <w:rsid w:val="00FE1273"/>
    <w:rsid w:val="00FE12A8"/>
    <w:rsid w:val="00FE17D5"/>
    <w:rsid w:val="00FE18D8"/>
    <w:rsid w:val="00FE1936"/>
    <w:rsid w:val="00FE1A5C"/>
    <w:rsid w:val="00FE1B4A"/>
    <w:rsid w:val="00FE1B61"/>
    <w:rsid w:val="00FE1E24"/>
    <w:rsid w:val="00FE1EA1"/>
    <w:rsid w:val="00FE1EBF"/>
    <w:rsid w:val="00FE2284"/>
    <w:rsid w:val="00FE2388"/>
    <w:rsid w:val="00FE2580"/>
    <w:rsid w:val="00FE2AAB"/>
    <w:rsid w:val="00FE2D7B"/>
    <w:rsid w:val="00FE2E1E"/>
    <w:rsid w:val="00FE2EF2"/>
    <w:rsid w:val="00FE2FD2"/>
    <w:rsid w:val="00FE3247"/>
    <w:rsid w:val="00FE3295"/>
    <w:rsid w:val="00FE39AF"/>
    <w:rsid w:val="00FE39B9"/>
    <w:rsid w:val="00FE3A65"/>
    <w:rsid w:val="00FE3ADD"/>
    <w:rsid w:val="00FE3B61"/>
    <w:rsid w:val="00FE3E43"/>
    <w:rsid w:val="00FE4561"/>
    <w:rsid w:val="00FE49CF"/>
    <w:rsid w:val="00FE4B18"/>
    <w:rsid w:val="00FE4CD3"/>
    <w:rsid w:val="00FE5114"/>
    <w:rsid w:val="00FE552B"/>
    <w:rsid w:val="00FE5BCF"/>
    <w:rsid w:val="00FE5C7A"/>
    <w:rsid w:val="00FE5F3B"/>
    <w:rsid w:val="00FE5F73"/>
    <w:rsid w:val="00FE6154"/>
    <w:rsid w:val="00FE6560"/>
    <w:rsid w:val="00FE6BC6"/>
    <w:rsid w:val="00FE6CE2"/>
    <w:rsid w:val="00FE716C"/>
    <w:rsid w:val="00FE7338"/>
    <w:rsid w:val="00FE7B1B"/>
    <w:rsid w:val="00FE7DD5"/>
    <w:rsid w:val="00FE7F0A"/>
    <w:rsid w:val="00FF00A9"/>
    <w:rsid w:val="00FF01F6"/>
    <w:rsid w:val="00FF0292"/>
    <w:rsid w:val="00FF02E0"/>
    <w:rsid w:val="00FF06E5"/>
    <w:rsid w:val="00FF098B"/>
    <w:rsid w:val="00FF0F1E"/>
    <w:rsid w:val="00FF199C"/>
    <w:rsid w:val="00FF19B8"/>
    <w:rsid w:val="00FF1CA0"/>
    <w:rsid w:val="00FF1CA9"/>
    <w:rsid w:val="00FF2302"/>
    <w:rsid w:val="00FF2773"/>
    <w:rsid w:val="00FF2885"/>
    <w:rsid w:val="00FF2BCB"/>
    <w:rsid w:val="00FF2F22"/>
    <w:rsid w:val="00FF34F0"/>
    <w:rsid w:val="00FF3661"/>
    <w:rsid w:val="00FF39ED"/>
    <w:rsid w:val="00FF44B8"/>
    <w:rsid w:val="00FF4545"/>
    <w:rsid w:val="00FF4787"/>
    <w:rsid w:val="00FF4903"/>
    <w:rsid w:val="00FF4ACB"/>
    <w:rsid w:val="00FF5021"/>
    <w:rsid w:val="00FF56C1"/>
    <w:rsid w:val="00FF5EE5"/>
    <w:rsid w:val="00FF61FE"/>
    <w:rsid w:val="00FF62A4"/>
    <w:rsid w:val="00FF6364"/>
    <w:rsid w:val="00FF655E"/>
    <w:rsid w:val="00FF6CCD"/>
    <w:rsid w:val="00FF705D"/>
    <w:rsid w:val="00FF71F8"/>
    <w:rsid w:val="00FF7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c,#cff,#f6c,#396,#06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9" w:qFormat="1"/>
    <w:lsdException w:name="heading 3" w:locked="1" w:uiPriority="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5"/>
    <w:lsdException w:name="Title" w:locked="1" w:qFormat="1"/>
    <w:lsdException w:name="Default Paragraph Font" w:locked="1"/>
    <w:lsdException w:name="Subtitle" w:locked="1" w:qFormat="1"/>
    <w:lsdException w:name="Hyperlink" w:uiPriority="99"/>
    <w:lsdException w:name="FollowedHyperlink" w:uiPriority="99" w:qFormat="1"/>
    <w:lsdException w:name="Strong" w:locked="1" w:qFormat="1"/>
    <w:lsdException w:name="Emphasis" w:locked="1"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707CB9"/>
    <w:rPr>
      <w:rFonts w:ascii="Calibri" w:hAnsi="Calibri" w:cs="Calibri"/>
      <w:sz w:val="22"/>
      <w:szCs w:val="22"/>
      <w:lang w:val="mk-MK"/>
    </w:rPr>
  </w:style>
  <w:style w:type="paragraph" w:styleId="Heading1">
    <w:name w:val="heading 1"/>
    <w:basedOn w:val="Normal"/>
    <w:link w:val="Heading1Char"/>
    <w:uiPriority w:val="9"/>
    <w:qFormat/>
    <w:locked/>
    <w:rsid w:val="0091304E"/>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9"/>
    <w:qFormat/>
    <w:locked/>
    <w:rsid w:val="009E1A95"/>
    <w:pPr>
      <w:keepNext/>
      <w:spacing w:before="240" w:after="60" w:line="276" w:lineRule="auto"/>
      <w:outlineLvl w:val="1"/>
    </w:pPr>
    <w:rPr>
      <w:rFonts w:ascii="Arial" w:hAnsi="Arial" w:cs="Arial"/>
      <w:b/>
      <w:bCs/>
      <w:i/>
      <w:iCs/>
      <w:sz w:val="28"/>
      <w:szCs w:val="28"/>
      <w:lang w:val="en-US"/>
    </w:rPr>
  </w:style>
  <w:style w:type="paragraph" w:styleId="Heading3">
    <w:name w:val="heading 3"/>
    <w:basedOn w:val="Normal"/>
    <w:link w:val="Heading3Char"/>
    <w:uiPriority w:val="9"/>
    <w:qFormat/>
    <w:locked/>
    <w:rsid w:val="0091304E"/>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qFormat/>
    <w:locked/>
    <w:rsid w:val="00E71C0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1304E"/>
    <w:rPr>
      <w:rFonts w:cs="Times New Roman"/>
      <w:b/>
      <w:bCs/>
      <w:kern w:val="36"/>
      <w:sz w:val="48"/>
      <w:szCs w:val="48"/>
      <w:lang w:val="en-US" w:eastAsia="en-US"/>
    </w:rPr>
  </w:style>
  <w:style w:type="character" w:customStyle="1" w:styleId="Heading3Char">
    <w:name w:val="Heading 3 Char"/>
    <w:link w:val="Heading3"/>
    <w:uiPriority w:val="9"/>
    <w:locked/>
    <w:rsid w:val="0091304E"/>
    <w:rPr>
      <w:rFonts w:cs="Times New Roman"/>
      <w:b/>
      <w:bCs/>
      <w:sz w:val="27"/>
      <w:szCs w:val="27"/>
      <w:lang w:val="en-US" w:eastAsia="en-US"/>
    </w:rPr>
  </w:style>
  <w:style w:type="character" w:customStyle="1" w:styleId="Heading4Char">
    <w:name w:val="Heading 4 Char"/>
    <w:link w:val="Heading4"/>
    <w:locked/>
    <w:rsid w:val="00602BEF"/>
    <w:rPr>
      <w:rFonts w:ascii="Calibri" w:hAnsi="Calibri" w:cs="Calibri"/>
      <w:b/>
      <w:bCs/>
      <w:sz w:val="28"/>
      <w:szCs w:val="28"/>
      <w:lang w:eastAsia="en-US"/>
    </w:rPr>
  </w:style>
  <w:style w:type="paragraph" w:styleId="BodyTextIndent">
    <w:name w:val="Body Text Indent"/>
    <w:basedOn w:val="Normal"/>
    <w:link w:val="BodyTextIndentChar"/>
    <w:rsid w:val="00EE10CE"/>
    <w:pPr>
      <w:ind w:firstLine="720"/>
    </w:pPr>
    <w:rPr>
      <w:rFonts w:ascii="MAC C Times" w:hAnsi="MAC C Times" w:cs="MAC C Times"/>
      <w:sz w:val="24"/>
      <w:szCs w:val="24"/>
      <w:lang w:val="en-GB"/>
    </w:rPr>
  </w:style>
  <w:style w:type="character" w:customStyle="1" w:styleId="BodyTextIndentChar">
    <w:name w:val="Body Text Indent Char"/>
    <w:link w:val="BodyTextIndent"/>
    <w:locked/>
    <w:rsid w:val="00EE10CE"/>
    <w:rPr>
      <w:rFonts w:ascii="MAC C Times" w:hAnsi="MAC C Times" w:cs="MAC C Times"/>
      <w:sz w:val="24"/>
      <w:szCs w:val="24"/>
      <w:lang w:val="en-GB" w:eastAsia="en-US"/>
    </w:rPr>
  </w:style>
  <w:style w:type="paragraph" w:styleId="Header">
    <w:name w:val="header"/>
    <w:basedOn w:val="Normal"/>
    <w:link w:val="HeaderChar"/>
    <w:uiPriority w:val="99"/>
    <w:rsid w:val="00EE10CE"/>
    <w:pPr>
      <w:tabs>
        <w:tab w:val="center" w:pos="4680"/>
        <w:tab w:val="right" w:pos="9360"/>
      </w:tabs>
    </w:pPr>
  </w:style>
  <w:style w:type="character" w:customStyle="1" w:styleId="HeaderChar">
    <w:name w:val="Header Char"/>
    <w:link w:val="Header"/>
    <w:uiPriority w:val="99"/>
    <w:locked/>
    <w:rsid w:val="00EE10CE"/>
    <w:rPr>
      <w:rFonts w:ascii="Calibri" w:hAnsi="Calibri" w:cs="Calibri"/>
      <w:sz w:val="22"/>
      <w:szCs w:val="22"/>
      <w:lang w:val="mk-MK" w:eastAsia="en-US"/>
    </w:rPr>
  </w:style>
  <w:style w:type="character" w:styleId="Hyperlink">
    <w:name w:val="Hyperlink"/>
    <w:uiPriority w:val="99"/>
    <w:rsid w:val="00D07926"/>
    <w:rPr>
      <w:rFonts w:cs="Times New Roman"/>
      <w:color w:val="0000FF"/>
      <w:u w:val="single"/>
    </w:rPr>
  </w:style>
  <w:style w:type="paragraph" w:styleId="FootnoteText">
    <w:name w:val="footnote text"/>
    <w:basedOn w:val="Normal"/>
    <w:link w:val="FootnoteTextChar"/>
    <w:semiHidden/>
    <w:rsid w:val="00D07926"/>
    <w:rPr>
      <w:sz w:val="20"/>
      <w:szCs w:val="20"/>
    </w:rPr>
  </w:style>
  <w:style w:type="character" w:customStyle="1" w:styleId="FootnoteTextChar">
    <w:name w:val="Footnote Text Char"/>
    <w:link w:val="FootnoteText"/>
    <w:semiHidden/>
    <w:locked/>
    <w:rsid w:val="00FC66F2"/>
    <w:rPr>
      <w:rFonts w:ascii="Calibri" w:hAnsi="Calibri" w:cs="Calibri"/>
      <w:sz w:val="20"/>
      <w:szCs w:val="20"/>
      <w:lang w:eastAsia="en-US"/>
    </w:rPr>
  </w:style>
  <w:style w:type="character" w:styleId="FootnoteReference">
    <w:name w:val="footnote reference"/>
    <w:semiHidden/>
    <w:rsid w:val="00D07926"/>
    <w:rPr>
      <w:rFonts w:cs="Times New Roman"/>
      <w:vertAlign w:val="superscript"/>
    </w:rPr>
  </w:style>
  <w:style w:type="paragraph" w:styleId="Footer">
    <w:name w:val="footer"/>
    <w:basedOn w:val="Normal"/>
    <w:link w:val="FooterChar"/>
    <w:uiPriority w:val="99"/>
    <w:rsid w:val="00D07926"/>
    <w:pPr>
      <w:tabs>
        <w:tab w:val="center" w:pos="4153"/>
        <w:tab w:val="right" w:pos="8306"/>
      </w:tabs>
    </w:pPr>
  </w:style>
  <w:style w:type="character" w:customStyle="1" w:styleId="FooterChar">
    <w:name w:val="Footer Char"/>
    <w:link w:val="Footer"/>
    <w:uiPriority w:val="99"/>
    <w:locked/>
    <w:rsid w:val="00FC66F2"/>
    <w:rPr>
      <w:rFonts w:ascii="Calibri" w:hAnsi="Calibri" w:cs="Calibri"/>
      <w:lang w:eastAsia="en-US"/>
    </w:rPr>
  </w:style>
  <w:style w:type="character" w:customStyle="1" w:styleId="apple-converted-space">
    <w:name w:val="apple-converted-space"/>
    <w:rsid w:val="00D07926"/>
    <w:rPr>
      <w:rFonts w:cs="Times New Roman"/>
    </w:rPr>
  </w:style>
  <w:style w:type="character" w:customStyle="1" w:styleId="highlight">
    <w:name w:val="highlight"/>
    <w:rsid w:val="0091304E"/>
    <w:rPr>
      <w:rFonts w:cs="Times New Roman"/>
    </w:rPr>
  </w:style>
  <w:style w:type="paragraph" w:styleId="NormalWeb">
    <w:name w:val="Normal (Web)"/>
    <w:basedOn w:val="Normal"/>
    <w:uiPriority w:val="99"/>
    <w:rsid w:val="0091304E"/>
    <w:pPr>
      <w:spacing w:before="100" w:beforeAutospacing="1" w:after="100" w:afterAutospacing="1"/>
    </w:pPr>
    <w:rPr>
      <w:sz w:val="24"/>
      <w:szCs w:val="24"/>
      <w:lang w:val="en-US"/>
    </w:rPr>
  </w:style>
  <w:style w:type="character" w:customStyle="1" w:styleId="citation-abbreviation">
    <w:name w:val="citation-abbreviation"/>
    <w:rsid w:val="0091304E"/>
    <w:rPr>
      <w:rFonts w:cs="Times New Roman"/>
    </w:rPr>
  </w:style>
  <w:style w:type="character" w:customStyle="1" w:styleId="citation-publication-date">
    <w:name w:val="citation-publication-date"/>
    <w:rsid w:val="0091304E"/>
    <w:rPr>
      <w:rFonts w:cs="Times New Roman"/>
    </w:rPr>
  </w:style>
  <w:style w:type="character" w:customStyle="1" w:styleId="citation-volume">
    <w:name w:val="citation-volume"/>
    <w:rsid w:val="0091304E"/>
    <w:rPr>
      <w:rFonts w:cs="Times New Roman"/>
    </w:rPr>
  </w:style>
  <w:style w:type="character" w:customStyle="1" w:styleId="citation-issue">
    <w:name w:val="citation-issue"/>
    <w:rsid w:val="0091304E"/>
    <w:rPr>
      <w:rFonts w:cs="Times New Roman"/>
    </w:rPr>
  </w:style>
  <w:style w:type="character" w:customStyle="1" w:styleId="citation-flpages">
    <w:name w:val="citation-flpages"/>
    <w:rsid w:val="0091304E"/>
    <w:rPr>
      <w:rFonts w:cs="Times New Roman"/>
    </w:rPr>
  </w:style>
  <w:style w:type="character" w:customStyle="1" w:styleId="doi">
    <w:name w:val="doi"/>
    <w:rsid w:val="0091304E"/>
    <w:rPr>
      <w:rFonts w:cs="Times New Roman"/>
    </w:rPr>
  </w:style>
  <w:style w:type="character" w:customStyle="1" w:styleId="fm-citation-ids-label">
    <w:name w:val="fm-citation-ids-label"/>
    <w:rsid w:val="0091304E"/>
    <w:rPr>
      <w:rFonts w:cs="Times New Roman"/>
    </w:rPr>
  </w:style>
  <w:style w:type="character" w:customStyle="1" w:styleId="fm-vol-iss-date">
    <w:name w:val="fm-vol-iss-date"/>
    <w:rsid w:val="00D80582"/>
    <w:rPr>
      <w:rFonts w:cs="Times New Roman"/>
    </w:rPr>
  </w:style>
  <w:style w:type="paragraph" w:customStyle="1" w:styleId="Title1">
    <w:name w:val="Title1"/>
    <w:basedOn w:val="Normal"/>
    <w:rsid w:val="0036470A"/>
    <w:pPr>
      <w:spacing w:before="100" w:beforeAutospacing="1" w:after="100" w:afterAutospacing="1"/>
    </w:pPr>
    <w:rPr>
      <w:sz w:val="24"/>
      <w:szCs w:val="24"/>
      <w:lang w:val="en-GB" w:eastAsia="en-GB"/>
    </w:rPr>
  </w:style>
  <w:style w:type="paragraph" w:customStyle="1" w:styleId="desc">
    <w:name w:val="desc"/>
    <w:basedOn w:val="Normal"/>
    <w:rsid w:val="0036470A"/>
    <w:pPr>
      <w:spacing w:before="100" w:beforeAutospacing="1" w:after="100" w:afterAutospacing="1"/>
    </w:pPr>
    <w:rPr>
      <w:sz w:val="24"/>
      <w:szCs w:val="24"/>
      <w:lang w:val="en-GB" w:eastAsia="en-GB"/>
    </w:rPr>
  </w:style>
  <w:style w:type="paragraph" w:customStyle="1" w:styleId="details">
    <w:name w:val="details"/>
    <w:basedOn w:val="Normal"/>
    <w:rsid w:val="0036470A"/>
    <w:pPr>
      <w:spacing w:before="100" w:beforeAutospacing="1" w:after="100" w:afterAutospacing="1"/>
    </w:pPr>
    <w:rPr>
      <w:sz w:val="24"/>
      <w:szCs w:val="24"/>
      <w:lang w:val="en-GB" w:eastAsia="en-GB"/>
    </w:rPr>
  </w:style>
  <w:style w:type="character" w:customStyle="1" w:styleId="jrnl">
    <w:name w:val="jrnl"/>
    <w:rsid w:val="0036470A"/>
    <w:rPr>
      <w:rFonts w:cs="Times New Roman"/>
    </w:rPr>
  </w:style>
  <w:style w:type="paragraph" w:customStyle="1" w:styleId="linksnohighlight">
    <w:name w:val="links nohighlight"/>
    <w:basedOn w:val="Normal"/>
    <w:rsid w:val="007E4BAF"/>
    <w:pPr>
      <w:spacing w:before="100" w:beforeAutospacing="1" w:after="100" w:afterAutospacing="1"/>
    </w:pPr>
    <w:rPr>
      <w:sz w:val="24"/>
      <w:szCs w:val="24"/>
      <w:lang w:val="en-GB" w:eastAsia="en-GB"/>
    </w:rPr>
  </w:style>
  <w:style w:type="character" w:customStyle="1" w:styleId="element-citation">
    <w:name w:val="element-citation"/>
    <w:rsid w:val="004731AD"/>
    <w:rPr>
      <w:rFonts w:cs="Times New Roman"/>
    </w:rPr>
  </w:style>
  <w:style w:type="character" w:customStyle="1" w:styleId="ref-journal">
    <w:name w:val="ref-journal"/>
    <w:rsid w:val="004731AD"/>
    <w:rPr>
      <w:rFonts w:cs="Times New Roman"/>
    </w:rPr>
  </w:style>
  <w:style w:type="character" w:customStyle="1" w:styleId="ref-vol">
    <w:name w:val="ref-vol"/>
    <w:rsid w:val="004731AD"/>
    <w:rPr>
      <w:rFonts w:cs="Times New Roman"/>
    </w:rPr>
  </w:style>
  <w:style w:type="character" w:customStyle="1" w:styleId="nowrap">
    <w:name w:val="nowrap"/>
    <w:rsid w:val="004731AD"/>
    <w:rPr>
      <w:rFonts w:cs="Times New Roman"/>
    </w:rPr>
  </w:style>
  <w:style w:type="character" w:styleId="FollowedHyperlink">
    <w:name w:val="FollowedHyperlink"/>
    <w:uiPriority w:val="99"/>
    <w:semiHidden/>
    <w:qFormat/>
    <w:rsid w:val="004731AD"/>
    <w:rPr>
      <w:rFonts w:cs="Times New Roman"/>
      <w:color w:val="800080"/>
      <w:u w:val="single"/>
    </w:rPr>
  </w:style>
  <w:style w:type="paragraph" w:styleId="EndnoteText">
    <w:name w:val="endnote text"/>
    <w:basedOn w:val="Normal"/>
    <w:link w:val="EndnoteTextChar"/>
    <w:semiHidden/>
    <w:rsid w:val="00876BED"/>
    <w:rPr>
      <w:sz w:val="20"/>
      <w:szCs w:val="20"/>
    </w:rPr>
  </w:style>
  <w:style w:type="character" w:customStyle="1" w:styleId="EndnoteTextChar">
    <w:name w:val="Endnote Text Char"/>
    <w:link w:val="EndnoteText"/>
    <w:locked/>
    <w:rsid w:val="00876BED"/>
    <w:rPr>
      <w:rFonts w:ascii="Calibri" w:hAnsi="Calibri" w:cs="Calibri"/>
      <w:lang w:val="mk-MK"/>
    </w:rPr>
  </w:style>
  <w:style w:type="character" w:styleId="EndnoteReference">
    <w:name w:val="endnote reference"/>
    <w:semiHidden/>
    <w:rsid w:val="00876BED"/>
    <w:rPr>
      <w:rFonts w:cs="Times New Roman"/>
      <w:vertAlign w:val="superscript"/>
    </w:rPr>
  </w:style>
  <w:style w:type="paragraph" w:styleId="BalloonText">
    <w:name w:val="Balloon Text"/>
    <w:basedOn w:val="Normal"/>
    <w:link w:val="BalloonTextChar"/>
    <w:uiPriority w:val="99"/>
    <w:semiHidden/>
    <w:rsid w:val="00FB12AD"/>
    <w:rPr>
      <w:rFonts w:ascii="Tahoma" w:hAnsi="Tahoma" w:cs="Tahoma"/>
      <w:sz w:val="16"/>
      <w:szCs w:val="16"/>
    </w:rPr>
  </w:style>
  <w:style w:type="character" w:customStyle="1" w:styleId="BalloonTextChar">
    <w:name w:val="Balloon Text Char"/>
    <w:link w:val="BalloonText"/>
    <w:uiPriority w:val="99"/>
    <w:semiHidden/>
    <w:locked/>
    <w:rsid w:val="00FB12AD"/>
    <w:rPr>
      <w:rFonts w:ascii="Tahoma" w:hAnsi="Tahoma" w:cs="Tahoma"/>
      <w:sz w:val="16"/>
      <w:szCs w:val="16"/>
      <w:lang w:val="mk-MK"/>
    </w:rPr>
  </w:style>
  <w:style w:type="character" w:styleId="Strong">
    <w:name w:val="Strong"/>
    <w:qFormat/>
    <w:locked/>
    <w:rsid w:val="00046F5F"/>
    <w:rPr>
      <w:rFonts w:cs="Times New Roman"/>
      <w:b/>
      <w:bCs/>
    </w:rPr>
  </w:style>
  <w:style w:type="character" w:customStyle="1" w:styleId="searchresulthittext">
    <w:name w:val="search_result_hit_text"/>
    <w:rsid w:val="00CD41DD"/>
    <w:rPr>
      <w:rFonts w:cs="Times New Roman"/>
    </w:rPr>
  </w:style>
  <w:style w:type="character" w:customStyle="1" w:styleId="sb-contribution">
    <w:name w:val="sb-contribution"/>
    <w:rsid w:val="00CD41DD"/>
    <w:rPr>
      <w:rFonts w:cs="Times New Roman"/>
    </w:rPr>
  </w:style>
  <w:style w:type="character" w:customStyle="1" w:styleId="sb-authors">
    <w:name w:val="sb-authors"/>
    <w:rsid w:val="00CD41DD"/>
    <w:rPr>
      <w:rFonts w:cs="Times New Roman"/>
    </w:rPr>
  </w:style>
  <w:style w:type="character" w:customStyle="1" w:styleId="sb-issue">
    <w:name w:val="sb-issue"/>
    <w:rsid w:val="00CD41DD"/>
    <w:rPr>
      <w:rFonts w:cs="Times New Roman"/>
    </w:rPr>
  </w:style>
  <w:style w:type="character" w:styleId="Emphasis">
    <w:name w:val="Emphasis"/>
    <w:uiPriority w:val="20"/>
    <w:qFormat/>
    <w:locked/>
    <w:rsid w:val="00CD41DD"/>
    <w:rPr>
      <w:rFonts w:cs="Times New Roman"/>
      <w:i/>
      <w:iCs/>
    </w:rPr>
  </w:style>
  <w:style w:type="character" w:customStyle="1" w:styleId="sb-date">
    <w:name w:val="sb-date"/>
    <w:rsid w:val="00CD41DD"/>
    <w:rPr>
      <w:rFonts w:cs="Times New Roman"/>
    </w:rPr>
  </w:style>
  <w:style w:type="character" w:customStyle="1" w:styleId="sb-volume-nr">
    <w:name w:val="sb-volume-nr"/>
    <w:rsid w:val="00CD41DD"/>
    <w:rPr>
      <w:rFonts w:cs="Times New Roman"/>
    </w:rPr>
  </w:style>
  <w:style w:type="character" w:customStyle="1" w:styleId="sb-pages">
    <w:name w:val="sb-pages"/>
    <w:rsid w:val="00CD41DD"/>
    <w:rPr>
      <w:rFonts w:cs="Times New Roman"/>
    </w:rPr>
  </w:style>
  <w:style w:type="paragraph" w:customStyle="1" w:styleId="Title2">
    <w:name w:val="Title2"/>
    <w:basedOn w:val="Normal"/>
    <w:rsid w:val="0072402F"/>
    <w:pPr>
      <w:spacing w:before="100" w:beforeAutospacing="1" w:after="100" w:afterAutospacing="1"/>
    </w:pPr>
    <w:rPr>
      <w:sz w:val="24"/>
      <w:szCs w:val="24"/>
      <w:lang w:val="en-US"/>
    </w:rPr>
  </w:style>
  <w:style w:type="character" w:customStyle="1" w:styleId="maintitle">
    <w:name w:val="maintitle"/>
    <w:rsid w:val="00467651"/>
    <w:rPr>
      <w:rFonts w:cs="Times New Roman"/>
    </w:rPr>
  </w:style>
  <w:style w:type="character" w:customStyle="1" w:styleId="surname">
    <w:name w:val="surname"/>
    <w:rsid w:val="00467651"/>
    <w:rPr>
      <w:rFonts w:cs="Times New Roman"/>
    </w:rPr>
  </w:style>
  <w:style w:type="character" w:customStyle="1" w:styleId="given-name">
    <w:name w:val="given-name"/>
    <w:rsid w:val="00467651"/>
    <w:rPr>
      <w:rFonts w:cs="Times New Roman"/>
    </w:rPr>
  </w:style>
  <w:style w:type="character" w:customStyle="1" w:styleId="Date1">
    <w:name w:val="Date1"/>
    <w:rsid w:val="00467651"/>
    <w:rPr>
      <w:rFonts w:cs="Times New Roman"/>
    </w:rPr>
  </w:style>
  <w:style w:type="character" w:customStyle="1" w:styleId="name">
    <w:name w:val="name"/>
    <w:rsid w:val="00467651"/>
    <w:rPr>
      <w:rFonts w:cs="Times New Roman"/>
    </w:rPr>
  </w:style>
  <w:style w:type="character" w:customStyle="1" w:styleId="location">
    <w:name w:val="location"/>
    <w:rsid w:val="00467651"/>
    <w:rPr>
      <w:rFonts w:cs="Times New Roman"/>
    </w:rPr>
  </w:style>
  <w:style w:type="character" w:customStyle="1" w:styleId="pages">
    <w:name w:val="pages"/>
    <w:rsid w:val="00467651"/>
    <w:rPr>
      <w:rFonts w:cs="Times New Roman"/>
    </w:rPr>
  </w:style>
  <w:style w:type="character" w:customStyle="1" w:styleId="first-page">
    <w:name w:val="first-page"/>
    <w:rsid w:val="00467651"/>
    <w:rPr>
      <w:rFonts w:cs="Times New Roman"/>
    </w:rPr>
  </w:style>
  <w:style w:type="character" w:customStyle="1" w:styleId="last-page">
    <w:name w:val="last-page"/>
    <w:rsid w:val="00467651"/>
    <w:rPr>
      <w:rFonts w:cs="Times New Roman"/>
    </w:rPr>
  </w:style>
  <w:style w:type="character" w:customStyle="1" w:styleId="contribution">
    <w:name w:val="contribution"/>
    <w:rsid w:val="00301975"/>
    <w:rPr>
      <w:rFonts w:cs="Times New Roman"/>
    </w:rPr>
  </w:style>
  <w:style w:type="character" w:customStyle="1" w:styleId="authors">
    <w:name w:val="authors"/>
    <w:rsid w:val="00301975"/>
    <w:rPr>
      <w:rFonts w:cs="Times New Roman"/>
    </w:rPr>
  </w:style>
  <w:style w:type="character" w:customStyle="1" w:styleId="series">
    <w:name w:val="series"/>
    <w:rsid w:val="00301975"/>
    <w:rPr>
      <w:rFonts w:cs="Times New Roman"/>
    </w:rPr>
  </w:style>
  <w:style w:type="character" w:customStyle="1" w:styleId="volume-nr">
    <w:name w:val="volume-nr"/>
    <w:rsid w:val="00301975"/>
    <w:rPr>
      <w:rFonts w:cs="Times New Roman"/>
    </w:rPr>
  </w:style>
  <w:style w:type="character" w:customStyle="1" w:styleId="Date2">
    <w:name w:val="Date2"/>
    <w:rsid w:val="006D713E"/>
    <w:rPr>
      <w:rFonts w:cs="Times New Roman"/>
    </w:rPr>
  </w:style>
  <w:style w:type="character" w:styleId="HTMLCite">
    <w:name w:val="HTML Cite"/>
    <w:uiPriority w:val="99"/>
    <w:semiHidden/>
    <w:rsid w:val="00543B80"/>
    <w:rPr>
      <w:rFonts w:cs="Times New Roman"/>
      <w:i/>
      <w:iCs/>
    </w:rPr>
  </w:style>
  <w:style w:type="character" w:customStyle="1" w:styleId="table-designation">
    <w:name w:val="table-designation"/>
    <w:rsid w:val="00F771F1"/>
    <w:rPr>
      <w:rFonts w:cs="Times New Roman"/>
    </w:rPr>
  </w:style>
  <w:style w:type="character" w:customStyle="1" w:styleId="table-enumeration">
    <w:name w:val="table-enumeration"/>
    <w:rsid w:val="00F771F1"/>
    <w:rPr>
      <w:rFonts w:cs="Times New Roman"/>
    </w:rPr>
  </w:style>
  <w:style w:type="character" w:customStyle="1" w:styleId="table-caption">
    <w:name w:val="table-caption"/>
    <w:rsid w:val="00F771F1"/>
    <w:rPr>
      <w:rFonts w:cs="Times New Roman"/>
    </w:rPr>
  </w:style>
  <w:style w:type="character" w:customStyle="1" w:styleId="table-citation">
    <w:name w:val="table-citation"/>
    <w:rsid w:val="00F771F1"/>
    <w:rPr>
      <w:rFonts w:cs="Times New Roman"/>
    </w:rPr>
  </w:style>
  <w:style w:type="paragraph" w:customStyle="1" w:styleId="Title3">
    <w:name w:val="Title3"/>
    <w:basedOn w:val="Normal"/>
    <w:rsid w:val="002226C9"/>
    <w:pPr>
      <w:spacing w:before="100" w:beforeAutospacing="1" w:after="100" w:afterAutospacing="1"/>
    </w:pPr>
    <w:rPr>
      <w:sz w:val="24"/>
      <w:szCs w:val="24"/>
      <w:lang w:val="en-US"/>
    </w:rPr>
  </w:style>
  <w:style w:type="character" w:customStyle="1" w:styleId="editors">
    <w:name w:val="editors"/>
    <w:rsid w:val="002226C9"/>
    <w:rPr>
      <w:rFonts w:cs="Times New Roman"/>
    </w:rPr>
  </w:style>
  <w:style w:type="character" w:customStyle="1" w:styleId="label">
    <w:name w:val="label"/>
    <w:rsid w:val="0065397E"/>
    <w:rPr>
      <w:rFonts w:cs="Times New Roman"/>
    </w:rPr>
  </w:style>
  <w:style w:type="paragraph" w:customStyle="1" w:styleId="referenci">
    <w:name w:val="referenci"/>
    <w:basedOn w:val="EndnoteText"/>
    <w:link w:val="referenciChar"/>
    <w:rsid w:val="007643BF"/>
    <w:rPr>
      <w:rFonts w:ascii="Arial" w:hAnsi="Arial" w:cs="Arial"/>
      <w:color w:val="000000"/>
      <w:sz w:val="24"/>
      <w:szCs w:val="24"/>
    </w:rPr>
  </w:style>
  <w:style w:type="character" w:customStyle="1" w:styleId="referenciChar">
    <w:name w:val="referenci Char"/>
    <w:link w:val="referenci"/>
    <w:locked/>
    <w:rsid w:val="007643BF"/>
    <w:rPr>
      <w:rFonts w:ascii="Arial" w:hAnsi="Arial" w:cs="Arial"/>
      <w:color w:val="000000"/>
      <w:sz w:val="24"/>
      <w:szCs w:val="24"/>
      <w:lang w:val="mk-MK"/>
    </w:rPr>
  </w:style>
  <w:style w:type="character" w:customStyle="1" w:styleId="Date3">
    <w:name w:val="Date3"/>
    <w:rsid w:val="00BF2FA6"/>
    <w:rPr>
      <w:rFonts w:cs="Times New Roman"/>
    </w:rPr>
  </w:style>
  <w:style w:type="character" w:customStyle="1" w:styleId="issue">
    <w:name w:val="issue"/>
    <w:rsid w:val="006C3CB7"/>
    <w:rPr>
      <w:rFonts w:cs="Times New Roman"/>
    </w:rPr>
  </w:style>
  <w:style w:type="character" w:customStyle="1" w:styleId="issue-nr">
    <w:name w:val="issue-nr"/>
    <w:rsid w:val="006C3CB7"/>
    <w:rPr>
      <w:rFonts w:cs="Times New Roman"/>
    </w:rPr>
  </w:style>
  <w:style w:type="character" w:customStyle="1" w:styleId="Date4">
    <w:name w:val="Date4"/>
    <w:rsid w:val="00C138A3"/>
    <w:rPr>
      <w:rFonts w:cs="Times New Roman"/>
    </w:rPr>
  </w:style>
  <w:style w:type="paragraph" w:styleId="HTMLPreformatted">
    <w:name w:val="HTML Preformatted"/>
    <w:basedOn w:val="Normal"/>
    <w:link w:val="HTMLPreformattedChar"/>
    <w:uiPriority w:val="99"/>
    <w:rsid w:val="0005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locked/>
    <w:rsid w:val="000526C6"/>
    <w:rPr>
      <w:rFonts w:ascii="Courier New" w:hAnsi="Courier New" w:cs="Courier New"/>
    </w:rPr>
  </w:style>
  <w:style w:type="table" w:styleId="TableGrid">
    <w:name w:val="Table Grid"/>
    <w:basedOn w:val="TableNormal"/>
    <w:locked/>
    <w:rsid w:val="00107FB7"/>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72763"/>
    <w:pPr>
      <w:ind w:left="720"/>
    </w:pPr>
  </w:style>
  <w:style w:type="paragraph" w:customStyle="1" w:styleId="ecxmsonormal">
    <w:name w:val="ecxmsonormal"/>
    <w:basedOn w:val="Normal"/>
    <w:uiPriority w:val="99"/>
    <w:rsid w:val="00B157E0"/>
    <w:pPr>
      <w:spacing w:before="100" w:beforeAutospacing="1" w:after="100" w:afterAutospacing="1"/>
    </w:pPr>
    <w:rPr>
      <w:rFonts w:cs="Times New Roman"/>
      <w:sz w:val="24"/>
      <w:szCs w:val="24"/>
      <w:lang w:val="en-US"/>
    </w:rPr>
  </w:style>
  <w:style w:type="paragraph" w:customStyle="1" w:styleId="a">
    <w:name w:val="Наслов"/>
    <w:basedOn w:val="Normal"/>
    <w:link w:val="Char"/>
    <w:rsid w:val="00B157E0"/>
    <w:pPr>
      <w:autoSpaceDE w:val="0"/>
      <w:autoSpaceDN w:val="0"/>
      <w:adjustRightInd w:val="0"/>
      <w:spacing w:before="240" w:after="240" w:line="360" w:lineRule="auto"/>
      <w:ind w:right="-187"/>
    </w:pPr>
    <w:rPr>
      <w:rFonts w:ascii="Arial" w:hAnsi="Arial" w:cs="Arial"/>
      <w:b/>
      <w:bCs/>
      <w:sz w:val="24"/>
      <w:szCs w:val="24"/>
    </w:rPr>
  </w:style>
  <w:style w:type="character" w:customStyle="1" w:styleId="Char">
    <w:name w:val="Наслов Char"/>
    <w:link w:val="a"/>
    <w:locked/>
    <w:rsid w:val="00B157E0"/>
    <w:rPr>
      <w:rFonts w:ascii="Arial" w:hAnsi="Arial" w:cs="Arial"/>
      <w:b/>
      <w:bCs/>
      <w:sz w:val="24"/>
      <w:szCs w:val="24"/>
      <w:lang w:val="mk-MK" w:eastAsia="en-US"/>
    </w:rPr>
  </w:style>
  <w:style w:type="paragraph" w:customStyle="1" w:styleId="11">
    <w:name w:val="Наслов 1.1"/>
    <w:basedOn w:val="Normal"/>
    <w:link w:val="11Char"/>
    <w:rsid w:val="00B157E0"/>
    <w:pPr>
      <w:autoSpaceDE w:val="0"/>
      <w:autoSpaceDN w:val="0"/>
      <w:adjustRightInd w:val="0"/>
      <w:spacing w:after="120" w:line="360" w:lineRule="auto"/>
    </w:pPr>
    <w:rPr>
      <w:rFonts w:ascii="Arial" w:hAnsi="Arial" w:cs="Arial"/>
      <w:b/>
      <w:bCs/>
      <w:sz w:val="24"/>
      <w:szCs w:val="24"/>
    </w:rPr>
  </w:style>
  <w:style w:type="character" w:customStyle="1" w:styleId="11Char">
    <w:name w:val="Наслов 1.1 Char"/>
    <w:link w:val="11"/>
    <w:locked/>
    <w:rsid w:val="00B157E0"/>
    <w:rPr>
      <w:rFonts w:ascii="Arial" w:hAnsi="Arial" w:cs="Arial"/>
      <w:b/>
      <w:bCs/>
      <w:sz w:val="22"/>
      <w:szCs w:val="22"/>
      <w:lang w:val="mk-MK" w:eastAsia="en-US"/>
    </w:rPr>
  </w:style>
  <w:style w:type="paragraph" w:customStyle="1" w:styleId="ecxmsolistparagraph">
    <w:name w:val="ecxmsolistparagraph"/>
    <w:basedOn w:val="Normal"/>
    <w:rsid w:val="008250E6"/>
    <w:pPr>
      <w:spacing w:before="100" w:beforeAutospacing="1" w:after="100" w:afterAutospacing="1"/>
    </w:pPr>
    <w:rPr>
      <w:rFonts w:cs="Times New Roman"/>
      <w:sz w:val="24"/>
      <w:szCs w:val="24"/>
      <w:lang w:val="en-US"/>
    </w:rPr>
  </w:style>
  <w:style w:type="character" w:styleId="PageNumber">
    <w:name w:val="page number"/>
    <w:basedOn w:val="DefaultParagraphFont"/>
    <w:uiPriority w:val="5"/>
    <w:rsid w:val="00A517B8"/>
  </w:style>
  <w:style w:type="paragraph" w:styleId="NoSpacing">
    <w:name w:val="No Spacing"/>
    <w:link w:val="NoSpacingChar"/>
    <w:uiPriority w:val="1"/>
    <w:qFormat/>
    <w:rsid w:val="000E2CD3"/>
    <w:rPr>
      <w:rFonts w:ascii="Calibri" w:hAnsi="Calibri"/>
      <w:sz w:val="22"/>
      <w:szCs w:val="22"/>
    </w:rPr>
  </w:style>
  <w:style w:type="character" w:customStyle="1" w:styleId="hps">
    <w:name w:val="hps"/>
    <w:basedOn w:val="DefaultParagraphFont"/>
    <w:rsid w:val="000E2CD3"/>
  </w:style>
  <w:style w:type="paragraph" w:styleId="Title">
    <w:name w:val="Title"/>
    <w:basedOn w:val="Normal"/>
    <w:next w:val="Normal"/>
    <w:link w:val="TitleChar"/>
    <w:qFormat/>
    <w:locked/>
    <w:rsid w:val="009E1A95"/>
    <w:pPr>
      <w:pBdr>
        <w:bottom w:val="single" w:sz="8" w:space="4" w:color="4F81BD"/>
      </w:pBdr>
      <w:spacing w:after="300"/>
    </w:pPr>
    <w:rPr>
      <w:rFonts w:ascii="Cambria" w:eastAsia="Calibri" w:hAnsi="Cambria" w:cs="Times New Roman"/>
      <w:color w:val="17365D"/>
      <w:spacing w:val="5"/>
      <w:kern w:val="28"/>
      <w:sz w:val="52"/>
      <w:szCs w:val="52"/>
      <w:lang w:val="en-US"/>
    </w:rPr>
  </w:style>
  <w:style w:type="paragraph" w:customStyle="1" w:styleId="Pa3">
    <w:name w:val="Pa3"/>
    <w:basedOn w:val="Normal"/>
    <w:next w:val="Normal"/>
    <w:rsid w:val="009E1A95"/>
    <w:pPr>
      <w:autoSpaceDE w:val="0"/>
      <w:autoSpaceDN w:val="0"/>
      <w:adjustRightInd w:val="0"/>
      <w:spacing w:line="241" w:lineRule="atLeast"/>
    </w:pPr>
    <w:rPr>
      <w:rFonts w:ascii="Myriad" w:hAnsi="Myriad" w:cs="Times New Roman"/>
      <w:sz w:val="24"/>
      <w:szCs w:val="24"/>
      <w:lang w:val="en-US"/>
    </w:rPr>
  </w:style>
  <w:style w:type="character" w:customStyle="1" w:styleId="A4">
    <w:name w:val="A4"/>
    <w:rsid w:val="009E1A95"/>
    <w:rPr>
      <w:i/>
      <w:color w:val="000000"/>
      <w:sz w:val="21"/>
    </w:rPr>
  </w:style>
  <w:style w:type="paragraph" w:customStyle="1" w:styleId="Default">
    <w:name w:val="Default"/>
    <w:rsid w:val="009E1A95"/>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rsid w:val="009E1A95"/>
    <w:pPr>
      <w:jc w:val="both"/>
    </w:pPr>
    <w:rPr>
      <w:rFonts w:ascii="MAC C Swiss" w:hAnsi="MAC C Swiss" w:cs="Times New Roman"/>
      <w:sz w:val="24"/>
      <w:szCs w:val="20"/>
      <w:lang w:val="en-US"/>
    </w:rPr>
  </w:style>
  <w:style w:type="character" w:styleId="CommentReference">
    <w:name w:val="annotation reference"/>
    <w:rsid w:val="009E1A95"/>
    <w:rPr>
      <w:sz w:val="16"/>
      <w:szCs w:val="16"/>
    </w:rPr>
  </w:style>
  <w:style w:type="paragraph" w:styleId="CommentText">
    <w:name w:val="annotation text"/>
    <w:basedOn w:val="Normal"/>
    <w:link w:val="CommentTextChar"/>
    <w:rsid w:val="009E1A95"/>
    <w:pPr>
      <w:spacing w:after="200" w:line="276" w:lineRule="auto"/>
    </w:pPr>
    <w:rPr>
      <w:rFonts w:cs="Times New Roman"/>
      <w:sz w:val="20"/>
      <w:szCs w:val="20"/>
      <w:lang w:val="en-US"/>
    </w:rPr>
  </w:style>
  <w:style w:type="paragraph" w:styleId="CommentSubject">
    <w:name w:val="annotation subject"/>
    <w:basedOn w:val="CommentText"/>
    <w:next w:val="CommentText"/>
    <w:link w:val="CommentSubjectChar"/>
    <w:rsid w:val="009E1A95"/>
    <w:rPr>
      <w:b/>
      <w:bCs/>
    </w:rPr>
  </w:style>
  <w:style w:type="paragraph" w:styleId="TOCHeading">
    <w:name w:val="TOC Heading"/>
    <w:basedOn w:val="Heading1"/>
    <w:next w:val="Normal"/>
    <w:qFormat/>
    <w:rsid w:val="009E1A95"/>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6F7843"/>
  </w:style>
  <w:style w:type="character" w:customStyle="1" w:styleId="Heading2Char">
    <w:name w:val="Heading 2 Char"/>
    <w:link w:val="Heading2"/>
    <w:uiPriority w:val="99"/>
    <w:rsid w:val="003F0145"/>
    <w:rPr>
      <w:rFonts w:ascii="Arial" w:hAnsi="Arial" w:cs="Arial"/>
      <w:b/>
      <w:bCs/>
      <w:i/>
      <w:iCs/>
      <w:sz w:val="28"/>
      <w:szCs w:val="28"/>
      <w:lang w:val="en-US" w:eastAsia="en-US"/>
    </w:rPr>
  </w:style>
  <w:style w:type="character" w:customStyle="1" w:styleId="TitleChar">
    <w:name w:val="Title Char"/>
    <w:link w:val="Title"/>
    <w:rsid w:val="00681DD5"/>
    <w:rPr>
      <w:rFonts w:ascii="Cambria" w:eastAsia="Calibri" w:hAnsi="Cambria"/>
      <w:color w:val="17365D"/>
      <w:spacing w:val="5"/>
      <w:kern w:val="28"/>
      <w:sz w:val="52"/>
      <w:szCs w:val="52"/>
      <w:lang w:val="en-US" w:eastAsia="en-US"/>
    </w:rPr>
  </w:style>
  <w:style w:type="character" w:customStyle="1" w:styleId="BodyTextChar">
    <w:name w:val="Body Text Char"/>
    <w:link w:val="BodyText"/>
    <w:rsid w:val="00681DD5"/>
    <w:rPr>
      <w:rFonts w:ascii="MAC C Swiss" w:hAnsi="MAC C Swiss"/>
      <w:sz w:val="24"/>
      <w:lang w:val="en-US" w:eastAsia="en-US"/>
    </w:rPr>
  </w:style>
  <w:style w:type="character" w:customStyle="1" w:styleId="CommentTextChar">
    <w:name w:val="Comment Text Char"/>
    <w:link w:val="CommentText"/>
    <w:rsid w:val="00681DD5"/>
    <w:rPr>
      <w:rFonts w:ascii="Calibri" w:hAnsi="Calibri"/>
      <w:lang w:val="en-US" w:eastAsia="en-US"/>
    </w:rPr>
  </w:style>
  <w:style w:type="character" w:customStyle="1" w:styleId="CommentSubjectChar">
    <w:name w:val="Comment Subject Char"/>
    <w:link w:val="CommentSubject"/>
    <w:rsid w:val="00681DD5"/>
    <w:rPr>
      <w:rFonts w:ascii="Calibri" w:hAnsi="Calibri"/>
      <w:b/>
      <w:bCs/>
      <w:lang w:val="en-US" w:eastAsia="en-US"/>
    </w:rPr>
  </w:style>
  <w:style w:type="character" w:customStyle="1" w:styleId="ListParagraphChar">
    <w:name w:val="List Paragraph Char"/>
    <w:link w:val="ListParagraph"/>
    <w:uiPriority w:val="34"/>
    <w:rsid w:val="00B5715C"/>
    <w:rPr>
      <w:rFonts w:ascii="Calibri" w:hAnsi="Calibri" w:cs="Calibri"/>
      <w:sz w:val="22"/>
      <w:szCs w:val="22"/>
      <w:lang w:eastAsia="en-US"/>
    </w:rPr>
  </w:style>
  <w:style w:type="character" w:customStyle="1" w:styleId="NoSpacingChar">
    <w:name w:val="No Spacing Char"/>
    <w:link w:val="NoSpacing"/>
    <w:uiPriority w:val="1"/>
    <w:rsid w:val="007A527E"/>
    <w:rPr>
      <w:rFonts w:ascii="Calibri" w:hAnsi="Calibri"/>
      <w:sz w:val="22"/>
      <w:szCs w:val="22"/>
      <w:lang w:val="en-US" w:eastAsia="en-US" w:bidi="ar-SA"/>
    </w:rPr>
  </w:style>
  <w:style w:type="character" w:customStyle="1" w:styleId="y2iqfc">
    <w:name w:val="y2iqfc"/>
    <w:basedOn w:val="DefaultParagraphFont"/>
    <w:rsid w:val="009A7015"/>
  </w:style>
  <w:style w:type="paragraph" w:customStyle="1" w:styleId="p">
    <w:name w:val="p"/>
    <w:basedOn w:val="Normal"/>
    <w:qFormat/>
    <w:rsid w:val="005074C2"/>
    <w:pPr>
      <w:spacing w:before="100" w:beforeAutospacing="1" w:after="100" w:afterAutospacing="1"/>
    </w:pPr>
    <w:rPr>
      <w:rFonts w:ascii="Times New Roman" w:hAnsi="Times New Roman" w:cs="Times New Roman"/>
      <w:sz w:val="24"/>
      <w:szCs w:val="24"/>
      <w:lang w:val="en-US"/>
    </w:rPr>
  </w:style>
  <w:style w:type="character" w:customStyle="1" w:styleId="jlqj4b">
    <w:name w:val="jlqj4b"/>
    <w:basedOn w:val="DefaultParagraphFont"/>
    <w:qFormat/>
    <w:rsid w:val="005074C2"/>
  </w:style>
  <w:style w:type="character" w:customStyle="1" w:styleId="ref-title">
    <w:name w:val="ref-title"/>
    <w:basedOn w:val="DefaultParagraphFont"/>
    <w:rsid w:val="0026510E"/>
  </w:style>
  <w:style w:type="character" w:customStyle="1" w:styleId="identifier">
    <w:name w:val="identifier"/>
    <w:basedOn w:val="DefaultParagraphFont"/>
    <w:rsid w:val="0026510E"/>
  </w:style>
  <w:style w:type="character" w:customStyle="1" w:styleId="id-label">
    <w:name w:val="id-label"/>
    <w:basedOn w:val="DefaultParagraphFont"/>
    <w:rsid w:val="0026510E"/>
  </w:style>
  <w:style w:type="character" w:customStyle="1" w:styleId="mixed-citation">
    <w:name w:val="mixed-citation"/>
    <w:basedOn w:val="DefaultParagraphFont"/>
    <w:rsid w:val="0026510E"/>
  </w:style>
  <w:style w:type="character" w:customStyle="1" w:styleId="period">
    <w:name w:val="period"/>
    <w:basedOn w:val="DefaultParagraphFont"/>
    <w:rsid w:val="0026510E"/>
  </w:style>
  <w:style w:type="character" w:customStyle="1" w:styleId="cit">
    <w:name w:val="cit"/>
    <w:basedOn w:val="DefaultParagraphFont"/>
    <w:rsid w:val="0026510E"/>
  </w:style>
  <w:style w:type="character" w:customStyle="1" w:styleId="authors-list-item">
    <w:name w:val="authors-list-item"/>
    <w:basedOn w:val="DefaultParagraphFont"/>
    <w:rsid w:val="0026510E"/>
  </w:style>
  <w:style w:type="character" w:customStyle="1" w:styleId="author-sup-separator">
    <w:name w:val="author-sup-separator"/>
    <w:basedOn w:val="DefaultParagraphFont"/>
    <w:rsid w:val="0026510E"/>
  </w:style>
  <w:style w:type="character" w:customStyle="1" w:styleId="comma">
    <w:name w:val="comma"/>
    <w:basedOn w:val="DefaultParagraphFont"/>
    <w:rsid w:val="0026510E"/>
  </w:style>
  <w:style w:type="character" w:customStyle="1" w:styleId="secondary-date">
    <w:name w:val="secondary-date"/>
    <w:basedOn w:val="DefaultParagraphFont"/>
    <w:rsid w:val="00E64B8C"/>
  </w:style>
  <w:style w:type="character" w:customStyle="1" w:styleId="cit-pub-date">
    <w:name w:val="cit-pub-date"/>
    <w:basedOn w:val="DefaultParagraphFont"/>
    <w:rsid w:val="00E64B8C"/>
  </w:style>
  <w:style w:type="character" w:customStyle="1" w:styleId="cit-source">
    <w:name w:val="cit-source"/>
    <w:basedOn w:val="DefaultParagraphFont"/>
    <w:rsid w:val="00E64B8C"/>
  </w:style>
  <w:style w:type="character" w:customStyle="1" w:styleId="cit-vol">
    <w:name w:val="cit-vol"/>
    <w:basedOn w:val="DefaultParagraphFont"/>
    <w:rsid w:val="00E64B8C"/>
  </w:style>
  <w:style w:type="character" w:customStyle="1" w:styleId="cit-fpage">
    <w:name w:val="cit-fpage"/>
    <w:basedOn w:val="DefaultParagraphFont"/>
    <w:rsid w:val="00E64B8C"/>
  </w:style>
  <w:style w:type="character" w:customStyle="1" w:styleId="cit-reflinks-abstract">
    <w:name w:val="cit-reflinks-abstract"/>
    <w:basedOn w:val="DefaultParagraphFont"/>
    <w:rsid w:val="00E64B8C"/>
  </w:style>
  <w:style w:type="character" w:customStyle="1" w:styleId="cit-sep">
    <w:name w:val="cit-sep"/>
    <w:basedOn w:val="DefaultParagraphFont"/>
    <w:rsid w:val="00E64B8C"/>
  </w:style>
  <w:style w:type="character" w:customStyle="1" w:styleId="cit-reflinks-full-text">
    <w:name w:val="cit-reflinks-full-text"/>
    <w:basedOn w:val="DefaultParagraphFont"/>
    <w:rsid w:val="00E64B8C"/>
  </w:style>
  <w:style w:type="character" w:customStyle="1" w:styleId="free-full-text">
    <w:name w:val="free-full-text"/>
    <w:basedOn w:val="DefaultParagraphFont"/>
    <w:rsid w:val="00E64B8C"/>
  </w:style>
  <w:style w:type="character" w:customStyle="1" w:styleId="ref-iss">
    <w:name w:val="ref-iss"/>
    <w:basedOn w:val="DefaultParagraphFont"/>
    <w:rsid w:val="00E64B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9" w:qFormat="1"/>
    <w:lsdException w:name="heading 3" w:locked="1" w:uiPriority="9"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uiPriority="5"/>
    <w:lsdException w:name="Title" w:locked="1" w:qFormat="1"/>
    <w:lsdException w:name="Default Paragraph Font" w:locked="1"/>
    <w:lsdException w:name="Subtitle" w:locked="1" w:qFormat="1"/>
    <w:lsdException w:name="Hyperlink" w:uiPriority="99"/>
    <w:lsdException w:name="FollowedHyperlink" w:uiPriority="99" w:qFormat="1"/>
    <w:lsdException w:name="Strong" w:locked="1" w:qFormat="1"/>
    <w:lsdException w:name="Emphasis" w:locked="1"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707CB9"/>
    <w:rPr>
      <w:rFonts w:ascii="Calibri" w:hAnsi="Calibri" w:cs="Calibri"/>
      <w:sz w:val="22"/>
      <w:szCs w:val="22"/>
      <w:lang w:val="mk-MK"/>
    </w:rPr>
  </w:style>
  <w:style w:type="paragraph" w:styleId="Heading1">
    <w:name w:val="heading 1"/>
    <w:basedOn w:val="Normal"/>
    <w:link w:val="Heading1Char"/>
    <w:uiPriority w:val="9"/>
    <w:qFormat/>
    <w:locked/>
    <w:rsid w:val="0091304E"/>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9"/>
    <w:qFormat/>
    <w:locked/>
    <w:rsid w:val="009E1A95"/>
    <w:pPr>
      <w:keepNext/>
      <w:spacing w:before="240" w:after="60" w:line="276" w:lineRule="auto"/>
      <w:outlineLvl w:val="1"/>
    </w:pPr>
    <w:rPr>
      <w:rFonts w:ascii="Arial" w:hAnsi="Arial" w:cs="Arial"/>
      <w:b/>
      <w:bCs/>
      <w:i/>
      <w:iCs/>
      <w:sz w:val="28"/>
      <w:szCs w:val="28"/>
      <w:lang w:val="en-US"/>
    </w:rPr>
  </w:style>
  <w:style w:type="paragraph" w:styleId="Heading3">
    <w:name w:val="heading 3"/>
    <w:basedOn w:val="Normal"/>
    <w:link w:val="Heading3Char"/>
    <w:uiPriority w:val="9"/>
    <w:qFormat/>
    <w:locked/>
    <w:rsid w:val="0091304E"/>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qFormat/>
    <w:locked/>
    <w:rsid w:val="00E71C0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91304E"/>
    <w:rPr>
      <w:rFonts w:cs="Times New Roman"/>
      <w:b/>
      <w:bCs/>
      <w:kern w:val="36"/>
      <w:sz w:val="48"/>
      <w:szCs w:val="48"/>
      <w:lang w:val="en-US" w:eastAsia="en-US"/>
    </w:rPr>
  </w:style>
  <w:style w:type="character" w:customStyle="1" w:styleId="Heading3Char">
    <w:name w:val="Heading 3 Char"/>
    <w:link w:val="Heading3"/>
    <w:uiPriority w:val="9"/>
    <w:locked/>
    <w:rsid w:val="0091304E"/>
    <w:rPr>
      <w:rFonts w:cs="Times New Roman"/>
      <w:b/>
      <w:bCs/>
      <w:sz w:val="27"/>
      <w:szCs w:val="27"/>
      <w:lang w:val="en-US" w:eastAsia="en-US"/>
    </w:rPr>
  </w:style>
  <w:style w:type="character" w:customStyle="1" w:styleId="Heading4Char">
    <w:name w:val="Heading 4 Char"/>
    <w:link w:val="Heading4"/>
    <w:locked/>
    <w:rsid w:val="00602BEF"/>
    <w:rPr>
      <w:rFonts w:ascii="Calibri" w:hAnsi="Calibri" w:cs="Calibri"/>
      <w:b/>
      <w:bCs/>
      <w:sz w:val="28"/>
      <w:szCs w:val="28"/>
      <w:lang w:eastAsia="en-US"/>
    </w:rPr>
  </w:style>
  <w:style w:type="paragraph" w:styleId="BodyTextIndent">
    <w:name w:val="Body Text Indent"/>
    <w:basedOn w:val="Normal"/>
    <w:link w:val="BodyTextIndentChar"/>
    <w:rsid w:val="00EE10CE"/>
    <w:pPr>
      <w:ind w:firstLine="720"/>
    </w:pPr>
    <w:rPr>
      <w:rFonts w:ascii="MAC C Times" w:hAnsi="MAC C Times" w:cs="MAC C Times"/>
      <w:sz w:val="24"/>
      <w:szCs w:val="24"/>
      <w:lang w:val="en-GB"/>
    </w:rPr>
  </w:style>
  <w:style w:type="character" w:customStyle="1" w:styleId="BodyTextIndentChar">
    <w:name w:val="Body Text Indent Char"/>
    <w:link w:val="BodyTextIndent"/>
    <w:locked/>
    <w:rsid w:val="00EE10CE"/>
    <w:rPr>
      <w:rFonts w:ascii="MAC C Times" w:hAnsi="MAC C Times" w:cs="MAC C Times"/>
      <w:sz w:val="24"/>
      <w:szCs w:val="24"/>
      <w:lang w:val="en-GB" w:eastAsia="en-US"/>
    </w:rPr>
  </w:style>
  <w:style w:type="paragraph" w:styleId="Header">
    <w:name w:val="header"/>
    <w:basedOn w:val="Normal"/>
    <w:link w:val="HeaderChar"/>
    <w:uiPriority w:val="99"/>
    <w:rsid w:val="00EE10CE"/>
    <w:pPr>
      <w:tabs>
        <w:tab w:val="center" w:pos="4680"/>
        <w:tab w:val="right" w:pos="9360"/>
      </w:tabs>
    </w:pPr>
  </w:style>
  <w:style w:type="character" w:customStyle="1" w:styleId="HeaderChar">
    <w:name w:val="Header Char"/>
    <w:link w:val="Header"/>
    <w:uiPriority w:val="99"/>
    <w:locked/>
    <w:rsid w:val="00EE10CE"/>
    <w:rPr>
      <w:rFonts w:ascii="Calibri" w:hAnsi="Calibri" w:cs="Calibri"/>
      <w:sz w:val="22"/>
      <w:szCs w:val="22"/>
      <w:lang w:val="mk-MK" w:eastAsia="en-US"/>
    </w:rPr>
  </w:style>
  <w:style w:type="character" w:styleId="Hyperlink">
    <w:name w:val="Hyperlink"/>
    <w:uiPriority w:val="99"/>
    <w:rsid w:val="00D07926"/>
    <w:rPr>
      <w:rFonts w:cs="Times New Roman"/>
      <w:color w:val="0000FF"/>
      <w:u w:val="single"/>
    </w:rPr>
  </w:style>
  <w:style w:type="paragraph" w:styleId="FootnoteText">
    <w:name w:val="footnote text"/>
    <w:basedOn w:val="Normal"/>
    <w:link w:val="FootnoteTextChar"/>
    <w:semiHidden/>
    <w:rsid w:val="00D07926"/>
    <w:rPr>
      <w:sz w:val="20"/>
      <w:szCs w:val="20"/>
    </w:rPr>
  </w:style>
  <w:style w:type="character" w:customStyle="1" w:styleId="FootnoteTextChar">
    <w:name w:val="Footnote Text Char"/>
    <w:link w:val="FootnoteText"/>
    <w:semiHidden/>
    <w:locked/>
    <w:rsid w:val="00FC66F2"/>
    <w:rPr>
      <w:rFonts w:ascii="Calibri" w:hAnsi="Calibri" w:cs="Calibri"/>
      <w:sz w:val="20"/>
      <w:szCs w:val="20"/>
      <w:lang w:eastAsia="en-US"/>
    </w:rPr>
  </w:style>
  <w:style w:type="character" w:styleId="FootnoteReference">
    <w:name w:val="footnote reference"/>
    <w:semiHidden/>
    <w:rsid w:val="00D07926"/>
    <w:rPr>
      <w:rFonts w:cs="Times New Roman"/>
      <w:vertAlign w:val="superscript"/>
    </w:rPr>
  </w:style>
  <w:style w:type="paragraph" w:styleId="Footer">
    <w:name w:val="footer"/>
    <w:basedOn w:val="Normal"/>
    <w:link w:val="FooterChar"/>
    <w:uiPriority w:val="99"/>
    <w:rsid w:val="00D07926"/>
    <w:pPr>
      <w:tabs>
        <w:tab w:val="center" w:pos="4153"/>
        <w:tab w:val="right" w:pos="8306"/>
      </w:tabs>
    </w:pPr>
  </w:style>
  <w:style w:type="character" w:customStyle="1" w:styleId="FooterChar">
    <w:name w:val="Footer Char"/>
    <w:link w:val="Footer"/>
    <w:uiPriority w:val="99"/>
    <w:locked/>
    <w:rsid w:val="00FC66F2"/>
    <w:rPr>
      <w:rFonts w:ascii="Calibri" w:hAnsi="Calibri" w:cs="Calibri"/>
      <w:lang w:eastAsia="en-US"/>
    </w:rPr>
  </w:style>
  <w:style w:type="character" w:customStyle="1" w:styleId="apple-converted-space">
    <w:name w:val="apple-converted-space"/>
    <w:rsid w:val="00D07926"/>
    <w:rPr>
      <w:rFonts w:cs="Times New Roman"/>
    </w:rPr>
  </w:style>
  <w:style w:type="character" w:customStyle="1" w:styleId="highlight">
    <w:name w:val="highlight"/>
    <w:rsid w:val="0091304E"/>
    <w:rPr>
      <w:rFonts w:cs="Times New Roman"/>
    </w:rPr>
  </w:style>
  <w:style w:type="paragraph" w:styleId="NormalWeb">
    <w:name w:val="Normal (Web)"/>
    <w:basedOn w:val="Normal"/>
    <w:uiPriority w:val="99"/>
    <w:rsid w:val="0091304E"/>
    <w:pPr>
      <w:spacing w:before="100" w:beforeAutospacing="1" w:after="100" w:afterAutospacing="1"/>
    </w:pPr>
    <w:rPr>
      <w:sz w:val="24"/>
      <w:szCs w:val="24"/>
      <w:lang w:val="en-US"/>
    </w:rPr>
  </w:style>
  <w:style w:type="character" w:customStyle="1" w:styleId="citation-abbreviation">
    <w:name w:val="citation-abbreviation"/>
    <w:rsid w:val="0091304E"/>
    <w:rPr>
      <w:rFonts w:cs="Times New Roman"/>
    </w:rPr>
  </w:style>
  <w:style w:type="character" w:customStyle="1" w:styleId="citation-publication-date">
    <w:name w:val="citation-publication-date"/>
    <w:rsid w:val="0091304E"/>
    <w:rPr>
      <w:rFonts w:cs="Times New Roman"/>
    </w:rPr>
  </w:style>
  <w:style w:type="character" w:customStyle="1" w:styleId="citation-volume">
    <w:name w:val="citation-volume"/>
    <w:rsid w:val="0091304E"/>
    <w:rPr>
      <w:rFonts w:cs="Times New Roman"/>
    </w:rPr>
  </w:style>
  <w:style w:type="character" w:customStyle="1" w:styleId="citation-issue">
    <w:name w:val="citation-issue"/>
    <w:rsid w:val="0091304E"/>
    <w:rPr>
      <w:rFonts w:cs="Times New Roman"/>
    </w:rPr>
  </w:style>
  <w:style w:type="character" w:customStyle="1" w:styleId="citation-flpages">
    <w:name w:val="citation-flpages"/>
    <w:rsid w:val="0091304E"/>
    <w:rPr>
      <w:rFonts w:cs="Times New Roman"/>
    </w:rPr>
  </w:style>
  <w:style w:type="character" w:customStyle="1" w:styleId="doi">
    <w:name w:val="doi"/>
    <w:rsid w:val="0091304E"/>
    <w:rPr>
      <w:rFonts w:cs="Times New Roman"/>
    </w:rPr>
  </w:style>
  <w:style w:type="character" w:customStyle="1" w:styleId="fm-citation-ids-label">
    <w:name w:val="fm-citation-ids-label"/>
    <w:rsid w:val="0091304E"/>
    <w:rPr>
      <w:rFonts w:cs="Times New Roman"/>
    </w:rPr>
  </w:style>
  <w:style w:type="character" w:customStyle="1" w:styleId="fm-vol-iss-date">
    <w:name w:val="fm-vol-iss-date"/>
    <w:rsid w:val="00D80582"/>
    <w:rPr>
      <w:rFonts w:cs="Times New Roman"/>
    </w:rPr>
  </w:style>
  <w:style w:type="paragraph" w:customStyle="1" w:styleId="Title1">
    <w:name w:val="Title1"/>
    <w:basedOn w:val="Normal"/>
    <w:rsid w:val="0036470A"/>
    <w:pPr>
      <w:spacing w:before="100" w:beforeAutospacing="1" w:after="100" w:afterAutospacing="1"/>
    </w:pPr>
    <w:rPr>
      <w:sz w:val="24"/>
      <w:szCs w:val="24"/>
      <w:lang w:val="en-GB" w:eastAsia="en-GB"/>
    </w:rPr>
  </w:style>
  <w:style w:type="paragraph" w:customStyle="1" w:styleId="desc">
    <w:name w:val="desc"/>
    <w:basedOn w:val="Normal"/>
    <w:rsid w:val="0036470A"/>
    <w:pPr>
      <w:spacing w:before="100" w:beforeAutospacing="1" w:after="100" w:afterAutospacing="1"/>
    </w:pPr>
    <w:rPr>
      <w:sz w:val="24"/>
      <w:szCs w:val="24"/>
      <w:lang w:val="en-GB" w:eastAsia="en-GB"/>
    </w:rPr>
  </w:style>
  <w:style w:type="paragraph" w:customStyle="1" w:styleId="details">
    <w:name w:val="details"/>
    <w:basedOn w:val="Normal"/>
    <w:rsid w:val="0036470A"/>
    <w:pPr>
      <w:spacing w:before="100" w:beforeAutospacing="1" w:after="100" w:afterAutospacing="1"/>
    </w:pPr>
    <w:rPr>
      <w:sz w:val="24"/>
      <w:szCs w:val="24"/>
      <w:lang w:val="en-GB" w:eastAsia="en-GB"/>
    </w:rPr>
  </w:style>
  <w:style w:type="character" w:customStyle="1" w:styleId="jrnl">
    <w:name w:val="jrnl"/>
    <w:rsid w:val="0036470A"/>
    <w:rPr>
      <w:rFonts w:cs="Times New Roman"/>
    </w:rPr>
  </w:style>
  <w:style w:type="paragraph" w:customStyle="1" w:styleId="linksnohighlight">
    <w:name w:val="links nohighlight"/>
    <w:basedOn w:val="Normal"/>
    <w:rsid w:val="007E4BAF"/>
    <w:pPr>
      <w:spacing w:before="100" w:beforeAutospacing="1" w:after="100" w:afterAutospacing="1"/>
    </w:pPr>
    <w:rPr>
      <w:sz w:val="24"/>
      <w:szCs w:val="24"/>
      <w:lang w:val="en-GB" w:eastAsia="en-GB"/>
    </w:rPr>
  </w:style>
  <w:style w:type="character" w:customStyle="1" w:styleId="element-citation">
    <w:name w:val="element-citation"/>
    <w:rsid w:val="004731AD"/>
    <w:rPr>
      <w:rFonts w:cs="Times New Roman"/>
    </w:rPr>
  </w:style>
  <w:style w:type="character" w:customStyle="1" w:styleId="ref-journal">
    <w:name w:val="ref-journal"/>
    <w:rsid w:val="004731AD"/>
    <w:rPr>
      <w:rFonts w:cs="Times New Roman"/>
    </w:rPr>
  </w:style>
  <w:style w:type="character" w:customStyle="1" w:styleId="ref-vol">
    <w:name w:val="ref-vol"/>
    <w:rsid w:val="004731AD"/>
    <w:rPr>
      <w:rFonts w:cs="Times New Roman"/>
    </w:rPr>
  </w:style>
  <w:style w:type="character" w:customStyle="1" w:styleId="nowrap">
    <w:name w:val="nowrap"/>
    <w:rsid w:val="004731AD"/>
    <w:rPr>
      <w:rFonts w:cs="Times New Roman"/>
    </w:rPr>
  </w:style>
  <w:style w:type="character" w:styleId="FollowedHyperlink">
    <w:name w:val="FollowedHyperlink"/>
    <w:uiPriority w:val="99"/>
    <w:semiHidden/>
    <w:qFormat/>
    <w:rsid w:val="004731AD"/>
    <w:rPr>
      <w:rFonts w:cs="Times New Roman"/>
      <w:color w:val="800080"/>
      <w:u w:val="single"/>
    </w:rPr>
  </w:style>
  <w:style w:type="paragraph" w:styleId="EndnoteText">
    <w:name w:val="endnote text"/>
    <w:basedOn w:val="Normal"/>
    <w:link w:val="EndnoteTextChar"/>
    <w:semiHidden/>
    <w:rsid w:val="00876BED"/>
    <w:rPr>
      <w:sz w:val="20"/>
      <w:szCs w:val="20"/>
    </w:rPr>
  </w:style>
  <w:style w:type="character" w:customStyle="1" w:styleId="EndnoteTextChar">
    <w:name w:val="Endnote Text Char"/>
    <w:link w:val="EndnoteText"/>
    <w:locked/>
    <w:rsid w:val="00876BED"/>
    <w:rPr>
      <w:rFonts w:ascii="Calibri" w:hAnsi="Calibri" w:cs="Calibri"/>
      <w:lang w:val="mk-MK"/>
    </w:rPr>
  </w:style>
  <w:style w:type="character" w:styleId="EndnoteReference">
    <w:name w:val="endnote reference"/>
    <w:semiHidden/>
    <w:rsid w:val="00876BED"/>
    <w:rPr>
      <w:rFonts w:cs="Times New Roman"/>
      <w:vertAlign w:val="superscript"/>
    </w:rPr>
  </w:style>
  <w:style w:type="paragraph" w:styleId="BalloonText">
    <w:name w:val="Balloon Text"/>
    <w:basedOn w:val="Normal"/>
    <w:link w:val="BalloonTextChar"/>
    <w:uiPriority w:val="99"/>
    <w:semiHidden/>
    <w:rsid w:val="00FB12AD"/>
    <w:rPr>
      <w:rFonts w:ascii="Tahoma" w:hAnsi="Tahoma" w:cs="Tahoma"/>
      <w:sz w:val="16"/>
      <w:szCs w:val="16"/>
    </w:rPr>
  </w:style>
  <w:style w:type="character" w:customStyle="1" w:styleId="BalloonTextChar">
    <w:name w:val="Balloon Text Char"/>
    <w:link w:val="BalloonText"/>
    <w:uiPriority w:val="99"/>
    <w:semiHidden/>
    <w:locked/>
    <w:rsid w:val="00FB12AD"/>
    <w:rPr>
      <w:rFonts w:ascii="Tahoma" w:hAnsi="Tahoma" w:cs="Tahoma"/>
      <w:sz w:val="16"/>
      <w:szCs w:val="16"/>
      <w:lang w:val="mk-MK"/>
    </w:rPr>
  </w:style>
  <w:style w:type="character" w:styleId="Strong">
    <w:name w:val="Strong"/>
    <w:qFormat/>
    <w:locked/>
    <w:rsid w:val="00046F5F"/>
    <w:rPr>
      <w:rFonts w:cs="Times New Roman"/>
      <w:b/>
      <w:bCs/>
    </w:rPr>
  </w:style>
  <w:style w:type="character" w:customStyle="1" w:styleId="searchresulthittext">
    <w:name w:val="search_result_hit_text"/>
    <w:rsid w:val="00CD41DD"/>
    <w:rPr>
      <w:rFonts w:cs="Times New Roman"/>
    </w:rPr>
  </w:style>
  <w:style w:type="character" w:customStyle="1" w:styleId="sb-contribution">
    <w:name w:val="sb-contribution"/>
    <w:rsid w:val="00CD41DD"/>
    <w:rPr>
      <w:rFonts w:cs="Times New Roman"/>
    </w:rPr>
  </w:style>
  <w:style w:type="character" w:customStyle="1" w:styleId="sb-authors">
    <w:name w:val="sb-authors"/>
    <w:rsid w:val="00CD41DD"/>
    <w:rPr>
      <w:rFonts w:cs="Times New Roman"/>
    </w:rPr>
  </w:style>
  <w:style w:type="character" w:customStyle="1" w:styleId="sb-issue">
    <w:name w:val="sb-issue"/>
    <w:rsid w:val="00CD41DD"/>
    <w:rPr>
      <w:rFonts w:cs="Times New Roman"/>
    </w:rPr>
  </w:style>
  <w:style w:type="character" w:styleId="Emphasis">
    <w:name w:val="Emphasis"/>
    <w:uiPriority w:val="20"/>
    <w:qFormat/>
    <w:locked/>
    <w:rsid w:val="00CD41DD"/>
    <w:rPr>
      <w:rFonts w:cs="Times New Roman"/>
      <w:i/>
      <w:iCs/>
    </w:rPr>
  </w:style>
  <w:style w:type="character" w:customStyle="1" w:styleId="sb-date">
    <w:name w:val="sb-date"/>
    <w:rsid w:val="00CD41DD"/>
    <w:rPr>
      <w:rFonts w:cs="Times New Roman"/>
    </w:rPr>
  </w:style>
  <w:style w:type="character" w:customStyle="1" w:styleId="sb-volume-nr">
    <w:name w:val="sb-volume-nr"/>
    <w:rsid w:val="00CD41DD"/>
    <w:rPr>
      <w:rFonts w:cs="Times New Roman"/>
    </w:rPr>
  </w:style>
  <w:style w:type="character" w:customStyle="1" w:styleId="sb-pages">
    <w:name w:val="sb-pages"/>
    <w:rsid w:val="00CD41DD"/>
    <w:rPr>
      <w:rFonts w:cs="Times New Roman"/>
    </w:rPr>
  </w:style>
  <w:style w:type="paragraph" w:customStyle="1" w:styleId="Title2">
    <w:name w:val="Title2"/>
    <w:basedOn w:val="Normal"/>
    <w:rsid w:val="0072402F"/>
    <w:pPr>
      <w:spacing w:before="100" w:beforeAutospacing="1" w:after="100" w:afterAutospacing="1"/>
    </w:pPr>
    <w:rPr>
      <w:sz w:val="24"/>
      <w:szCs w:val="24"/>
      <w:lang w:val="en-US"/>
    </w:rPr>
  </w:style>
  <w:style w:type="character" w:customStyle="1" w:styleId="maintitle">
    <w:name w:val="maintitle"/>
    <w:rsid w:val="00467651"/>
    <w:rPr>
      <w:rFonts w:cs="Times New Roman"/>
    </w:rPr>
  </w:style>
  <w:style w:type="character" w:customStyle="1" w:styleId="surname">
    <w:name w:val="surname"/>
    <w:rsid w:val="00467651"/>
    <w:rPr>
      <w:rFonts w:cs="Times New Roman"/>
    </w:rPr>
  </w:style>
  <w:style w:type="character" w:customStyle="1" w:styleId="given-name">
    <w:name w:val="given-name"/>
    <w:rsid w:val="00467651"/>
    <w:rPr>
      <w:rFonts w:cs="Times New Roman"/>
    </w:rPr>
  </w:style>
  <w:style w:type="character" w:customStyle="1" w:styleId="Date1">
    <w:name w:val="Date1"/>
    <w:rsid w:val="00467651"/>
    <w:rPr>
      <w:rFonts w:cs="Times New Roman"/>
    </w:rPr>
  </w:style>
  <w:style w:type="character" w:customStyle="1" w:styleId="name">
    <w:name w:val="name"/>
    <w:rsid w:val="00467651"/>
    <w:rPr>
      <w:rFonts w:cs="Times New Roman"/>
    </w:rPr>
  </w:style>
  <w:style w:type="character" w:customStyle="1" w:styleId="location">
    <w:name w:val="location"/>
    <w:rsid w:val="00467651"/>
    <w:rPr>
      <w:rFonts w:cs="Times New Roman"/>
    </w:rPr>
  </w:style>
  <w:style w:type="character" w:customStyle="1" w:styleId="pages">
    <w:name w:val="pages"/>
    <w:rsid w:val="00467651"/>
    <w:rPr>
      <w:rFonts w:cs="Times New Roman"/>
    </w:rPr>
  </w:style>
  <w:style w:type="character" w:customStyle="1" w:styleId="first-page">
    <w:name w:val="first-page"/>
    <w:rsid w:val="00467651"/>
    <w:rPr>
      <w:rFonts w:cs="Times New Roman"/>
    </w:rPr>
  </w:style>
  <w:style w:type="character" w:customStyle="1" w:styleId="last-page">
    <w:name w:val="last-page"/>
    <w:rsid w:val="00467651"/>
    <w:rPr>
      <w:rFonts w:cs="Times New Roman"/>
    </w:rPr>
  </w:style>
  <w:style w:type="character" w:customStyle="1" w:styleId="contribution">
    <w:name w:val="contribution"/>
    <w:rsid w:val="00301975"/>
    <w:rPr>
      <w:rFonts w:cs="Times New Roman"/>
    </w:rPr>
  </w:style>
  <w:style w:type="character" w:customStyle="1" w:styleId="authors">
    <w:name w:val="authors"/>
    <w:rsid w:val="00301975"/>
    <w:rPr>
      <w:rFonts w:cs="Times New Roman"/>
    </w:rPr>
  </w:style>
  <w:style w:type="character" w:customStyle="1" w:styleId="series">
    <w:name w:val="series"/>
    <w:rsid w:val="00301975"/>
    <w:rPr>
      <w:rFonts w:cs="Times New Roman"/>
    </w:rPr>
  </w:style>
  <w:style w:type="character" w:customStyle="1" w:styleId="volume-nr">
    <w:name w:val="volume-nr"/>
    <w:rsid w:val="00301975"/>
    <w:rPr>
      <w:rFonts w:cs="Times New Roman"/>
    </w:rPr>
  </w:style>
  <w:style w:type="character" w:customStyle="1" w:styleId="Date2">
    <w:name w:val="Date2"/>
    <w:rsid w:val="006D713E"/>
    <w:rPr>
      <w:rFonts w:cs="Times New Roman"/>
    </w:rPr>
  </w:style>
  <w:style w:type="character" w:styleId="HTMLCite">
    <w:name w:val="HTML Cite"/>
    <w:uiPriority w:val="99"/>
    <w:semiHidden/>
    <w:rsid w:val="00543B80"/>
    <w:rPr>
      <w:rFonts w:cs="Times New Roman"/>
      <w:i/>
      <w:iCs/>
    </w:rPr>
  </w:style>
  <w:style w:type="character" w:customStyle="1" w:styleId="table-designation">
    <w:name w:val="table-designation"/>
    <w:rsid w:val="00F771F1"/>
    <w:rPr>
      <w:rFonts w:cs="Times New Roman"/>
    </w:rPr>
  </w:style>
  <w:style w:type="character" w:customStyle="1" w:styleId="table-enumeration">
    <w:name w:val="table-enumeration"/>
    <w:rsid w:val="00F771F1"/>
    <w:rPr>
      <w:rFonts w:cs="Times New Roman"/>
    </w:rPr>
  </w:style>
  <w:style w:type="character" w:customStyle="1" w:styleId="table-caption">
    <w:name w:val="table-caption"/>
    <w:rsid w:val="00F771F1"/>
    <w:rPr>
      <w:rFonts w:cs="Times New Roman"/>
    </w:rPr>
  </w:style>
  <w:style w:type="character" w:customStyle="1" w:styleId="table-citation">
    <w:name w:val="table-citation"/>
    <w:rsid w:val="00F771F1"/>
    <w:rPr>
      <w:rFonts w:cs="Times New Roman"/>
    </w:rPr>
  </w:style>
  <w:style w:type="paragraph" w:customStyle="1" w:styleId="Title3">
    <w:name w:val="Title3"/>
    <w:basedOn w:val="Normal"/>
    <w:rsid w:val="002226C9"/>
    <w:pPr>
      <w:spacing w:before="100" w:beforeAutospacing="1" w:after="100" w:afterAutospacing="1"/>
    </w:pPr>
    <w:rPr>
      <w:sz w:val="24"/>
      <w:szCs w:val="24"/>
      <w:lang w:val="en-US"/>
    </w:rPr>
  </w:style>
  <w:style w:type="character" w:customStyle="1" w:styleId="editors">
    <w:name w:val="editors"/>
    <w:rsid w:val="002226C9"/>
    <w:rPr>
      <w:rFonts w:cs="Times New Roman"/>
    </w:rPr>
  </w:style>
  <w:style w:type="character" w:customStyle="1" w:styleId="label">
    <w:name w:val="label"/>
    <w:rsid w:val="0065397E"/>
    <w:rPr>
      <w:rFonts w:cs="Times New Roman"/>
    </w:rPr>
  </w:style>
  <w:style w:type="paragraph" w:customStyle="1" w:styleId="referenci">
    <w:name w:val="referenci"/>
    <w:basedOn w:val="EndnoteText"/>
    <w:link w:val="referenciChar"/>
    <w:rsid w:val="007643BF"/>
    <w:rPr>
      <w:rFonts w:ascii="Arial" w:hAnsi="Arial" w:cs="Arial"/>
      <w:color w:val="000000"/>
      <w:sz w:val="24"/>
      <w:szCs w:val="24"/>
    </w:rPr>
  </w:style>
  <w:style w:type="character" w:customStyle="1" w:styleId="referenciChar">
    <w:name w:val="referenci Char"/>
    <w:link w:val="referenci"/>
    <w:locked/>
    <w:rsid w:val="007643BF"/>
    <w:rPr>
      <w:rFonts w:ascii="Arial" w:hAnsi="Arial" w:cs="Arial"/>
      <w:color w:val="000000"/>
      <w:sz w:val="24"/>
      <w:szCs w:val="24"/>
      <w:lang w:val="mk-MK"/>
    </w:rPr>
  </w:style>
  <w:style w:type="character" w:customStyle="1" w:styleId="Date3">
    <w:name w:val="Date3"/>
    <w:rsid w:val="00BF2FA6"/>
    <w:rPr>
      <w:rFonts w:cs="Times New Roman"/>
    </w:rPr>
  </w:style>
  <w:style w:type="character" w:customStyle="1" w:styleId="issue">
    <w:name w:val="issue"/>
    <w:rsid w:val="006C3CB7"/>
    <w:rPr>
      <w:rFonts w:cs="Times New Roman"/>
    </w:rPr>
  </w:style>
  <w:style w:type="character" w:customStyle="1" w:styleId="issue-nr">
    <w:name w:val="issue-nr"/>
    <w:rsid w:val="006C3CB7"/>
    <w:rPr>
      <w:rFonts w:cs="Times New Roman"/>
    </w:rPr>
  </w:style>
  <w:style w:type="character" w:customStyle="1" w:styleId="Date4">
    <w:name w:val="Date4"/>
    <w:rsid w:val="00C138A3"/>
    <w:rPr>
      <w:rFonts w:cs="Times New Roman"/>
    </w:rPr>
  </w:style>
  <w:style w:type="paragraph" w:styleId="HTMLPreformatted">
    <w:name w:val="HTML Preformatted"/>
    <w:basedOn w:val="Normal"/>
    <w:link w:val="HTMLPreformattedChar"/>
    <w:uiPriority w:val="99"/>
    <w:rsid w:val="0005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link w:val="HTMLPreformatted"/>
    <w:uiPriority w:val="99"/>
    <w:locked/>
    <w:rsid w:val="000526C6"/>
    <w:rPr>
      <w:rFonts w:ascii="Courier New" w:hAnsi="Courier New" w:cs="Courier New"/>
    </w:rPr>
  </w:style>
  <w:style w:type="table" w:styleId="TableGrid">
    <w:name w:val="Table Grid"/>
    <w:basedOn w:val="TableNormal"/>
    <w:locked/>
    <w:rsid w:val="00107FB7"/>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72763"/>
    <w:pPr>
      <w:ind w:left="720"/>
    </w:pPr>
  </w:style>
  <w:style w:type="paragraph" w:customStyle="1" w:styleId="ecxmsonormal">
    <w:name w:val="ecxmsonormal"/>
    <w:basedOn w:val="Normal"/>
    <w:uiPriority w:val="99"/>
    <w:rsid w:val="00B157E0"/>
    <w:pPr>
      <w:spacing w:before="100" w:beforeAutospacing="1" w:after="100" w:afterAutospacing="1"/>
    </w:pPr>
    <w:rPr>
      <w:rFonts w:cs="Times New Roman"/>
      <w:sz w:val="24"/>
      <w:szCs w:val="24"/>
      <w:lang w:val="en-US"/>
    </w:rPr>
  </w:style>
  <w:style w:type="paragraph" w:customStyle="1" w:styleId="a">
    <w:name w:val="Наслов"/>
    <w:basedOn w:val="Normal"/>
    <w:link w:val="Char"/>
    <w:rsid w:val="00B157E0"/>
    <w:pPr>
      <w:autoSpaceDE w:val="0"/>
      <w:autoSpaceDN w:val="0"/>
      <w:adjustRightInd w:val="0"/>
      <w:spacing w:before="240" w:after="240" w:line="360" w:lineRule="auto"/>
      <w:ind w:right="-187"/>
    </w:pPr>
    <w:rPr>
      <w:rFonts w:ascii="Arial" w:hAnsi="Arial" w:cs="Arial"/>
      <w:b/>
      <w:bCs/>
      <w:sz w:val="24"/>
      <w:szCs w:val="24"/>
    </w:rPr>
  </w:style>
  <w:style w:type="character" w:customStyle="1" w:styleId="Char">
    <w:name w:val="Наслов Char"/>
    <w:link w:val="a"/>
    <w:locked/>
    <w:rsid w:val="00B157E0"/>
    <w:rPr>
      <w:rFonts w:ascii="Arial" w:hAnsi="Arial" w:cs="Arial"/>
      <w:b/>
      <w:bCs/>
      <w:sz w:val="24"/>
      <w:szCs w:val="24"/>
      <w:lang w:val="mk-MK" w:eastAsia="en-US"/>
    </w:rPr>
  </w:style>
  <w:style w:type="paragraph" w:customStyle="1" w:styleId="11">
    <w:name w:val="Наслов 1.1"/>
    <w:basedOn w:val="Normal"/>
    <w:link w:val="11Char"/>
    <w:rsid w:val="00B157E0"/>
    <w:pPr>
      <w:autoSpaceDE w:val="0"/>
      <w:autoSpaceDN w:val="0"/>
      <w:adjustRightInd w:val="0"/>
      <w:spacing w:after="120" w:line="360" w:lineRule="auto"/>
    </w:pPr>
    <w:rPr>
      <w:rFonts w:ascii="Arial" w:hAnsi="Arial" w:cs="Arial"/>
      <w:b/>
      <w:bCs/>
      <w:sz w:val="24"/>
      <w:szCs w:val="24"/>
    </w:rPr>
  </w:style>
  <w:style w:type="character" w:customStyle="1" w:styleId="11Char">
    <w:name w:val="Наслов 1.1 Char"/>
    <w:link w:val="11"/>
    <w:locked/>
    <w:rsid w:val="00B157E0"/>
    <w:rPr>
      <w:rFonts w:ascii="Arial" w:hAnsi="Arial" w:cs="Arial"/>
      <w:b/>
      <w:bCs/>
      <w:sz w:val="22"/>
      <w:szCs w:val="22"/>
      <w:lang w:val="mk-MK" w:eastAsia="en-US"/>
    </w:rPr>
  </w:style>
  <w:style w:type="paragraph" w:customStyle="1" w:styleId="ecxmsolistparagraph">
    <w:name w:val="ecxmsolistparagraph"/>
    <w:basedOn w:val="Normal"/>
    <w:rsid w:val="008250E6"/>
    <w:pPr>
      <w:spacing w:before="100" w:beforeAutospacing="1" w:after="100" w:afterAutospacing="1"/>
    </w:pPr>
    <w:rPr>
      <w:rFonts w:cs="Times New Roman"/>
      <w:sz w:val="24"/>
      <w:szCs w:val="24"/>
      <w:lang w:val="en-US"/>
    </w:rPr>
  </w:style>
  <w:style w:type="character" w:styleId="PageNumber">
    <w:name w:val="page number"/>
    <w:basedOn w:val="DefaultParagraphFont"/>
    <w:uiPriority w:val="5"/>
    <w:rsid w:val="00A517B8"/>
  </w:style>
  <w:style w:type="paragraph" w:styleId="NoSpacing">
    <w:name w:val="No Spacing"/>
    <w:link w:val="NoSpacingChar"/>
    <w:uiPriority w:val="1"/>
    <w:qFormat/>
    <w:rsid w:val="000E2CD3"/>
    <w:rPr>
      <w:rFonts w:ascii="Calibri" w:hAnsi="Calibri"/>
      <w:sz w:val="22"/>
      <w:szCs w:val="22"/>
    </w:rPr>
  </w:style>
  <w:style w:type="character" w:customStyle="1" w:styleId="hps">
    <w:name w:val="hps"/>
    <w:basedOn w:val="DefaultParagraphFont"/>
    <w:rsid w:val="000E2CD3"/>
  </w:style>
  <w:style w:type="paragraph" w:styleId="Title">
    <w:name w:val="Title"/>
    <w:basedOn w:val="Normal"/>
    <w:next w:val="Normal"/>
    <w:link w:val="TitleChar"/>
    <w:qFormat/>
    <w:locked/>
    <w:rsid w:val="009E1A95"/>
    <w:pPr>
      <w:pBdr>
        <w:bottom w:val="single" w:sz="8" w:space="4" w:color="4F81BD"/>
      </w:pBdr>
      <w:spacing w:after="300"/>
    </w:pPr>
    <w:rPr>
      <w:rFonts w:ascii="Cambria" w:eastAsia="Calibri" w:hAnsi="Cambria" w:cs="Times New Roman"/>
      <w:color w:val="17365D"/>
      <w:spacing w:val="5"/>
      <w:kern w:val="28"/>
      <w:sz w:val="52"/>
      <w:szCs w:val="52"/>
      <w:lang w:val="en-US"/>
    </w:rPr>
  </w:style>
  <w:style w:type="paragraph" w:customStyle="1" w:styleId="Pa3">
    <w:name w:val="Pa3"/>
    <w:basedOn w:val="Normal"/>
    <w:next w:val="Normal"/>
    <w:rsid w:val="009E1A95"/>
    <w:pPr>
      <w:autoSpaceDE w:val="0"/>
      <w:autoSpaceDN w:val="0"/>
      <w:adjustRightInd w:val="0"/>
      <w:spacing w:line="241" w:lineRule="atLeast"/>
    </w:pPr>
    <w:rPr>
      <w:rFonts w:ascii="Myriad" w:hAnsi="Myriad" w:cs="Times New Roman"/>
      <w:sz w:val="24"/>
      <w:szCs w:val="24"/>
      <w:lang w:val="en-US"/>
    </w:rPr>
  </w:style>
  <w:style w:type="character" w:customStyle="1" w:styleId="A4">
    <w:name w:val="A4"/>
    <w:rsid w:val="009E1A95"/>
    <w:rPr>
      <w:i/>
      <w:color w:val="000000"/>
      <w:sz w:val="21"/>
    </w:rPr>
  </w:style>
  <w:style w:type="paragraph" w:customStyle="1" w:styleId="Default">
    <w:name w:val="Default"/>
    <w:rsid w:val="009E1A95"/>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rsid w:val="009E1A95"/>
    <w:pPr>
      <w:jc w:val="both"/>
    </w:pPr>
    <w:rPr>
      <w:rFonts w:ascii="MAC C Swiss" w:hAnsi="MAC C Swiss" w:cs="Times New Roman"/>
      <w:sz w:val="24"/>
      <w:szCs w:val="20"/>
      <w:lang w:val="en-US"/>
    </w:rPr>
  </w:style>
  <w:style w:type="character" w:styleId="CommentReference">
    <w:name w:val="annotation reference"/>
    <w:rsid w:val="009E1A95"/>
    <w:rPr>
      <w:sz w:val="16"/>
      <w:szCs w:val="16"/>
    </w:rPr>
  </w:style>
  <w:style w:type="paragraph" w:styleId="CommentText">
    <w:name w:val="annotation text"/>
    <w:basedOn w:val="Normal"/>
    <w:link w:val="CommentTextChar"/>
    <w:rsid w:val="009E1A95"/>
    <w:pPr>
      <w:spacing w:after="200" w:line="276" w:lineRule="auto"/>
    </w:pPr>
    <w:rPr>
      <w:rFonts w:cs="Times New Roman"/>
      <w:sz w:val="20"/>
      <w:szCs w:val="20"/>
      <w:lang w:val="en-US"/>
    </w:rPr>
  </w:style>
  <w:style w:type="paragraph" w:styleId="CommentSubject">
    <w:name w:val="annotation subject"/>
    <w:basedOn w:val="CommentText"/>
    <w:next w:val="CommentText"/>
    <w:link w:val="CommentSubjectChar"/>
    <w:rsid w:val="009E1A95"/>
    <w:rPr>
      <w:b/>
      <w:bCs/>
    </w:rPr>
  </w:style>
  <w:style w:type="paragraph" w:styleId="TOCHeading">
    <w:name w:val="TOC Heading"/>
    <w:basedOn w:val="Heading1"/>
    <w:next w:val="Normal"/>
    <w:qFormat/>
    <w:rsid w:val="009E1A95"/>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6F7843"/>
  </w:style>
  <w:style w:type="character" w:customStyle="1" w:styleId="Heading2Char">
    <w:name w:val="Heading 2 Char"/>
    <w:link w:val="Heading2"/>
    <w:uiPriority w:val="99"/>
    <w:rsid w:val="003F0145"/>
    <w:rPr>
      <w:rFonts w:ascii="Arial" w:hAnsi="Arial" w:cs="Arial"/>
      <w:b/>
      <w:bCs/>
      <w:i/>
      <w:iCs/>
      <w:sz w:val="28"/>
      <w:szCs w:val="28"/>
      <w:lang w:val="en-US" w:eastAsia="en-US"/>
    </w:rPr>
  </w:style>
  <w:style w:type="character" w:customStyle="1" w:styleId="TitleChar">
    <w:name w:val="Title Char"/>
    <w:link w:val="Title"/>
    <w:rsid w:val="00681DD5"/>
    <w:rPr>
      <w:rFonts w:ascii="Cambria" w:eastAsia="Calibri" w:hAnsi="Cambria"/>
      <w:color w:val="17365D"/>
      <w:spacing w:val="5"/>
      <w:kern w:val="28"/>
      <w:sz w:val="52"/>
      <w:szCs w:val="52"/>
      <w:lang w:val="en-US" w:eastAsia="en-US"/>
    </w:rPr>
  </w:style>
  <w:style w:type="character" w:customStyle="1" w:styleId="BodyTextChar">
    <w:name w:val="Body Text Char"/>
    <w:link w:val="BodyText"/>
    <w:rsid w:val="00681DD5"/>
    <w:rPr>
      <w:rFonts w:ascii="MAC C Swiss" w:hAnsi="MAC C Swiss"/>
      <w:sz w:val="24"/>
      <w:lang w:val="en-US" w:eastAsia="en-US"/>
    </w:rPr>
  </w:style>
  <w:style w:type="character" w:customStyle="1" w:styleId="CommentTextChar">
    <w:name w:val="Comment Text Char"/>
    <w:link w:val="CommentText"/>
    <w:rsid w:val="00681DD5"/>
    <w:rPr>
      <w:rFonts w:ascii="Calibri" w:hAnsi="Calibri"/>
      <w:lang w:val="en-US" w:eastAsia="en-US"/>
    </w:rPr>
  </w:style>
  <w:style w:type="character" w:customStyle="1" w:styleId="CommentSubjectChar">
    <w:name w:val="Comment Subject Char"/>
    <w:link w:val="CommentSubject"/>
    <w:rsid w:val="00681DD5"/>
    <w:rPr>
      <w:rFonts w:ascii="Calibri" w:hAnsi="Calibri"/>
      <w:b/>
      <w:bCs/>
      <w:lang w:val="en-US" w:eastAsia="en-US"/>
    </w:rPr>
  </w:style>
  <w:style w:type="character" w:customStyle="1" w:styleId="ListParagraphChar">
    <w:name w:val="List Paragraph Char"/>
    <w:link w:val="ListParagraph"/>
    <w:uiPriority w:val="34"/>
    <w:rsid w:val="00B5715C"/>
    <w:rPr>
      <w:rFonts w:ascii="Calibri" w:hAnsi="Calibri" w:cs="Calibri"/>
      <w:sz w:val="22"/>
      <w:szCs w:val="22"/>
      <w:lang w:eastAsia="en-US"/>
    </w:rPr>
  </w:style>
  <w:style w:type="character" w:customStyle="1" w:styleId="NoSpacingChar">
    <w:name w:val="No Spacing Char"/>
    <w:link w:val="NoSpacing"/>
    <w:uiPriority w:val="1"/>
    <w:rsid w:val="007A527E"/>
    <w:rPr>
      <w:rFonts w:ascii="Calibri" w:hAnsi="Calibri"/>
      <w:sz w:val="22"/>
      <w:szCs w:val="22"/>
      <w:lang w:val="en-US" w:eastAsia="en-US" w:bidi="ar-SA"/>
    </w:rPr>
  </w:style>
  <w:style w:type="character" w:customStyle="1" w:styleId="y2iqfc">
    <w:name w:val="y2iqfc"/>
    <w:basedOn w:val="DefaultParagraphFont"/>
    <w:rsid w:val="009A7015"/>
  </w:style>
  <w:style w:type="paragraph" w:customStyle="1" w:styleId="p">
    <w:name w:val="p"/>
    <w:basedOn w:val="Normal"/>
    <w:qFormat/>
    <w:rsid w:val="005074C2"/>
    <w:pPr>
      <w:spacing w:before="100" w:beforeAutospacing="1" w:after="100" w:afterAutospacing="1"/>
    </w:pPr>
    <w:rPr>
      <w:rFonts w:ascii="Times New Roman" w:hAnsi="Times New Roman" w:cs="Times New Roman"/>
      <w:sz w:val="24"/>
      <w:szCs w:val="24"/>
      <w:lang w:val="en-US"/>
    </w:rPr>
  </w:style>
  <w:style w:type="character" w:customStyle="1" w:styleId="jlqj4b">
    <w:name w:val="jlqj4b"/>
    <w:basedOn w:val="DefaultParagraphFont"/>
    <w:qFormat/>
    <w:rsid w:val="005074C2"/>
  </w:style>
  <w:style w:type="character" w:customStyle="1" w:styleId="ref-title">
    <w:name w:val="ref-title"/>
    <w:basedOn w:val="DefaultParagraphFont"/>
    <w:rsid w:val="0026510E"/>
  </w:style>
  <w:style w:type="character" w:customStyle="1" w:styleId="identifier">
    <w:name w:val="identifier"/>
    <w:basedOn w:val="DefaultParagraphFont"/>
    <w:rsid w:val="0026510E"/>
  </w:style>
  <w:style w:type="character" w:customStyle="1" w:styleId="id-label">
    <w:name w:val="id-label"/>
    <w:basedOn w:val="DefaultParagraphFont"/>
    <w:rsid w:val="0026510E"/>
  </w:style>
  <w:style w:type="character" w:customStyle="1" w:styleId="mixed-citation">
    <w:name w:val="mixed-citation"/>
    <w:basedOn w:val="DefaultParagraphFont"/>
    <w:rsid w:val="0026510E"/>
  </w:style>
  <w:style w:type="character" w:customStyle="1" w:styleId="period">
    <w:name w:val="period"/>
    <w:basedOn w:val="DefaultParagraphFont"/>
    <w:rsid w:val="0026510E"/>
  </w:style>
  <w:style w:type="character" w:customStyle="1" w:styleId="cit">
    <w:name w:val="cit"/>
    <w:basedOn w:val="DefaultParagraphFont"/>
    <w:rsid w:val="0026510E"/>
  </w:style>
  <w:style w:type="character" w:customStyle="1" w:styleId="authors-list-item">
    <w:name w:val="authors-list-item"/>
    <w:basedOn w:val="DefaultParagraphFont"/>
    <w:rsid w:val="0026510E"/>
  </w:style>
  <w:style w:type="character" w:customStyle="1" w:styleId="author-sup-separator">
    <w:name w:val="author-sup-separator"/>
    <w:basedOn w:val="DefaultParagraphFont"/>
    <w:rsid w:val="0026510E"/>
  </w:style>
  <w:style w:type="character" w:customStyle="1" w:styleId="comma">
    <w:name w:val="comma"/>
    <w:basedOn w:val="DefaultParagraphFont"/>
    <w:rsid w:val="0026510E"/>
  </w:style>
  <w:style w:type="character" w:customStyle="1" w:styleId="secondary-date">
    <w:name w:val="secondary-date"/>
    <w:basedOn w:val="DefaultParagraphFont"/>
    <w:rsid w:val="00E64B8C"/>
  </w:style>
  <w:style w:type="character" w:customStyle="1" w:styleId="cit-pub-date">
    <w:name w:val="cit-pub-date"/>
    <w:basedOn w:val="DefaultParagraphFont"/>
    <w:rsid w:val="00E64B8C"/>
  </w:style>
  <w:style w:type="character" w:customStyle="1" w:styleId="cit-source">
    <w:name w:val="cit-source"/>
    <w:basedOn w:val="DefaultParagraphFont"/>
    <w:rsid w:val="00E64B8C"/>
  </w:style>
  <w:style w:type="character" w:customStyle="1" w:styleId="cit-vol">
    <w:name w:val="cit-vol"/>
    <w:basedOn w:val="DefaultParagraphFont"/>
    <w:rsid w:val="00E64B8C"/>
  </w:style>
  <w:style w:type="character" w:customStyle="1" w:styleId="cit-fpage">
    <w:name w:val="cit-fpage"/>
    <w:basedOn w:val="DefaultParagraphFont"/>
    <w:rsid w:val="00E64B8C"/>
  </w:style>
  <w:style w:type="character" w:customStyle="1" w:styleId="cit-reflinks-abstract">
    <w:name w:val="cit-reflinks-abstract"/>
    <w:basedOn w:val="DefaultParagraphFont"/>
    <w:rsid w:val="00E64B8C"/>
  </w:style>
  <w:style w:type="character" w:customStyle="1" w:styleId="cit-sep">
    <w:name w:val="cit-sep"/>
    <w:basedOn w:val="DefaultParagraphFont"/>
    <w:rsid w:val="00E64B8C"/>
  </w:style>
  <w:style w:type="character" w:customStyle="1" w:styleId="cit-reflinks-full-text">
    <w:name w:val="cit-reflinks-full-text"/>
    <w:basedOn w:val="DefaultParagraphFont"/>
    <w:rsid w:val="00E64B8C"/>
  </w:style>
  <w:style w:type="character" w:customStyle="1" w:styleId="free-full-text">
    <w:name w:val="free-full-text"/>
    <w:basedOn w:val="DefaultParagraphFont"/>
    <w:rsid w:val="00E64B8C"/>
  </w:style>
  <w:style w:type="character" w:customStyle="1" w:styleId="ref-iss">
    <w:name w:val="ref-iss"/>
    <w:basedOn w:val="DefaultParagraphFont"/>
    <w:rsid w:val="00E64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219">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34"/>
          <w:marBottom w:val="34"/>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166"/>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
          <w:marLeft w:val="0"/>
          <w:marRight w:val="0"/>
          <w:marTop w:val="166"/>
          <w:marBottom w:val="166"/>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34"/>
          <w:marBottom w:val="34"/>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34"/>
          <w:marBottom w:val="34"/>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96"/>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166"/>
          <w:marBottom w:val="166"/>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166"/>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 w:id="9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166"/>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
          <w:marLeft w:val="0"/>
          <w:marRight w:val="0"/>
          <w:marTop w:val="166"/>
          <w:marBottom w:val="166"/>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34"/>
          <w:marBottom w:val="34"/>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166"/>
          <w:marBottom w:val="166"/>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117">
          <w:marLeft w:val="0"/>
          <w:marRight w:val="0"/>
          <w:marTop w:val="0"/>
          <w:marBottom w:val="166"/>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120"/>
          <w:marBottom w:val="360"/>
          <w:divBdr>
            <w:top w:val="none" w:sz="0" w:space="0" w:color="auto"/>
            <w:left w:val="none" w:sz="0" w:space="0" w:color="auto"/>
            <w:bottom w:val="none" w:sz="0" w:space="0" w:color="auto"/>
            <w:right w:val="none" w:sz="0" w:space="0" w:color="auto"/>
          </w:divBdr>
          <w:divsChild>
            <w:div w:id="119">
              <w:marLeft w:val="323"/>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34"/>
                  <w:marBottom w:val="34"/>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
          <w:marLeft w:val="0"/>
          <w:marRight w:val="0"/>
          <w:marTop w:val="120"/>
          <w:marBottom w:val="36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 w:id="123">
              <w:marLeft w:val="323"/>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34"/>
          <w:marBottom w:val="34"/>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34"/>
          <w:marBottom w:val="34"/>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34"/>
          <w:marBottom w:val="34"/>
          <w:divBdr>
            <w:top w:val="none" w:sz="0" w:space="0" w:color="auto"/>
            <w:left w:val="none" w:sz="0" w:space="0" w:color="auto"/>
            <w:bottom w:val="none" w:sz="0" w:space="0" w:color="auto"/>
            <w:right w:val="none" w:sz="0" w:space="0" w:color="auto"/>
          </w:divBdr>
        </w:div>
      </w:divsChild>
    </w:div>
    <w:div w:id="136">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34"/>
          <w:marBottom w:val="34"/>
          <w:divBdr>
            <w:top w:val="none" w:sz="0" w:space="0" w:color="auto"/>
            <w:left w:val="none" w:sz="0" w:space="0" w:color="auto"/>
            <w:bottom w:val="none" w:sz="0" w:space="0" w:color="auto"/>
            <w:right w:val="none" w:sz="0" w:space="0" w:color="auto"/>
          </w:divBdr>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34"/>
          <w:marBottom w:val="34"/>
          <w:divBdr>
            <w:top w:val="none" w:sz="0" w:space="0" w:color="auto"/>
            <w:left w:val="none" w:sz="0" w:space="0" w:color="auto"/>
            <w:bottom w:val="none" w:sz="0" w:space="0" w:color="auto"/>
            <w:right w:val="none" w:sz="0" w:space="0" w:color="auto"/>
          </w:divBdr>
        </w:div>
      </w:divsChild>
    </w:div>
    <w:div w:id="140">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34"/>
          <w:marBottom w:val="34"/>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34"/>
          <w:marBottom w:val="34"/>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34"/>
          <w:marBottom w:val="34"/>
          <w:divBdr>
            <w:top w:val="none" w:sz="0" w:space="0" w:color="auto"/>
            <w:left w:val="none" w:sz="0" w:space="0" w:color="auto"/>
            <w:bottom w:val="none" w:sz="0" w:space="0" w:color="auto"/>
            <w:right w:val="none" w:sz="0" w:space="0" w:color="auto"/>
          </w:divBdr>
        </w:div>
      </w:divsChild>
    </w:div>
    <w:div w:id="146">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34"/>
          <w:marBottom w:val="34"/>
          <w:divBdr>
            <w:top w:val="none" w:sz="0" w:space="0" w:color="auto"/>
            <w:left w:val="none" w:sz="0" w:space="0" w:color="auto"/>
            <w:bottom w:val="none" w:sz="0" w:space="0" w:color="auto"/>
            <w:right w:val="none" w:sz="0" w:space="0" w:color="auto"/>
          </w:divBdr>
        </w:div>
      </w:divsChild>
    </w:div>
    <w:div w:id="149">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34"/>
          <w:marBottom w:val="34"/>
          <w:divBdr>
            <w:top w:val="none" w:sz="0" w:space="0" w:color="auto"/>
            <w:left w:val="none" w:sz="0" w:space="0" w:color="auto"/>
            <w:bottom w:val="none" w:sz="0" w:space="0" w:color="auto"/>
            <w:right w:val="none" w:sz="0" w:space="0" w:color="auto"/>
          </w:divBdr>
        </w:div>
      </w:divsChild>
    </w:div>
    <w:div w:id="150">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34"/>
          <w:marBottom w:val="34"/>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34"/>
          <w:marBottom w:val="34"/>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34"/>
          <w:marBottom w:val="34"/>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sChild>
        <w:div w:id="157">
          <w:marLeft w:val="42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sChild>
        <w:div w:id="9">
          <w:marLeft w:val="288"/>
          <w:marRight w:val="0"/>
          <w:marTop w:val="0"/>
          <w:marBottom w:val="0"/>
          <w:divBdr>
            <w:top w:val="none" w:sz="0" w:space="0" w:color="auto"/>
            <w:left w:val="none" w:sz="0" w:space="0" w:color="auto"/>
            <w:bottom w:val="none" w:sz="0" w:space="0" w:color="auto"/>
            <w:right w:val="none" w:sz="0" w:space="0" w:color="auto"/>
          </w:divBdr>
        </w:div>
        <w:div w:id="13">
          <w:marLeft w:val="288"/>
          <w:marRight w:val="0"/>
          <w:marTop w:val="0"/>
          <w:marBottom w:val="0"/>
          <w:divBdr>
            <w:top w:val="none" w:sz="0" w:space="0" w:color="auto"/>
            <w:left w:val="none" w:sz="0" w:space="0" w:color="auto"/>
            <w:bottom w:val="none" w:sz="0" w:space="0" w:color="auto"/>
            <w:right w:val="none" w:sz="0" w:space="0" w:color="auto"/>
          </w:divBdr>
        </w:div>
        <w:div w:id="28">
          <w:marLeft w:val="288"/>
          <w:marRight w:val="0"/>
          <w:marTop w:val="0"/>
          <w:marBottom w:val="0"/>
          <w:divBdr>
            <w:top w:val="none" w:sz="0" w:space="0" w:color="auto"/>
            <w:left w:val="none" w:sz="0" w:space="0" w:color="auto"/>
            <w:bottom w:val="none" w:sz="0" w:space="0" w:color="auto"/>
            <w:right w:val="none" w:sz="0" w:space="0" w:color="auto"/>
          </w:divBdr>
        </w:div>
        <w:div w:id="30">
          <w:marLeft w:val="288"/>
          <w:marRight w:val="0"/>
          <w:marTop w:val="0"/>
          <w:marBottom w:val="0"/>
          <w:divBdr>
            <w:top w:val="none" w:sz="0" w:space="0" w:color="auto"/>
            <w:left w:val="none" w:sz="0" w:space="0" w:color="auto"/>
            <w:bottom w:val="none" w:sz="0" w:space="0" w:color="auto"/>
            <w:right w:val="none" w:sz="0" w:space="0" w:color="auto"/>
          </w:divBdr>
        </w:div>
        <w:div w:id="51">
          <w:marLeft w:val="288"/>
          <w:marRight w:val="0"/>
          <w:marTop w:val="0"/>
          <w:marBottom w:val="0"/>
          <w:divBdr>
            <w:top w:val="none" w:sz="0" w:space="0" w:color="auto"/>
            <w:left w:val="none" w:sz="0" w:space="0" w:color="auto"/>
            <w:bottom w:val="none" w:sz="0" w:space="0" w:color="auto"/>
            <w:right w:val="none" w:sz="0" w:space="0" w:color="auto"/>
          </w:divBdr>
        </w:div>
        <w:div w:id="155">
          <w:marLeft w:val="288"/>
          <w:marRight w:val="0"/>
          <w:marTop w:val="0"/>
          <w:marBottom w:val="0"/>
          <w:divBdr>
            <w:top w:val="none" w:sz="0" w:space="0" w:color="auto"/>
            <w:left w:val="none" w:sz="0" w:space="0" w:color="auto"/>
            <w:bottom w:val="none" w:sz="0" w:space="0" w:color="auto"/>
            <w:right w:val="none" w:sz="0" w:space="0" w:color="auto"/>
          </w:divBdr>
        </w:div>
        <w:div w:id="175">
          <w:marLeft w:val="288"/>
          <w:marRight w:val="0"/>
          <w:marTop w:val="0"/>
          <w:marBottom w:val="0"/>
          <w:divBdr>
            <w:top w:val="none" w:sz="0" w:space="0" w:color="auto"/>
            <w:left w:val="none" w:sz="0" w:space="0" w:color="auto"/>
            <w:bottom w:val="none" w:sz="0" w:space="0" w:color="auto"/>
            <w:right w:val="none" w:sz="0" w:space="0" w:color="auto"/>
          </w:divBdr>
        </w:div>
        <w:div w:id="182">
          <w:marLeft w:val="288"/>
          <w:marRight w:val="0"/>
          <w:marTop w:val="0"/>
          <w:marBottom w:val="0"/>
          <w:divBdr>
            <w:top w:val="none" w:sz="0" w:space="0" w:color="auto"/>
            <w:left w:val="none" w:sz="0" w:space="0" w:color="auto"/>
            <w:bottom w:val="none" w:sz="0" w:space="0" w:color="auto"/>
            <w:right w:val="none" w:sz="0" w:space="0" w:color="auto"/>
          </w:divBdr>
        </w:div>
        <w:div w:id="187">
          <w:marLeft w:val="288"/>
          <w:marRight w:val="0"/>
          <w:marTop w:val="0"/>
          <w:marBottom w:val="0"/>
          <w:divBdr>
            <w:top w:val="none" w:sz="0" w:space="0" w:color="auto"/>
            <w:left w:val="none" w:sz="0" w:space="0" w:color="auto"/>
            <w:bottom w:val="none" w:sz="0" w:space="0" w:color="auto"/>
            <w:right w:val="none" w:sz="0" w:space="0" w:color="auto"/>
          </w:divBdr>
        </w:div>
        <w:div w:id="193">
          <w:marLeft w:val="288"/>
          <w:marRight w:val="0"/>
          <w:marTop w:val="0"/>
          <w:marBottom w:val="0"/>
          <w:divBdr>
            <w:top w:val="none" w:sz="0" w:space="0" w:color="auto"/>
            <w:left w:val="none" w:sz="0" w:space="0" w:color="auto"/>
            <w:bottom w:val="none" w:sz="0" w:space="0" w:color="auto"/>
            <w:right w:val="none" w:sz="0" w:space="0" w:color="auto"/>
          </w:divBdr>
        </w:div>
        <w:div w:id="200">
          <w:marLeft w:val="288"/>
          <w:marRight w:val="0"/>
          <w:marTop w:val="0"/>
          <w:marBottom w:val="0"/>
          <w:divBdr>
            <w:top w:val="none" w:sz="0" w:space="0" w:color="auto"/>
            <w:left w:val="none" w:sz="0" w:space="0" w:color="auto"/>
            <w:bottom w:val="none" w:sz="0" w:space="0" w:color="auto"/>
            <w:right w:val="none" w:sz="0" w:space="0" w:color="auto"/>
          </w:divBdr>
        </w:div>
        <w:div w:id="203">
          <w:marLeft w:val="288"/>
          <w:marRight w:val="0"/>
          <w:marTop w:val="0"/>
          <w:marBottom w:val="0"/>
          <w:divBdr>
            <w:top w:val="none" w:sz="0" w:space="0" w:color="auto"/>
            <w:left w:val="none" w:sz="0" w:space="0" w:color="auto"/>
            <w:bottom w:val="none" w:sz="0" w:space="0" w:color="auto"/>
            <w:right w:val="none" w:sz="0" w:space="0" w:color="auto"/>
          </w:divBdr>
        </w:div>
        <w:div w:id="213">
          <w:marLeft w:val="288"/>
          <w:marRight w:val="0"/>
          <w:marTop w:val="0"/>
          <w:marBottom w:val="0"/>
          <w:divBdr>
            <w:top w:val="none" w:sz="0" w:space="0" w:color="auto"/>
            <w:left w:val="none" w:sz="0" w:space="0" w:color="auto"/>
            <w:bottom w:val="none" w:sz="0" w:space="0" w:color="auto"/>
            <w:right w:val="none" w:sz="0" w:space="0" w:color="auto"/>
          </w:divBdr>
        </w:div>
        <w:div w:id="215">
          <w:marLeft w:val="288"/>
          <w:marRight w:val="0"/>
          <w:marTop w:val="0"/>
          <w:marBottom w:val="0"/>
          <w:divBdr>
            <w:top w:val="none" w:sz="0" w:space="0" w:color="auto"/>
            <w:left w:val="none" w:sz="0" w:space="0" w:color="auto"/>
            <w:bottom w:val="none" w:sz="0" w:space="0" w:color="auto"/>
            <w:right w:val="none" w:sz="0" w:space="0" w:color="auto"/>
          </w:divBdr>
        </w:div>
      </w:divsChild>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34"/>
          <w:marBottom w:val="34"/>
          <w:divBdr>
            <w:top w:val="none" w:sz="0" w:space="0" w:color="auto"/>
            <w:left w:val="none" w:sz="0" w:space="0" w:color="auto"/>
            <w:bottom w:val="none" w:sz="0" w:space="0" w:color="auto"/>
            <w:right w:val="none" w:sz="0" w:space="0" w:color="auto"/>
          </w:divBdr>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sChild>
        <w:div w:id="4">
          <w:marLeft w:val="288"/>
          <w:marRight w:val="0"/>
          <w:marTop w:val="0"/>
          <w:marBottom w:val="0"/>
          <w:divBdr>
            <w:top w:val="none" w:sz="0" w:space="0" w:color="auto"/>
            <w:left w:val="none" w:sz="0" w:space="0" w:color="auto"/>
            <w:bottom w:val="none" w:sz="0" w:space="0" w:color="auto"/>
            <w:right w:val="none" w:sz="0" w:space="0" w:color="auto"/>
          </w:divBdr>
        </w:div>
        <w:div w:id="8">
          <w:marLeft w:val="288"/>
          <w:marRight w:val="0"/>
          <w:marTop w:val="0"/>
          <w:marBottom w:val="0"/>
          <w:divBdr>
            <w:top w:val="none" w:sz="0" w:space="0" w:color="auto"/>
            <w:left w:val="none" w:sz="0" w:space="0" w:color="auto"/>
            <w:bottom w:val="none" w:sz="0" w:space="0" w:color="auto"/>
            <w:right w:val="none" w:sz="0" w:space="0" w:color="auto"/>
          </w:divBdr>
        </w:div>
        <w:div w:id="11">
          <w:marLeft w:val="288"/>
          <w:marRight w:val="0"/>
          <w:marTop w:val="0"/>
          <w:marBottom w:val="0"/>
          <w:divBdr>
            <w:top w:val="none" w:sz="0" w:space="0" w:color="auto"/>
            <w:left w:val="none" w:sz="0" w:space="0" w:color="auto"/>
            <w:bottom w:val="none" w:sz="0" w:space="0" w:color="auto"/>
            <w:right w:val="none" w:sz="0" w:space="0" w:color="auto"/>
          </w:divBdr>
        </w:div>
        <w:div w:id="16">
          <w:marLeft w:val="288"/>
          <w:marRight w:val="0"/>
          <w:marTop w:val="0"/>
          <w:marBottom w:val="0"/>
          <w:divBdr>
            <w:top w:val="none" w:sz="0" w:space="0" w:color="auto"/>
            <w:left w:val="none" w:sz="0" w:space="0" w:color="auto"/>
            <w:bottom w:val="none" w:sz="0" w:space="0" w:color="auto"/>
            <w:right w:val="none" w:sz="0" w:space="0" w:color="auto"/>
          </w:divBdr>
        </w:div>
        <w:div w:id="29">
          <w:marLeft w:val="288"/>
          <w:marRight w:val="0"/>
          <w:marTop w:val="0"/>
          <w:marBottom w:val="0"/>
          <w:divBdr>
            <w:top w:val="none" w:sz="0" w:space="0" w:color="auto"/>
            <w:left w:val="none" w:sz="0" w:space="0" w:color="auto"/>
            <w:bottom w:val="none" w:sz="0" w:space="0" w:color="auto"/>
            <w:right w:val="none" w:sz="0" w:space="0" w:color="auto"/>
          </w:divBdr>
        </w:div>
        <w:div w:id="33">
          <w:marLeft w:val="288"/>
          <w:marRight w:val="0"/>
          <w:marTop w:val="0"/>
          <w:marBottom w:val="0"/>
          <w:divBdr>
            <w:top w:val="none" w:sz="0" w:space="0" w:color="auto"/>
            <w:left w:val="none" w:sz="0" w:space="0" w:color="auto"/>
            <w:bottom w:val="none" w:sz="0" w:space="0" w:color="auto"/>
            <w:right w:val="none" w:sz="0" w:space="0" w:color="auto"/>
          </w:divBdr>
        </w:div>
        <w:div w:id="34">
          <w:marLeft w:val="288"/>
          <w:marRight w:val="0"/>
          <w:marTop w:val="0"/>
          <w:marBottom w:val="0"/>
          <w:divBdr>
            <w:top w:val="none" w:sz="0" w:space="0" w:color="auto"/>
            <w:left w:val="none" w:sz="0" w:space="0" w:color="auto"/>
            <w:bottom w:val="none" w:sz="0" w:space="0" w:color="auto"/>
            <w:right w:val="none" w:sz="0" w:space="0" w:color="auto"/>
          </w:divBdr>
        </w:div>
        <w:div w:id="35">
          <w:marLeft w:val="288"/>
          <w:marRight w:val="0"/>
          <w:marTop w:val="0"/>
          <w:marBottom w:val="0"/>
          <w:divBdr>
            <w:top w:val="none" w:sz="0" w:space="0" w:color="auto"/>
            <w:left w:val="none" w:sz="0" w:space="0" w:color="auto"/>
            <w:bottom w:val="none" w:sz="0" w:space="0" w:color="auto"/>
            <w:right w:val="none" w:sz="0" w:space="0" w:color="auto"/>
          </w:divBdr>
        </w:div>
        <w:div w:id="43">
          <w:marLeft w:val="288"/>
          <w:marRight w:val="0"/>
          <w:marTop w:val="0"/>
          <w:marBottom w:val="0"/>
          <w:divBdr>
            <w:top w:val="none" w:sz="0" w:space="0" w:color="auto"/>
            <w:left w:val="none" w:sz="0" w:space="0" w:color="auto"/>
            <w:bottom w:val="none" w:sz="0" w:space="0" w:color="auto"/>
            <w:right w:val="none" w:sz="0" w:space="0" w:color="auto"/>
          </w:divBdr>
        </w:div>
        <w:div w:id="52">
          <w:marLeft w:val="288"/>
          <w:marRight w:val="0"/>
          <w:marTop w:val="0"/>
          <w:marBottom w:val="0"/>
          <w:divBdr>
            <w:top w:val="none" w:sz="0" w:space="0" w:color="auto"/>
            <w:left w:val="none" w:sz="0" w:space="0" w:color="auto"/>
            <w:bottom w:val="none" w:sz="0" w:space="0" w:color="auto"/>
            <w:right w:val="none" w:sz="0" w:space="0" w:color="auto"/>
          </w:divBdr>
        </w:div>
        <w:div w:id="53">
          <w:marLeft w:val="288"/>
          <w:marRight w:val="0"/>
          <w:marTop w:val="0"/>
          <w:marBottom w:val="0"/>
          <w:divBdr>
            <w:top w:val="none" w:sz="0" w:space="0" w:color="auto"/>
            <w:left w:val="none" w:sz="0" w:space="0" w:color="auto"/>
            <w:bottom w:val="none" w:sz="0" w:space="0" w:color="auto"/>
            <w:right w:val="none" w:sz="0" w:space="0" w:color="auto"/>
          </w:divBdr>
        </w:div>
        <w:div w:id="54">
          <w:marLeft w:val="288"/>
          <w:marRight w:val="0"/>
          <w:marTop w:val="0"/>
          <w:marBottom w:val="0"/>
          <w:divBdr>
            <w:top w:val="none" w:sz="0" w:space="0" w:color="auto"/>
            <w:left w:val="none" w:sz="0" w:space="0" w:color="auto"/>
            <w:bottom w:val="none" w:sz="0" w:space="0" w:color="auto"/>
            <w:right w:val="none" w:sz="0" w:space="0" w:color="auto"/>
          </w:divBdr>
        </w:div>
        <w:div w:id="167">
          <w:marLeft w:val="288"/>
          <w:marRight w:val="0"/>
          <w:marTop w:val="0"/>
          <w:marBottom w:val="0"/>
          <w:divBdr>
            <w:top w:val="none" w:sz="0" w:space="0" w:color="auto"/>
            <w:left w:val="none" w:sz="0" w:space="0" w:color="auto"/>
            <w:bottom w:val="none" w:sz="0" w:space="0" w:color="auto"/>
            <w:right w:val="none" w:sz="0" w:space="0" w:color="auto"/>
          </w:divBdr>
        </w:div>
        <w:div w:id="179">
          <w:marLeft w:val="288"/>
          <w:marRight w:val="0"/>
          <w:marTop w:val="0"/>
          <w:marBottom w:val="0"/>
          <w:divBdr>
            <w:top w:val="none" w:sz="0" w:space="0" w:color="auto"/>
            <w:left w:val="none" w:sz="0" w:space="0" w:color="auto"/>
            <w:bottom w:val="none" w:sz="0" w:space="0" w:color="auto"/>
            <w:right w:val="none" w:sz="0" w:space="0" w:color="auto"/>
          </w:divBdr>
        </w:div>
      </w:divsChild>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
      </w:divsChild>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1053368">
      <w:bodyDiv w:val="1"/>
      <w:marLeft w:val="0"/>
      <w:marRight w:val="0"/>
      <w:marTop w:val="0"/>
      <w:marBottom w:val="0"/>
      <w:divBdr>
        <w:top w:val="none" w:sz="0" w:space="0" w:color="auto"/>
        <w:left w:val="none" w:sz="0" w:space="0" w:color="auto"/>
        <w:bottom w:val="none" w:sz="0" w:space="0" w:color="auto"/>
        <w:right w:val="none" w:sz="0" w:space="0" w:color="auto"/>
      </w:divBdr>
    </w:div>
    <w:div w:id="1394082">
      <w:bodyDiv w:val="1"/>
      <w:marLeft w:val="0"/>
      <w:marRight w:val="0"/>
      <w:marTop w:val="0"/>
      <w:marBottom w:val="0"/>
      <w:divBdr>
        <w:top w:val="none" w:sz="0" w:space="0" w:color="auto"/>
        <w:left w:val="none" w:sz="0" w:space="0" w:color="auto"/>
        <w:bottom w:val="none" w:sz="0" w:space="0" w:color="auto"/>
        <w:right w:val="none" w:sz="0" w:space="0" w:color="auto"/>
      </w:divBdr>
    </w:div>
    <w:div w:id="1512804">
      <w:bodyDiv w:val="1"/>
      <w:marLeft w:val="0"/>
      <w:marRight w:val="0"/>
      <w:marTop w:val="0"/>
      <w:marBottom w:val="0"/>
      <w:divBdr>
        <w:top w:val="none" w:sz="0" w:space="0" w:color="auto"/>
        <w:left w:val="none" w:sz="0" w:space="0" w:color="auto"/>
        <w:bottom w:val="none" w:sz="0" w:space="0" w:color="auto"/>
        <w:right w:val="none" w:sz="0" w:space="0" w:color="auto"/>
      </w:divBdr>
    </w:div>
    <w:div w:id="6293193">
      <w:bodyDiv w:val="1"/>
      <w:marLeft w:val="0"/>
      <w:marRight w:val="0"/>
      <w:marTop w:val="0"/>
      <w:marBottom w:val="0"/>
      <w:divBdr>
        <w:top w:val="none" w:sz="0" w:space="0" w:color="auto"/>
        <w:left w:val="none" w:sz="0" w:space="0" w:color="auto"/>
        <w:bottom w:val="none" w:sz="0" w:space="0" w:color="auto"/>
        <w:right w:val="none" w:sz="0" w:space="0" w:color="auto"/>
      </w:divBdr>
    </w:div>
    <w:div w:id="9184127">
      <w:bodyDiv w:val="1"/>
      <w:marLeft w:val="0"/>
      <w:marRight w:val="0"/>
      <w:marTop w:val="0"/>
      <w:marBottom w:val="0"/>
      <w:divBdr>
        <w:top w:val="none" w:sz="0" w:space="0" w:color="auto"/>
        <w:left w:val="none" w:sz="0" w:space="0" w:color="auto"/>
        <w:bottom w:val="none" w:sz="0" w:space="0" w:color="auto"/>
        <w:right w:val="none" w:sz="0" w:space="0" w:color="auto"/>
      </w:divBdr>
    </w:div>
    <w:div w:id="11151049">
      <w:bodyDiv w:val="1"/>
      <w:marLeft w:val="0"/>
      <w:marRight w:val="0"/>
      <w:marTop w:val="0"/>
      <w:marBottom w:val="0"/>
      <w:divBdr>
        <w:top w:val="none" w:sz="0" w:space="0" w:color="auto"/>
        <w:left w:val="none" w:sz="0" w:space="0" w:color="auto"/>
        <w:bottom w:val="none" w:sz="0" w:space="0" w:color="auto"/>
        <w:right w:val="none" w:sz="0" w:space="0" w:color="auto"/>
      </w:divBdr>
    </w:div>
    <w:div w:id="12923618">
      <w:bodyDiv w:val="1"/>
      <w:marLeft w:val="0"/>
      <w:marRight w:val="0"/>
      <w:marTop w:val="0"/>
      <w:marBottom w:val="0"/>
      <w:divBdr>
        <w:top w:val="none" w:sz="0" w:space="0" w:color="auto"/>
        <w:left w:val="none" w:sz="0" w:space="0" w:color="auto"/>
        <w:bottom w:val="none" w:sz="0" w:space="0" w:color="auto"/>
        <w:right w:val="none" w:sz="0" w:space="0" w:color="auto"/>
      </w:divBdr>
    </w:div>
    <w:div w:id="18823474">
      <w:bodyDiv w:val="1"/>
      <w:marLeft w:val="0"/>
      <w:marRight w:val="0"/>
      <w:marTop w:val="0"/>
      <w:marBottom w:val="0"/>
      <w:divBdr>
        <w:top w:val="none" w:sz="0" w:space="0" w:color="auto"/>
        <w:left w:val="none" w:sz="0" w:space="0" w:color="auto"/>
        <w:bottom w:val="none" w:sz="0" w:space="0" w:color="auto"/>
        <w:right w:val="none" w:sz="0" w:space="0" w:color="auto"/>
      </w:divBdr>
    </w:div>
    <w:div w:id="22294259">
      <w:bodyDiv w:val="1"/>
      <w:marLeft w:val="0"/>
      <w:marRight w:val="0"/>
      <w:marTop w:val="0"/>
      <w:marBottom w:val="0"/>
      <w:divBdr>
        <w:top w:val="none" w:sz="0" w:space="0" w:color="auto"/>
        <w:left w:val="none" w:sz="0" w:space="0" w:color="auto"/>
        <w:bottom w:val="none" w:sz="0" w:space="0" w:color="auto"/>
        <w:right w:val="none" w:sz="0" w:space="0" w:color="auto"/>
      </w:divBdr>
    </w:div>
    <w:div w:id="22828707">
      <w:bodyDiv w:val="1"/>
      <w:marLeft w:val="0"/>
      <w:marRight w:val="0"/>
      <w:marTop w:val="0"/>
      <w:marBottom w:val="0"/>
      <w:divBdr>
        <w:top w:val="none" w:sz="0" w:space="0" w:color="auto"/>
        <w:left w:val="none" w:sz="0" w:space="0" w:color="auto"/>
        <w:bottom w:val="none" w:sz="0" w:space="0" w:color="auto"/>
        <w:right w:val="none" w:sz="0" w:space="0" w:color="auto"/>
      </w:divBdr>
    </w:div>
    <w:div w:id="23093200">
      <w:bodyDiv w:val="1"/>
      <w:marLeft w:val="0"/>
      <w:marRight w:val="0"/>
      <w:marTop w:val="0"/>
      <w:marBottom w:val="0"/>
      <w:divBdr>
        <w:top w:val="none" w:sz="0" w:space="0" w:color="auto"/>
        <w:left w:val="none" w:sz="0" w:space="0" w:color="auto"/>
        <w:bottom w:val="none" w:sz="0" w:space="0" w:color="auto"/>
        <w:right w:val="none" w:sz="0" w:space="0" w:color="auto"/>
      </w:divBdr>
    </w:div>
    <w:div w:id="26178740">
      <w:bodyDiv w:val="1"/>
      <w:marLeft w:val="0"/>
      <w:marRight w:val="0"/>
      <w:marTop w:val="0"/>
      <w:marBottom w:val="0"/>
      <w:divBdr>
        <w:top w:val="none" w:sz="0" w:space="0" w:color="auto"/>
        <w:left w:val="none" w:sz="0" w:space="0" w:color="auto"/>
        <w:bottom w:val="none" w:sz="0" w:space="0" w:color="auto"/>
        <w:right w:val="none" w:sz="0" w:space="0" w:color="auto"/>
      </w:divBdr>
    </w:div>
    <w:div w:id="26637173">
      <w:bodyDiv w:val="1"/>
      <w:marLeft w:val="0"/>
      <w:marRight w:val="0"/>
      <w:marTop w:val="0"/>
      <w:marBottom w:val="0"/>
      <w:divBdr>
        <w:top w:val="none" w:sz="0" w:space="0" w:color="auto"/>
        <w:left w:val="none" w:sz="0" w:space="0" w:color="auto"/>
        <w:bottom w:val="none" w:sz="0" w:space="0" w:color="auto"/>
        <w:right w:val="none" w:sz="0" w:space="0" w:color="auto"/>
      </w:divBdr>
    </w:div>
    <w:div w:id="29649510">
      <w:bodyDiv w:val="1"/>
      <w:marLeft w:val="0"/>
      <w:marRight w:val="0"/>
      <w:marTop w:val="0"/>
      <w:marBottom w:val="0"/>
      <w:divBdr>
        <w:top w:val="none" w:sz="0" w:space="0" w:color="auto"/>
        <w:left w:val="none" w:sz="0" w:space="0" w:color="auto"/>
        <w:bottom w:val="none" w:sz="0" w:space="0" w:color="auto"/>
        <w:right w:val="none" w:sz="0" w:space="0" w:color="auto"/>
      </w:divBdr>
    </w:div>
    <w:div w:id="32005427">
      <w:bodyDiv w:val="1"/>
      <w:marLeft w:val="0"/>
      <w:marRight w:val="0"/>
      <w:marTop w:val="0"/>
      <w:marBottom w:val="0"/>
      <w:divBdr>
        <w:top w:val="none" w:sz="0" w:space="0" w:color="auto"/>
        <w:left w:val="none" w:sz="0" w:space="0" w:color="auto"/>
        <w:bottom w:val="none" w:sz="0" w:space="0" w:color="auto"/>
        <w:right w:val="none" w:sz="0" w:space="0" w:color="auto"/>
      </w:divBdr>
    </w:div>
    <w:div w:id="45108976">
      <w:bodyDiv w:val="1"/>
      <w:marLeft w:val="0"/>
      <w:marRight w:val="0"/>
      <w:marTop w:val="0"/>
      <w:marBottom w:val="0"/>
      <w:divBdr>
        <w:top w:val="none" w:sz="0" w:space="0" w:color="auto"/>
        <w:left w:val="none" w:sz="0" w:space="0" w:color="auto"/>
        <w:bottom w:val="none" w:sz="0" w:space="0" w:color="auto"/>
        <w:right w:val="none" w:sz="0" w:space="0" w:color="auto"/>
      </w:divBdr>
    </w:div>
    <w:div w:id="46076258">
      <w:bodyDiv w:val="1"/>
      <w:marLeft w:val="0"/>
      <w:marRight w:val="0"/>
      <w:marTop w:val="0"/>
      <w:marBottom w:val="0"/>
      <w:divBdr>
        <w:top w:val="none" w:sz="0" w:space="0" w:color="auto"/>
        <w:left w:val="none" w:sz="0" w:space="0" w:color="auto"/>
        <w:bottom w:val="none" w:sz="0" w:space="0" w:color="auto"/>
        <w:right w:val="none" w:sz="0" w:space="0" w:color="auto"/>
      </w:divBdr>
    </w:div>
    <w:div w:id="46877022">
      <w:bodyDiv w:val="1"/>
      <w:marLeft w:val="0"/>
      <w:marRight w:val="0"/>
      <w:marTop w:val="0"/>
      <w:marBottom w:val="0"/>
      <w:divBdr>
        <w:top w:val="none" w:sz="0" w:space="0" w:color="auto"/>
        <w:left w:val="none" w:sz="0" w:space="0" w:color="auto"/>
        <w:bottom w:val="none" w:sz="0" w:space="0" w:color="auto"/>
        <w:right w:val="none" w:sz="0" w:space="0" w:color="auto"/>
      </w:divBdr>
    </w:div>
    <w:div w:id="50159303">
      <w:bodyDiv w:val="1"/>
      <w:marLeft w:val="0"/>
      <w:marRight w:val="0"/>
      <w:marTop w:val="0"/>
      <w:marBottom w:val="0"/>
      <w:divBdr>
        <w:top w:val="none" w:sz="0" w:space="0" w:color="auto"/>
        <w:left w:val="none" w:sz="0" w:space="0" w:color="auto"/>
        <w:bottom w:val="none" w:sz="0" w:space="0" w:color="auto"/>
        <w:right w:val="none" w:sz="0" w:space="0" w:color="auto"/>
      </w:divBdr>
    </w:div>
    <w:div w:id="54356007">
      <w:bodyDiv w:val="1"/>
      <w:marLeft w:val="0"/>
      <w:marRight w:val="0"/>
      <w:marTop w:val="0"/>
      <w:marBottom w:val="0"/>
      <w:divBdr>
        <w:top w:val="none" w:sz="0" w:space="0" w:color="auto"/>
        <w:left w:val="none" w:sz="0" w:space="0" w:color="auto"/>
        <w:bottom w:val="none" w:sz="0" w:space="0" w:color="auto"/>
        <w:right w:val="none" w:sz="0" w:space="0" w:color="auto"/>
      </w:divBdr>
    </w:div>
    <w:div w:id="54360103">
      <w:bodyDiv w:val="1"/>
      <w:marLeft w:val="0"/>
      <w:marRight w:val="0"/>
      <w:marTop w:val="0"/>
      <w:marBottom w:val="0"/>
      <w:divBdr>
        <w:top w:val="none" w:sz="0" w:space="0" w:color="auto"/>
        <w:left w:val="none" w:sz="0" w:space="0" w:color="auto"/>
        <w:bottom w:val="none" w:sz="0" w:space="0" w:color="auto"/>
        <w:right w:val="none" w:sz="0" w:space="0" w:color="auto"/>
      </w:divBdr>
    </w:div>
    <w:div w:id="56519056">
      <w:bodyDiv w:val="1"/>
      <w:marLeft w:val="0"/>
      <w:marRight w:val="0"/>
      <w:marTop w:val="0"/>
      <w:marBottom w:val="0"/>
      <w:divBdr>
        <w:top w:val="none" w:sz="0" w:space="0" w:color="auto"/>
        <w:left w:val="none" w:sz="0" w:space="0" w:color="auto"/>
        <w:bottom w:val="none" w:sz="0" w:space="0" w:color="auto"/>
        <w:right w:val="none" w:sz="0" w:space="0" w:color="auto"/>
      </w:divBdr>
    </w:div>
    <w:div w:id="60910778">
      <w:bodyDiv w:val="1"/>
      <w:marLeft w:val="0"/>
      <w:marRight w:val="0"/>
      <w:marTop w:val="0"/>
      <w:marBottom w:val="0"/>
      <w:divBdr>
        <w:top w:val="none" w:sz="0" w:space="0" w:color="auto"/>
        <w:left w:val="none" w:sz="0" w:space="0" w:color="auto"/>
        <w:bottom w:val="none" w:sz="0" w:space="0" w:color="auto"/>
        <w:right w:val="none" w:sz="0" w:space="0" w:color="auto"/>
      </w:divBdr>
    </w:div>
    <w:div w:id="72168379">
      <w:bodyDiv w:val="1"/>
      <w:marLeft w:val="0"/>
      <w:marRight w:val="0"/>
      <w:marTop w:val="0"/>
      <w:marBottom w:val="0"/>
      <w:divBdr>
        <w:top w:val="none" w:sz="0" w:space="0" w:color="auto"/>
        <w:left w:val="none" w:sz="0" w:space="0" w:color="auto"/>
        <w:bottom w:val="none" w:sz="0" w:space="0" w:color="auto"/>
        <w:right w:val="none" w:sz="0" w:space="0" w:color="auto"/>
      </w:divBdr>
    </w:div>
    <w:div w:id="79185262">
      <w:bodyDiv w:val="1"/>
      <w:marLeft w:val="0"/>
      <w:marRight w:val="0"/>
      <w:marTop w:val="0"/>
      <w:marBottom w:val="0"/>
      <w:divBdr>
        <w:top w:val="none" w:sz="0" w:space="0" w:color="auto"/>
        <w:left w:val="none" w:sz="0" w:space="0" w:color="auto"/>
        <w:bottom w:val="none" w:sz="0" w:space="0" w:color="auto"/>
        <w:right w:val="none" w:sz="0" w:space="0" w:color="auto"/>
      </w:divBdr>
    </w:div>
    <w:div w:id="82344365">
      <w:bodyDiv w:val="1"/>
      <w:marLeft w:val="0"/>
      <w:marRight w:val="0"/>
      <w:marTop w:val="0"/>
      <w:marBottom w:val="0"/>
      <w:divBdr>
        <w:top w:val="none" w:sz="0" w:space="0" w:color="auto"/>
        <w:left w:val="none" w:sz="0" w:space="0" w:color="auto"/>
        <w:bottom w:val="none" w:sz="0" w:space="0" w:color="auto"/>
        <w:right w:val="none" w:sz="0" w:space="0" w:color="auto"/>
      </w:divBdr>
    </w:div>
    <w:div w:id="86119546">
      <w:bodyDiv w:val="1"/>
      <w:marLeft w:val="0"/>
      <w:marRight w:val="0"/>
      <w:marTop w:val="0"/>
      <w:marBottom w:val="0"/>
      <w:divBdr>
        <w:top w:val="none" w:sz="0" w:space="0" w:color="auto"/>
        <w:left w:val="none" w:sz="0" w:space="0" w:color="auto"/>
        <w:bottom w:val="none" w:sz="0" w:space="0" w:color="auto"/>
        <w:right w:val="none" w:sz="0" w:space="0" w:color="auto"/>
      </w:divBdr>
    </w:div>
    <w:div w:id="88544163">
      <w:bodyDiv w:val="1"/>
      <w:marLeft w:val="0"/>
      <w:marRight w:val="0"/>
      <w:marTop w:val="0"/>
      <w:marBottom w:val="0"/>
      <w:divBdr>
        <w:top w:val="none" w:sz="0" w:space="0" w:color="auto"/>
        <w:left w:val="none" w:sz="0" w:space="0" w:color="auto"/>
        <w:bottom w:val="none" w:sz="0" w:space="0" w:color="auto"/>
        <w:right w:val="none" w:sz="0" w:space="0" w:color="auto"/>
      </w:divBdr>
    </w:div>
    <w:div w:id="89081285">
      <w:bodyDiv w:val="1"/>
      <w:marLeft w:val="0"/>
      <w:marRight w:val="0"/>
      <w:marTop w:val="0"/>
      <w:marBottom w:val="0"/>
      <w:divBdr>
        <w:top w:val="none" w:sz="0" w:space="0" w:color="auto"/>
        <w:left w:val="none" w:sz="0" w:space="0" w:color="auto"/>
        <w:bottom w:val="none" w:sz="0" w:space="0" w:color="auto"/>
        <w:right w:val="none" w:sz="0" w:space="0" w:color="auto"/>
      </w:divBdr>
    </w:div>
    <w:div w:id="91316622">
      <w:bodyDiv w:val="1"/>
      <w:marLeft w:val="0"/>
      <w:marRight w:val="0"/>
      <w:marTop w:val="0"/>
      <w:marBottom w:val="0"/>
      <w:divBdr>
        <w:top w:val="none" w:sz="0" w:space="0" w:color="auto"/>
        <w:left w:val="none" w:sz="0" w:space="0" w:color="auto"/>
        <w:bottom w:val="none" w:sz="0" w:space="0" w:color="auto"/>
        <w:right w:val="none" w:sz="0" w:space="0" w:color="auto"/>
      </w:divBdr>
    </w:div>
    <w:div w:id="96104399">
      <w:bodyDiv w:val="1"/>
      <w:marLeft w:val="0"/>
      <w:marRight w:val="0"/>
      <w:marTop w:val="0"/>
      <w:marBottom w:val="0"/>
      <w:divBdr>
        <w:top w:val="none" w:sz="0" w:space="0" w:color="auto"/>
        <w:left w:val="none" w:sz="0" w:space="0" w:color="auto"/>
        <w:bottom w:val="none" w:sz="0" w:space="0" w:color="auto"/>
        <w:right w:val="none" w:sz="0" w:space="0" w:color="auto"/>
      </w:divBdr>
    </w:div>
    <w:div w:id="98378529">
      <w:bodyDiv w:val="1"/>
      <w:marLeft w:val="0"/>
      <w:marRight w:val="0"/>
      <w:marTop w:val="0"/>
      <w:marBottom w:val="0"/>
      <w:divBdr>
        <w:top w:val="none" w:sz="0" w:space="0" w:color="auto"/>
        <w:left w:val="none" w:sz="0" w:space="0" w:color="auto"/>
        <w:bottom w:val="none" w:sz="0" w:space="0" w:color="auto"/>
        <w:right w:val="none" w:sz="0" w:space="0" w:color="auto"/>
      </w:divBdr>
    </w:div>
    <w:div w:id="107967699">
      <w:bodyDiv w:val="1"/>
      <w:marLeft w:val="0"/>
      <w:marRight w:val="0"/>
      <w:marTop w:val="0"/>
      <w:marBottom w:val="0"/>
      <w:divBdr>
        <w:top w:val="none" w:sz="0" w:space="0" w:color="auto"/>
        <w:left w:val="none" w:sz="0" w:space="0" w:color="auto"/>
        <w:bottom w:val="none" w:sz="0" w:space="0" w:color="auto"/>
        <w:right w:val="none" w:sz="0" w:space="0" w:color="auto"/>
      </w:divBdr>
    </w:div>
    <w:div w:id="109596304">
      <w:bodyDiv w:val="1"/>
      <w:marLeft w:val="0"/>
      <w:marRight w:val="0"/>
      <w:marTop w:val="0"/>
      <w:marBottom w:val="0"/>
      <w:divBdr>
        <w:top w:val="none" w:sz="0" w:space="0" w:color="auto"/>
        <w:left w:val="none" w:sz="0" w:space="0" w:color="auto"/>
        <w:bottom w:val="none" w:sz="0" w:space="0" w:color="auto"/>
        <w:right w:val="none" w:sz="0" w:space="0" w:color="auto"/>
      </w:divBdr>
    </w:div>
    <w:div w:id="110713861">
      <w:bodyDiv w:val="1"/>
      <w:marLeft w:val="0"/>
      <w:marRight w:val="0"/>
      <w:marTop w:val="0"/>
      <w:marBottom w:val="0"/>
      <w:divBdr>
        <w:top w:val="none" w:sz="0" w:space="0" w:color="auto"/>
        <w:left w:val="none" w:sz="0" w:space="0" w:color="auto"/>
        <w:bottom w:val="none" w:sz="0" w:space="0" w:color="auto"/>
        <w:right w:val="none" w:sz="0" w:space="0" w:color="auto"/>
      </w:divBdr>
    </w:div>
    <w:div w:id="118766692">
      <w:bodyDiv w:val="1"/>
      <w:marLeft w:val="0"/>
      <w:marRight w:val="0"/>
      <w:marTop w:val="0"/>
      <w:marBottom w:val="0"/>
      <w:divBdr>
        <w:top w:val="none" w:sz="0" w:space="0" w:color="auto"/>
        <w:left w:val="none" w:sz="0" w:space="0" w:color="auto"/>
        <w:bottom w:val="none" w:sz="0" w:space="0" w:color="auto"/>
        <w:right w:val="none" w:sz="0" w:space="0" w:color="auto"/>
      </w:divBdr>
    </w:div>
    <w:div w:id="122040589">
      <w:bodyDiv w:val="1"/>
      <w:marLeft w:val="0"/>
      <w:marRight w:val="0"/>
      <w:marTop w:val="0"/>
      <w:marBottom w:val="0"/>
      <w:divBdr>
        <w:top w:val="none" w:sz="0" w:space="0" w:color="auto"/>
        <w:left w:val="none" w:sz="0" w:space="0" w:color="auto"/>
        <w:bottom w:val="none" w:sz="0" w:space="0" w:color="auto"/>
        <w:right w:val="none" w:sz="0" w:space="0" w:color="auto"/>
      </w:divBdr>
    </w:div>
    <w:div w:id="128476399">
      <w:bodyDiv w:val="1"/>
      <w:marLeft w:val="0"/>
      <w:marRight w:val="0"/>
      <w:marTop w:val="0"/>
      <w:marBottom w:val="0"/>
      <w:divBdr>
        <w:top w:val="none" w:sz="0" w:space="0" w:color="auto"/>
        <w:left w:val="none" w:sz="0" w:space="0" w:color="auto"/>
        <w:bottom w:val="none" w:sz="0" w:space="0" w:color="auto"/>
        <w:right w:val="none" w:sz="0" w:space="0" w:color="auto"/>
      </w:divBdr>
    </w:div>
    <w:div w:id="128984030">
      <w:bodyDiv w:val="1"/>
      <w:marLeft w:val="0"/>
      <w:marRight w:val="0"/>
      <w:marTop w:val="0"/>
      <w:marBottom w:val="0"/>
      <w:divBdr>
        <w:top w:val="none" w:sz="0" w:space="0" w:color="auto"/>
        <w:left w:val="none" w:sz="0" w:space="0" w:color="auto"/>
        <w:bottom w:val="none" w:sz="0" w:space="0" w:color="auto"/>
        <w:right w:val="none" w:sz="0" w:space="0" w:color="auto"/>
      </w:divBdr>
    </w:div>
    <w:div w:id="129055178">
      <w:bodyDiv w:val="1"/>
      <w:marLeft w:val="0"/>
      <w:marRight w:val="0"/>
      <w:marTop w:val="0"/>
      <w:marBottom w:val="0"/>
      <w:divBdr>
        <w:top w:val="none" w:sz="0" w:space="0" w:color="auto"/>
        <w:left w:val="none" w:sz="0" w:space="0" w:color="auto"/>
        <w:bottom w:val="none" w:sz="0" w:space="0" w:color="auto"/>
        <w:right w:val="none" w:sz="0" w:space="0" w:color="auto"/>
      </w:divBdr>
    </w:div>
    <w:div w:id="131097228">
      <w:bodyDiv w:val="1"/>
      <w:marLeft w:val="0"/>
      <w:marRight w:val="0"/>
      <w:marTop w:val="0"/>
      <w:marBottom w:val="0"/>
      <w:divBdr>
        <w:top w:val="none" w:sz="0" w:space="0" w:color="auto"/>
        <w:left w:val="none" w:sz="0" w:space="0" w:color="auto"/>
        <w:bottom w:val="none" w:sz="0" w:space="0" w:color="auto"/>
        <w:right w:val="none" w:sz="0" w:space="0" w:color="auto"/>
      </w:divBdr>
    </w:div>
    <w:div w:id="135999137">
      <w:bodyDiv w:val="1"/>
      <w:marLeft w:val="0"/>
      <w:marRight w:val="0"/>
      <w:marTop w:val="0"/>
      <w:marBottom w:val="0"/>
      <w:divBdr>
        <w:top w:val="none" w:sz="0" w:space="0" w:color="auto"/>
        <w:left w:val="none" w:sz="0" w:space="0" w:color="auto"/>
        <w:bottom w:val="none" w:sz="0" w:space="0" w:color="auto"/>
        <w:right w:val="none" w:sz="0" w:space="0" w:color="auto"/>
      </w:divBdr>
    </w:div>
    <w:div w:id="139008419">
      <w:bodyDiv w:val="1"/>
      <w:marLeft w:val="0"/>
      <w:marRight w:val="0"/>
      <w:marTop w:val="0"/>
      <w:marBottom w:val="0"/>
      <w:divBdr>
        <w:top w:val="none" w:sz="0" w:space="0" w:color="auto"/>
        <w:left w:val="none" w:sz="0" w:space="0" w:color="auto"/>
        <w:bottom w:val="none" w:sz="0" w:space="0" w:color="auto"/>
        <w:right w:val="none" w:sz="0" w:space="0" w:color="auto"/>
      </w:divBdr>
    </w:div>
    <w:div w:id="140198093">
      <w:bodyDiv w:val="1"/>
      <w:marLeft w:val="0"/>
      <w:marRight w:val="0"/>
      <w:marTop w:val="0"/>
      <w:marBottom w:val="0"/>
      <w:divBdr>
        <w:top w:val="none" w:sz="0" w:space="0" w:color="auto"/>
        <w:left w:val="none" w:sz="0" w:space="0" w:color="auto"/>
        <w:bottom w:val="none" w:sz="0" w:space="0" w:color="auto"/>
        <w:right w:val="none" w:sz="0" w:space="0" w:color="auto"/>
      </w:divBdr>
    </w:div>
    <w:div w:id="145708429">
      <w:bodyDiv w:val="1"/>
      <w:marLeft w:val="0"/>
      <w:marRight w:val="0"/>
      <w:marTop w:val="0"/>
      <w:marBottom w:val="0"/>
      <w:divBdr>
        <w:top w:val="none" w:sz="0" w:space="0" w:color="auto"/>
        <w:left w:val="none" w:sz="0" w:space="0" w:color="auto"/>
        <w:bottom w:val="none" w:sz="0" w:space="0" w:color="auto"/>
        <w:right w:val="none" w:sz="0" w:space="0" w:color="auto"/>
      </w:divBdr>
    </w:div>
    <w:div w:id="149830244">
      <w:bodyDiv w:val="1"/>
      <w:marLeft w:val="0"/>
      <w:marRight w:val="0"/>
      <w:marTop w:val="0"/>
      <w:marBottom w:val="0"/>
      <w:divBdr>
        <w:top w:val="none" w:sz="0" w:space="0" w:color="auto"/>
        <w:left w:val="none" w:sz="0" w:space="0" w:color="auto"/>
        <w:bottom w:val="none" w:sz="0" w:space="0" w:color="auto"/>
        <w:right w:val="none" w:sz="0" w:space="0" w:color="auto"/>
      </w:divBdr>
    </w:div>
    <w:div w:id="153449197">
      <w:bodyDiv w:val="1"/>
      <w:marLeft w:val="0"/>
      <w:marRight w:val="0"/>
      <w:marTop w:val="0"/>
      <w:marBottom w:val="0"/>
      <w:divBdr>
        <w:top w:val="none" w:sz="0" w:space="0" w:color="auto"/>
        <w:left w:val="none" w:sz="0" w:space="0" w:color="auto"/>
        <w:bottom w:val="none" w:sz="0" w:space="0" w:color="auto"/>
        <w:right w:val="none" w:sz="0" w:space="0" w:color="auto"/>
      </w:divBdr>
    </w:div>
    <w:div w:id="153910660">
      <w:bodyDiv w:val="1"/>
      <w:marLeft w:val="0"/>
      <w:marRight w:val="0"/>
      <w:marTop w:val="0"/>
      <w:marBottom w:val="0"/>
      <w:divBdr>
        <w:top w:val="none" w:sz="0" w:space="0" w:color="auto"/>
        <w:left w:val="none" w:sz="0" w:space="0" w:color="auto"/>
        <w:bottom w:val="none" w:sz="0" w:space="0" w:color="auto"/>
        <w:right w:val="none" w:sz="0" w:space="0" w:color="auto"/>
      </w:divBdr>
    </w:div>
    <w:div w:id="157044075">
      <w:bodyDiv w:val="1"/>
      <w:marLeft w:val="0"/>
      <w:marRight w:val="0"/>
      <w:marTop w:val="0"/>
      <w:marBottom w:val="0"/>
      <w:divBdr>
        <w:top w:val="none" w:sz="0" w:space="0" w:color="auto"/>
        <w:left w:val="none" w:sz="0" w:space="0" w:color="auto"/>
        <w:bottom w:val="none" w:sz="0" w:space="0" w:color="auto"/>
        <w:right w:val="none" w:sz="0" w:space="0" w:color="auto"/>
      </w:divBdr>
    </w:div>
    <w:div w:id="157887537">
      <w:bodyDiv w:val="1"/>
      <w:marLeft w:val="0"/>
      <w:marRight w:val="0"/>
      <w:marTop w:val="0"/>
      <w:marBottom w:val="0"/>
      <w:divBdr>
        <w:top w:val="none" w:sz="0" w:space="0" w:color="auto"/>
        <w:left w:val="none" w:sz="0" w:space="0" w:color="auto"/>
        <w:bottom w:val="none" w:sz="0" w:space="0" w:color="auto"/>
        <w:right w:val="none" w:sz="0" w:space="0" w:color="auto"/>
      </w:divBdr>
    </w:div>
    <w:div w:id="160661420">
      <w:bodyDiv w:val="1"/>
      <w:marLeft w:val="0"/>
      <w:marRight w:val="0"/>
      <w:marTop w:val="0"/>
      <w:marBottom w:val="0"/>
      <w:divBdr>
        <w:top w:val="none" w:sz="0" w:space="0" w:color="auto"/>
        <w:left w:val="none" w:sz="0" w:space="0" w:color="auto"/>
        <w:bottom w:val="none" w:sz="0" w:space="0" w:color="auto"/>
        <w:right w:val="none" w:sz="0" w:space="0" w:color="auto"/>
      </w:divBdr>
    </w:div>
    <w:div w:id="165439635">
      <w:bodyDiv w:val="1"/>
      <w:marLeft w:val="0"/>
      <w:marRight w:val="0"/>
      <w:marTop w:val="0"/>
      <w:marBottom w:val="0"/>
      <w:divBdr>
        <w:top w:val="none" w:sz="0" w:space="0" w:color="auto"/>
        <w:left w:val="none" w:sz="0" w:space="0" w:color="auto"/>
        <w:bottom w:val="none" w:sz="0" w:space="0" w:color="auto"/>
        <w:right w:val="none" w:sz="0" w:space="0" w:color="auto"/>
      </w:divBdr>
    </w:div>
    <w:div w:id="167599709">
      <w:bodyDiv w:val="1"/>
      <w:marLeft w:val="0"/>
      <w:marRight w:val="0"/>
      <w:marTop w:val="0"/>
      <w:marBottom w:val="0"/>
      <w:divBdr>
        <w:top w:val="none" w:sz="0" w:space="0" w:color="auto"/>
        <w:left w:val="none" w:sz="0" w:space="0" w:color="auto"/>
        <w:bottom w:val="none" w:sz="0" w:space="0" w:color="auto"/>
        <w:right w:val="none" w:sz="0" w:space="0" w:color="auto"/>
      </w:divBdr>
    </w:div>
    <w:div w:id="167647597">
      <w:bodyDiv w:val="1"/>
      <w:marLeft w:val="0"/>
      <w:marRight w:val="0"/>
      <w:marTop w:val="0"/>
      <w:marBottom w:val="0"/>
      <w:divBdr>
        <w:top w:val="none" w:sz="0" w:space="0" w:color="auto"/>
        <w:left w:val="none" w:sz="0" w:space="0" w:color="auto"/>
        <w:bottom w:val="none" w:sz="0" w:space="0" w:color="auto"/>
        <w:right w:val="none" w:sz="0" w:space="0" w:color="auto"/>
      </w:divBdr>
    </w:div>
    <w:div w:id="180046197">
      <w:bodyDiv w:val="1"/>
      <w:marLeft w:val="0"/>
      <w:marRight w:val="0"/>
      <w:marTop w:val="0"/>
      <w:marBottom w:val="0"/>
      <w:divBdr>
        <w:top w:val="none" w:sz="0" w:space="0" w:color="auto"/>
        <w:left w:val="none" w:sz="0" w:space="0" w:color="auto"/>
        <w:bottom w:val="none" w:sz="0" w:space="0" w:color="auto"/>
        <w:right w:val="none" w:sz="0" w:space="0" w:color="auto"/>
      </w:divBdr>
    </w:div>
    <w:div w:id="181938692">
      <w:bodyDiv w:val="1"/>
      <w:marLeft w:val="0"/>
      <w:marRight w:val="0"/>
      <w:marTop w:val="0"/>
      <w:marBottom w:val="0"/>
      <w:divBdr>
        <w:top w:val="none" w:sz="0" w:space="0" w:color="auto"/>
        <w:left w:val="none" w:sz="0" w:space="0" w:color="auto"/>
        <w:bottom w:val="none" w:sz="0" w:space="0" w:color="auto"/>
        <w:right w:val="none" w:sz="0" w:space="0" w:color="auto"/>
      </w:divBdr>
    </w:div>
    <w:div w:id="182061605">
      <w:bodyDiv w:val="1"/>
      <w:marLeft w:val="0"/>
      <w:marRight w:val="0"/>
      <w:marTop w:val="0"/>
      <w:marBottom w:val="0"/>
      <w:divBdr>
        <w:top w:val="none" w:sz="0" w:space="0" w:color="auto"/>
        <w:left w:val="none" w:sz="0" w:space="0" w:color="auto"/>
        <w:bottom w:val="none" w:sz="0" w:space="0" w:color="auto"/>
        <w:right w:val="none" w:sz="0" w:space="0" w:color="auto"/>
      </w:divBdr>
    </w:div>
    <w:div w:id="182138259">
      <w:bodyDiv w:val="1"/>
      <w:marLeft w:val="0"/>
      <w:marRight w:val="0"/>
      <w:marTop w:val="0"/>
      <w:marBottom w:val="0"/>
      <w:divBdr>
        <w:top w:val="none" w:sz="0" w:space="0" w:color="auto"/>
        <w:left w:val="none" w:sz="0" w:space="0" w:color="auto"/>
        <w:bottom w:val="none" w:sz="0" w:space="0" w:color="auto"/>
        <w:right w:val="none" w:sz="0" w:space="0" w:color="auto"/>
      </w:divBdr>
    </w:div>
    <w:div w:id="183254297">
      <w:bodyDiv w:val="1"/>
      <w:marLeft w:val="0"/>
      <w:marRight w:val="0"/>
      <w:marTop w:val="0"/>
      <w:marBottom w:val="0"/>
      <w:divBdr>
        <w:top w:val="none" w:sz="0" w:space="0" w:color="auto"/>
        <w:left w:val="none" w:sz="0" w:space="0" w:color="auto"/>
        <w:bottom w:val="none" w:sz="0" w:space="0" w:color="auto"/>
        <w:right w:val="none" w:sz="0" w:space="0" w:color="auto"/>
      </w:divBdr>
    </w:div>
    <w:div w:id="185481835">
      <w:bodyDiv w:val="1"/>
      <w:marLeft w:val="0"/>
      <w:marRight w:val="0"/>
      <w:marTop w:val="0"/>
      <w:marBottom w:val="0"/>
      <w:divBdr>
        <w:top w:val="none" w:sz="0" w:space="0" w:color="auto"/>
        <w:left w:val="none" w:sz="0" w:space="0" w:color="auto"/>
        <w:bottom w:val="none" w:sz="0" w:space="0" w:color="auto"/>
        <w:right w:val="none" w:sz="0" w:space="0" w:color="auto"/>
      </w:divBdr>
    </w:div>
    <w:div w:id="187715613">
      <w:bodyDiv w:val="1"/>
      <w:marLeft w:val="0"/>
      <w:marRight w:val="0"/>
      <w:marTop w:val="0"/>
      <w:marBottom w:val="0"/>
      <w:divBdr>
        <w:top w:val="none" w:sz="0" w:space="0" w:color="auto"/>
        <w:left w:val="none" w:sz="0" w:space="0" w:color="auto"/>
        <w:bottom w:val="none" w:sz="0" w:space="0" w:color="auto"/>
        <w:right w:val="none" w:sz="0" w:space="0" w:color="auto"/>
      </w:divBdr>
    </w:div>
    <w:div w:id="188372735">
      <w:bodyDiv w:val="1"/>
      <w:marLeft w:val="0"/>
      <w:marRight w:val="0"/>
      <w:marTop w:val="0"/>
      <w:marBottom w:val="0"/>
      <w:divBdr>
        <w:top w:val="none" w:sz="0" w:space="0" w:color="auto"/>
        <w:left w:val="none" w:sz="0" w:space="0" w:color="auto"/>
        <w:bottom w:val="none" w:sz="0" w:space="0" w:color="auto"/>
        <w:right w:val="none" w:sz="0" w:space="0" w:color="auto"/>
      </w:divBdr>
    </w:div>
    <w:div w:id="189421419">
      <w:bodyDiv w:val="1"/>
      <w:marLeft w:val="0"/>
      <w:marRight w:val="0"/>
      <w:marTop w:val="0"/>
      <w:marBottom w:val="0"/>
      <w:divBdr>
        <w:top w:val="none" w:sz="0" w:space="0" w:color="auto"/>
        <w:left w:val="none" w:sz="0" w:space="0" w:color="auto"/>
        <w:bottom w:val="none" w:sz="0" w:space="0" w:color="auto"/>
        <w:right w:val="none" w:sz="0" w:space="0" w:color="auto"/>
      </w:divBdr>
    </w:div>
    <w:div w:id="190922606">
      <w:bodyDiv w:val="1"/>
      <w:marLeft w:val="0"/>
      <w:marRight w:val="0"/>
      <w:marTop w:val="0"/>
      <w:marBottom w:val="0"/>
      <w:divBdr>
        <w:top w:val="none" w:sz="0" w:space="0" w:color="auto"/>
        <w:left w:val="none" w:sz="0" w:space="0" w:color="auto"/>
        <w:bottom w:val="none" w:sz="0" w:space="0" w:color="auto"/>
        <w:right w:val="none" w:sz="0" w:space="0" w:color="auto"/>
      </w:divBdr>
    </w:div>
    <w:div w:id="192622120">
      <w:bodyDiv w:val="1"/>
      <w:marLeft w:val="0"/>
      <w:marRight w:val="0"/>
      <w:marTop w:val="0"/>
      <w:marBottom w:val="0"/>
      <w:divBdr>
        <w:top w:val="none" w:sz="0" w:space="0" w:color="auto"/>
        <w:left w:val="none" w:sz="0" w:space="0" w:color="auto"/>
        <w:bottom w:val="none" w:sz="0" w:space="0" w:color="auto"/>
        <w:right w:val="none" w:sz="0" w:space="0" w:color="auto"/>
      </w:divBdr>
    </w:div>
    <w:div w:id="196625478">
      <w:bodyDiv w:val="1"/>
      <w:marLeft w:val="0"/>
      <w:marRight w:val="0"/>
      <w:marTop w:val="0"/>
      <w:marBottom w:val="0"/>
      <w:divBdr>
        <w:top w:val="none" w:sz="0" w:space="0" w:color="auto"/>
        <w:left w:val="none" w:sz="0" w:space="0" w:color="auto"/>
        <w:bottom w:val="none" w:sz="0" w:space="0" w:color="auto"/>
        <w:right w:val="none" w:sz="0" w:space="0" w:color="auto"/>
      </w:divBdr>
    </w:div>
    <w:div w:id="196939425">
      <w:bodyDiv w:val="1"/>
      <w:marLeft w:val="0"/>
      <w:marRight w:val="0"/>
      <w:marTop w:val="0"/>
      <w:marBottom w:val="0"/>
      <w:divBdr>
        <w:top w:val="none" w:sz="0" w:space="0" w:color="auto"/>
        <w:left w:val="none" w:sz="0" w:space="0" w:color="auto"/>
        <w:bottom w:val="none" w:sz="0" w:space="0" w:color="auto"/>
        <w:right w:val="none" w:sz="0" w:space="0" w:color="auto"/>
      </w:divBdr>
    </w:div>
    <w:div w:id="199901579">
      <w:bodyDiv w:val="1"/>
      <w:marLeft w:val="0"/>
      <w:marRight w:val="0"/>
      <w:marTop w:val="0"/>
      <w:marBottom w:val="0"/>
      <w:divBdr>
        <w:top w:val="none" w:sz="0" w:space="0" w:color="auto"/>
        <w:left w:val="none" w:sz="0" w:space="0" w:color="auto"/>
        <w:bottom w:val="none" w:sz="0" w:space="0" w:color="auto"/>
        <w:right w:val="none" w:sz="0" w:space="0" w:color="auto"/>
      </w:divBdr>
    </w:div>
    <w:div w:id="202329567">
      <w:bodyDiv w:val="1"/>
      <w:marLeft w:val="0"/>
      <w:marRight w:val="0"/>
      <w:marTop w:val="0"/>
      <w:marBottom w:val="0"/>
      <w:divBdr>
        <w:top w:val="none" w:sz="0" w:space="0" w:color="auto"/>
        <w:left w:val="none" w:sz="0" w:space="0" w:color="auto"/>
        <w:bottom w:val="none" w:sz="0" w:space="0" w:color="auto"/>
        <w:right w:val="none" w:sz="0" w:space="0" w:color="auto"/>
      </w:divBdr>
    </w:div>
    <w:div w:id="203835014">
      <w:bodyDiv w:val="1"/>
      <w:marLeft w:val="0"/>
      <w:marRight w:val="0"/>
      <w:marTop w:val="0"/>
      <w:marBottom w:val="0"/>
      <w:divBdr>
        <w:top w:val="none" w:sz="0" w:space="0" w:color="auto"/>
        <w:left w:val="none" w:sz="0" w:space="0" w:color="auto"/>
        <w:bottom w:val="none" w:sz="0" w:space="0" w:color="auto"/>
        <w:right w:val="none" w:sz="0" w:space="0" w:color="auto"/>
      </w:divBdr>
    </w:div>
    <w:div w:id="209540687">
      <w:bodyDiv w:val="1"/>
      <w:marLeft w:val="0"/>
      <w:marRight w:val="0"/>
      <w:marTop w:val="0"/>
      <w:marBottom w:val="0"/>
      <w:divBdr>
        <w:top w:val="none" w:sz="0" w:space="0" w:color="auto"/>
        <w:left w:val="none" w:sz="0" w:space="0" w:color="auto"/>
        <w:bottom w:val="none" w:sz="0" w:space="0" w:color="auto"/>
        <w:right w:val="none" w:sz="0" w:space="0" w:color="auto"/>
      </w:divBdr>
    </w:div>
    <w:div w:id="211426139">
      <w:bodyDiv w:val="1"/>
      <w:marLeft w:val="0"/>
      <w:marRight w:val="0"/>
      <w:marTop w:val="0"/>
      <w:marBottom w:val="0"/>
      <w:divBdr>
        <w:top w:val="none" w:sz="0" w:space="0" w:color="auto"/>
        <w:left w:val="none" w:sz="0" w:space="0" w:color="auto"/>
        <w:bottom w:val="none" w:sz="0" w:space="0" w:color="auto"/>
        <w:right w:val="none" w:sz="0" w:space="0" w:color="auto"/>
      </w:divBdr>
    </w:div>
    <w:div w:id="213127717">
      <w:bodyDiv w:val="1"/>
      <w:marLeft w:val="0"/>
      <w:marRight w:val="0"/>
      <w:marTop w:val="0"/>
      <w:marBottom w:val="0"/>
      <w:divBdr>
        <w:top w:val="none" w:sz="0" w:space="0" w:color="auto"/>
        <w:left w:val="none" w:sz="0" w:space="0" w:color="auto"/>
        <w:bottom w:val="none" w:sz="0" w:space="0" w:color="auto"/>
        <w:right w:val="none" w:sz="0" w:space="0" w:color="auto"/>
      </w:divBdr>
    </w:div>
    <w:div w:id="215240793">
      <w:bodyDiv w:val="1"/>
      <w:marLeft w:val="0"/>
      <w:marRight w:val="0"/>
      <w:marTop w:val="0"/>
      <w:marBottom w:val="0"/>
      <w:divBdr>
        <w:top w:val="none" w:sz="0" w:space="0" w:color="auto"/>
        <w:left w:val="none" w:sz="0" w:space="0" w:color="auto"/>
        <w:bottom w:val="none" w:sz="0" w:space="0" w:color="auto"/>
        <w:right w:val="none" w:sz="0" w:space="0" w:color="auto"/>
      </w:divBdr>
    </w:div>
    <w:div w:id="215514511">
      <w:bodyDiv w:val="1"/>
      <w:marLeft w:val="0"/>
      <w:marRight w:val="0"/>
      <w:marTop w:val="0"/>
      <w:marBottom w:val="0"/>
      <w:divBdr>
        <w:top w:val="none" w:sz="0" w:space="0" w:color="auto"/>
        <w:left w:val="none" w:sz="0" w:space="0" w:color="auto"/>
        <w:bottom w:val="none" w:sz="0" w:space="0" w:color="auto"/>
        <w:right w:val="none" w:sz="0" w:space="0" w:color="auto"/>
      </w:divBdr>
    </w:div>
    <w:div w:id="217937970">
      <w:bodyDiv w:val="1"/>
      <w:marLeft w:val="0"/>
      <w:marRight w:val="0"/>
      <w:marTop w:val="0"/>
      <w:marBottom w:val="0"/>
      <w:divBdr>
        <w:top w:val="none" w:sz="0" w:space="0" w:color="auto"/>
        <w:left w:val="none" w:sz="0" w:space="0" w:color="auto"/>
        <w:bottom w:val="none" w:sz="0" w:space="0" w:color="auto"/>
        <w:right w:val="none" w:sz="0" w:space="0" w:color="auto"/>
      </w:divBdr>
    </w:div>
    <w:div w:id="218327465">
      <w:bodyDiv w:val="1"/>
      <w:marLeft w:val="0"/>
      <w:marRight w:val="0"/>
      <w:marTop w:val="0"/>
      <w:marBottom w:val="0"/>
      <w:divBdr>
        <w:top w:val="none" w:sz="0" w:space="0" w:color="auto"/>
        <w:left w:val="none" w:sz="0" w:space="0" w:color="auto"/>
        <w:bottom w:val="none" w:sz="0" w:space="0" w:color="auto"/>
        <w:right w:val="none" w:sz="0" w:space="0" w:color="auto"/>
      </w:divBdr>
    </w:div>
    <w:div w:id="221134763">
      <w:bodyDiv w:val="1"/>
      <w:marLeft w:val="0"/>
      <w:marRight w:val="0"/>
      <w:marTop w:val="0"/>
      <w:marBottom w:val="0"/>
      <w:divBdr>
        <w:top w:val="none" w:sz="0" w:space="0" w:color="auto"/>
        <w:left w:val="none" w:sz="0" w:space="0" w:color="auto"/>
        <w:bottom w:val="none" w:sz="0" w:space="0" w:color="auto"/>
        <w:right w:val="none" w:sz="0" w:space="0" w:color="auto"/>
      </w:divBdr>
    </w:div>
    <w:div w:id="225646167">
      <w:bodyDiv w:val="1"/>
      <w:marLeft w:val="0"/>
      <w:marRight w:val="0"/>
      <w:marTop w:val="0"/>
      <w:marBottom w:val="0"/>
      <w:divBdr>
        <w:top w:val="none" w:sz="0" w:space="0" w:color="auto"/>
        <w:left w:val="none" w:sz="0" w:space="0" w:color="auto"/>
        <w:bottom w:val="none" w:sz="0" w:space="0" w:color="auto"/>
        <w:right w:val="none" w:sz="0" w:space="0" w:color="auto"/>
      </w:divBdr>
    </w:div>
    <w:div w:id="225724509">
      <w:bodyDiv w:val="1"/>
      <w:marLeft w:val="0"/>
      <w:marRight w:val="0"/>
      <w:marTop w:val="0"/>
      <w:marBottom w:val="0"/>
      <w:divBdr>
        <w:top w:val="none" w:sz="0" w:space="0" w:color="auto"/>
        <w:left w:val="none" w:sz="0" w:space="0" w:color="auto"/>
        <w:bottom w:val="none" w:sz="0" w:space="0" w:color="auto"/>
        <w:right w:val="none" w:sz="0" w:space="0" w:color="auto"/>
      </w:divBdr>
    </w:div>
    <w:div w:id="229538631">
      <w:bodyDiv w:val="1"/>
      <w:marLeft w:val="0"/>
      <w:marRight w:val="0"/>
      <w:marTop w:val="0"/>
      <w:marBottom w:val="0"/>
      <w:divBdr>
        <w:top w:val="none" w:sz="0" w:space="0" w:color="auto"/>
        <w:left w:val="none" w:sz="0" w:space="0" w:color="auto"/>
        <w:bottom w:val="none" w:sz="0" w:space="0" w:color="auto"/>
        <w:right w:val="none" w:sz="0" w:space="0" w:color="auto"/>
      </w:divBdr>
    </w:div>
    <w:div w:id="229660758">
      <w:bodyDiv w:val="1"/>
      <w:marLeft w:val="0"/>
      <w:marRight w:val="0"/>
      <w:marTop w:val="0"/>
      <w:marBottom w:val="0"/>
      <w:divBdr>
        <w:top w:val="none" w:sz="0" w:space="0" w:color="auto"/>
        <w:left w:val="none" w:sz="0" w:space="0" w:color="auto"/>
        <w:bottom w:val="none" w:sz="0" w:space="0" w:color="auto"/>
        <w:right w:val="none" w:sz="0" w:space="0" w:color="auto"/>
      </w:divBdr>
    </w:div>
    <w:div w:id="231891857">
      <w:bodyDiv w:val="1"/>
      <w:marLeft w:val="0"/>
      <w:marRight w:val="0"/>
      <w:marTop w:val="0"/>
      <w:marBottom w:val="0"/>
      <w:divBdr>
        <w:top w:val="none" w:sz="0" w:space="0" w:color="auto"/>
        <w:left w:val="none" w:sz="0" w:space="0" w:color="auto"/>
        <w:bottom w:val="none" w:sz="0" w:space="0" w:color="auto"/>
        <w:right w:val="none" w:sz="0" w:space="0" w:color="auto"/>
      </w:divBdr>
    </w:div>
    <w:div w:id="237374514">
      <w:bodyDiv w:val="1"/>
      <w:marLeft w:val="0"/>
      <w:marRight w:val="0"/>
      <w:marTop w:val="0"/>
      <w:marBottom w:val="0"/>
      <w:divBdr>
        <w:top w:val="none" w:sz="0" w:space="0" w:color="auto"/>
        <w:left w:val="none" w:sz="0" w:space="0" w:color="auto"/>
        <w:bottom w:val="none" w:sz="0" w:space="0" w:color="auto"/>
        <w:right w:val="none" w:sz="0" w:space="0" w:color="auto"/>
      </w:divBdr>
    </w:div>
    <w:div w:id="244387482">
      <w:bodyDiv w:val="1"/>
      <w:marLeft w:val="0"/>
      <w:marRight w:val="0"/>
      <w:marTop w:val="0"/>
      <w:marBottom w:val="0"/>
      <w:divBdr>
        <w:top w:val="none" w:sz="0" w:space="0" w:color="auto"/>
        <w:left w:val="none" w:sz="0" w:space="0" w:color="auto"/>
        <w:bottom w:val="none" w:sz="0" w:space="0" w:color="auto"/>
        <w:right w:val="none" w:sz="0" w:space="0" w:color="auto"/>
      </w:divBdr>
    </w:div>
    <w:div w:id="249125946">
      <w:bodyDiv w:val="1"/>
      <w:marLeft w:val="0"/>
      <w:marRight w:val="0"/>
      <w:marTop w:val="0"/>
      <w:marBottom w:val="0"/>
      <w:divBdr>
        <w:top w:val="none" w:sz="0" w:space="0" w:color="auto"/>
        <w:left w:val="none" w:sz="0" w:space="0" w:color="auto"/>
        <w:bottom w:val="none" w:sz="0" w:space="0" w:color="auto"/>
        <w:right w:val="none" w:sz="0" w:space="0" w:color="auto"/>
      </w:divBdr>
    </w:div>
    <w:div w:id="256908766">
      <w:bodyDiv w:val="1"/>
      <w:marLeft w:val="0"/>
      <w:marRight w:val="0"/>
      <w:marTop w:val="0"/>
      <w:marBottom w:val="0"/>
      <w:divBdr>
        <w:top w:val="none" w:sz="0" w:space="0" w:color="auto"/>
        <w:left w:val="none" w:sz="0" w:space="0" w:color="auto"/>
        <w:bottom w:val="none" w:sz="0" w:space="0" w:color="auto"/>
        <w:right w:val="none" w:sz="0" w:space="0" w:color="auto"/>
      </w:divBdr>
    </w:div>
    <w:div w:id="264659790">
      <w:bodyDiv w:val="1"/>
      <w:marLeft w:val="0"/>
      <w:marRight w:val="0"/>
      <w:marTop w:val="0"/>
      <w:marBottom w:val="0"/>
      <w:divBdr>
        <w:top w:val="none" w:sz="0" w:space="0" w:color="auto"/>
        <w:left w:val="none" w:sz="0" w:space="0" w:color="auto"/>
        <w:bottom w:val="none" w:sz="0" w:space="0" w:color="auto"/>
        <w:right w:val="none" w:sz="0" w:space="0" w:color="auto"/>
      </w:divBdr>
    </w:div>
    <w:div w:id="268703956">
      <w:bodyDiv w:val="1"/>
      <w:marLeft w:val="0"/>
      <w:marRight w:val="0"/>
      <w:marTop w:val="0"/>
      <w:marBottom w:val="0"/>
      <w:divBdr>
        <w:top w:val="none" w:sz="0" w:space="0" w:color="auto"/>
        <w:left w:val="none" w:sz="0" w:space="0" w:color="auto"/>
        <w:bottom w:val="none" w:sz="0" w:space="0" w:color="auto"/>
        <w:right w:val="none" w:sz="0" w:space="0" w:color="auto"/>
      </w:divBdr>
    </w:div>
    <w:div w:id="269552799">
      <w:bodyDiv w:val="1"/>
      <w:marLeft w:val="0"/>
      <w:marRight w:val="0"/>
      <w:marTop w:val="0"/>
      <w:marBottom w:val="0"/>
      <w:divBdr>
        <w:top w:val="none" w:sz="0" w:space="0" w:color="auto"/>
        <w:left w:val="none" w:sz="0" w:space="0" w:color="auto"/>
        <w:bottom w:val="none" w:sz="0" w:space="0" w:color="auto"/>
        <w:right w:val="none" w:sz="0" w:space="0" w:color="auto"/>
      </w:divBdr>
    </w:div>
    <w:div w:id="273563757">
      <w:bodyDiv w:val="1"/>
      <w:marLeft w:val="0"/>
      <w:marRight w:val="0"/>
      <w:marTop w:val="0"/>
      <w:marBottom w:val="0"/>
      <w:divBdr>
        <w:top w:val="none" w:sz="0" w:space="0" w:color="auto"/>
        <w:left w:val="none" w:sz="0" w:space="0" w:color="auto"/>
        <w:bottom w:val="none" w:sz="0" w:space="0" w:color="auto"/>
        <w:right w:val="none" w:sz="0" w:space="0" w:color="auto"/>
      </w:divBdr>
    </w:div>
    <w:div w:id="278953242">
      <w:bodyDiv w:val="1"/>
      <w:marLeft w:val="0"/>
      <w:marRight w:val="0"/>
      <w:marTop w:val="0"/>
      <w:marBottom w:val="0"/>
      <w:divBdr>
        <w:top w:val="none" w:sz="0" w:space="0" w:color="auto"/>
        <w:left w:val="none" w:sz="0" w:space="0" w:color="auto"/>
        <w:bottom w:val="none" w:sz="0" w:space="0" w:color="auto"/>
        <w:right w:val="none" w:sz="0" w:space="0" w:color="auto"/>
      </w:divBdr>
    </w:div>
    <w:div w:id="281762856">
      <w:bodyDiv w:val="1"/>
      <w:marLeft w:val="0"/>
      <w:marRight w:val="0"/>
      <w:marTop w:val="0"/>
      <w:marBottom w:val="0"/>
      <w:divBdr>
        <w:top w:val="none" w:sz="0" w:space="0" w:color="auto"/>
        <w:left w:val="none" w:sz="0" w:space="0" w:color="auto"/>
        <w:bottom w:val="none" w:sz="0" w:space="0" w:color="auto"/>
        <w:right w:val="none" w:sz="0" w:space="0" w:color="auto"/>
      </w:divBdr>
    </w:div>
    <w:div w:id="284196692">
      <w:bodyDiv w:val="1"/>
      <w:marLeft w:val="0"/>
      <w:marRight w:val="0"/>
      <w:marTop w:val="0"/>
      <w:marBottom w:val="0"/>
      <w:divBdr>
        <w:top w:val="none" w:sz="0" w:space="0" w:color="auto"/>
        <w:left w:val="none" w:sz="0" w:space="0" w:color="auto"/>
        <w:bottom w:val="none" w:sz="0" w:space="0" w:color="auto"/>
        <w:right w:val="none" w:sz="0" w:space="0" w:color="auto"/>
      </w:divBdr>
    </w:div>
    <w:div w:id="286859911">
      <w:bodyDiv w:val="1"/>
      <w:marLeft w:val="0"/>
      <w:marRight w:val="0"/>
      <w:marTop w:val="0"/>
      <w:marBottom w:val="0"/>
      <w:divBdr>
        <w:top w:val="none" w:sz="0" w:space="0" w:color="auto"/>
        <w:left w:val="none" w:sz="0" w:space="0" w:color="auto"/>
        <w:bottom w:val="none" w:sz="0" w:space="0" w:color="auto"/>
        <w:right w:val="none" w:sz="0" w:space="0" w:color="auto"/>
      </w:divBdr>
    </w:div>
    <w:div w:id="296572148">
      <w:bodyDiv w:val="1"/>
      <w:marLeft w:val="0"/>
      <w:marRight w:val="0"/>
      <w:marTop w:val="0"/>
      <w:marBottom w:val="0"/>
      <w:divBdr>
        <w:top w:val="none" w:sz="0" w:space="0" w:color="auto"/>
        <w:left w:val="none" w:sz="0" w:space="0" w:color="auto"/>
        <w:bottom w:val="none" w:sz="0" w:space="0" w:color="auto"/>
        <w:right w:val="none" w:sz="0" w:space="0" w:color="auto"/>
      </w:divBdr>
    </w:div>
    <w:div w:id="298464273">
      <w:bodyDiv w:val="1"/>
      <w:marLeft w:val="0"/>
      <w:marRight w:val="0"/>
      <w:marTop w:val="0"/>
      <w:marBottom w:val="0"/>
      <w:divBdr>
        <w:top w:val="none" w:sz="0" w:space="0" w:color="auto"/>
        <w:left w:val="none" w:sz="0" w:space="0" w:color="auto"/>
        <w:bottom w:val="none" w:sz="0" w:space="0" w:color="auto"/>
        <w:right w:val="none" w:sz="0" w:space="0" w:color="auto"/>
      </w:divBdr>
    </w:div>
    <w:div w:id="307322533">
      <w:bodyDiv w:val="1"/>
      <w:marLeft w:val="0"/>
      <w:marRight w:val="0"/>
      <w:marTop w:val="0"/>
      <w:marBottom w:val="0"/>
      <w:divBdr>
        <w:top w:val="none" w:sz="0" w:space="0" w:color="auto"/>
        <w:left w:val="none" w:sz="0" w:space="0" w:color="auto"/>
        <w:bottom w:val="none" w:sz="0" w:space="0" w:color="auto"/>
        <w:right w:val="none" w:sz="0" w:space="0" w:color="auto"/>
      </w:divBdr>
    </w:div>
    <w:div w:id="311494652">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
    <w:div w:id="322898451">
      <w:bodyDiv w:val="1"/>
      <w:marLeft w:val="0"/>
      <w:marRight w:val="0"/>
      <w:marTop w:val="0"/>
      <w:marBottom w:val="0"/>
      <w:divBdr>
        <w:top w:val="none" w:sz="0" w:space="0" w:color="auto"/>
        <w:left w:val="none" w:sz="0" w:space="0" w:color="auto"/>
        <w:bottom w:val="none" w:sz="0" w:space="0" w:color="auto"/>
        <w:right w:val="none" w:sz="0" w:space="0" w:color="auto"/>
      </w:divBdr>
    </w:div>
    <w:div w:id="323432203">
      <w:bodyDiv w:val="1"/>
      <w:marLeft w:val="0"/>
      <w:marRight w:val="0"/>
      <w:marTop w:val="0"/>
      <w:marBottom w:val="0"/>
      <w:divBdr>
        <w:top w:val="none" w:sz="0" w:space="0" w:color="auto"/>
        <w:left w:val="none" w:sz="0" w:space="0" w:color="auto"/>
        <w:bottom w:val="none" w:sz="0" w:space="0" w:color="auto"/>
        <w:right w:val="none" w:sz="0" w:space="0" w:color="auto"/>
      </w:divBdr>
    </w:div>
    <w:div w:id="324212778">
      <w:bodyDiv w:val="1"/>
      <w:marLeft w:val="0"/>
      <w:marRight w:val="0"/>
      <w:marTop w:val="0"/>
      <w:marBottom w:val="0"/>
      <w:divBdr>
        <w:top w:val="none" w:sz="0" w:space="0" w:color="auto"/>
        <w:left w:val="none" w:sz="0" w:space="0" w:color="auto"/>
        <w:bottom w:val="none" w:sz="0" w:space="0" w:color="auto"/>
        <w:right w:val="none" w:sz="0" w:space="0" w:color="auto"/>
      </w:divBdr>
    </w:div>
    <w:div w:id="327057288">
      <w:bodyDiv w:val="1"/>
      <w:marLeft w:val="0"/>
      <w:marRight w:val="0"/>
      <w:marTop w:val="0"/>
      <w:marBottom w:val="0"/>
      <w:divBdr>
        <w:top w:val="none" w:sz="0" w:space="0" w:color="auto"/>
        <w:left w:val="none" w:sz="0" w:space="0" w:color="auto"/>
        <w:bottom w:val="none" w:sz="0" w:space="0" w:color="auto"/>
        <w:right w:val="none" w:sz="0" w:space="0" w:color="auto"/>
      </w:divBdr>
    </w:div>
    <w:div w:id="327368494">
      <w:bodyDiv w:val="1"/>
      <w:marLeft w:val="0"/>
      <w:marRight w:val="0"/>
      <w:marTop w:val="0"/>
      <w:marBottom w:val="0"/>
      <w:divBdr>
        <w:top w:val="none" w:sz="0" w:space="0" w:color="auto"/>
        <w:left w:val="none" w:sz="0" w:space="0" w:color="auto"/>
        <w:bottom w:val="none" w:sz="0" w:space="0" w:color="auto"/>
        <w:right w:val="none" w:sz="0" w:space="0" w:color="auto"/>
      </w:divBdr>
    </w:div>
    <w:div w:id="329137789">
      <w:bodyDiv w:val="1"/>
      <w:marLeft w:val="0"/>
      <w:marRight w:val="0"/>
      <w:marTop w:val="0"/>
      <w:marBottom w:val="0"/>
      <w:divBdr>
        <w:top w:val="none" w:sz="0" w:space="0" w:color="auto"/>
        <w:left w:val="none" w:sz="0" w:space="0" w:color="auto"/>
        <w:bottom w:val="none" w:sz="0" w:space="0" w:color="auto"/>
        <w:right w:val="none" w:sz="0" w:space="0" w:color="auto"/>
      </w:divBdr>
    </w:div>
    <w:div w:id="329722830">
      <w:bodyDiv w:val="1"/>
      <w:marLeft w:val="0"/>
      <w:marRight w:val="0"/>
      <w:marTop w:val="0"/>
      <w:marBottom w:val="0"/>
      <w:divBdr>
        <w:top w:val="none" w:sz="0" w:space="0" w:color="auto"/>
        <w:left w:val="none" w:sz="0" w:space="0" w:color="auto"/>
        <w:bottom w:val="none" w:sz="0" w:space="0" w:color="auto"/>
        <w:right w:val="none" w:sz="0" w:space="0" w:color="auto"/>
      </w:divBdr>
    </w:div>
    <w:div w:id="331104950">
      <w:bodyDiv w:val="1"/>
      <w:marLeft w:val="0"/>
      <w:marRight w:val="0"/>
      <w:marTop w:val="0"/>
      <w:marBottom w:val="0"/>
      <w:divBdr>
        <w:top w:val="none" w:sz="0" w:space="0" w:color="auto"/>
        <w:left w:val="none" w:sz="0" w:space="0" w:color="auto"/>
        <w:bottom w:val="none" w:sz="0" w:space="0" w:color="auto"/>
        <w:right w:val="none" w:sz="0" w:space="0" w:color="auto"/>
      </w:divBdr>
    </w:div>
    <w:div w:id="332028301">
      <w:bodyDiv w:val="1"/>
      <w:marLeft w:val="0"/>
      <w:marRight w:val="0"/>
      <w:marTop w:val="0"/>
      <w:marBottom w:val="0"/>
      <w:divBdr>
        <w:top w:val="none" w:sz="0" w:space="0" w:color="auto"/>
        <w:left w:val="none" w:sz="0" w:space="0" w:color="auto"/>
        <w:bottom w:val="none" w:sz="0" w:space="0" w:color="auto"/>
        <w:right w:val="none" w:sz="0" w:space="0" w:color="auto"/>
      </w:divBdr>
    </w:div>
    <w:div w:id="336465774">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8065425">
      <w:bodyDiv w:val="1"/>
      <w:marLeft w:val="0"/>
      <w:marRight w:val="0"/>
      <w:marTop w:val="0"/>
      <w:marBottom w:val="0"/>
      <w:divBdr>
        <w:top w:val="none" w:sz="0" w:space="0" w:color="auto"/>
        <w:left w:val="none" w:sz="0" w:space="0" w:color="auto"/>
        <w:bottom w:val="none" w:sz="0" w:space="0" w:color="auto"/>
        <w:right w:val="none" w:sz="0" w:space="0" w:color="auto"/>
      </w:divBdr>
    </w:div>
    <w:div w:id="349456530">
      <w:bodyDiv w:val="1"/>
      <w:marLeft w:val="0"/>
      <w:marRight w:val="0"/>
      <w:marTop w:val="0"/>
      <w:marBottom w:val="0"/>
      <w:divBdr>
        <w:top w:val="none" w:sz="0" w:space="0" w:color="auto"/>
        <w:left w:val="none" w:sz="0" w:space="0" w:color="auto"/>
        <w:bottom w:val="none" w:sz="0" w:space="0" w:color="auto"/>
        <w:right w:val="none" w:sz="0" w:space="0" w:color="auto"/>
      </w:divBdr>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52272264">
      <w:bodyDiv w:val="1"/>
      <w:marLeft w:val="0"/>
      <w:marRight w:val="0"/>
      <w:marTop w:val="0"/>
      <w:marBottom w:val="0"/>
      <w:divBdr>
        <w:top w:val="none" w:sz="0" w:space="0" w:color="auto"/>
        <w:left w:val="none" w:sz="0" w:space="0" w:color="auto"/>
        <w:bottom w:val="none" w:sz="0" w:space="0" w:color="auto"/>
        <w:right w:val="none" w:sz="0" w:space="0" w:color="auto"/>
      </w:divBdr>
    </w:div>
    <w:div w:id="357509134">
      <w:bodyDiv w:val="1"/>
      <w:marLeft w:val="0"/>
      <w:marRight w:val="0"/>
      <w:marTop w:val="0"/>
      <w:marBottom w:val="0"/>
      <w:divBdr>
        <w:top w:val="none" w:sz="0" w:space="0" w:color="auto"/>
        <w:left w:val="none" w:sz="0" w:space="0" w:color="auto"/>
        <w:bottom w:val="none" w:sz="0" w:space="0" w:color="auto"/>
        <w:right w:val="none" w:sz="0" w:space="0" w:color="auto"/>
      </w:divBdr>
    </w:div>
    <w:div w:id="358047180">
      <w:bodyDiv w:val="1"/>
      <w:marLeft w:val="0"/>
      <w:marRight w:val="0"/>
      <w:marTop w:val="0"/>
      <w:marBottom w:val="0"/>
      <w:divBdr>
        <w:top w:val="none" w:sz="0" w:space="0" w:color="auto"/>
        <w:left w:val="none" w:sz="0" w:space="0" w:color="auto"/>
        <w:bottom w:val="none" w:sz="0" w:space="0" w:color="auto"/>
        <w:right w:val="none" w:sz="0" w:space="0" w:color="auto"/>
      </w:divBdr>
    </w:div>
    <w:div w:id="359624308">
      <w:bodyDiv w:val="1"/>
      <w:marLeft w:val="0"/>
      <w:marRight w:val="0"/>
      <w:marTop w:val="0"/>
      <w:marBottom w:val="0"/>
      <w:divBdr>
        <w:top w:val="none" w:sz="0" w:space="0" w:color="auto"/>
        <w:left w:val="none" w:sz="0" w:space="0" w:color="auto"/>
        <w:bottom w:val="none" w:sz="0" w:space="0" w:color="auto"/>
        <w:right w:val="none" w:sz="0" w:space="0" w:color="auto"/>
      </w:divBdr>
    </w:div>
    <w:div w:id="361437772">
      <w:bodyDiv w:val="1"/>
      <w:marLeft w:val="0"/>
      <w:marRight w:val="0"/>
      <w:marTop w:val="0"/>
      <w:marBottom w:val="0"/>
      <w:divBdr>
        <w:top w:val="none" w:sz="0" w:space="0" w:color="auto"/>
        <w:left w:val="none" w:sz="0" w:space="0" w:color="auto"/>
        <w:bottom w:val="none" w:sz="0" w:space="0" w:color="auto"/>
        <w:right w:val="none" w:sz="0" w:space="0" w:color="auto"/>
      </w:divBdr>
    </w:div>
    <w:div w:id="362366671">
      <w:bodyDiv w:val="1"/>
      <w:marLeft w:val="0"/>
      <w:marRight w:val="0"/>
      <w:marTop w:val="0"/>
      <w:marBottom w:val="0"/>
      <w:divBdr>
        <w:top w:val="none" w:sz="0" w:space="0" w:color="auto"/>
        <w:left w:val="none" w:sz="0" w:space="0" w:color="auto"/>
        <w:bottom w:val="none" w:sz="0" w:space="0" w:color="auto"/>
        <w:right w:val="none" w:sz="0" w:space="0" w:color="auto"/>
      </w:divBdr>
    </w:div>
    <w:div w:id="365453062">
      <w:bodyDiv w:val="1"/>
      <w:marLeft w:val="0"/>
      <w:marRight w:val="0"/>
      <w:marTop w:val="0"/>
      <w:marBottom w:val="0"/>
      <w:divBdr>
        <w:top w:val="none" w:sz="0" w:space="0" w:color="auto"/>
        <w:left w:val="none" w:sz="0" w:space="0" w:color="auto"/>
        <w:bottom w:val="none" w:sz="0" w:space="0" w:color="auto"/>
        <w:right w:val="none" w:sz="0" w:space="0" w:color="auto"/>
      </w:divBdr>
    </w:div>
    <w:div w:id="367874513">
      <w:bodyDiv w:val="1"/>
      <w:marLeft w:val="0"/>
      <w:marRight w:val="0"/>
      <w:marTop w:val="0"/>
      <w:marBottom w:val="0"/>
      <w:divBdr>
        <w:top w:val="none" w:sz="0" w:space="0" w:color="auto"/>
        <w:left w:val="none" w:sz="0" w:space="0" w:color="auto"/>
        <w:bottom w:val="none" w:sz="0" w:space="0" w:color="auto"/>
        <w:right w:val="none" w:sz="0" w:space="0" w:color="auto"/>
      </w:divBdr>
    </w:div>
    <w:div w:id="369453195">
      <w:bodyDiv w:val="1"/>
      <w:marLeft w:val="0"/>
      <w:marRight w:val="0"/>
      <w:marTop w:val="0"/>
      <w:marBottom w:val="0"/>
      <w:divBdr>
        <w:top w:val="none" w:sz="0" w:space="0" w:color="auto"/>
        <w:left w:val="none" w:sz="0" w:space="0" w:color="auto"/>
        <w:bottom w:val="none" w:sz="0" w:space="0" w:color="auto"/>
        <w:right w:val="none" w:sz="0" w:space="0" w:color="auto"/>
      </w:divBdr>
    </w:div>
    <w:div w:id="379600325">
      <w:bodyDiv w:val="1"/>
      <w:marLeft w:val="0"/>
      <w:marRight w:val="0"/>
      <w:marTop w:val="0"/>
      <w:marBottom w:val="0"/>
      <w:divBdr>
        <w:top w:val="none" w:sz="0" w:space="0" w:color="auto"/>
        <w:left w:val="none" w:sz="0" w:space="0" w:color="auto"/>
        <w:bottom w:val="none" w:sz="0" w:space="0" w:color="auto"/>
        <w:right w:val="none" w:sz="0" w:space="0" w:color="auto"/>
      </w:divBdr>
    </w:div>
    <w:div w:id="380203978">
      <w:bodyDiv w:val="1"/>
      <w:marLeft w:val="0"/>
      <w:marRight w:val="0"/>
      <w:marTop w:val="0"/>
      <w:marBottom w:val="0"/>
      <w:divBdr>
        <w:top w:val="none" w:sz="0" w:space="0" w:color="auto"/>
        <w:left w:val="none" w:sz="0" w:space="0" w:color="auto"/>
        <w:bottom w:val="none" w:sz="0" w:space="0" w:color="auto"/>
        <w:right w:val="none" w:sz="0" w:space="0" w:color="auto"/>
      </w:divBdr>
    </w:div>
    <w:div w:id="384718681">
      <w:bodyDiv w:val="1"/>
      <w:marLeft w:val="0"/>
      <w:marRight w:val="0"/>
      <w:marTop w:val="0"/>
      <w:marBottom w:val="0"/>
      <w:divBdr>
        <w:top w:val="none" w:sz="0" w:space="0" w:color="auto"/>
        <w:left w:val="none" w:sz="0" w:space="0" w:color="auto"/>
        <w:bottom w:val="none" w:sz="0" w:space="0" w:color="auto"/>
        <w:right w:val="none" w:sz="0" w:space="0" w:color="auto"/>
      </w:divBdr>
    </w:div>
    <w:div w:id="387187416">
      <w:bodyDiv w:val="1"/>
      <w:marLeft w:val="0"/>
      <w:marRight w:val="0"/>
      <w:marTop w:val="0"/>
      <w:marBottom w:val="0"/>
      <w:divBdr>
        <w:top w:val="none" w:sz="0" w:space="0" w:color="auto"/>
        <w:left w:val="none" w:sz="0" w:space="0" w:color="auto"/>
        <w:bottom w:val="none" w:sz="0" w:space="0" w:color="auto"/>
        <w:right w:val="none" w:sz="0" w:space="0" w:color="auto"/>
      </w:divBdr>
    </w:div>
    <w:div w:id="393045397">
      <w:bodyDiv w:val="1"/>
      <w:marLeft w:val="0"/>
      <w:marRight w:val="0"/>
      <w:marTop w:val="0"/>
      <w:marBottom w:val="0"/>
      <w:divBdr>
        <w:top w:val="none" w:sz="0" w:space="0" w:color="auto"/>
        <w:left w:val="none" w:sz="0" w:space="0" w:color="auto"/>
        <w:bottom w:val="none" w:sz="0" w:space="0" w:color="auto"/>
        <w:right w:val="none" w:sz="0" w:space="0" w:color="auto"/>
      </w:divBdr>
    </w:div>
    <w:div w:id="397241579">
      <w:bodyDiv w:val="1"/>
      <w:marLeft w:val="0"/>
      <w:marRight w:val="0"/>
      <w:marTop w:val="0"/>
      <w:marBottom w:val="0"/>
      <w:divBdr>
        <w:top w:val="none" w:sz="0" w:space="0" w:color="auto"/>
        <w:left w:val="none" w:sz="0" w:space="0" w:color="auto"/>
        <w:bottom w:val="none" w:sz="0" w:space="0" w:color="auto"/>
        <w:right w:val="none" w:sz="0" w:space="0" w:color="auto"/>
      </w:divBdr>
    </w:div>
    <w:div w:id="403840249">
      <w:bodyDiv w:val="1"/>
      <w:marLeft w:val="0"/>
      <w:marRight w:val="0"/>
      <w:marTop w:val="0"/>
      <w:marBottom w:val="0"/>
      <w:divBdr>
        <w:top w:val="none" w:sz="0" w:space="0" w:color="auto"/>
        <w:left w:val="none" w:sz="0" w:space="0" w:color="auto"/>
        <w:bottom w:val="none" w:sz="0" w:space="0" w:color="auto"/>
        <w:right w:val="none" w:sz="0" w:space="0" w:color="auto"/>
      </w:divBdr>
    </w:div>
    <w:div w:id="405348349">
      <w:bodyDiv w:val="1"/>
      <w:marLeft w:val="0"/>
      <w:marRight w:val="0"/>
      <w:marTop w:val="0"/>
      <w:marBottom w:val="0"/>
      <w:divBdr>
        <w:top w:val="none" w:sz="0" w:space="0" w:color="auto"/>
        <w:left w:val="none" w:sz="0" w:space="0" w:color="auto"/>
        <w:bottom w:val="none" w:sz="0" w:space="0" w:color="auto"/>
        <w:right w:val="none" w:sz="0" w:space="0" w:color="auto"/>
      </w:divBdr>
    </w:div>
    <w:div w:id="412549311">
      <w:bodyDiv w:val="1"/>
      <w:marLeft w:val="0"/>
      <w:marRight w:val="0"/>
      <w:marTop w:val="0"/>
      <w:marBottom w:val="0"/>
      <w:divBdr>
        <w:top w:val="none" w:sz="0" w:space="0" w:color="auto"/>
        <w:left w:val="none" w:sz="0" w:space="0" w:color="auto"/>
        <w:bottom w:val="none" w:sz="0" w:space="0" w:color="auto"/>
        <w:right w:val="none" w:sz="0" w:space="0" w:color="auto"/>
      </w:divBdr>
    </w:div>
    <w:div w:id="413941442">
      <w:bodyDiv w:val="1"/>
      <w:marLeft w:val="0"/>
      <w:marRight w:val="0"/>
      <w:marTop w:val="0"/>
      <w:marBottom w:val="0"/>
      <w:divBdr>
        <w:top w:val="none" w:sz="0" w:space="0" w:color="auto"/>
        <w:left w:val="none" w:sz="0" w:space="0" w:color="auto"/>
        <w:bottom w:val="none" w:sz="0" w:space="0" w:color="auto"/>
        <w:right w:val="none" w:sz="0" w:space="0" w:color="auto"/>
      </w:divBdr>
    </w:div>
    <w:div w:id="416639468">
      <w:bodyDiv w:val="1"/>
      <w:marLeft w:val="0"/>
      <w:marRight w:val="0"/>
      <w:marTop w:val="0"/>
      <w:marBottom w:val="0"/>
      <w:divBdr>
        <w:top w:val="none" w:sz="0" w:space="0" w:color="auto"/>
        <w:left w:val="none" w:sz="0" w:space="0" w:color="auto"/>
        <w:bottom w:val="none" w:sz="0" w:space="0" w:color="auto"/>
        <w:right w:val="none" w:sz="0" w:space="0" w:color="auto"/>
      </w:divBdr>
    </w:div>
    <w:div w:id="418869578">
      <w:bodyDiv w:val="1"/>
      <w:marLeft w:val="0"/>
      <w:marRight w:val="0"/>
      <w:marTop w:val="0"/>
      <w:marBottom w:val="0"/>
      <w:divBdr>
        <w:top w:val="none" w:sz="0" w:space="0" w:color="auto"/>
        <w:left w:val="none" w:sz="0" w:space="0" w:color="auto"/>
        <w:bottom w:val="none" w:sz="0" w:space="0" w:color="auto"/>
        <w:right w:val="none" w:sz="0" w:space="0" w:color="auto"/>
      </w:divBdr>
    </w:div>
    <w:div w:id="419259147">
      <w:bodyDiv w:val="1"/>
      <w:marLeft w:val="0"/>
      <w:marRight w:val="0"/>
      <w:marTop w:val="0"/>
      <w:marBottom w:val="0"/>
      <w:divBdr>
        <w:top w:val="none" w:sz="0" w:space="0" w:color="auto"/>
        <w:left w:val="none" w:sz="0" w:space="0" w:color="auto"/>
        <w:bottom w:val="none" w:sz="0" w:space="0" w:color="auto"/>
        <w:right w:val="none" w:sz="0" w:space="0" w:color="auto"/>
      </w:divBdr>
    </w:div>
    <w:div w:id="431435631">
      <w:bodyDiv w:val="1"/>
      <w:marLeft w:val="0"/>
      <w:marRight w:val="0"/>
      <w:marTop w:val="0"/>
      <w:marBottom w:val="0"/>
      <w:divBdr>
        <w:top w:val="none" w:sz="0" w:space="0" w:color="auto"/>
        <w:left w:val="none" w:sz="0" w:space="0" w:color="auto"/>
        <w:bottom w:val="none" w:sz="0" w:space="0" w:color="auto"/>
        <w:right w:val="none" w:sz="0" w:space="0" w:color="auto"/>
      </w:divBdr>
    </w:div>
    <w:div w:id="440149247">
      <w:bodyDiv w:val="1"/>
      <w:marLeft w:val="0"/>
      <w:marRight w:val="0"/>
      <w:marTop w:val="0"/>
      <w:marBottom w:val="0"/>
      <w:divBdr>
        <w:top w:val="none" w:sz="0" w:space="0" w:color="auto"/>
        <w:left w:val="none" w:sz="0" w:space="0" w:color="auto"/>
        <w:bottom w:val="none" w:sz="0" w:space="0" w:color="auto"/>
        <w:right w:val="none" w:sz="0" w:space="0" w:color="auto"/>
      </w:divBdr>
    </w:div>
    <w:div w:id="442261528">
      <w:bodyDiv w:val="1"/>
      <w:marLeft w:val="0"/>
      <w:marRight w:val="0"/>
      <w:marTop w:val="0"/>
      <w:marBottom w:val="0"/>
      <w:divBdr>
        <w:top w:val="none" w:sz="0" w:space="0" w:color="auto"/>
        <w:left w:val="none" w:sz="0" w:space="0" w:color="auto"/>
        <w:bottom w:val="none" w:sz="0" w:space="0" w:color="auto"/>
        <w:right w:val="none" w:sz="0" w:space="0" w:color="auto"/>
      </w:divBdr>
    </w:div>
    <w:div w:id="445734713">
      <w:bodyDiv w:val="1"/>
      <w:marLeft w:val="0"/>
      <w:marRight w:val="0"/>
      <w:marTop w:val="0"/>
      <w:marBottom w:val="0"/>
      <w:divBdr>
        <w:top w:val="none" w:sz="0" w:space="0" w:color="auto"/>
        <w:left w:val="none" w:sz="0" w:space="0" w:color="auto"/>
        <w:bottom w:val="none" w:sz="0" w:space="0" w:color="auto"/>
        <w:right w:val="none" w:sz="0" w:space="0" w:color="auto"/>
      </w:divBdr>
    </w:div>
    <w:div w:id="451095468">
      <w:bodyDiv w:val="1"/>
      <w:marLeft w:val="0"/>
      <w:marRight w:val="0"/>
      <w:marTop w:val="0"/>
      <w:marBottom w:val="0"/>
      <w:divBdr>
        <w:top w:val="none" w:sz="0" w:space="0" w:color="auto"/>
        <w:left w:val="none" w:sz="0" w:space="0" w:color="auto"/>
        <w:bottom w:val="none" w:sz="0" w:space="0" w:color="auto"/>
        <w:right w:val="none" w:sz="0" w:space="0" w:color="auto"/>
      </w:divBdr>
    </w:div>
    <w:div w:id="455218821">
      <w:bodyDiv w:val="1"/>
      <w:marLeft w:val="0"/>
      <w:marRight w:val="0"/>
      <w:marTop w:val="0"/>
      <w:marBottom w:val="0"/>
      <w:divBdr>
        <w:top w:val="none" w:sz="0" w:space="0" w:color="auto"/>
        <w:left w:val="none" w:sz="0" w:space="0" w:color="auto"/>
        <w:bottom w:val="none" w:sz="0" w:space="0" w:color="auto"/>
        <w:right w:val="none" w:sz="0" w:space="0" w:color="auto"/>
      </w:divBdr>
    </w:div>
    <w:div w:id="459419617">
      <w:bodyDiv w:val="1"/>
      <w:marLeft w:val="0"/>
      <w:marRight w:val="0"/>
      <w:marTop w:val="0"/>
      <w:marBottom w:val="0"/>
      <w:divBdr>
        <w:top w:val="none" w:sz="0" w:space="0" w:color="auto"/>
        <w:left w:val="none" w:sz="0" w:space="0" w:color="auto"/>
        <w:bottom w:val="none" w:sz="0" w:space="0" w:color="auto"/>
        <w:right w:val="none" w:sz="0" w:space="0" w:color="auto"/>
      </w:divBdr>
    </w:div>
    <w:div w:id="465390360">
      <w:bodyDiv w:val="1"/>
      <w:marLeft w:val="0"/>
      <w:marRight w:val="0"/>
      <w:marTop w:val="0"/>
      <w:marBottom w:val="0"/>
      <w:divBdr>
        <w:top w:val="none" w:sz="0" w:space="0" w:color="auto"/>
        <w:left w:val="none" w:sz="0" w:space="0" w:color="auto"/>
        <w:bottom w:val="none" w:sz="0" w:space="0" w:color="auto"/>
        <w:right w:val="none" w:sz="0" w:space="0" w:color="auto"/>
      </w:divBdr>
    </w:div>
    <w:div w:id="468019356">
      <w:bodyDiv w:val="1"/>
      <w:marLeft w:val="0"/>
      <w:marRight w:val="0"/>
      <w:marTop w:val="0"/>
      <w:marBottom w:val="0"/>
      <w:divBdr>
        <w:top w:val="none" w:sz="0" w:space="0" w:color="auto"/>
        <w:left w:val="none" w:sz="0" w:space="0" w:color="auto"/>
        <w:bottom w:val="none" w:sz="0" w:space="0" w:color="auto"/>
        <w:right w:val="none" w:sz="0" w:space="0" w:color="auto"/>
      </w:divBdr>
    </w:div>
    <w:div w:id="473448154">
      <w:bodyDiv w:val="1"/>
      <w:marLeft w:val="0"/>
      <w:marRight w:val="0"/>
      <w:marTop w:val="0"/>
      <w:marBottom w:val="0"/>
      <w:divBdr>
        <w:top w:val="none" w:sz="0" w:space="0" w:color="auto"/>
        <w:left w:val="none" w:sz="0" w:space="0" w:color="auto"/>
        <w:bottom w:val="none" w:sz="0" w:space="0" w:color="auto"/>
        <w:right w:val="none" w:sz="0" w:space="0" w:color="auto"/>
      </w:divBdr>
    </w:div>
    <w:div w:id="476606565">
      <w:bodyDiv w:val="1"/>
      <w:marLeft w:val="0"/>
      <w:marRight w:val="0"/>
      <w:marTop w:val="0"/>
      <w:marBottom w:val="0"/>
      <w:divBdr>
        <w:top w:val="none" w:sz="0" w:space="0" w:color="auto"/>
        <w:left w:val="none" w:sz="0" w:space="0" w:color="auto"/>
        <w:bottom w:val="none" w:sz="0" w:space="0" w:color="auto"/>
        <w:right w:val="none" w:sz="0" w:space="0" w:color="auto"/>
      </w:divBdr>
    </w:div>
    <w:div w:id="477576869">
      <w:bodyDiv w:val="1"/>
      <w:marLeft w:val="0"/>
      <w:marRight w:val="0"/>
      <w:marTop w:val="0"/>
      <w:marBottom w:val="0"/>
      <w:divBdr>
        <w:top w:val="none" w:sz="0" w:space="0" w:color="auto"/>
        <w:left w:val="none" w:sz="0" w:space="0" w:color="auto"/>
        <w:bottom w:val="none" w:sz="0" w:space="0" w:color="auto"/>
        <w:right w:val="none" w:sz="0" w:space="0" w:color="auto"/>
      </w:divBdr>
    </w:div>
    <w:div w:id="478036245">
      <w:bodyDiv w:val="1"/>
      <w:marLeft w:val="0"/>
      <w:marRight w:val="0"/>
      <w:marTop w:val="0"/>
      <w:marBottom w:val="0"/>
      <w:divBdr>
        <w:top w:val="none" w:sz="0" w:space="0" w:color="auto"/>
        <w:left w:val="none" w:sz="0" w:space="0" w:color="auto"/>
        <w:bottom w:val="none" w:sz="0" w:space="0" w:color="auto"/>
        <w:right w:val="none" w:sz="0" w:space="0" w:color="auto"/>
      </w:divBdr>
    </w:div>
    <w:div w:id="482087779">
      <w:bodyDiv w:val="1"/>
      <w:marLeft w:val="0"/>
      <w:marRight w:val="0"/>
      <w:marTop w:val="0"/>
      <w:marBottom w:val="0"/>
      <w:divBdr>
        <w:top w:val="none" w:sz="0" w:space="0" w:color="auto"/>
        <w:left w:val="none" w:sz="0" w:space="0" w:color="auto"/>
        <w:bottom w:val="none" w:sz="0" w:space="0" w:color="auto"/>
        <w:right w:val="none" w:sz="0" w:space="0" w:color="auto"/>
      </w:divBdr>
    </w:div>
    <w:div w:id="495193309">
      <w:bodyDiv w:val="1"/>
      <w:marLeft w:val="0"/>
      <w:marRight w:val="0"/>
      <w:marTop w:val="0"/>
      <w:marBottom w:val="0"/>
      <w:divBdr>
        <w:top w:val="none" w:sz="0" w:space="0" w:color="auto"/>
        <w:left w:val="none" w:sz="0" w:space="0" w:color="auto"/>
        <w:bottom w:val="none" w:sz="0" w:space="0" w:color="auto"/>
        <w:right w:val="none" w:sz="0" w:space="0" w:color="auto"/>
      </w:divBdr>
    </w:div>
    <w:div w:id="496002036">
      <w:bodyDiv w:val="1"/>
      <w:marLeft w:val="0"/>
      <w:marRight w:val="0"/>
      <w:marTop w:val="0"/>
      <w:marBottom w:val="0"/>
      <w:divBdr>
        <w:top w:val="none" w:sz="0" w:space="0" w:color="auto"/>
        <w:left w:val="none" w:sz="0" w:space="0" w:color="auto"/>
        <w:bottom w:val="none" w:sz="0" w:space="0" w:color="auto"/>
        <w:right w:val="none" w:sz="0" w:space="0" w:color="auto"/>
      </w:divBdr>
    </w:div>
    <w:div w:id="497813761">
      <w:bodyDiv w:val="1"/>
      <w:marLeft w:val="0"/>
      <w:marRight w:val="0"/>
      <w:marTop w:val="0"/>
      <w:marBottom w:val="0"/>
      <w:divBdr>
        <w:top w:val="none" w:sz="0" w:space="0" w:color="auto"/>
        <w:left w:val="none" w:sz="0" w:space="0" w:color="auto"/>
        <w:bottom w:val="none" w:sz="0" w:space="0" w:color="auto"/>
        <w:right w:val="none" w:sz="0" w:space="0" w:color="auto"/>
      </w:divBdr>
    </w:div>
    <w:div w:id="500389051">
      <w:bodyDiv w:val="1"/>
      <w:marLeft w:val="0"/>
      <w:marRight w:val="0"/>
      <w:marTop w:val="0"/>
      <w:marBottom w:val="0"/>
      <w:divBdr>
        <w:top w:val="none" w:sz="0" w:space="0" w:color="auto"/>
        <w:left w:val="none" w:sz="0" w:space="0" w:color="auto"/>
        <w:bottom w:val="none" w:sz="0" w:space="0" w:color="auto"/>
        <w:right w:val="none" w:sz="0" w:space="0" w:color="auto"/>
      </w:divBdr>
    </w:div>
    <w:div w:id="501972399">
      <w:bodyDiv w:val="1"/>
      <w:marLeft w:val="0"/>
      <w:marRight w:val="0"/>
      <w:marTop w:val="0"/>
      <w:marBottom w:val="0"/>
      <w:divBdr>
        <w:top w:val="none" w:sz="0" w:space="0" w:color="auto"/>
        <w:left w:val="none" w:sz="0" w:space="0" w:color="auto"/>
        <w:bottom w:val="none" w:sz="0" w:space="0" w:color="auto"/>
        <w:right w:val="none" w:sz="0" w:space="0" w:color="auto"/>
      </w:divBdr>
    </w:div>
    <w:div w:id="502092136">
      <w:bodyDiv w:val="1"/>
      <w:marLeft w:val="0"/>
      <w:marRight w:val="0"/>
      <w:marTop w:val="0"/>
      <w:marBottom w:val="0"/>
      <w:divBdr>
        <w:top w:val="none" w:sz="0" w:space="0" w:color="auto"/>
        <w:left w:val="none" w:sz="0" w:space="0" w:color="auto"/>
        <w:bottom w:val="none" w:sz="0" w:space="0" w:color="auto"/>
        <w:right w:val="none" w:sz="0" w:space="0" w:color="auto"/>
      </w:divBdr>
    </w:div>
    <w:div w:id="503933741">
      <w:bodyDiv w:val="1"/>
      <w:marLeft w:val="0"/>
      <w:marRight w:val="0"/>
      <w:marTop w:val="0"/>
      <w:marBottom w:val="0"/>
      <w:divBdr>
        <w:top w:val="none" w:sz="0" w:space="0" w:color="auto"/>
        <w:left w:val="none" w:sz="0" w:space="0" w:color="auto"/>
        <w:bottom w:val="none" w:sz="0" w:space="0" w:color="auto"/>
        <w:right w:val="none" w:sz="0" w:space="0" w:color="auto"/>
      </w:divBdr>
    </w:div>
    <w:div w:id="505828989">
      <w:bodyDiv w:val="1"/>
      <w:marLeft w:val="0"/>
      <w:marRight w:val="0"/>
      <w:marTop w:val="0"/>
      <w:marBottom w:val="0"/>
      <w:divBdr>
        <w:top w:val="none" w:sz="0" w:space="0" w:color="auto"/>
        <w:left w:val="none" w:sz="0" w:space="0" w:color="auto"/>
        <w:bottom w:val="none" w:sz="0" w:space="0" w:color="auto"/>
        <w:right w:val="none" w:sz="0" w:space="0" w:color="auto"/>
      </w:divBdr>
    </w:div>
    <w:div w:id="523636561">
      <w:bodyDiv w:val="1"/>
      <w:marLeft w:val="0"/>
      <w:marRight w:val="0"/>
      <w:marTop w:val="0"/>
      <w:marBottom w:val="0"/>
      <w:divBdr>
        <w:top w:val="none" w:sz="0" w:space="0" w:color="auto"/>
        <w:left w:val="none" w:sz="0" w:space="0" w:color="auto"/>
        <w:bottom w:val="none" w:sz="0" w:space="0" w:color="auto"/>
        <w:right w:val="none" w:sz="0" w:space="0" w:color="auto"/>
      </w:divBdr>
    </w:div>
    <w:div w:id="527839406">
      <w:bodyDiv w:val="1"/>
      <w:marLeft w:val="0"/>
      <w:marRight w:val="0"/>
      <w:marTop w:val="0"/>
      <w:marBottom w:val="0"/>
      <w:divBdr>
        <w:top w:val="none" w:sz="0" w:space="0" w:color="auto"/>
        <w:left w:val="none" w:sz="0" w:space="0" w:color="auto"/>
        <w:bottom w:val="none" w:sz="0" w:space="0" w:color="auto"/>
        <w:right w:val="none" w:sz="0" w:space="0" w:color="auto"/>
      </w:divBdr>
    </w:div>
    <w:div w:id="532117868">
      <w:bodyDiv w:val="1"/>
      <w:marLeft w:val="0"/>
      <w:marRight w:val="0"/>
      <w:marTop w:val="0"/>
      <w:marBottom w:val="0"/>
      <w:divBdr>
        <w:top w:val="none" w:sz="0" w:space="0" w:color="auto"/>
        <w:left w:val="none" w:sz="0" w:space="0" w:color="auto"/>
        <w:bottom w:val="none" w:sz="0" w:space="0" w:color="auto"/>
        <w:right w:val="none" w:sz="0" w:space="0" w:color="auto"/>
      </w:divBdr>
    </w:div>
    <w:div w:id="534194324">
      <w:bodyDiv w:val="1"/>
      <w:marLeft w:val="0"/>
      <w:marRight w:val="0"/>
      <w:marTop w:val="0"/>
      <w:marBottom w:val="0"/>
      <w:divBdr>
        <w:top w:val="none" w:sz="0" w:space="0" w:color="auto"/>
        <w:left w:val="none" w:sz="0" w:space="0" w:color="auto"/>
        <w:bottom w:val="none" w:sz="0" w:space="0" w:color="auto"/>
        <w:right w:val="none" w:sz="0" w:space="0" w:color="auto"/>
      </w:divBdr>
    </w:div>
    <w:div w:id="538131419">
      <w:bodyDiv w:val="1"/>
      <w:marLeft w:val="0"/>
      <w:marRight w:val="0"/>
      <w:marTop w:val="0"/>
      <w:marBottom w:val="0"/>
      <w:divBdr>
        <w:top w:val="none" w:sz="0" w:space="0" w:color="auto"/>
        <w:left w:val="none" w:sz="0" w:space="0" w:color="auto"/>
        <w:bottom w:val="none" w:sz="0" w:space="0" w:color="auto"/>
        <w:right w:val="none" w:sz="0" w:space="0" w:color="auto"/>
      </w:divBdr>
    </w:div>
    <w:div w:id="538863191">
      <w:bodyDiv w:val="1"/>
      <w:marLeft w:val="0"/>
      <w:marRight w:val="0"/>
      <w:marTop w:val="0"/>
      <w:marBottom w:val="0"/>
      <w:divBdr>
        <w:top w:val="none" w:sz="0" w:space="0" w:color="auto"/>
        <w:left w:val="none" w:sz="0" w:space="0" w:color="auto"/>
        <w:bottom w:val="none" w:sz="0" w:space="0" w:color="auto"/>
        <w:right w:val="none" w:sz="0" w:space="0" w:color="auto"/>
      </w:divBdr>
    </w:div>
    <w:div w:id="541094481">
      <w:bodyDiv w:val="1"/>
      <w:marLeft w:val="0"/>
      <w:marRight w:val="0"/>
      <w:marTop w:val="0"/>
      <w:marBottom w:val="0"/>
      <w:divBdr>
        <w:top w:val="none" w:sz="0" w:space="0" w:color="auto"/>
        <w:left w:val="none" w:sz="0" w:space="0" w:color="auto"/>
        <w:bottom w:val="none" w:sz="0" w:space="0" w:color="auto"/>
        <w:right w:val="none" w:sz="0" w:space="0" w:color="auto"/>
      </w:divBdr>
    </w:div>
    <w:div w:id="541479249">
      <w:bodyDiv w:val="1"/>
      <w:marLeft w:val="0"/>
      <w:marRight w:val="0"/>
      <w:marTop w:val="0"/>
      <w:marBottom w:val="0"/>
      <w:divBdr>
        <w:top w:val="none" w:sz="0" w:space="0" w:color="auto"/>
        <w:left w:val="none" w:sz="0" w:space="0" w:color="auto"/>
        <w:bottom w:val="none" w:sz="0" w:space="0" w:color="auto"/>
        <w:right w:val="none" w:sz="0" w:space="0" w:color="auto"/>
      </w:divBdr>
    </w:div>
    <w:div w:id="542449912">
      <w:bodyDiv w:val="1"/>
      <w:marLeft w:val="0"/>
      <w:marRight w:val="0"/>
      <w:marTop w:val="0"/>
      <w:marBottom w:val="0"/>
      <w:divBdr>
        <w:top w:val="none" w:sz="0" w:space="0" w:color="auto"/>
        <w:left w:val="none" w:sz="0" w:space="0" w:color="auto"/>
        <w:bottom w:val="none" w:sz="0" w:space="0" w:color="auto"/>
        <w:right w:val="none" w:sz="0" w:space="0" w:color="auto"/>
      </w:divBdr>
    </w:div>
    <w:div w:id="543565189">
      <w:bodyDiv w:val="1"/>
      <w:marLeft w:val="0"/>
      <w:marRight w:val="0"/>
      <w:marTop w:val="0"/>
      <w:marBottom w:val="0"/>
      <w:divBdr>
        <w:top w:val="none" w:sz="0" w:space="0" w:color="auto"/>
        <w:left w:val="none" w:sz="0" w:space="0" w:color="auto"/>
        <w:bottom w:val="none" w:sz="0" w:space="0" w:color="auto"/>
        <w:right w:val="none" w:sz="0" w:space="0" w:color="auto"/>
      </w:divBdr>
    </w:div>
    <w:div w:id="546383302">
      <w:bodyDiv w:val="1"/>
      <w:marLeft w:val="0"/>
      <w:marRight w:val="0"/>
      <w:marTop w:val="0"/>
      <w:marBottom w:val="0"/>
      <w:divBdr>
        <w:top w:val="none" w:sz="0" w:space="0" w:color="auto"/>
        <w:left w:val="none" w:sz="0" w:space="0" w:color="auto"/>
        <w:bottom w:val="none" w:sz="0" w:space="0" w:color="auto"/>
        <w:right w:val="none" w:sz="0" w:space="0" w:color="auto"/>
      </w:divBdr>
    </w:div>
    <w:div w:id="557591826">
      <w:bodyDiv w:val="1"/>
      <w:marLeft w:val="0"/>
      <w:marRight w:val="0"/>
      <w:marTop w:val="0"/>
      <w:marBottom w:val="0"/>
      <w:divBdr>
        <w:top w:val="none" w:sz="0" w:space="0" w:color="auto"/>
        <w:left w:val="none" w:sz="0" w:space="0" w:color="auto"/>
        <w:bottom w:val="none" w:sz="0" w:space="0" w:color="auto"/>
        <w:right w:val="none" w:sz="0" w:space="0" w:color="auto"/>
      </w:divBdr>
    </w:div>
    <w:div w:id="559942300">
      <w:bodyDiv w:val="1"/>
      <w:marLeft w:val="0"/>
      <w:marRight w:val="0"/>
      <w:marTop w:val="0"/>
      <w:marBottom w:val="0"/>
      <w:divBdr>
        <w:top w:val="none" w:sz="0" w:space="0" w:color="auto"/>
        <w:left w:val="none" w:sz="0" w:space="0" w:color="auto"/>
        <w:bottom w:val="none" w:sz="0" w:space="0" w:color="auto"/>
        <w:right w:val="none" w:sz="0" w:space="0" w:color="auto"/>
      </w:divBdr>
    </w:div>
    <w:div w:id="562571175">
      <w:bodyDiv w:val="1"/>
      <w:marLeft w:val="0"/>
      <w:marRight w:val="0"/>
      <w:marTop w:val="0"/>
      <w:marBottom w:val="0"/>
      <w:divBdr>
        <w:top w:val="none" w:sz="0" w:space="0" w:color="auto"/>
        <w:left w:val="none" w:sz="0" w:space="0" w:color="auto"/>
        <w:bottom w:val="none" w:sz="0" w:space="0" w:color="auto"/>
        <w:right w:val="none" w:sz="0" w:space="0" w:color="auto"/>
      </w:divBdr>
    </w:div>
    <w:div w:id="563638533">
      <w:bodyDiv w:val="1"/>
      <w:marLeft w:val="0"/>
      <w:marRight w:val="0"/>
      <w:marTop w:val="0"/>
      <w:marBottom w:val="0"/>
      <w:divBdr>
        <w:top w:val="none" w:sz="0" w:space="0" w:color="auto"/>
        <w:left w:val="none" w:sz="0" w:space="0" w:color="auto"/>
        <w:bottom w:val="none" w:sz="0" w:space="0" w:color="auto"/>
        <w:right w:val="none" w:sz="0" w:space="0" w:color="auto"/>
      </w:divBdr>
    </w:div>
    <w:div w:id="565146440">
      <w:bodyDiv w:val="1"/>
      <w:marLeft w:val="0"/>
      <w:marRight w:val="0"/>
      <w:marTop w:val="0"/>
      <w:marBottom w:val="0"/>
      <w:divBdr>
        <w:top w:val="none" w:sz="0" w:space="0" w:color="auto"/>
        <w:left w:val="none" w:sz="0" w:space="0" w:color="auto"/>
        <w:bottom w:val="none" w:sz="0" w:space="0" w:color="auto"/>
        <w:right w:val="none" w:sz="0" w:space="0" w:color="auto"/>
      </w:divBdr>
    </w:div>
    <w:div w:id="569191158">
      <w:bodyDiv w:val="1"/>
      <w:marLeft w:val="0"/>
      <w:marRight w:val="0"/>
      <w:marTop w:val="0"/>
      <w:marBottom w:val="0"/>
      <w:divBdr>
        <w:top w:val="none" w:sz="0" w:space="0" w:color="auto"/>
        <w:left w:val="none" w:sz="0" w:space="0" w:color="auto"/>
        <w:bottom w:val="none" w:sz="0" w:space="0" w:color="auto"/>
        <w:right w:val="none" w:sz="0" w:space="0" w:color="auto"/>
      </w:divBdr>
    </w:div>
    <w:div w:id="569193197">
      <w:bodyDiv w:val="1"/>
      <w:marLeft w:val="0"/>
      <w:marRight w:val="0"/>
      <w:marTop w:val="0"/>
      <w:marBottom w:val="0"/>
      <w:divBdr>
        <w:top w:val="none" w:sz="0" w:space="0" w:color="auto"/>
        <w:left w:val="none" w:sz="0" w:space="0" w:color="auto"/>
        <w:bottom w:val="none" w:sz="0" w:space="0" w:color="auto"/>
        <w:right w:val="none" w:sz="0" w:space="0" w:color="auto"/>
      </w:divBdr>
    </w:div>
    <w:div w:id="569580465">
      <w:bodyDiv w:val="1"/>
      <w:marLeft w:val="0"/>
      <w:marRight w:val="0"/>
      <w:marTop w:val="0"/>
      <w:marBottom w:val="0"/>
      <w:divBdr>
        <w:top w:val="none" w:sz="0" w:space="0" w:color="auto"/>
        <w:left w:val="none" w:sz="0" w:space="0" w:color="auto"/>
        <w:bottom w:val="none" w:sz="0" w:space="0" w:color="auto"/>
        <w:right w:val="none" w:sz="0" w:space="0" w:color="auto"/>
      </w:divBdr>
    </w:div>
    <w:div w:id="582106234">
      <w:bodyDiv w:val="1"/>
      <w:marLeft w:val="0"/>
      <w:marRight w:val="0"/>
      <w:marTop w:val="0"/>
      <w:marBottom w:val="0"/>
      <w:divBdr>
        <w:top w:val="none" w:sz="0" w:space="0" w:color="auto"/>
        <w:left w:val="none" w:sz="0" w:space="0" w:color="auto"/>
        <w:bottom w:val="none" w:sz="0" w:space="0" w:color="auto"/>
        <w:right w:val="none" w:sz="0" w:space="0" w:color="auto"/>
      </w:divBdr>
    </w:div>
    <w:div w:id="583148605">
      <w:bodyDiv w:val="1"/>
      <w:marLeft w:val="0"/>
      <w:marRight w:val="0"/>
      <w:marTop w:val="0"/>
      <w:marBottom w:val="0"/>
      <w:divBdr>
        <w:top w:val="none" w:sz="0" w:space="0" w:color="auto"/>
        <w:left w:val="none" w:sz="0" w:space="0" w:color="auto"/>
        <w:bottom w:val="none" w:sz="0" w:space="0" w:color="auto"/>
        <w:right w:val="none" w:sz="0" w:space="0" w:color="auto"/>
      </w:divBdr>
    </w:div>
    <w:div w:id="583607813">
      <w:bodyDiv w:val="1"/>
      <w:marLeft w:val="0"/>
      <w:marRight w:val="0"/>
      <w:marTop w:val="0"/>
      <w:marBottom w:val="0"/>
      <w:divBdr>
        <w:top w:val="none" w:sz="0" w:space="0" w:color="auto"/>
        <w:left w:val="none" w:sz="0" w:space="0" w:color="auto"/>
        <w:bottom w:val="none" w:sz="0" w:space="0" w:color="auto"/>
        <w:right w:val="none" w:sz="0" w:space="0" w:color="auto"/>
      </w:divBdr>
    </w:div>
    <w:div w:id="583925976">
      <w:bodyDiv w:val="1"/>
      <w:marLeft w:val="0"/>
      <w:marRight w:val="0"/>
      <w:marTop w:val="0"/>
      <w:marBottom w:val="0"/>
      <w:divBdr>
        <w:top w:val="none" w:sz="0" w:space="0" w:color="auto"/>
        <w:left w:val="none" w:sz="0" w:space="0" w:color="auto"/>
        <w:bottom w:val="none" w:sz="0" w:space="0" w:color="auto"/>
        <w:right w:val="none" w:sz="0" w:space="0" w:color="auto"/>
      </w:divBdr>
    </w:div>
    <w:div w:id="589126312">
      <w:bodyDiv w:val="1"/>
      <w:marLeft w:val="0"/>
      <w:marRight w:val="0"/>
      <w:marTop w:val="0"/>
      <w:marBottom w:val="0"/>
      <w:divBdr>
        <w:top w:val="none" w:sz="0" w:space="0" w:color="auto"/>
        <w:left w:val="none" w:sz="0" w:space="0" w:color="auto"/>
        <w:bottom w:val="none" w:sz="0" w:space="0" w:color="auto"/>
        <w:right w:val="none" w:sz="0" w:space="0" w:color="auto"/>
      </w:divBdr>
    </w:div>
    <w:div w:id="589393219">
      <w:bodyDiv w:val="1"/>
      <w:marLeft w:val="0"/>
      <w:marRight w:val="0"/>
      <w:marTop w:val="0"/>
      <w:marBottom w:val="0"/>
      <w:divBdr>
        <w:top w:val="none" w:sz="0" w:space="0" w:color="auto"/>
        <w:left w:val="none" w:sz="0" w:space="0" w:color="auto"/>
        <w:bottom w:val="none" w:sz="0" w:space="0" w:color="auto"/>
        <w:right w:val="none" w:sz="0" w:space="0" w:color="auto"/>
      </w:divBdr>
    </w:div>
    <w:div w:id="590702993">
      <w:bodyDiv w:val="1"/>
      <w:marLeft w:val="0"/>
      <w:marRight w:val="0"/>
      <w:marTop w:val="0"/>
      <w:marBottom w:val="0"/>
      <w:divBdr>
        <w:top w:val="none" w:sz="0" w:space="0" w:color="auto"/>
        <w:left w:val="none" w:sz="0" w:space="0" w:color="auto"/>
        <w:bottom w:val="none" w:sz="0" w:space="0" w:color="auto"/>
        <w:right w:val="none" w:sz="0" w:space="0" w:color="auto"/>
      </w:divBdr>
    </w:div>
    <w:div w:id="590938789">
      <w:bodyDiv w:val="1"/>
      <w:marLeft w:val="0"/>
      <w:marRight w:val="0"/>
      <w:marTop w:val="0"/>
      <w:marBottom w:val="0"/>
      <w:divBdr>
        <w:top w:val="none" w:sz="0" w:space="0" w:color="auto"/>
        <w:left w:val="none" w:sz="0" w:space="0" w:color="auto"/>
        <w:bottom w:val="none" w:sz="0" w:space="0" w:color="auto"/>
        <w:right w:val="none" w:sz="0" w:space="0" w:color="auto"/>
      </w:divBdr>
    </w:div>
    <w:div w:id="592319671">
      <w:bodyDiv w:val="1"/>
      <w:marLeft w:val="0"/>
      <w:marRight w:val="0"/>
      <w:marTop w:val="0"/>
      <w:marBottom w:val="0"/>
      <w:divBdr>
        <w:top w:val="none" w:sz="0" w:space="0" w:color="auto"/>
        <w:left w:val="none" w:sz="0" w:space="0" w:color="auto"/>
        <w:bottom w:val="none" w:sz="0" w:space="0" w:color="auto"/>
        <w:right w:val="none" w:sz="0" w:space="0" w:color="auto"/>
      </w:divBdr>
    </w:div>
    <w:div w:id="594557943">
      <w:bodyDiv w:val="1"/>
      <w:marLeft w:val="0"/>
      <w:marRight w:val="0"/>
      <w:marTop w:val="0"/>
      <w:marBottom w:val="0"/>
      <w:divBdr>
        <w:top w:val="none" w:sz="0" w:space="0" w:color="auto"/>
        <w:left w:val="none" w:sz="0" w:space="0" w:color="auto"/>
        <w:bottom w:val="none" w:sz="0" w:space="0" w:color="auto"/>
        <w:right w:val="none" w:sz="0" w:space="0" w:color="auto"/>
      </w:divBdr>
    </w:div>
    <w:div w:id="595407145">
      <w:bodyDiv w:val="1"/>
      <w:marLeft w:val="0"/>
      <w:marRight w:val="0"/>
      <w:marTop w:val="0"/>
      <w:marBottom w:val="0"/>
      <w:divBdr>
        <w:top w:val="none" w:sz="0" w:space="0" w:color="auto"/>
        <w:left w:val="none" w:sz="0" w:space="0" w:color="auto"/>
        <w:bottom w:val="none" w:sz="0" w:space="0" w:color="auto"/>
        <w:right w:val="none" w:sz="0" w:space="0" w:color="auto"/>
      </w:divBdr>
    </w:div>
    <w:div w:id="598952464">
      <w:bodyDiv w:val="1"/>
      <w:marLeft w:val="0"/>
      <w:marRight w:val="0"/>
      <w:marTop w:val="0"/>
      <w:marBottom w:val="0"/>
      <w:divBdr>
        <w:top w:val="none" w:sz="0" w:space="0" w:color="auto"/>
        <w:left w:val="none" w:sz="0" w:space="0" w:color="auto"/>
        <w:bottom w:val="none" w:sz="0" w:space="0" w:color="auto"/>
        <w:right w:val="none" w:sz="0" w:space="0" w:color="auto"/>
      </w:divBdr>
    </w:div>
    <w:div w:id="599872200">
      <w:bodyDiv w:val="1"/>
      <w:marLeft w:val="0"/>
      <w:marRight w:val="0"/>
      <w:marTop w:val="0"/>
      <w:marBottom w:val="0"/>
      <w:divBdr>
        <w:top w:val="none" w:sz="0" w:space="0" w:color="auto"/>
        <w:left w:val="none" w:sz="0" w:space="0" w:color="auto"/>
        <w:bottom w:val="none" w:sz="0" w:space="0" w:color="auto"/>
        <w:right w:val="none" w:sz="0" w:space="0" w:color="auto"/>
      </w:divBdr>
    </w:div>
    <w:div w:id="607270943">
      <w:bodyDiv w:val="1"/>
      <w:marLeft w:val="0"/>
      <w:marRight w:val="0"/>
      <w:marTop w:val="0"/>
      <w:marBottom w:val="0"/>
      <w:divBdr>
        <w:top w:val="none" w:sz="0" w:space="0" w:color="auto"/>
        <w:left w:val="none" w:sz="0" w:space="0" w:color="auto"/>
        <w:bottom w:val="none" w:sz="0" w:space="0" w:color="auto"/>
        <w:right w:val="none" w:sz="0" w:space="0" w:color="auto"/>
      </w:divBdr>
    </w:div>
    <w:div w:id="608660610">
      <w:bodyDiv w:val="1"/>
      <w:marLeft w:val="0"/>
      <w:marRight w:val="0"/>
      <w:marTop w:val="0"/>
      <w:marBottom w:val="0"/>
      <w:divBdr>
        <w:top w:val="none" w:sz="0" w:space="0" w:color="auto"/>
        <w:left w:val="none" w:sz="0" w:space="0" w:color="auto"/>
        <w:bottom w:val="none" w:sz="0" w:space="0" w:color="auto"/>
        <w:right w:val="none" w:sz="0" w:space="0" w:color="auto"/>
      </w:divBdr>
    </w:div>
    <w:div w:id="611522124">
      <w:bodyDiv w:val="1"/>
      <w:marLeft w:val="0"/>
      <w:marRight w:val="0"/>
      <w:marTop w:val="0"/>
      <w:marBottom w:val="0"/>
      <w:divBdr>
        <w:top w:val="none" w:sz="0" w:space="0" w:color="auto"/>
        <w:left w:val="none" w:sz="0" w:space="0" w:color="auto"/>
        <w:bottom w:val="none" w:sz="0" w:space="0" w:color="auto"/>
        <w:right w:val="none" w:sz="0" w:space="0" w:color="auto"/>
      </w:divBdr>
    </w:div>
    <w:div w:id="612589922">
      <w:bodyDiv w:val="1"/>
      <w:marLeft w:val="0"/>
      <w:marRight w:val="0"/>
      <w:marTop w:val="0"/>
      <w:marBottom w:val="0"/>
      <w:divBdr>
        <w:top w:val="none" w:sz="0" w:space="0" w:color="auto"/>
        <w:left w:val="none" w:sz="0" w:space="0" w:color="auto"/>
        <w:bottom w:val="none" w:sz="0" w:space="0" w:color="auto"/>
        <w:right w:val="none" w:sz="0" w:space="0" w:color="auto"/>
      </w:divBdr>
    </w:div>
    <w:div w:id="614942381">
      <w:bodyDiv w:val="1"/>
      <w:marLeft w:val="0"/>
      <w:marRight w:val="0"/>
      <w:marTop w:val="0"/>
      <w:marBottom w:val="0"/>
      <w:divBdr>
        <w:top w:val="none" w:sz="0" w:space="0" w:color="auto"/>
        <w:left w:val="none" w:sz="0" w:space="0" w:color="auto"/>
        <w:bottom w:val="none" w:sz="0" w:space="0" w:color="auto"/>
        <w:right w:val="none" w:sz="0" w:space="0" w:color="auto"/>
      </w:divBdr>
    </w:div>
    <w:div w:id="618950736">
      <w:bodyDiv w:val="1"/>
      <w:marLeft w:val="0"/>
      <w:marRight w:val="0"/>
      <w:marTop w:val="0"/>
      <w:marBottom w:val="0"/>
      <w:divBdr>
        <w:top w:val="none" w:sz="0" w:space="0" w:color="auto"/>
        <w:left w:val="none" w:sz="0" w:space="0" w:color="auto"/>
        <w:bottom w:val="none" w:sz="0" w:space="0" w:color="auto"/>
        <w:right w:val="none" w:sz="0" w:space="0" w:color="auto"/>
      </w:divBdr>
    </w:div>
    <w:div w:id="619650107">
      <w:bodyDiv w:val="1"/>
      <w:marLeft w:val="0"/>
      <w:marRight w:val="0"/>
      <w:marTop w:val="0"/>
      <w:marBottom w:val="0"/>
      <w:divBdr>
        <w:top w:val="none" w:sz="0" w:space="0" w:color="auto"/>
        <w:left w:val="none" w:sz="0" w:space="0" w:color="auto"/>
        <w:bottom w:val="none" w:sz="0" w:space="0" w:color="auto"/>
        <w:right w:val="none" w:sz="0" w:space="0" w:color="auto"/>
      </w:divBdr>
    </w:div>
    <w:div w:id="619921088">
      <w:bodyDiv w:val="1"/>
      <w:marLeft w:val="0"/>
      <w:marRight w:val="0"/>
      <w:marTop w:val="0"/>
      <w:marBottom w:val="0"/>
      <w:divBdr>
        <w:top w:val="none" w:sz="0" w:space="0" w:color="auto"/>
        <w:left w:val="none" w:sz="0" w:space="0" w:color="auto"/>
        <w:bottom w:val="none" w:sz="0" w:space="0" w:color="auto"/>
        <w:right w:val="none" w:sz="0" w:space="0" w:color="auto"/>
      </w:divBdr>
    </w:div>
    <w:div w:id="622931500">
      <w:bodyDiv w:val="1"/>
      <w:marLeft w:val="0"/>
      <w:marRight w:val="0"/>
      <w:marTop w:val="0"/>
      <w:marBottom w:val="0"/>
      <w:divBdr>
        <w:top w:val="none" w:sz="0" w:space="0" w:color="auto"/>
        <w:left w:val="none" w:sz="0" w:space="0" w:color="auto"/>
        <w:bottom w:val="none" w:sz="0" w:space="0" w:color="auto"/>
        <w:right w:val="none" w:sz="0" w:space="0" w:color="auto"/>
      </w:divBdr>
    </w:div>
    <w:div w:id="628753285">
      <w:bodyDiv w:val="1"/>
      <w:marLeft w:val="0"/>
      <w:marRight w:val="0"/>
      <w:marTop w:val="0"/>
      <w:marBottom w:val="0"/>
      <w:divBdr>
        <w:top w:val="none" w:sz="0" w:space="0" w:color="auto"/>
        <w:left w:val="none" w:sz="0" w:space="0" w:color="auto"/>
        <w:bottom w:val="none" w:sz="0" w:space="0" w:color="auto"/>
        <w:right w:val="none" w:sz="0" w:space="0" w:color="auto"/>
      </w:divBdr>
    </w:div>
    <w:div w:id="629289392">
      <w:bodyDiv w:val="1"/>
      <w:marLeft w:val="0"/>
      <w:marRight w:val="0"/>
      <w:marTop w:val="0"/>
      <w:marBottom w:val="0"/>
      <w:divBdr>
        <w:top w:val="none" w:sz="0" w:space="0" w:color="auto"/>
        <w:left w:val="none" w:sz="0" w:space="0" w:color="auto"/>
        <w:bottom w:val="none" w:sz="0" w:space="0" w:color="auto"/>
        <w:right w:val="none" w:sz="0" w:space="0" w:color="auto"/>
      </w:divBdr>
    </w:div>
    <w:div w:id="652488611">
      <w:bodyDiv w:val="1"/>
      <w:marLeft w:val="0"/>
      <w:marRight w:val="0"/>
      <w:marTop w:val="0"/>
      <w:marBottom w:val="0"/>
      <w:divBdr>
        <w:top w:val="none" w:sz="0" w:space="0" w:color="auto"/>
        <w:left w:val="none" w:sz="0" w:space="0" w:color="auto"/>
        <w:bottom w:val="none" w:sz="0" w:space="0" w:color="auto"/>
        <w:right w:val="none" w:sz="0" w:space="0" w:color="auto"/>
      </w:divBdr>
    </w:div>
    <w:div w:id="653333151">
      <w:bodyDiv w:val="1"/>
      <w:marLeft w:val="0"/>
      <w:marRight w:val="0"/>
      <w:marTop w:val="0"/>
      <w:marBottom w:val="0"/>
      <w:divBdr>
        <w:top w:val="none" w:sz="0" w:space="0" w:color="auto"/>
        <w:left w:val="none" w:sz="0" w:space="0" w:color="auto"/>
        <w:bottom w:val="none" w:sz="0" w:space="0" w:color="auto"/>
        <w:right w:val="none" w:sz="0" w:space="0" w:color="auto"/>
      </w:divBdr>
    </w:div>
    <w:div w:id="664435448">
      <w:bodyDiv w:val="1"/>
      <w:marLeft w:val="0"/>
      <w:marRight w:val="0"/>
      <w:marTop w:val="0"/>
      <w:marBottom w:val="0"/>
      <w:divBdr>
        <w:top w:val="none" w:sz="0" w:space="0" w:color="auto"/>
        <w:left w:val="none" w:sz="0" w:space="0" w:color="auto"/>
        <w:bottom w:val="none" w:sz="0" w:space="0" w:color="auto"/>
        <w:right w:val="none" w:sz="0" w:space="0" w:color="auto"/>
      </w:divBdr>
    </w:div>
    <w:div w:id="670571789">
      <w:bodyDiv w:val="1"/>
      <w:marLeft w:val="0"/>
      <w:marRight w:val="0"/>
      <w:marTop w:val="0"/>
      <w:marBottom w:val="0"/>
      <w:divBdr>
        <w:top w:val="none" w:sz="0" w:space="0" w:color="auto"/>
        <w:left w:val="none" w:sz="0" w:space="0" w:color="auto"/>
        <w:bottom w:val="none" w:sz="0" w:space="0" w:color="auto"/>
        <w:right w:val="none" w:sz="0" w:space="0" w:color="auto"/>
      </w:divBdr>
    </w:div>
    <w:div w:id="672924123">
      <w:bodyDiv w:val="1"/>
      <w:marLeft w:val="0"/>
      <w:marRight w:val="0"/>
      <w:marTop w:val="0"/>
      <w:marBottom w:val="0"/>
      <w:divBdr>
        <w:top w:val="none" w:sz="0" w:space="0" w:color="auto"/>
        <w:left w:val="none" w:sz="0" w:space="0" w:color="auto"/>
        <w:bottom w:val="none" w:sz="0" w:space="0" w:color="auto"/>
        <w:right w:val="none" w:sz="0" w:space="0" w:color="auto"/>
      </w:divBdr>
    </w:div>
    <w:div w:id="675960587">
      <w:bodyDiv w:val="1"/>
      <w:marLeft w:val="0"/>
      <w:marRight w:val="0"/>
      <w:marTop w:val="0"/>
      <w:marBottom w:val="0"/>
      <w:divBdr>
        <w:top w:val="none" w:sz="0" w:space="0" w:color="auto"/>
        <w:left w:val="none" w:sz="0" w:space="0" w:color="auto"/>
        <w:bottom w:val="none" w:sz="0" w:space="0" w:color="auto"/>
        <w:right w:val="none" w:sz="0" w:space="0" w:color="auto"/>
      </w:divBdr>
    </w:div>
    <w:div w:id="677733336">
      <w:bodyDiv w:val="1"/>
      <w:marLeft w:val="0"/>
      <w:marRight w:val="0"/>
      <w:marTop w:val="0"/>
      <w:marBottom w:val="0"/>
      <w:divBdr>
        <w:top w:val="none" w:sz="0" w:space="0" w:color="auto"/>
        <w:left w:val="none" w:sz="0" w:space="0" w:color="auto"/>
        <w:bottom w:val="none" w:sz="0" w:space="0" w:color="auto"/>
        <w:right w:val="none" w:sz="0" w:space="0" w:color="auto"/>
      </w:divBdr>
    </w:div>
    <w:div w:id="681857857">
      <w:bodyDiv w:val="1"/>
      <w:marLeft w:val="0"/>
      <w:marRight w:val="0"/>
      <w:marTop w:val="0"/>
      <w:marBottom w:val="0"/>
      <w:divBdr>
        <w:top w:val="none" w:sz="0" w:space="0" w:color="auto"/>
        <w:left w:val="none" w:sz="0" w:space="0" w:color="auto"/>
        <w:bottom w:val="none" w:sz="0" w:space="0" w:color="auto"/>
        <w:right w:val="none" w:sz="0" w:space="0" w:color="auto"/>
      </w:divBdr>
    </w:div>
    <w:div w:id="682051754">
      <w:bodyDiv w:val="1"/>
      <w:marLeft w:val="0"/>
      <w:marRight w:val="0"/>
      <w:marTop w:val="0"/>
      <w:marBottom w:val="0"/>
      <w:divBdr>
        <w:top w:val="none" w:sz="0" w:space="0" w:color="auto"/>
        <w:left w:val="none" w:sz="0" w:space="0" w:color="auto"/>
        <w:bottom w:val="none" w:sz="0" w:space="0" w:color="auto"/>
        <w:right w:val="none" w:sz="0" w:space="0" w:color="auto"/>
      </w:divBdr>
    </w:div>
    <w:div w:id="683821249">
      <w:bodyDiv w:val="1"/>
      <w:marLeft w:val="0"/>
      <w:marRight w:val="0"/>
      <w:marTop w:val="0"/>
      <w:marBottom w:val="0"/>
      <w:divBdr>
        <w:top w:val="none" w:sz="0" w:space="0" w:color="auto"/>
        <w:left w:val="none" w:sz="0" w:space="0" w:color="auto"/>
        <w:bottom w:val="none" w:sz="0" w:space="0" w:color="auto"/>
        <w:right w:val="none" w:sz="0" w:space="0" w:color="auto"/>
      </w:divBdr>
    </w:div>
    <w:div w:id="684330083">
      <w:bodyDiv w:val="1"/>
      <w:marLeft w:val="0"/>
      <w:marRight w:val="0"/>
      <w:marTop w:val="0"/>
      <w:marBottom w:val="0"/>
      <w:divBdr>
        <w:top w:val="none" w:sz="0" w:space="0" w:color="auto"/>
        <w:left w:val="none" w:sz="0" w:space="0" w:color="auto"/>
        <w:bottom w:val="none" w:sz="0" w:space="0" w:color="auto"/>
        <w:right w:val="none" w:sz="0" w:space="0" w:color="auto"/>
      </w:divBdr>
    </w:div>
    <w:div w:id="686559458">
      <w:bodyDiv w:val="1"/>
      <w:marLeft w:val="0"/>
      <w:marRight w:val="0"/>
      <w:marTop w:val="0"/>
      <w:marBottom w:val="0"/>
      <w:divBdr>
        <w:top w:val="none" w:sz="0" w:space="0" w:color="auto"/>
        <w:left w:val="none" w:sz="0" w:space="0" w:color="auto"/>
        <w:bottom w:val="none" w:sz="0" w:space="0" w:color="auto"/>
        <w:right w:val="none" w:sz="0" w:space="0" w:color="auto"/>
      </w:divBdr>
    </w:div>
    <w:div w:id="689112879">
      <w:bodyDiv w:val="1"/>
      <w:marLeft w:val="0"/>
      <w:marRight w:val="0"/>
      <w:marTop w:val="0"/>
      <w:marBottom w:val="0"/>
      <w:divBdr>
        <w:top w:val="none" w:sz="0" w:space="0" w:color="auto"/>
        <w:left w:val="none" w:sz="0" w:space="0" w:color="auto"/>
        <w:bottom w:val="none" w:sz="0" w:space="0" w:color="auto"/>
        <w:right w:val="none" w:sz="0" w:space="0" w:color="auto"/>
      </w:divBdr>
    </w:div>
    <w:div w:id="689797390">
      <w:bodyDiv w:val="1"/>
      <w:marLeft w:val="0"/>
      <w:marRight w:val="0"/>
      <w:marTop w:val="0"/>
      <w:marBottom w:val="0"/>
      <w:divBdr>
        <w:top w:val="none" w:sz="0" w:space="0" w:color="auto"/>
        <w:left w:val="none" w:sz="0" w:space="0" w:color="auto"/>
        <w:bottom w:val="none" w:sz="0" w:space="0" w:color="auto"/>
        <w:right w:val="none" w:sz="0" w:space="0" w:color="auto"/>
      </w:divBdr>
    </w:div>
    <w:div w:id="690303288">
      <w:bodyDiv w:val="1"/>
      <w:marLeft w:val="0"/>
      <w:marRight w:val="0"/>
      <w:marTop w:val="0"/>
      <w:marBottom w:val="0"/>
      <w:divBdr>
        <w:top w:val="none" w:sz="0" w:space="0" w:color="auto"/>
        <w:left w:val="none" w:sz="0" w:space="0" w:color="auto"/>
        <w:bottom w:val="none" w:sz="0" w:space="0" w:color="auto"/>
        <w:right w:val="none" w:sz="0" w:space="0" w:color="auto"/>
      </w:divBdr>
    </w:div>
    <w:div w:id="694237231">
      <w:bodyDiv w:val="1"/>
      <w:marLeft w:val="0"/>
      <w:marRight w:val="0"/>
      <w:marTop w:val="0"/>
      <w:marBottom w:val="0"/>
      <w:divBdr>
        <w:top w:val="none" w:sz="0" w:space="0" w:color="auto"/>
        <w:left w:val="none" w:sz="0" w:space="0" w:color="auto"/>
        <w:bottom w:val="none" w:sz="0" w:space="0" w:color="auto"/>
        <w:right w:val="none" w:sz="0" w:space="0" w:color="auto"/>
      </w:divBdr>
    </w:div>
    <w:div w:id="695153393">
      <w:bodyDiv w:val="1"/>
      <w:marLeft w:val="0"/>
      <w:marRight w:val="0"/>
      <w:marTop w:val="0"/>
      <w:marBottom w:val="0"/>
      <w:divBdr>
        <w:top w:val="none" w:sz="0" w:space="0" w:color="auto"/>
        <w:left w:val="none" w:sz="0" w:space="0" w:color="auto"/>
        <w:bottom w:val="none" w:sz="0" w:space="0" w:color="auto"/>
        <w:right w:val="none" w:sz="0" w:space="0" w:color="auto"/>
      </w:divBdr>
    </w:div>
    <w:div w:id="695809308">
      <w:bodyDiv w:val="1"/>
      <w:marLeft w:val="0"/>
      <w:marRight w:val="0"/>
      <w:marTop w:val="0"/>
      <w:marBottom w:val="0"/>
      <w:divBdr>
        <w:top w:val="none" w:sz="0" w:space="0" w:color="auto"/>
        <w:left w:val="none" w:sz="0" w:space="0" w:color="auto"/>
        <w:bottom w:val="none" w:sz="0" w:space="0" w:color="auto"/>
        <w:right w:val="none" w:sz="0" w:space="0" w:color="auto"/>
      </w:divBdr>
    </w:div>
    <w:div w:id="696737344">
      <w:bodyDiv w:val="1"/>
      <w:marLeft w:val="0"/>
      <w:marRight w:val="0"/>
      <w:marTop w:val="0"/>
      <w:marBottom w:val="0"/>
      <w:divBdr>
        <w:top w:val="none" w:sz="0" w:space="0" w:color="auto"/>
        <w:left w:val="none" w:sz="0" w:space="0" w:color="auto"/>
        <w:bottom w:val="none" w:sz="0" w:space="0" w:color="auto"/>
        <w:right w:val="none" w:sz="0" w:space="0" w:color="auto"/>
      </w:divBdr>
    </w:div>
    <w:div w:id="697853188">
      <w:bodyDiv w:val="1"/>
      <w:marLeft w:val="0"/>
      <w:marRight w:val="0"/>
      <w:marTop w:val="0"/>
      <w:marBottom w:val="0"/>
      <w:divBdr>
        <w:top w:val="none" w:sz="0" w:space="0" w:color="auto"/>
        <w:left w:val="none" w:sz="0" w:space="0" w:color="auto"/>
        <w:bottom w:val="none" w:sz="0" w:space="0" w:color="auto"/>
        <w:right w:val="none" w:sz="0" w:space="0" w:color="auto"/>
      </w:divBdr>
    </w:div>
    <w:div w:id="699008837">
      <w:bodyDiv w:val="1"/>
      <w:marLeft w:val="0"/>
      <w:marRight w:val="0"/>
      <w:marTop w:val="0"/>
      <w:marBottom w:val="0"/>
      <w:divBdr>
        <w:top w:val="none" w:sz="0" w:space="0" w:color="auto"/>
        <w:left w:val="none" w:sz="0" w:space="0" w:color="auto"/>
        <w:bottom w:val="none" w:sz="0" w:space="0" w:color="auto"/>
        <w:right w:val="none" w:sz="0" w:space="0" w:color="auto"/>
      </w:divBdr>
    </w:div>
    <w:div w:id="703365070">
      <w:bodyDiv w:val="1"/>
      <w:marLeft w:val="0"/>
      <w:marRight w:val="0"/>
      <w:marTop w:val="0"/>
      <w:marBottom w:val="0"/>
      <w:divBdr>
        <w:top w:val="none" w:sz="0" w:space="0" w:color="auto"/>
        <w:left w:val="none" w:sz="0" w:space="0" w:color="auto"/>
        <w:bottom w:val="none" w:sz="0" w:space="0" w:color="auto"/>
        <w:right w:val="none" w:sz="0" w:space="0" w:color="auto"/>
      </w:divBdr>
    </w:div>
    <w:div w:id="710425640">
      <w:bodyDiv w:val="1"/>
      <w:marLeft w:val="0"/>
      <w:marRight w:val="0"/>
      <w:marTop w:val="0"/>
      <w:marBottom w:val="0"/>
      <w:divBdr>
        <w:top w:val="none" w:sz="0" w:space="0" w:color="auto"/>
        <w:left w:val="none" w:sz="0" w:space="0" w:color="auto"/>
        <w:bottom w:val="none" w:sz="0" w:space="0" w:color="auto"/>
        <w:right w:val="none" w:sz="0" w:space="0" w:color="auto"/>
      </w:divBdr>
    </w:div>
    <w:div w:id="714548567">
      <w:bodyDiv w:val="1"/>
      <w:marLeft w:val="0"/>
      <w:marRight w:val="0"/>
      <w:marTop w:val="0"/>
      <w:marBottom w:val="0"/>
      <w:divBdr>
        <w:top w:val="none" w:sz="0" w:space="0" w:color="auto"/>
        <w:left w:val="none" w:sz="0" w:space="0" w:color="auto"/>
        <w:bottom w:val="none" w:sz="0" w:space="0" w:color="auto"/>
        <w:right w:val="none" w:sz="0" w:space="0" w:color="auto"/>
      </w:divBdr>
    </w:div>
    <w:div w:id="716052656">
      <w:bodyDiv w:val="1"/>
      <w:marLeft w:val="0"/>
      <w:marRight w:val="0"/>
      <w:marTop w:val="0"/>
      <w:marBottom w:val="0"/>
      <w:divBdr>
        <w:top w:val="none" w:sz="0" w:space="0" w:color="auto"/>
        <w:left w:val="none" w:sz="0" w:space="0" w:color="auto"/>
        <w:bottom w:val="none" w:sz="0" w:space="0" w:color="auto"/>
        <w:right w:val="none" w:sz="0" w:space="0" w:color="auto"/>
      </w:divBdr>
    </w:div>
    <w:div w:id="717317027">
      <w:bodyDiv w:val="1"/>
      <w:marLeft w:val="0"/>
      <w:marRight w:val="0"/>
      <w:marTop w:val="0"/>
      <w:marBottom w:val="0"/>
      <w:divBdr>
        <w:top w:val="none" w:sz="0" w:space="0" w:color="auto"/>
        <w:left w:val="none" w:sz="0" w:space="0" w:color="auto"/>
        <w:bottom w:val="none" w:sz="0" w:space="0" w:color="auto"/>
        <w:right w:val="none" w:sz="0" w:space="0" w:color="auto"/>
      </w:divBdr>
    </w:div>
    <w:div w:id="717585674">
      <w:bodyDiv w:val="1"/>
      <w:marLeft w:val="0"/>
      <w:marRight w:val="0"/>
      <w:marTop w:val="0"/>
      <w:marBottom w:val="0"/>
      <w:divBdr>
        <w:top w:val="none" w:sz="0" w:space="0" w:color="auto"/>
        <w:left w:val="none" w:sz="0" w:space="0" w:color="auto"/>
        <w:bottom w:val="none" w:sz="0" w:space="0" w:color="auto"/>
        <w:right w:val="none" w:sz="0" w:space="0" w:color="auto"/>
      </w:divBdr>
    </w:div>
    <w:div w:id="722020812">
      <w:bodyDiv w:val="1"/>
      <w:marLeft w:val="0"/>
      <w:marRight w:val="0"/>
      <w:marTop w:val="0"/>
      <w:marBottom w:val="0"/>
      <w:divBdr>
        <w:top w:val="none" w:sz="0" w:space="0" w:color="auto"/>
        <w:left w:val="none" w:sz="0" w:space="0" w:color="auto"/>
        <w:bottom w:val="none" w:sz="0" w:space="0" w:color="auto"/>
        <w:right w:val="none" w:sz="0" w:space="0" w:color="auto"/>
      </w:divBdr>
    </w:div>
    <w:div w:id="732118754">
      <w:bodyDiv w:val="1"/>
      <w:marLeft w:val="0"/>
      <w:marRight w:val="0"/>
      <w:marTop w:val="0"/>
      <w:marBottom w:val="0"/>
      <w:divBdr>
        <w:top w:val="none" w:sz="0" w:space="0" w:color="auto"/>
        <w:left w:val="none" w:sz="0" w:space="0" w:color="auto"/>
        <w:bottom w:val="none" w:sz="0" w:space="0" w:color="auto"/>
        <w:right w:val="none" w:sz="0" w:space="0" w:color="auto"/>
      </w:divBdr>
    </w:div>
    <w:div w:id="732123057">
      <w:bodyDiv w:val="1"/>
      <w:marLeft w:val="0"/>
      <w:marRight w:val="0"/>
      <w:marTop w:val="0"/>
      <w:marBottom w:val="0"/>
      <w:divBdr>
        <w:top w:val="none" w:sz="0" w:space="0" w:color="auto"/>
        <w:left w:val="none" w:sz="0" w:space="0" w:color="auto"/>
        <w:bottom w:val="none" w:sz="0" w:space="0" w:color="auto"/>
        <w:right w:val="none" w:sz="0" w:space="0" w:color="auto"/>
      </w:divBdr>
    </w:div>
    <w:div w:id="733313793">
      <w:bodyDiv w:val="1"/>
      <w:marLeft w:val="0"/>
      <w:marRight w:val="0"/>
      <w:marTop w:val="0"/>
      <w:marBottom w:val="0"/>
      <w:divBdr>
        <w:top w:val="none" w:sz="0" w:space="0" w:color="auto"/>
        <w:left w:val="none" w:sz="0" w:space="0" w:color="auto"/>
        <w:bottom w:val="none" w:sz="0" w:space="0" w:color="auto"/>
        <w:right w:val="none" w:sz="0" w:space="0" w:color="auto"/>
      </w:divBdr>
    </w:div>
    <w:div w:id="740249781">
      <w:bodyDiv w:val="1"/>
      <w:marLeft w:val="0"/>
      <w:marRight w:val="0"/>
      <w:marTop w:val="0"/>
      <w:marBottom w:val="0"/>
      <w:divBdr>
        <w:top w:val="none" w:sz="0" w:space="0" w:color="auto"/>
        <w:left w:val="none" w:sz="0" w:space="0" w:color="auto"/>
        <w:bottom w:val="none" w:sz="0" w:space="0" w:color="auto"/>
        <w:right w:val="none" w:sz="0" w:space="0" w:color="auto"/>
      </w:divBdr>
    </w:div>
    <w:div w:id="745223374">
      <w:bodyDiv w:val="1"/>
      <w:marLeft w:val="0"/>
      <w:marRight w:val="0"/>
      <w:marTop w:val="0"/>
      <w:marBottom w:val="0"/>
      <w:divBdr>
        <w:top w:val="none" w:sz="0" w:space="0" w:color="auto"/>
        <w:left w:val="none" w:sz="0" w:space="0" w:color="auto"/>
        <w:bottom w:val="none" w:sz="0" w:space="0" w:color="auto"/>
        <w:right w:val="none" w:sz="0" w:space="0" w:color="auto"/>
      </w:divBdr>
    </w:div>
    <w:div w:id="782648946">
      <w:bodyDiv w:val="1"/>
      <w:marLeft w:val="0"/>
      <w:marRight w:val="0"/>
      <w:marTop w:val="0"/>
      <w:marBottom w:val="0"/>
      <w:divBdr>
        <w:top w:val="none" w:sz="0" w:space="0" w:color="auto"/>
        <w:left w:val="none" w:sz="0" w:space="0" w:color="auto"/>
        <w:bottom w:val="none" w:sz="0" w:space="0" w:color="auto"/>
        <w:right w:val="none" w:sz="0" w:space="0" w:color="auto"/>
      </w:divBdr>
    </w:div>
    <w:div w:id="788469472">
      <w:bodyDiv w:val="1"/>
      <w:marLeft w:val="0"/>
      <w:marRight w:val="0"/>
      <w:marTop w:val="0"/>
      <w:marBottom w:val="0"/>
      <w:divBdr>
        <w:top w:val="none" w:sz="0" w:space="0" w:color="auto"/>
        <w:left w:val="none" w:sz="0" w:space="0" w:color="auto"/>
        <w:bottom w:val="none" w:sz="0" w:space="0" w:color="auto"/>
        <w:right w:val="none" w:sz="0" w:space="0" w:color="auto"/>
      </w:divBdr>
    </w:div>
    <w:div w:id="808518318">
      <w:bodyDiv w:val="1"/>
      <w:marLeft w:val="0"/>
      <w:marRight w:val="0"/>
      <w:marTop w:val="0"/>
      <w:marBottom w:val="0"/>
      <w:divBdr>
        <w:top w:val="none" w:sz="0" w:space="0" w:color="auto"/>
        <w:left w:val="none" w:sz="0" w:space="0" w:color="auto"/>
        <w:bottom w:val="none" w:sz="0" w:space="0" w:color="auto"/>
        <w:right w:val="none" w:sz="0" w:space="0" w:color="auto"/>
      </w:divBdr>
    </w:div>
    <w:div w:id="810289424">
      <w:bodyDiv w:val="1"/>
      <w:marLeft w:val="0"/>
      <w:marRight w:val="0"/>
      <w:marTop w:val="0"/>
      <w:marBottom w:val="0"/>
      <w:divBdr>
        <w:top w:val="none" w:sz="0" w:space="0" w:color="auto"/>
        <w:left w:val="none" w:sz="0" w:space="0" w:color="auto"/>
        <w:bottom w:val="none" w:sz="0" w:space="0" w:color="auto"/>
        <w:right w:val="none" w:sz="0" w:space="0" w:color="auto"/>
      </w:divBdr>
    </w:div>
    <w:div w:id="810639872">
      <w:bodyDiv w:val="1"/>
      <w:marLeft w:val="0"/>
      <w:marRight w:val="0"/>
      <w:marTop w:val="0"/>
      <w:marBottom w:val="0"/>
      <w:divBdr>
        <w:top w:val="none" w:sz="0" w:space="0" w:color="auto"/>
        <w:left w:val="none" w:sz="0" w:space="0" w:color="auto"/>
        <w:bottom w:val="none" w:sz="0" w:space="0" w:color="auto"/>
        <w:right w:val="none" w:sz="0" w:space="0" w:color="auto"/>
      </w:divBdr>
    </w:div>
    <w:div w:id="812797475">
      <w:bodyDiv w:val="1"/>
      <w:marLeft w:val="0"/>
      <w:marRight w:val="0"/>
      <w:marTop w:val="0"/>
      <w:marBottom w:val="0"/>
      <w:divBdr>
        <w:top w:val="none" w:sz="0" w:space="0" w:color="auto"/>
        <w:left w:val="none" w:sz="0" w:space="0" w:color="auto"/>
        <w:bottom w:val="none" w:sz="0" w:space="0" w:color="auto"/>
        <w:right w:val="none" w:sz="0" w:space="0" w:color="auto"/>
      </w:divBdr>
    </w:div>
    <w:div w:id="812912643">
      <w:bodyDiv w:val="1"/>
      <w:marLeft w:val="0"/>
      <w:marRight w:val="0"/>
      <w:marTop w:val="0"/>
      <w:marBottom w:val="0"/>
      <w:divBdr>
        <w:top w:val="none" w:sz="0" w:space="0" w:color="auto"/>
        <w:left w:val="none" w:sz="0" w:space="0" w:color="auto"/>
        <w:bottom w:val="none" w:sz="0" w:space="0" w:color="auto"/>
        <w:right w:val="none" w:sz="0" w:space="0" w:color="auto"/>
      </w:divBdr>
    </w:div>
    <w:div w:id="816801201">
      <w:bodyDiv w:val="1"/>
      <w:marLeft w:val="0"/>
      <w:marRight w:val="0"/>
      <w:marTop w:val="0"/>
      <w:marBottom w:val="0"/>
      <w:divBdr>
        <w:top w:val="none" w:sz="0" w:space="0" w:color="auto"/>
        <w:left w:val="none" w:sz="0" w:space="0" w:color="auto"/>
        <w:bottom w:val="none" w:sz="0" w:space="0" w:color="auto"/>
        <w:right w:val="none" w:sz="0" w:space="0" w:color="auto"/>
      </w:divBdr>
    </w:div>
    <w:div w:id="820316758">
      <w:bodyDiv w:val="1"/>
      <w:marLeft w:val="0"/>
      <w:marRight w:val="0"/>
      <w:marTop w:val="0"/>
      <w:marBottom w:val="0"/>
      <w:divBdr>
        <w:top w:val="none" w:sz="0" w:space="0" w:color="auto"/>
        <w:left w:val="none" w:sz="0" w:space="0" w:color="auto"/>
        <w:bottom w:val="none" w:sz="0" w:space="0" w:color="auto"/>
        <w:right w:val="none" w:sz="0" w:space="0" w:color="auto"/>
      </w:divBdr>
    </w:div>
    <w:div w:id="821121918">
      <w:bodyDiv w:val="1"/>
      <w:marLeft w:val="0"/>
      <w:marRight w:val="0"/>
      <w:marTop w:val="0"/>
      <w:marBottom w:val="0"/>
      <w:divBdr>
        <w:top w:val="none" w:sz="0" w:space="0" w:color="auto"/>
        <w:left w:val="none" w:sz="0" w:space="0" w:color="auto"/>
        <w:bottom w:val="none" w:sz="0" w:space="0" w:color="auto"/>
        <w:right w:val="none" w:sz="0" w:space="0" w:color="auto"/>
      </w:divBdr>
    </w:div>
    <w:div w:id="824660698">
      <w:bodyDiv w:val="1"/>
      <w:marLeft w:val="0"/>
      <w:marRight w:val="0"/>
      <w:marTop w:val="0"/>
      <w:marBottom w:val="0"/>
      <w:divBdr>
        <w:top w:val="none" w:sz="0" w:space="0" w:color="auto"/>
        <w:left w:val="none" w:sz="0" w:space="0" w:color="auto"/>
        <w:bottom w:val="none" w:sz="0" w:space="0" w:color="auto"/>
        <w:right w:val="none" w:sz="0" w:space="0" w:color="auto"/>
      </w:divBdr>
    </w:div>
    <w:div w:id="826017454">
      <w:bodyDiv w:val="1"/>
      <w:marLeft w:val="0"/>
      <w:marRight w:val="0"/>
      <w:marTop w:val="0"/>
      <w:marBottom w:val="0"/>
      <w:divBdr>
        <w:top w:val="none" w:sz="0" w:space="0" w:color="auto"/>
        <w:left w:val="none" w:sz="0" w:space="0" w:color="auto"/>
        <w:bottom w:val="none" w:sz="0" w:space="0" w:color="auto"/>
        <w:right w:val="none" w:sz="0" w:space="0" w:color="auto"/>
      </w:divBdr>
    </w:div>
    <w:div w:id="834566237">
      <w:bodyDiv w:val="1"/>
      <w:marLeft w:val="0"/>
      <w:marRight w:val="0"/>
      <w:marTop w:val="0"/>
      <w:marBottom w:val="0"/>
      <w:divBdr>
        <w:top w:val="none" w:sz="0" w:space="0" w:color="auto"/>
        <w:left w:val="none" w:sz="0" w:space="0" w:color="auto"/>
        <w:bottom w:val="none" w:sz="0" w:space="0" w:color="auto"/>
        <w:right w:val="none" w:sz="0" w:space="0" w:color="auto"/>
      </w:divBdr>
    </w:div>
    <w:div w:id="844393677">
      <w:bodyDiv w:val="1"/>
      <w:marLeft w:val="0"/>
      <w:marRight w:val="0"/>
      <w:marTop w:val="0"/>
      <w:marBottom w:val="0"/>
      <w:divBdr>
        <w:top w:val="none" w:sz="0" w:space="0" w:color="auto"/>
        <w:left w:val="none" w:sz="0" w:space="0" w:color="auto"/>
        <w:bottom w:val="none" w:sz="0" w:space="0" w:color="auto"/>
        <w:right w:val="none" w:sz="0" w:space="0" w:color="auto"/>
      </w:divBdr>
    </w:div>
    <w:div w:id="846210555">
      <w:bodyDiv w:val="1"/>
      <w:marLeft w:val="0"/>
      <w:marRight w:val="0"/>
      <w:marTop w:val="0"/>
      <w:marBottom w:val="0"/>
      <w:divBdr>
        <w:top w:val="none" w:sz="0" w:space="0" w:color="auto"/>
        <w:left w:val="none" w:sz="0" w:space="0" w:color="auto"/>
        <w:bottom w:val="none" w:sz="0" w:space="0" w:color="auto"/>
        <w:right w:val="none" w:sz="0" w:space="0" w:color="auto"/>
      </w:divBdr>
    </w:div>
    <w:div w:id="847989354">
      <w:bodyDiv w:val="1"/>
      <w:marLeft w:val="0"/>
      <w:marRight w:val="0"/>
      <w:marTop w:val="0"/>
      <w:marBottom w:val="0"/>
      <w:divBdr>
        <w:top w:val="none" w:sz="0" w:space="0" w:color="auto"/>
        <w:left w:val="none" w:sz="0" w:space="0" w:color="auto"/>
        <w:bottom w:val="none" w:sz="0" w:space="0" w:color="auto"/>
        <w:right w:val="none" w:sz="0" w:space="0" w:color="auto"/>
      </w:divBdr>
    </w:div>
    <w:div w:id="848981840">
      <w:bodyDiv w:val="1"/>
      <w:marLeft w:val="0"/>
      <w:marRight w:val="0"/>
      <w:marTop w:val="0"/>
      <w:marBottom w:val="0"/>
      <w:divBdr>
        <w:top w:val="none" w:sz="0" w:space="0" w:color="auto"/>
        <w:left w:val="none" w:sz="0" w:space="0" w:color="auto"/>
        <w:bottom w:val="none" w:sz="0" w:space="0" w:color="auto"/>
        <w:right w:val="none" w:sz="0" w:space="0" w:color="auto"/>
      </w:divBdr>
    </w:div>
    <w:div w:id="853155546">
      <w:bodyDiv w:val="1"/>
      <w:marLeft w:val="0"/>
      <w:marRight w:val="0"/>
      <w:marTop w:val="0"/>
      <w:marBottom w:val="0"/>
      <w:divBdr>
        <w:top w:val="none" w:sz="0" w:space="0" w:color="auto"/>
        <w:left w:val="none" w:sz="0" w:space="0" w:color="auto"/>
        <w:bottom w:val="none" w:sz="0" w:space="0" w:color="auto"/>
        <w:right w:val="none" w:sz="0" w:space="0" w:color="auto"/>
      </w:divBdr>
    </w:div>
    <w:div w:id="854416461">
      <w:bodyDiv w:val="1"/>
      <w:marLeft w:val="0"/>
      <w:marRight w:val="0"/>
      <w:marTop w:val="0"/>
      <w:marBottom w:val="0"/>
      <w:divBdr>
        <w:top w:val="none" w:sz="0" w:space="0" w:color="auto"/>
        <w:left w:val="none" w:sz="0" w:space="0" w:color="auto"/>
        <w:bottom w:val="none" w:sz="0" w:space="0" w:color="auto"/>
        <w:right w:val="none" w:sz="0" w:space="0" w:color="auto"/>
      </w:divBdr>
    </w:div>
    <w:div w:id="856164112">
      <w:bodyDiv w:val="1"/>
      <w:marLeft w:val="0"/>
      <w:marRight w:val="0"/>
      <w:marTop w:val="0"/>
      <w:marBottom w:val="0"/>
      <w:divBdr>
        <w:top w:val="none" w:sz="0" w:space="0" w:color="auto"/>
        <w:left w:val="none" w:sz="0" w:space="0" w:color="auto"/>
        <w:bottom w:val="none" w:sz="0" w:space="0" w:color="auto"/>
        <w:right w:val="none" w:sz="0" w:space="0" w:color="auto"/>
      </w:divBdr>
    </w:div>
    <w:div w:id="859204628">
      <w:bodyDiv w:val="1"/>
      <w:marLeft w:val="0"/>
      <w:marRight w:val="0"/>
      <w:marTop w:val="0"/>
      <w:marBottom w:val="0"/>
      <w:divBdr>
        <w:top w:val="none" w:sz="0" w:space="0" w:color="auto"/>
        <w:left w:val="none" w:sz="0" w:space="0" w:color="auto"/>
        <w:bottom w:val="none" w:sz="0" w:space="0" w:color="auto"/>
        <w:right w:val="none" w:sz="0" w:space="0" w:color="auto"/>
      </w:divBdr>
    </w:div>
    <w:div w:id="860583946">
      <w:bodyDiv w:val="1"/>
      <w:marLeft w:val="0"/>
      <w:marRight w:val="0"/>
      <w:marTop w:val="0"/>
      <w:marBottom w:val="0"/>
      <w:divBdr>
        <w:top w:val="none" w:sz="0" w:space="0" w:color="auto"/>
        <w:left w:val="none" w:sz="0" w:space="0" w:color="auto"/>
        <w:bottom w:val="none" w:sz="0" w:space="0" w:color="auto"/>
        <w:right w:val="none" w:sz="0" w:space="0" w:color="auto"/>
      </w:divBdr>
    </w:div>
    <w:div w:id="860631806">
      <w:bodyDiv w:val="1"/>
      <w:marLeft w:val="0"/>
      <w:marRight w:val="0"/>
      <w:marTop w:val="0"/>
      <w:marBottom w:val="0"/>
      <w:divBdr>
        <w:top w:val="none" w:sz="0" w:space="0" w:color="auto"/>
        <w:left w:val="none" w:sz="0" w:space="0" w:color="auto"/>
        <w:bottom w:val="none" w:sz="0" w:space="0" w:color="auto"/>
        <w:right w:val="none" w:sz="0" w:space="0" w:color="auto"/>
      </w:divBdr>
    </w:div>
    <w:div w:id="862211297">
      <w:bodyDiv w:val="1"/>
      <w:marLeft w:val="0"/>
      <w:marRight w:val="0"/>
      <w:marTop w:val="0"/>
      <w:marBottom w:val="0"/>
      <w:divBdr>
        <w:top w:val="none" w:sz="0" w:space="0" w:color="auto"/>
        <w:left w:val="none" w:sz="0" w:space="0" w:color="auto"/>
        <w:bottom w:val="none" w:sz="0" w:space="0" w:color="auto"/>
        <w:right w:val="none" w:sz="0" w:space="0" w:color="auto"/>
      </w:divBdr>
    </w:div>
    <w:div w:id="865680372">
      <w:bodyDiv w:val="1"/>
      <w:marLeft w:val="0"/>
      <w:marRight w:val="0"/>
      <w:marTop w:val="0"/>
      <w:marBottom w:val="0"/>
      <w:divBdr>
        <w:top w:val="none" w:sz="0" w:space="0" w:color="auto"/>
        <w:left w:val="none" w:sz="0" w:space="0" w:color="auto"/>
        <w:bottom w:val="none" w:sz="0" w:space="0" w:color="auto"/>
        <w:right w:val="none" w:sz="0" w:space="0" w:color="auto"/>
      </w:divBdr>
    </w:div>
    <w:div w:id="866406185">
      <w:bodyDiv w:val="1"/>
      <w:marLeft w:val="0"/>
      <w:marRight w:val="0"/>
      <w:marTop w:val="0"/>
      <w:marBottom w:val="0"/>
      <w:divBdr>
        <w:top w:val="none" w:sz="0" w:space="0" w:color="auto"/>
        <w:left w:val="none" w:sz="0" w:space="0" w:color="auto"/>
        <w:bottom w:val="none" w:sz="0" w:space="0" w:color="auto"/>
        <w:right w:val="none" w:sz="0" w:space="0" w:color="auto"/>
      </w:divBdr>
    </w:div>
    <w:div w:id="869532238">
      <w:bodyDiv w:val="1"/>
      <w:marLeft w:val="0"/>
      <w:marRight w:val="0"/>
      <w:marTop w:val="0"/>
      <w:marBottom w:val="0"/>
      <w:divBdr>
        <w:top w:val="none" w:sz="0" w:space="0" w:color="auto"/>
        <w:left w:val="none" w:sz="0" w:space="0" w:color="auto"/>
        <w:bottom w:val="none" w:sz="0" w:space="0" w:color="auto"/>
        <w:right w:val="none" w:sz="0" w:space="0" w:color="auto"/>
      </w:divBdr>
    </w:div>
    <w:div w:id="870604592">
      <w:bodyDiv w:val="1"/>
      <w:marLeft w:val="0"/>
      <w:marRight w:val="0"/>
      <w:marTop w:val="0"/>
      <w:marBottom w:val="0"/>
      <w:divBdr>
        <w:top w:val="none" w:sz="0" w:space="0" w:color="auto"/>
        <w:left w:val="none" w:sz="0" w:space="0" w:color="auto"/>
        <w:bottom w:val="none" w:sz="0" w:space="0" w:color="auto"/>
        <w:right w:val="none" w:sz="0" w:space="0" w:color="auto"/>
      </w:divBdr>
    </w:div>
    <w:div w:id="873228740">
      <w:bodyDiv w:val="1"/>
      <w:marLeft w:val="0"/>
      <w:marRight w:val="0"/>
      <w:marTop w:val="0"/>
      <w:marBottom w:val="0"/>
      <w:divBdr>
        <w:top w:val="none" w:sz="0" w:space="0" w:color="auto"/>
        <w:left w:val="none" w:sz="0" w:space="0" w:color="auto"/>
        <w:bottom w:val="none" w:sz="0" w:space="0" w:color="auto"/>
        <w:right w:val="none" w:sz="0" w:space="0" w:color="auto"/>
      </w:divBdr>
    </w:div>
    <w:div w:id="876048321">
      <w:bodyDiv w:val="1"/>
      <w:marLeft w:val="0"/>
      <w:marRight w:val="0"/>
      <w:marTop w:val="0"/>
      <w:marBottom w:val="0"/>
      <w:divBdr>
        <w:top w:val="none" w:sz="0" w:space="0" w:color="auto"/>
        <w:left w:val="none" w:sz="0" w:space="0" w:color="auto"/>
        <w:bottom w:val="none" w:sz="0" w:space="0" w:color="auto"/>
        <w:right w:val="none" w:sz="0" w:space="0" w:color="auto"/>
      </w:divBdr>
    </w:div>
    <w:div w:id="879434014">
      <w:bodyDiv w:val="1"/>
      <w:marLeft w:val="0"/>
      <w:marRight w:val="0"/>
      <w:marTop w:val="0"/>
      <w:marBottom w:val="0"/>
      <w:divBdr>
        <w:top w:val="none" w:sz="0" w:space="0" w:color="auto"/>
        <w:left w:val="none" w:sz="0" w:space="0" w:color="auto"/>
        <w:bottom w:val="none" w:sz="0" w:space="0" w:color="auto"/>
        <w:right w:val="none" w:sz="0" w:space="0" w:color="auto"/>
      </w:divBdr>
    </w:div>
    <w:div w:id="881599180">
      <w:bodyDiv w:val="1"/>
      <w:marLeft w:val="0"/>
      <w:marRight w:val="0"/>
      <w:marTop w:val="0"/>
      <w:marBottom w:val="0"/>
      <w:divBdr>
        <w:top w:val="none" w:sz="0" w:space="0" w:color="auto"/>
        <w:left w:val="none" w:sz="0" w:space="0" w:color="auto"/>
        <w:bottom w:val="none" w:sz="0" w:space="0" w:color="auto"/>
        <w:right w:val="none" w:sz="0" w:space="0" w:color="auto"/>
      </w:divBdr>
    </w:div>
    <w:div w:id="881863178">
      <w:bodyDiv w:val="1"/>
      <w:marLeft w:val="0"/>
      <w:marRight w:val="0"/>
      <w:marTop w:val="0"/>
      <w:marBottom w:val="0"/>
      <w:divBdr>
        <w:top w:val="none" w:sz="0" w:space="0" w:color="auto"/>
        <w:left w:val="none" w:sz="0" w:space="0" w:color="auto"/>
        <w:bottom w:val="none" w:sz="0" w:space="0" w:color="auto"/>
        <w:right w:val="none" w:sz="0" w:space="0" w:color="auto"/>
      </w:divBdr>
    </w:div>
    <w:div w:id="885682657">
      <w:bodyDiv w:val="1"/>
      <w:marLeft w:val="0"/>
      <w:marRight w:val="0"/>
      <w:marTop w:val="0"/>
      <w:marBottom w:val="0"/>
      <w:divBdr>
        <w:top w:val="none" w:sz="0" w:space="0" w:color="auto"/>
        <w:left w:val="none" w:sz="0" w:space="0" w:color="auto"/>
        <w:bottom w:val="none" w:sz="0" w:space="0" w:color="auto"/>
        <w:right w:val="none" w:sz="0" w:space="0" w:color="auto"/>
      </w:divBdr>
    </w:div>
    <w:div w:id="890384682">
      <w:bodyDiv w:val="1"/>
      <w:marLeft w:val="0"/>
      <w:marRight w:val="0"/>
      <w:marTop w:val="0"/>
      <w:marBottom w:val="0"/>
      <w:divBdr>
        <w:top w:val="none" w:sz="0" w:space="0" w:color="auto"/>
        <w:left w:val="none" w:sz="0" w:space="0" w:color="auto"/>
        <w:bottom w:val="none" w:sz="0" w:space="0" w:color="auto"/>
        <w:right w:val="none" w:sz="0" w:space="0" w:color="auto"/>
      </w:divBdr>
    </w:div>
    <w:div w:id="895746641">
      <w:bodyDiv w:val="1"/>
      <w:marLeft w:val="0"/>
      <w:marRight w:val="0"/>
      <w:marTop w:val="0"/>
      <w:marBottom w:val="0"/>
      <w:divBdr>
        <w:top w:val="none" w:sz="0" w:space="0" w:color="auto"/>
        <w:left w:val="none" w:sz="0" w:space="0" w:color="auto"/>
        <w:bottom w:val="none" w:sz="0" w:space="0" w:color="auto"/>
        <w:right w:val="none" w:sz="0" w:space="0" w:color="auto"/>
      </w:divBdr>
    </w:div>
    <w:div w:id="900405972">
      <w:bodyDiv w:val="1"/>
      <w:marLeft w:val="0"/>
      <w:marRight w:val="0"/>
      <w:marTop w:val="0"/>
      <w:marBottom w:val="0"/>
      <w:divBdr>
        <w:top w:val="none" w:sz="0" w:space="0" w:color="auto"/>
        <w:left w:val="none" w:sz="0" w:space="0" w:color="auto"/>
        <w:bottom w:val="none" w:sz="0" w:space="0" w:color="auto"/>
        <w:right w:val="none" w:sz="0" w:space="0" w:color="auto"/>
      </w:divBdr>
    </w:div>
    <w:div w:id="904874203">
      <w:bodyDiv w:val="1"/>
      <w:marLeft w:val="0"/>
      <w:marRight w:val="0"/>
      <w:marTop w:val="0"/>
      <w:marBottom w:val="0"/>
      <w:divBdr>
        <w:top w:val="none" w:sz="0" w:space="0" w:color="auto"/>
        <w:left w:val="none" w:sz="0" w:space="0" w:color="auto"/>
        <w:bottom w:val="none" w:sz="0" w:space="0" w:color="auto"/>
        <w:right w:val="none" w:sz="0" w:space="0" w:color="auto"/>
      </w:divBdr>
    </w:div>
    <w:div w:id="904876498">
      <w:bodyDiv w:val="1"/>
      <w:marLeft w:val="0"/>
      <w:marRight w:val="0"/>
      <w:marTop w:val="0"/>
      <w:marBottom w:val="0"/>
      <w:divBdr>
        <w:top w:val="none" w:sz="0" w:space="0" w:color="auto"/>
        <w:left w:val="none" w:sz="0" w:space="0" w:color="auto"/>
        <w:bottom w:val="none" w:sz="0" w:space="0" w:color="auto"/>
        <w:right w:val="none" w:sz="0" w:space="0" w:color="auto"/>
      </w:divBdr>
    </w:div>
    <w:div w:id="907571737">
      <w:bodyDiv w:val="1"/>
      <w:marLeft w:val="0"/>
      <w:marRight w:val="0"/>
      <w:marTop w:val="0"/>
      <w:marBottom w:val="0"/>
      <w:divBdr>
        <w:top w:val="none" w:sz="0" w:space="0" w:color="auto"/>
        <w:left w:val="none" w:sz="0" w:space="0" w:color="auto"/>
        <w:bottom w:val="none" w:sz="0" w:space="0" w:color="auto"/>
        <w:right w:val="none" w:sz="0" w:space="0" w:color="auto"/>
      </w:divBdr>
    </w:div>
    <w:div w:id="910584214">
      <w:bodyDiv w:val="1"/>
      <w:marLeft w:val="0"/>
      <w:marRight w:val="0"/>
      <w:marTop w:val="0"/>
      <w:marBottom w:val="0"/>
      <w:divBdr>
        <w:top w:val="none" w:sz="0" w:space="0" w:color="auto"/>
        <w:left w:val="none" w:sz="0" w:space="0" w:color="auto"/>
        <w:bottom w:val="none" w:sz="0" w:space="0" w:color="auto"/>
        <w:right w:val="none" w:sz="0" w:space="0" w:color="auto"/>
      </w:divBdr>
    </w:div>
    <w:div w:id="916477404">
      <w:bodyDiv w:val="1"/>
      <w:marLeft w:val="0"/>
      <w:marRight w:val="0"/>
      <w:marTop w:val="0"/>
      <w:marBottom w:val="0"/>
      <w:divBdr>
        <w:top w:val="none" w:sz="0" w:space="0" w:color="auto"/>
        <w:left w:val="none" w:sz="0" w:space="0" w:color="auto"/>
        <w:bottom w:val="none" w:sz="0" w:space="0" w:color="auto"/>
        <w:right w:val="none" w:sz="0" w:space="0" w:color="auto"/>
      </w:divBdr>
    </w:div>
    <w:div w:id="917710216">
      <w:bodyDiv w:val="1"/>
      <w:marLeft w:val="0"/>
      <w:marRight w:val="0"/>
      <w:marTop w:val="0"/>
      <w:marBottom w:val="0"/>
      <w:divBdr>
        <w:top w:val="none" w:sz="0" w:space="0" w:color="auto"/>
        <w:left w:val="none" w:sz="0" w:space="0" w:color="auto"/>
        <w:bottom w:val="none" w:sz="0" w:space="0" w:color="auto"/>
        <w:right w:val="none" w:sz="0" w:space="0" w:color="auto"/>
      </w:divBdr>
    </w:div>
    <w:div w:id="917792511">
      <w:bodyDiv w:val="1"/>
      <w:marLeft w:val="0"/>
      <w:marRight w:val="0"/>
      <w:marTop w:val="0"/>
      <w:marBottom w:val="0"/>
      <w:divBdr>
        <w:top w:val="none" w:sz="0" w:space="0" w:color="auto"/>
        <w:left w:val="none" w:sz="0" w:space="0" w:color="auto"/>
        <w:bottom w:val="none" w:sz="0" w:space="0" w:color="auto"/>
        <w:right w:val="none" w:sz="0" w:space="0" w:color="auto"/>
      </w:divBdr>
    </w:div>
    <w:div w:id="919827456">
      <w:bodyDiv w:val="1"/>
      <w:marLeft w:val="0"/>
      <w:marRight w:val="0"/>
      <w:marTop w:val="0"/>
      <w:marBottom w:val="0"/>
      <w:divBdr>
        <w:top w:val="none" w:sz="0" w:space="0" w:color="auto"/>
        <w:left w:val="none" w:sz="0" w:space="0" w:color="auto"/>
        <w:bottom w:val="none" w:sz="0" w:space="0" w:color="auto"/>
        <w:right w:val="none" w:sz="0" w:space="0" w:color="auto"/>
      </w:divBdr>
    </w:div>
    <w:div w:id="928006123">
      <w:bodyDiv w:val="1"/>
      <w:marLeft w:val="0"/>
      <w:marRight w:val="0"/>
      <w:marTop w:val="0"/>
      <w:marBottom w:val="0"/>
      <w:divBdr>
        <w:top w:val="none" w:sz="0" w:space="0" w:color="auto"/>
        <w:left w:val="none" w:sz="0" w:space="0" w:color="auto"/>
        <w:bottom w:val="none" w:sz="0" w:space="0" w:color="auto"/>
        <w:right w:val="none" w:sz="0" w:space="0" w:color="auto"/>
      </w:divBdr>
    </w:div>
    <w:div w:id="931664780">
      <w:bodyDiv w:val="1"/>
      <w:marLeft w:val="0"/>
      <w:marRight w:val="0"/>
      <w:marTop w:val="0"/>
      <w:marBottom w:val="0"/>
      <w:divBdr>
        <w:top w:val="none" w:sz="0" w:space="0" w:color="auto"/>
        <w:left w:val="none" w:sz="0" w:space="0" w:color="auto"/>
        <w:bottom w:val="none" w:sz="0" w:space="0" w:color="auto"/>
        <w:right w:val="none" w:sz="0" w:space="0" w:color="auto"/>
      </w:divBdr>
    </w:div>
    <w:div w:id="936669881">
      <w:bodyDiv w:val="1"/>
      <w:marLeft w:val="0"/>
      <w:marRight w:val="0"/>
      <w:marTop w:val="0"/>
      <w:marBottom w:val="0"/>
      <w:divBdr>
        <w:top w:val="none" w:sz="0" w:space="0" w:color="auto"/>
        <w:left w:val="none" w:sz="0" w:space="0" w:color="auto"/>
        <w:bottom w:val="none" w:sz="0" w:space="0" w:color="auto"/>
        <w:right w:val="none" w:sz="0" w:space="0" w:color="auto"/>
      </w:divBdr>
    </w:div>
    <w:div w:id="937450797">
      <w:bodyDiv w:val="1"/>
      <w:marLeft w:val="0"/>
      <w:marRight w:val="0"/>
      <w:marTop w:val="0"/>
      <w:marBottom w:val="0"/>
      <w:divBdr>
        <w:top w:val="none" w:sz="0" w:space="0" w:color="auto"/>
        <w:left w:val="none" w:sz="0" w:space="0" w:color="auto"/>
        <w:bottom w:val="none" w:sz="0" w:space="0" w:color="auto"/>
        <w:right w:val="none" w:sz="0" w:space="0" w:color="auto"/>
      </w:divBdr>
    </w:div>
    <w:div w:id="939336944">
      <w:bodyDiv w:val="1"/>
      <w:marLeft w:val="0"/>
      <w:marRight w:val="0"/>
      <w:marTop w:val="0"/>
      <w:marBottom w:val="0"/>
      <w:divBdr>
        <w:top w:val="none" w:sz="0" w:space="0" w:color="auto"/>
        <w:left w:val="none" w:sz="0" w:space="0" w:color="auto"/>
        <w:bottom w:val="none" w:sz="0" w:space="0" w:color="auto"/>
        <w:right w:val="none" w:sz="0" w:space="0" w:color="auto"/>
      </w:divBdr>
    </w:div>
    <w:div w:id="944073517">
      <w:bodyDiv w:val="1"/>
      <w:marLeft w:val="0"/>
      <w:marRight w:val="0"/>
      <w:marTop w:val="0"/>
      <w:marBottom w:val="0"/>
      <w:divBdr>
        <w:top w:val="none" w:sz="0" w:space="0" w:color="auto"/>
        <w:left w:val="none" w:sz="0" w:space="0" w:color="auto"/>
        <w:bottom w:val="none" w:sz="0" w:space="0" w:color="auto"/>
        <w:right w:val="none" w:sz="0" w:space="0" w:color="auto"/>
      </w:divBdr>
    </w:div>
    <w:div w:id="946306470">
      <w:bodyDiv w:val="1"/>
      <w:marLeft w:val="0"/>
      <w:marRight w:val="0"/>
      <w:marTop w:val="0"/>
      <w:marBottom w:val="0"/>
      <w:divBdr>
        <w:top w:val="none" w:sz="0" w:space="0" w:color="auto"/>
        <w:left w:val="none" w:sz="0" w:space="0" w:color="auto"/>
        <w:bottom w:val="none" w:sz="0" w:space="0" w:color="auto"/>
        <w:right w:val="none" w:sz="0" w:space="0" w:color="auto"/>
      </w:divBdr>
    </w:div>
    <w:div w:id="953706624">
      <w:bodyDiv w:val="1"/>
      <w:marLeft w:val="0"/>
      <w:marRight w:val="0"/>
      <w:marTop w:val="0"/>
      <w:marBottom w:val="0"/>
      <w:divBdr>
        <w:top w:val="none" w:sz="0" w:space="0" w:color="auto"/>
        <w:left w:val="none" w:sz="0" w:space="0" w:color="auto"/>
        <w:bottom w:val="none" w:sz="0" w:space="0" w:color="auto"/>
        <w:right w:val="none" w:sz="0" w:space="0" w:color="auto"/>
      </w:divBdr>
    </w:div>
    <w:div w:id="958535157">
      <w:bodyDiv w:val="1"/>
      <w:marLeft w:val="0"/>
      <w:marRight w:val="0"/>
      <w:marTop w:val="0"/>
      <w:marBottom w:val="0"/>
      <w:divBdr>
        <w:top w:val="none" w:sz="0" w:space="0" w:color="auto"/>
        <w:left w:val="none" w:sz="0" w:space="0" w:color="auto"/>
        <w:bottom w:val="none" w:sz="0" w:space="0" w:color="auto"/>
        <w:right w:val="none" w:sz="0" w:space="0" w:color="auto"/>
      </w:divBdr>
    </w:div>
    <w:div w:id="965507209">
      <w:bodyDiv w:val="1"/>
      <w:marLeft w:val="0"/>
      <w:marRight w:val="0"/>
      <w:marTop w:val="0"/>
      <w:marBottom w:val="0"/>
      <w:divBdr>
        <w:top w:val="none" w:sz="0" w:space="0" w:color="auto"/>
        <w:left w:val="none" w:sz="0" w:space="0" w:color="auto"/>
        <w:bottom w:val="none" w:sz="0" w:space="0" w:color="auto"/>
        <w:right w:val="none" w:sz="0" w:space="0" w:color="auto"/>
      </w:divBdr>
    </w:div>
    <w:div w:id="965936417">
      <w:bodyDiv w:val="1"/>
      <w:marLeft w:val="0"/>
      <w:marRight w:val="0"/>
      <w:marTop w:val="0"/>
      <w:marBottom w:val="0"/>
      <w:divBdr>
        <w:top w:val="none" w:sz="0" w:space="0" w:color="auto"/>
        <w:left w:val="none" w:sz="0" w:space="0" w:color="auto"/>
        <w:bottom w:val="none" w:sz="0" w:space="0" w:color="auto"/>
        <w:right w:val="none" w:sz="0" w:space="0" w:color="auto"/>
      </w:divBdr>
    </w:div>
    <w:div w:id="973099813">
      <w:bodyDiv w:val="1"/>
      <w:marLeft w:val="0"/>
      <w:marRight w:val="0"/>
      <w:marTop w:val="0"/>
      <w:marBottom w:val="0"/>
      <w:divBdr>
        <w:top w:val="none" w:sz="0" w:space="0" w:color="auto"/>
        <w:left w:val="none" w:sz="0" w:space="0" w:color="auto"/>
        <w:bottom w:val="none" w:sz="0" w:space="0" w:color="auto"/>
        <w:right w:val="none" w:sz="0" w:space="0" w:color="auto"/>
      </w:divBdr>
    </w:div>
    <w:div w:id="974720553">
      <w:bodyDiv w:val="1"/>
      <w:marLeft w:val="0"/>
      <w:marRight w:val="0"/>
      <w:marTop w:val="0"/>
      <w:marBottom w:val="0"/>
      <w:divBdr>
        <w:top w:val="none" w:sz="0" w:space="0" w:color="auto"/>
        <w:left w:val="none" w:sz="0" w:space="0" w:color="auto"/>
        <w:bottom w:val="none" w:sz="0" w:space="0" w:color="auto"/>
        <w:right w:val="none" w:sz="0" w:space="0" w:color="auto"/>
      </w:divBdr>
    </w:div>
    <w:div w:id="977107670">
      <w:bodyDiv w:val="1"/>
      <w:marLeft w:val="0"/>
      <w:marRight w:val="0"/>
      <w:marTop w:val="0"/>
      <w:marBottom w:val="0"/>
      <w:divBdr>
        <w:top w:val="none" w:sz="0" w:space="0" w:color="auto"/>
        <w:left w:val="none" w:sz="0" w:space="0" w:color="auto"/>
        <w:bottom w:val="none" w:sz="0" w:space="0" w:color="auto"/>
        <w:right w:val="none" w:sz="0" w:space="0" w:color="auto"/>
      </w:divBdr>
    </w:div>
    <w:div w:id="981693557">
      <w:bodyDiv w:val="1"/>
      <w:marLeft w:val="0"/>
      <w:marRight w:val="0"/>
      <w:marTop w:val="0"/>
      <w:marBottom w:val="0"/>
      <w:divBdr>
        <w:top w:val="none" w:sz="0" w:space="0" w:color="auto"/>
        <w:left w:val="none" w:sz="0" w:space="0" w:color="auto"/>
        <w:bottom w:val="none" w:sz="0" w:space="0" w:color="auto"/>
        <w:right w:val="none" w:sz="0" w:space="0" w:color="auto"/>
      </w:divBdr>
    </w:div>
    <w:div w:id="983242190">
      <w:bodyDiv w:val="1"/>
      <w:marLeft w:val="0"/>
      <w:marRight w:val="0"/>
      <w:marTop w:val="0"/>
      <w:marBottom w:val="0"/>
      <w:divBdr>
        <w:top w:val="none" w:sz="0" w:space="0" w:color="auto"/>
        <w:left w:val="none" w:sz="0" w:space="0" w:color="auto"/>
        <w:bottom w:val="none" w:sz="0" w:space="0" w:color="auto"/>
        <w:right w:val="none" w:sz="0" w:space="0" w:color="auto"/>
      </w:divBdr>
    </w:div>
    <w:div w:id="985163738">
      <w:bodyDiv w:val="1"/>
      <w:marLeft w:val="0"/>
      <w:marRight w:val="0"/>
      <w:marTop w:val="0"/>
      <w:marBottom w:val="0"/>
      <w:divBdr>
        <w:top w:val="none" w:sz="0" w:space="0" w:color="auto"/>
        <w:left w:val="none" w:sz="0" w:space="0" w:color="auto"/>
        <w:bottom w:val="none" w:sz="0" w:space="0" w:color="auto"/>
        <w:right w:val="none" w:sz="0" w:space="0" w:color="auto"/>
      </w:divBdr>
    </w:div>
    <w:div w:id="990905183">
      <w:bodyDiv w:val="1"/>
      <w:marLeft w:val="0"/>
      <w:marRight w:val="0"/>
      <w:marTop w:val="0"/>
      <w:marBottom w:val="0"/>
      <w:divBdr>
        <w:top w:val="none" w:sz="0" w:space="0" w:color="auto"/>
        <w:left w:val="none" w:sz="0" w:space="0" w:color="auto"/>
        <w:bottom w:val="none" w:sz="0" w:space="0" w:color="auto"/>
        <w:right w:val="none" w:sz="0" w:space="0" w:color="auto"/>
      </w:divBdr>
    </w:div>
    <w:div w:id="992561181">
      <w:bodyDiv w:val="1"/>
      <w:marLeft w:val="0"/>
      <w:marRight w:val="0"/>
      <w:marTop w:val="0"/>
      <w:marBottom w:val="0"/>
      <w:divBdr>
        <w:top w:val="none" w:sz="0" w:space="0" w:color="auto"/>
        <w:left w:val="none" w:sz="0" w:space="0" w:color="auto"/>
        <w:bottom w:val="none" w:sz="0" w:space="0" w:color="auto"/>
        <w:right w:val="none" w:sz="0" w:space="0" w:color="auto"/>
      </w:divBdr>
    </w:div>
    <w:div w:id="993071381">
      <w:bodyDiv w:val="1"/>
      <w:marLeft w:val="0"/>
      <w:marRight w:val="0"/>
      <w:marTop w:val="0"/>
      <w:marBottom w:val="0"/>
      <w:divBdr>
        <w:top w:val="none" w:sz="0" w:space="0" w:color="auto"/>
        <w:left w:val="none" w:sz="0" w:space="0" w:color="auto"/>
        <w:bottom w:val="none" w:sz="0" w:space="0" w:color="auto"/>
        <w:right w:val="none" w:sz="0" w:space="0" w:color="auto"/>
      </w:divBdr>
    </w:div>
    <w:div w:id="997197220">
      <w:bodyDiv w:val="1"/>
      <w:marLeft w:val="0"/>
      <w:marRight w:val="0"/>
      <w:marTop w:val="0"/>
      <w:marBottom w:val="0"/>
      <w:divBdr>
        <w:top w:val="none" w:sz="0" w:space="0" w:color="auto"/>
        <w:left w:val="none" w:sz="0" w:space="0" w:color="auto"/>
        <w:bottom w:val="none" w:sz="0" w:space="0" w:color="auto"/>
        <w:right w:val="none" w:sz="0" w:space="0" w:color="auto"/>
      </w:divBdr>
    </w:div>
    <w:div w:id="1003514340">
      <w:bodyDiv w:val="1"/>
      <w:marLeft w:val="0"/>
      <w:marRight w:val="0"/>
      <w:marTop w:val="0"/>
      <w:marBottom w:val="0"/>
      <w:divBdr>
        <w:top w:val="none" w:sz="0" w:space="0" w:color="auto"/>
        <w:left w:val="none" w:sz="0" w:space="0" w:color="auto"/>
        <w:bottom w:val="none" w:sz="0" w:space="0" w:color="auto"/>
        <w:right w:val="none" w:sz="0" w:space="0" w:color="auto"/>
      </w:divBdr>
    </w:div>
    <w:div w:id="1010835128">
      <w:bodyDiv w:val="1"/>
      <w:marLeft w:val="0"/>
      <w:marRight w:val="0"/>
      <w:marTop w:val="0"/>
      <w:marBottom w:val="0"/>
      <w:divBdr>
        <w:top w:val="none" w:sz="0" w:space="0" w:color="auto"/>
        <w:left w:val="none" w:sz="0" w:space="0" w:color="auto"/>
        <w:bottom w:val="none" w:sz="0" w:space="0" w:color="auto"/>
        <w:right w:val="none" w:sz="0" w:space="0" w:color="auto"/>
      </w:divBdr>
    </w:div>
    <w:div w:id="1017733054">
      <w:bodyDiv w:val="1"/>
      <w:marLeft w:val="0"/>
      <w:marRight w:val="0"/>
      <w:marTop w:val="0"/>
      <w:marBottom w:val="0"/>
      <w:divBdr>
        <w:top w:val="none" w:sz="0" w:space="0" w:color="auto"/>
        <w:left w:val="none" w:sz="0" w:space="0" w:color="auto"/>
        <w:bottom w:val="none" w:sz="0" w:space="0" w:color="auto"/>
        <w:right w:val="none" w:sz="0" w:space="0" w:color="auto"/>
      </w:divBdr>
    </w:div>
    <w:div w:id="1020013431">
      <w:bodyDiv w:val="1"/>
      <w:marLeft w:val="0"/>
      <w:marRight w:val="0"/>
      <w:marTop w:val="0"/>
      <w:marBottom w:val="0"/>
      <w:divBdr>
        <w:top w:val="none" w:sz="0" w:space="0" w:color="auto"/>
        <w:left w:val="none" w:sz="0" w:space="0" w:color="auto"/>
        <w:bottom w:val="none" w:sz="0" w:space="0" w:color="auto"/>
        <w:right w:val="none" w:sz="0" w:space="0" w:color="auto"/>
      </w:divBdr>
    </w:div>
    <w:div w:id="1024673923">
      <w:bodyDiv w:val="1"/>
      <w:marLeft w:val="0"/>
      <w:marRight w:val="0"/>
      <w:marTop w:val="0"/>
      <w:marBottom w:val="0"/>
      <w:divBdr>
        <w:top w:val="none" w:sz="0" w:space="0" w:color="auto"/>
        <w:left w:val="none" w:sz="0" w:space="0" w:color="auto"/>
        <w:bottom w:val="none" w:sz="0" w:space="0" w:color="auto"/>
        <w:right w:val="none" w:sz="0" w:space="0" w:color="auto"/>
      </w:divBdr>
    </w:div>
    <w:div w:id="1037583322">
      <w:bodyDiv w:val="1"/>
      <w:marLeft w:val="0"/>
      <w:marRight w:val="0"/>
      <w:marTop w:val="0"/>
      <w:marBottom w:val="0"/>
      <w:divBdr>
        <w:top w:val="none" w:sz="0" w:space="0" w:color="auto"/>
        <w:left w:val="none" w:sz="0" w:space="0" w:color="auto"/>
        <w:bottom w:val="none" w:sz="0" w:space="0" w:color="auto"/>
        <w:right w:val="none" w:sz="0" w:space="0" w:color="auto"/>
      </w:divBdr>
    </w:div>
    <w:div w:id="1038318960">
      <w:bodyDiv w:val="1"/>
      <w:marLeft w:val="0"/>
      <w:marRight w:val="0"/>
      <w:marTop w:val="0"/>
      <w:marBottom w:val="0"/>
      <w:divBdr>
        <w:top w:val="none" w:sz="0" w:space="0" w:color="auto"/>
        <w:left w:val="none" w:sz="0" w:space="0" w:color="auto"/>
        <w:bottom w:val="none" w:sz="0" w:space="0" w:color="auto"/>
        <w:right w:val="none" w:sz="0" w:space="0" w:color="auto"/>
      </w:divBdr>
    </w:div>
    <w:div w:id="1038355888">
      <w:bodyDiv w:val="1"/>
      <w:marLeft w:val="0"/>
      <w:marRight w:val="0"/>
      <w:marTop w:val="0"/>
      <w:marBottom w:val="0"/>
      <w:divBdr>
        <w:top w:val="none" w:sz="0" w:space="0" w:color="auto"/>
        <w:left w:val="none" w:sz="0" w:space="0" w:color="auto"/>
        <w:bottom w:val="none" w:sz="0" w:space="0" w:color="auto"/>
        <w:right w:val="none" w:sz="0" w:space="0" w:color="auto"/>
      </w:divBdr>
    </w:div>
    <w:div w:id="1040521323">
      <w:bodyDiv w:val="1"/>
      <w:marLeft w:val="0"/>
      <w:marRight w:val="0"/>
      <w:marTop w:val="0"/>
      <w:marBottom w:val="0"/>
      <w:divBdr>
        <w:top w:val="none" w:sz="0" w:space="0" w:color="auto"/>
        <w:left w:val="none" w:sz="0" w:space="0" w:color="auto"/>
        <w:bottom w:val="none" w:sz="0" w:space="0" w:color="auto"/>
        <w:right w:val="none" w:sz="0" w:space="0" w:color="auto"/>
      </w:divBdr>
    </w:div>
    <w:div w:id="1041395834">
      <w:bodyDiv w:val="1"/>
      <w:marLeft w:val="0"/>
      <w:marRight w:val="0"/>
      <w:marTop w:val="0"/>
      <w:marBottom w:val="0"/>
      <w:divBdr>
        <w:top w:val="none" w:sz="0" w:space="0" w:color="auto"/>
        <w:left w:val="none" w:sz="0" w:space="0" w:color="auto"/>
        <w:bottom w:val="none" w:sz="0" w:space="0" w:color="auto"/>
        <w:right w:val="none" w:sz="0" w:space="0" w:color="auto"/>
      </w:divBdr>
    </w:div>
    <w:div w:id="1043749424">
      <w:bodyDiv w:val="1"/>
      <w:marLeft w:val="0"/>
      <w:marRight w:val="0"/>
      <w:marTop w:val="0"/>
      <w:marBottom w:val="0"/>
      <w:divBdr>
        <w:top w:val="none" w:sz="0" w:space="0" w:color="auto"/>
        <w:left w:val="none" w:sz="0" w:space="0" w:color="auto"/>
        <w:bottom w:val="none" w:sz="0" w:space="0" w:color="auto"/>
        <w:right w:val="none" w:sz="0" w:space="0" w:color="auto"/>
      </w:divBdr>
    </w:div>
    <w:div w:id="1048458063">
      <w:bodyDiv w:val="1"/>
      <w:marLeft w:val="0"/>
      <w:marRight w:val="0"/>
      <w:marTop w:val="0"/>
      <w:marBottom w:val="0"/>
      <w:divBdr>
        <w:top w:val="none" w:sz="0" w:space="0" w:color="auto"/>
        <w:left w:val="none" w:sz="0" w:space="0" w:color="auto"/>
        <w:bottom w:val="none" w:sz="0" w:space="0" w:color="auto"/>
        <w:right w:val="none" w:sz="0" w:space="0" w:color="auto"/>
      </w:divBdr>
    </w:div>
    <w:div w:id="1051153248">
      <w:bodyDiv w:val="1"/>
      <w:marLeft w:val="0"/>
      <w:marRight w:val="0"/>
      <w:marTop w:val="0"/>
      <w:marBottom w:val="0"/>
      <w:divBdr>
        <w:top w:val="none" w:sz="0" w:space="0" w:color="auto"/>
        <w:left w:val="none" w:sz="0" w:space="0" w:color="auto"/>
        <w:bottom w:val="none" w:sz="0" w:space="0" w:color="auto"/>
        <w:right w:val="none" w:sz="0" w:space="0" w:color="auto"/>
      </w:divBdr>
    </w:div>
    <w:div w:id="1058675891">
      <w:bodyDiv w:val="1"/>
      <w:marLeft w:val="0"/>
      <w:marRight w:val="0"/>
      <w:marTop w:val="0"/>
      <w:marBottom w:val="0"/>
      <w:divBdr>
        <w:top w:val="none" w:sz="0" w:space="0" w:color="auto"/>
        <w:left w:val="none" w:sz="0" w:space="0" w:color="auto"/>
        <w:bottom w:val="none" w:sz="0" w:space="0" w:color="auto"/>
        <w:right w:val="none" w:sz="0" w:space="0" w:color="auto"/>
      </w:divBdr>
    </w:div>
    <w:div w:id="1060055669">
      <w:bodyDiv w:val="1"/>
      <w:marLeft w:val="0"/>
      <w:marRight w:val="0"/>
      <w:marTop w:val="0"/>
      <w:marBottom w:val="0"/>
      <w:divBdr>
        <w:top w:val="none" w:sz="0" w:space="0" w:color="auto"/>
        <w:left w:val="none" w:sz="0" w:space="0" w:color="auto"/>
        <w:bottom w:val="none" w:sz="0" w:space="0" w:color="auto"/>
        <w:right w:val="none" w:sz="0" w:space="0" w:color="auto"/>
      </w:divBdr>
    </w:div>
    <w:div w:id="1066802879">
      <w:bodyDiv w:val="1"/>
      <w:marLeft w:val="0"/>
      <w:marRight w:val="0"/>
      <w:marTop w:val="0"/>
      <w:marBottom w:val="0"/>
      <w:divBdr>
        <w:top w:val="none" w:sz="0" w:space="0" w:color="auto"/>
        <w:left w:val="none" w:sz="0" w:space="0" w:color="auto"/>
        <w:bottom w:val="none" w:sz="0" w:space="0" w:color="auto"/>
        <w:right w:val="none" w:sz="0" w:space="0" w:color="auto"/>
      </w:divBdr>
    </w:div>
    <w:div w:id="1072849548">
      <w:bodyDiv w:val="1"/>
      <w:marLeft w:val="0"/>
      <w:marRight w:val="0"/>
      <w:marTop w:val="0"/>
      <w:marBottom w:val="0"/>
      <w:divBdr>
        <w:top w:val="none" w:sz="0" w:space="0" w:color="auto"/>
        <w:left w:val="none" w:sz="0" w:space="0" w:color="auto"/>
        <w:bottom w:val="none" w:sz="0" w:space="0" w:color="auto"/>
        <w:right w:val="none" w:sz="0" w:space="0" w:color="auto"/>
      </w:divBdr>
    </w:div>
    <w:div w:id="1078944218">
      <w:bodyDiv w:val="1"/>
      <w:marLeft w:val="0"/>
      <w:marRight w:val="0"/>
      <w:marTop w:val="0"/>
      <w:marBottom w:val="0"/>
      <w:divBdr>
        <w:top w:val="none" w:sz="0" w:space="0" w:color="auto"/>
        <w:left w:val="none" w:sz="0" w:space="0" w:color="auto"/>
        <w:bottom w:val="none" w:sz="0" w:space="0" w:color="auto"/>
        <w:right w:val="none" w:sz="0" w:space="0" w:color="auto"/>
      </w:divBdr>
    </w:div>
    <w:div w:id="1083915864">
      <w:bodyDiv w:val="1"/>
      <w:marLeft w:val="0"/>
      <w:marRight w:val="0"/>
      <w:marTop w:val="0"/>
      <w:marBottom w:val="0"/>
      <w:divBdr>
        <w:top w:val="none" w:sz="0" w:space="0" w:color="auto"/>
        <w:left w:val="none" w:sz="0" w:space="0" w:color="auto"/>
        <w:bottom w:val="none" w:sz="0" w:space="0" w:color="auto"/>
        <w:right w:val="none" w:sz="0" w:space="0" w:color="auto"/>
      </w:divBdr>
    </w:div>
    <w:div w:id="1083990530">
      <w:bodyDiv w:val="1"/>
      <w:marLeft w:val="0"/>
      <w:marRight w:val="0"/>
      <w:marTop w:val="0"/>
      <w:marBottom w:val="0"/>
      <w:divBdr>
        <w:top w:val="none" w:sz="0" w:space="0" w:color="auto"/>
        <w:left w:val="none" w:sz="0" w:space="0" w:color="auto"/>
        <w:bottom w:val="none" w:sz="0" w:space="0" w:color="auto"/>
        <w:right w:val="none" w:sz="0" w:space="0" w:color="auto"/>
      </w:divBdr>
    </w:div>
    <w:div w:id="1086654802">
      <w:bodyDiv w:val="1"/>
      <w:marLeft w:val="0"/>
      <w:marRight w:val="0"/>
      <w:marTop w:val="0"/>
      <w:marBottom w:val="0"/>
      <w:divBdr>
        <w:top w:val="none" w:sz="0" w:space="0" w:color="auto"/>
        <w:left w:val="none" w:sz="0" w:space="0" w:color="auto"/>
        <w:bottom w:val="none" w:sz="0" w:space="0" w:color="auto"/>
        <w:right w:val="none" w:sz="0" w:space="0" w:color="auto"/>
      </w:divBdr>
    </w:div>
    <w:div w:id="1101729626">
      <w:bodyDiv w:val="1"/>
      <w:marLeft w:val="0"/>
      <w:marRight w:val="0"/>
      <w:marTop w:val="0"/>
      <w:marBottom w:val="0"/>
      <w:divBdr>
        <w:top w:val="none" w:sz="0" w:space="0" w:color="auto"/>
        <w:left w:val="none" w:sz="0" w:space="0" w:color="auto"/>
        <w:bottom w:val="none" w:sz="0" w:space="0" w:color="auto"/>
        <w:right w:val="none" w:sz="0" w:space="0" w:color="auto"/>
      </w:divBdr>
    </w:div>
    <w:div w:id="1102797221">
      <w:bodyDiv w:val="1"/>
      <w:marLeft w:val="0"/>
      <w:marRight w:val="0"/>
      <w:marTop w:val="0"/>
      <w:marBottom w:val="0"/>
      <w:divBdr>
        <w:top w:val="none" w:sz="0" w:space="0" w:color="auto"/>
        <w:left w:val="none" w:sz="0" w:space="0" w:color="auto"/>
        <w:bottom w:val="none" w:sz="0" w:space="0" w:color="auto"/>
        <w:right w:val="none" w:sz="0" w:space="0" w:color="auto"/>
      </w:divBdr>
    </w:div>
    <w:div w:id="1106969049">
      <w:bodyDiv w:val="1"/>
      <w:marLeft w:val="0"/>
      <w:marRight w:val="0"/>
      <w:marTop w:val="0"/>
      <w:marBottom w:val="0"/>
      <w:divBdr>
        <w:top w:val="none" w:sz="0" w:space="0" w:color="auto"/>
        <w:left w:val="none" w:sz="0" w:space="0" w:color="auto"/>
        <w:bottom w:val="none" w:sz="0" w:space="0" w:color="auto"/>
        <w:right w:val="none" w:sz="0" w:space="0" w:color="auto"/>
      </w:divBdr>
    </w:div>
    <w:div w:id="1109205706">
      <w:bodyDiv w:val="1"/>
      <w:marLeft w:val="0"/>
      <w:marRight w:val="0"/>
      <w:marTop w:val="0"/>
      <w:marBottom w:val="0"/>
      <w:divBdr>
        <w:top w:val="none" w:sz="0" w:space="0" w:color="auto"/>
        <w:left w:val="none" w:sz="0" w:space="0" w:color="auto"/>
        <w:bottom w:val="none" w:sz="0" w:space="0" w:color="auto"/>
        <w:right w:val="none" w:sz="0" w:space="0" w:color="auto"/>
      </w:divBdr>
    </w:div>
    <w:div w:id="1113982217">
      <w:bodyDiv w:val="1"/>
      <w:marLeft w:val="0"/>
      <w:marRight w:val="0"/>
      <w:marTop w:val="0"/>
      <w:marBottom w:val="0"/>
      <w:divBdr>
        <w:top w:val="none" w:sz="0" w:space="0" w:color="auto"/>
        <w:left w:val="none" w:sz="0" w:space="0" w:color="auto"/>
        <w:bottom w:val="none" w:sz="0" w:space="0" w:color="auto"/>
        <w:right w:val="none" w:sz="0" w:space="0" w:color="auto"/>
      </w:divBdr>
    </w:div>
    <w:div w:id="1128158388">
      <w:bodyDiv w:val="1"/>
      <w:marLeft w:val="0"/>
      <w:marRight w:val="0"/>
      <w:marTop w:val="0"/>
      <w:marBottom w:val="0"/>
      <w:divBdr>
        <w:top w:val="none" w:sz="0" w:space="0" w:color="auto"/>
        <w:left w:val="none" w:sz="0" w:space="0" w:color="auto"/>
        <w:bottom w:val="none" w:sz="0" w:space="0" w:color="auto"/>
        <w:right w:val="none" w:sz="0" w:space="0" w:color="auto"/>
      </w:divBdr>
    </w:div>
    <w:div w:id="1129012576">
      <w:bodyDiv w:val="1"/>
      <w:marLeft w:val="0"/>
      <w:marRight w:val="0"/>
      <w:marTop w:val="0"/>
      <w:marBottom w:val="0"/>
      <w:divBdr>
        <w:top w:val="none" w:sz="0" w:space="0" w:color="auto"/>
        <w:left w:val="none" w:sz="0" w:space="0" w:color="auto"/>
        <w:bottom w:val="none" w:sz="0" w:space="0" w:color="auto"/>
        <w:right w:val="none" w:sz="0" w:space="0" w:color="auto"/>
      </w:divBdr>
    </w:div>
    <w:div w:id="1131020390">
      <w:bodyDiv w:val="1"/>
      <w:marLeft w:val="0"/>
      <w:marRight w:val="0"/>
      <w:marTop w:val="0"/>
      <w:marBottom w:val="0"/>
      <w:divBdr>
        <w:top w:val="none" w:sz="0" w:space="0" w:color="auto"/>
        <w:left w:val="none" w:sz="0" w:space="0" w:color="auto"/>
        <w:bottom w:val="none" w:sz="0" w:space="0" w:color="auto"/>
        <w:right w:val="none" w:sz="0" w:space="0" w:color="auto"/>
      </w:divBdr>
    </w:div>
    <w:div w:id="1137265377">
      <w:bodyDiv w:val="1"/>
      <w:marLeft w:val="0"/>
      <w:marRight w:val="0"/>
      <w:marTop w:val="0"/>
      <w:marBottom w:val="0"/>
      <w:divBdr>
        <w:top w:val="none" w:sz="0" w:space="0" w:color="auto"/>
        <w:left w:val="none" w:sz="0" w:space="0" w:color="auto"/>
        <w:bottom w:val="none" w:sz="0" w:space="0" w:color="auto"/>
        <w:right w:val="none" w:sz="0" w:space="0" w:color="auto"/>
      </w:divBdr>
    </w:div>
    <w:div w:id="1137918951">
      <w:bodyDiv w:val="1"/>
      <w:marLeft w:val="0"/>
      <w:marRight w:val="0"/>
      <w:marTop w:val="0"/>
      <w:marBottom w:val="0"/>
      <w:divBdr>
        <w:top w:val="none" w:sz="0" w:space="0" w:color="auto"/>
        <w:left w:val="none" w:sz="0" w:space="0" w:color="auto"/>
        <w:bottom w:val="none" w:sz="0" w:space="0" w:color="auto"/>
        <w:right w:val="none" w:sz="0" w:space="0" w:color="auto"/>
      </w:divBdr>
    </w:div>
    <w:div w:id="1144009438">
      <w:bodyDiv w:val="1"/>
      <w:marLeft w:val="0"/>
      <w:marRight w:val="0"/>
      <w:marTop w:val="0"/>
      <w:marBottom w:val="0"/>
      <w:divBdr>
        <w:top w:val="none" w:sz="0" w:space="0" w:color="auto"/>
        <w:left w:val="none" w:sz="0" w:space="0" w:color="auto"/>
        <w:bottom w:val="none" w:sz="0" w:space="0" w:color="auto"/>
        <w:right w:val="none" w:sz="0" w:space="0" w:color="auto"/>
      </w:divBdr>
    </w:div>
    <w:div w:id="1146894646">
      <w:bodyDiv w:val="1"/>
      <w:marLeft w:val="0"/>
      <w:marRight w:val="0"/>
      <w:marTop w:val="0"/>
      <w:marBottom w:val="0"/>
      <w:divBdr>
        <w:top w:val="none" w:sz="0" w:space="0" w:color="auto"/>
        <w:left w:val="none" w:sz="0" w:space="0" w:color="auto"/>
        <w:bottom w:val="none" w:sz="0" w:space="0" w:color="auto"/>
        <w:right w:val="none" w:sz="0" w:space="0" w:color="auto"/>
      </w:divBdr>
    </w:div>
    <w:div w:id="1148788198">
      <w:bodyDiv w:val="1"/>
      <w:marLeft w:val="0"/>
      <w:marRight w:val="0"/>
      <w:marTop w:val="0"/>
      <w:marBottom w:val="0"/>
      <w:divBdr>
        <w:top w:val="none" w:sz="0" w:space="0" w:color="auto"/>
        <w:left w:val="none" w:sz="0" w:space="0" w:color="auto"/>
        <w:bottom w:val="none" w:sz="0" w:space="0" w:color="auto"/>
        <w:right w:val="none" w:sz="0" w:space="0" w:color="auto"/>
      </w:divBdr>
    </w:div>
    <w:div w:id="1150051775">
      <w:bodyDiv w:val="1"/>
      <w:marLeft w:val="0"/>
      <w:marRight w:val="0"/>
      <w:marTop w:val="0"/>
      <w:marBottom w:val="0"/>
      <w:divBdr>
        <w:top w:val="none" w:sz="0" w:space="0" w:color="auto"/>
        <w:left w:val="none" w:sz="0" w:space="0" w:color="auto"/>
        <w:bottom w:val="none" w:sz="0" w:space="0" w:color="auto"/>
        <w:right w:val="none" w:sz="0" w:space="0" w:color="auto"/>
      </w:divBdr>
    </w:div>
    <w:div w:id="1150366056">
      <w:bodyDiv w:val="1"/>
      <w:marLeft w:val="0"/>
      <w:marRight w:val="0"/>
      <w:marTop w:val="0"/>
      <w:marBottom w:val="0"/>
      <w:divBdr>
        <w:top w:val="none" w:sz="0" w:space="0" w:color="auto"/>
        <w:left w:val="none" w:sz="0" w:space="0" w:color="auto"/>
        <w:bottom w:val="none" w:sz="0" w:space="0" w:color="auto"/>
        <w:right w:val="none" w:sz="0" w:space="0" w:color="auto"/>
      </w:divBdr>
    </w:div>
    <w:div w:id="1153570143">
      <w:bodyDiv w:val="1"/>
      <w:marLeft w:val="0"/>
      <w:marRight w:val="0"/>
      <w:marTop w:val="0"/>
      <w:marBottom w:val="0"/>
      <w:divBdr>
        <w:top w:val="none" w:sz="0" w:space="0" w:color="auto"/>
        <w:left w:val="none" w:sz="0" w:space="0" w:color="auto"/>
        <w:bottom w:val="none" w:sz="0" w:space="0" w:color="auto"/>
        <w:right w:val="none" w:sz="0" w:space="0" w:color="auto"/>
      </w:divBdr>
    </w:div>
    <w:div w:id="1157383164">
      <w:bodyDiv w:val="1"/>
      <w:marLeft w:val="0"/>
      <w:marRight w:val="0"/>
      <w:marTop w:val="0"/>
      <w:marBottom w:val="0"/>
      <w:divBdr>
        <w:top w:val="none" w:sz="0" w:space="0" w:color="auto"/>
        <w:left w:val="none" w:sz="0" w:space="0" w:color="auto"/>
        <w:bottom w:val="none" w:sz="0" w:space="0" w:color="auto"/>
        <w:right w:val="none" w:sz="0" w:space="0" w:color="auto"/>
      </w:divBdr>
    </w:div>
    <w:div w:id="1163854109">
      <w:bodyDiv w:val="1"/>
      <w:marLeft w:val="0"/>
      <w:marRight w:val="0"/>
      <w:marTop w:val="0"/>
      <w:marBottom w:val="0"/>
      <w:divBdr>
        <w:top w:val="none" w:sz="0" w:space="0" w:color="auto"/>
        <w:left w:val="none" w:sz="0" w:space="0" w:color="auto"/>
        <w:bottom w:val="none" w:sz="0" w:space="0" w:color="auto"/>
        <w:right w:val="none" w:sz="0" w:space="0" w:color="auto"/>
      </w:divBdr>
    </w:div>
    <w:div w:id="1164974971">
      <w:bodyDiv w:val="1"/>
      <w:marLeft w:val="0"/>
      <w:marRight w:val="0"/>
      <w:marTop w:val="0"/>
      <w:marBottom w:val="0"/>
      <w:divBdr>
        <w:top w:val="none" w:sz="0" w:space="0" w:color="auto"/>
        <w:left w:val="none" w:sz="0" w:space="0" w:color="auto"/>
        <w:bottom w:val="none" w:sz="0" w:space="0" w:color="auto"/>
        <w:right w:val="none" w:sz="0" w:space="0" w:color="auto"/>
      </w:divBdr>
    </w:div>
    <w:div w:id="1169251202">
      <w:bodyDiv w:val="1"/>
      <w:marLeft w:val="0"/>
      <w:marRight w:val="0"/>
      <w:marTop w:val="0"/>
      <w:marBottom w:val="0"/>
      <w:divBdr>
        <w:top w:val="none" w:sz="0" w:space="0" w:color="auto"/>
        <w:left w:val="none" w:sz="0" w:space="0" w:color="auto"/>
        <w:bottom w:val="none" w:sz="0" w:space="0" w:color="auto"/>
        <w:right w:val="none" w:sz="0" w:space="0" w:color="auto"/>
      </w:divBdr>
    </w:div>
    <w:div w:id="1173684762">
      <w:bodyDiv w:val="1"/>
      <w:marLeft w:val="0"/>
      <w:marRight w:val="0"/>
      <w:marTop w:val="0"/>
      <w:marBottom w:val="0"/>
      <w:divBdr>
        <w:top w:val="none" w:sz="0" w:space="0" w:color="auto"/>
        <w:left w:val="none" w:sz="0" w:space="0" w:color="auto"/>
        <w:bottom w:val="none" w:sz="0" w:space="0" w:color="auto"/>
        <w:right w:val="none" w:sz="0" w:space="0" w:color="auto"/>
      </w:divBdr>
    </w:div>
    <w:div w:id="1180198002">
      <w:bodyDiv w:val="1"/>
      <w:marLeft w:val="0"/>
      <w:marRight w:val="0"/>
      <w:marTop w:val="0"/>
      <w:marBottom w:val="0"/>
      <w:divBdr>
        <w:top w:val="none" w:sz="0" w:space="0" w:color="auto"/>
        <w:left w:val="none" w:sz="0" w:space="0" w:color="auto"/>
        <w:bottom w:val="none" w:sz="0" w:space="0" w:color="auto"/>
        <w:right w:val="none" w:sz="0" w:space="0" w:color="auto"/>
      </w:divBdr>
    </w:div>
    <w:div w:id="1185679815">
      <w:bodyDiv w:val="1"/>
      <w:marLeft w:val="0"/>
      <w:marRight w:val="0"/>
      <w:marTop w:val="0"/>
      <w:marBottom w:val="0"/>
      <w:divBdr>
        <w:top w:val="none" w:sz="0" w:space="0" w:color="auto"/>
        <w:left w:val="none" w:sz="0" w:space="0" w:color="auto"/>
        <w:bottom w:val="none" w:sz="0" w:space="0" w:color="auto"/>
        <w:right w:val="none" w:sz="0" w:space="0" w:color="auto"/>
      </w:divBdr>
    </w:div>
    <w:div w:id="1186603682">
      <w:bodyDiv w:val="1"/>
      <w:marLeft w:val="0"/>
      <w:marRight w:val="0"/>
      <w:marTop w:val="0"/>
      <w:marBottom w:val="0"/>
      <w:divBdr>
        <w:top w:val="none" w:sz="0" w:space="0" w:color="auto"/>
        <w:left w:val="none" w:sz="0" w:space="0" w:color="auto"/>
        <w:bottom w:val="none" w:sz="0" w:space="0" w:color="auto"/>
        <w:right w:val="none" w:sz="0" w:space="0" w:color="auto"/>
      </w:divBdr>
    </w:div>
    <w:div w:id="1196849253">
      <w:bodyDiv w:val="1"/>
      <w:marLeft w:val="0"/>
      <w:marRight w:val="0"/>
      <w:marTop w:val="0"/>
      <w:marBottom w:val="0"/>
      <w:divBdr>
        <w:top w:val="none" w:sz="0" w:space="0" w:color="auto"/>
        <w:left w:val="none" w:sz="0" w:space="0" w:color="auto"/>
        <w:bottom w:val="none" w:sz="0" w:space="0" w:color="auto"/>
        <w:right w:val="none" w:sz="0" w:space="0" w:color="auto"/>
      </w:divBdr>
    </w:div>
    <w:div w:id="1200584448">
      <w:bodyDiv w:val="1"/>
      <w:marLeft w:val="0"/>
      <w:marRight w:val="0"/>
      <w:marTop w:val="0"/>
      <w:marBottom w:val="0"/>
      <w:divBdr>
        <w:top w:val="none" w:sz="0" w:space="0" w:color="auto"/>
        <w:left w:val="none" w:sz="0" w:space="0" w:color="auto"/>
        <w:bottom w:val="none" w:sz="0" w:space="0" w:color="auto"/>
        <w:right w:val="none" w:sz="0" w:space="0" w:color="auto"/>
      </w:divBdr>
    </w:div>
    <w:div w:id="1201816923">
      <w:bodyDiv w:val="1"/>
      <w:marLeft w:val="0"/>
      <w:marRight w:val="0"/>
      <w:marTop w:val="0"/>
      <w:marBottom w:val="0"/>
      <w:divBdr>
        <w:top w:val="none" w:sz="0" w:space="0" w:color="auto"/>
        <w:left w:val="none" w:sz="0" w:space="0" w:color="auto"/>
        <w:bottom w:val="none" w:sz="0" w:space="0" w:color="auto"/>
        <w:right w:val="none" w:sz="0" w:space="0" w:color="auto"/>
      </w:divBdr>
    </w:div>
    <w:div w:id="1204563363">
      <w:bodyDiv w:val="1"/>
      <w:marLeft w:val="0"/>
      <w:marRight w:val="0"/>
      <w:marTop w:val="0"/>
      <w:marBottom w:val="0"/>
      <w:divBdr>
        <w:top w:val="none" w:sz="0" w:space="0" w:color="auto"/>
        <w:left w:val="none" w:sz="0" w:space="0" w:color="auto"/>
        <w:bottom w:val="none" w:sz="0" w:space="0" w:color="auto"/>
        <w:right w:val="none" w:sz="0" w:space="0" w:color="auto"/>
      </w:divBdr>
    </w:div>
    <w:div w:id="1204825233">
      <w:bodyDiv w:val="1"/>
      <w:marLeft w:val="0"/>
      <w:marRight w:val="0"/>
      <w:marTop w:val="0"/>
      <w:marBottom w:val="0"/>
      <w:divBdr>
        <w:top w:val="none" w:sz="0" w:space="0" w:color="auto"/>
        <w:left w:val="none" w:sz="0" w:space="0" w:color="auto"/>
        <w:bottom w:val="none" w:sz="0" w:space="0" w:color="auto"/>
        <w:right w:val="none" w:sz="0" w:space="0" w:color="auto"/>
      </w:divBdr>
    </w:div>
    <w:div w:id="1207989994">
      <w:bodyDiv w:val="1"/>
      <w:marLeft w:val="0"/>
      <w:marRight w:val="0"/>
      <w:marTop w:val="0"/>
      <w:marBottom w:val="0"/>
      <w:divBdr>
        <w:top w:val="none" w:sz="0" w:space="0" w:color="auto"/>
        <w:left w:val="none" w:sz="0" w:space="0" w:color="auto"/>
        <w:bottom w:val="none" w:sz="0" w:space="0" w:color="auto"/>
        <w:right w:val="none" w:sz="0" w:space="0" w:color="auto"/>
      </w:divBdr>
    </w:div>
    <w:div w:id="1212763436">
      <w:bodyDiv w:val="1"/>
      <w:marLeft w:val="0"/>
      <w:marRight w:val="0"/>
      <w:marTop w:val="0"/>
      <w:marBottom w:val="0"/>
      <w:divBdr>
        <w:top w:val="none" w:sz="0" w:space="0" w:color="auto"/>
        <w:left w:val="none" w:sz="0" w:space="0" w:color="auto"/>
        <w:bottom w:val="none" w:sz="0" w:space="0" w:color="auto"/>
        <w:right w:val="none" w:sz="0" w:space="0" w:color="auto"/>
      </w:divBdr>
    </w:div>
    <w:div w:id="1217623130">
      <w:bodyDiv w:val="1"/>
      <w:marLeft w:val="0"/>
      <w:marRight w:val="0"/>
      <w:marTop w:val="0"/>
      <w:marBottom w:val="0"/>
      <w:divBdr>
        <w:top w:val="none" w:sz="0" w:space="0" w:color="auto"/>
        <w:left w:val="none" w:sz="0" w:space="0" w:color="auto"/>
        <w:bottom w:val="none" w:sz="0" w:space="0" w:color="auto"/>
        <w:right w:val="none" w:sz="0" w:space="0" w:color="auto"/>
      </w:divBdr>
    </w:div>
    <w:div w:id="1217935575">
      <w:bodyDiv w:val="1"/>
      <w:marLeft w:val="0"/>
      <w:marRight w:val="0"/>
      <w:marTop w:val="0"/>
      <w:marBottom w:val="0"/>
      <w:divBdr>
        <w:top w:val="none" w:sz="0" w:space="0" w:color="auto"/>
        <w:left w:val="none" w:sz="0" w:space="0" w:color="auto"/>
        <w:bottom w:val="none" w:sz="0" w:space="0" w:color="auto"/>
        <w:right w:val="none" w:sz="0" w:space="0" w:color="auto"/>
      </w:divBdr>
    </w:div>
    <w:div w:id="1219631466">
      <w:bodyDiv w:val="1"/>
      <w:marLeft w:val="0"/>
      <w:marRight w:val="0"/>
      <w:marTop w:val="0"/>
      <w:marBottom w:val="0"/>
      <w:divBdr>
        <w:top w:val="none" w:sz="0" w:space="0" w:color="auto"/>
        <w:left w:val="none" w:sz="0" w:space="0" w:color="auto"/>
        <w:bottom w:val="none" w:sz="0" w:space="0" w:color="auto"/>
        <w:right w:val="none" w:sz="0" w:space="0" w:color="auto"/>
      </w:divBdr>
    </w:div>
    <w:div w:id="1224558335">
      <w:bodyDiv w:val="1"/>
      <w:marLeft w:val="0"/>
      <w:marRight w:val="0"/>
      <w:marTop w:val="0"/>
      <w:marBottom w:val="0"/>
      <w:divBdr>
        <w:top w:val="none" w:sz="0" w:space="0" w:color="auto"/>
        <w:left w:val="none" w:sz="0" w:space="0" w:color="auto"/>
        <w:bottom w:val="none" w:sz="0" w:space="0" w:color="auto"/>
        <w:right w:val="none" w:sz="0" w:space="0" w:color="auto"/>
      </w:divBdr>
    </w:div>
    <w:div w:id="1228801199">
      <w:bodyDiv w:val="1"/>
      <w:marLeft w:val="0"/>
      <w:marRight w:val="0"/>
      <w:marTop w:val="0"/>
      <w:marBottom w:val="0"/>
      <w:divBdr>
        <w:top w:val="none" w:sz="0" w:space="0" w:color="auto"/>
        <w:left w:val="none" w:sz="0" w:space="0" w:color="auto"/>
        <w:bottom w:val="none" w:sz="0" w:space="0" w:color="auto"/>
        <w:right w:val="none" w:sz="0" w:space="0" w:color="auto"/>
      </w:divBdr>
    </w:div>
    <w:div w:id="1234702445">
      <w:bodyDiv w:val="1"/>
      <w:marLeft w:val="0"/>
      <w:marRight w:val="0"/>
      <w:marTop w:val="0"/>
      <w:marBottom w:val="0"/>
      <w:divBdr>
        <w:top w:val="none" w:sz="0" w:space="0" w:color="auto"/>
        <w:left w:val="none" w:sz="0" w:space="0" w:color="auto"/>
        <w:bottom w:val="none" w:sz="0" w:space="0" w:color="auto"/>
        <w:right w:val="none" w:sz="0" w:space="0" w:color="auto"/>
      </w:divBdr>
    </w:div>
    <w:div w:id="1245143596">
      <w:bodyDiv w:val="1"/>
      <w:marLeft w:val="0"/>
      <w:marRight w:val="0"/>
      <w:marTop w:val="0"/>
      <w:marBottom w:val="0"/>
      <w:divBdr>
        <w:top w:val="none" w:sz="0" w:space="0" w:color="auto"/>
        <w:left w:val="none" w:sz="0" w:space="0" w:color="auto"/>
        <w:bottom w:val="none" w:sz="0" w:space="0" w:color="auto"/>
        <w:right w:val="none" w:sz="0" w:space="0" w:color="auto"/>
      </w:divBdr>
    </w:div>
    <w:div w:id="1246113653">
      <w:bodyDiv w:val="1"/>
      <w:marLeft w:val="0"/>
      <w:marRight w:val="0"/>
      <w:marTop w:val="0"/>
      <w:marBottom w:val="0"/>
      <w:divBdr>
        <w:top w:val="none" w:sz="0" w:space="0" w:color="auto"/>
        <w:left w:val="none" w:sz="0" w:space="0" w:color="auto"/>
        <w:bottom w:val="none" w:sz="0" w:space="0" w:color="auto"/>
        <w:right w:val="none" w:sz="0" w:space="0" w:color="auto"/>
      </w:divBdr>
    </w:div>
    <w:div w:id="1247617309">
      <w:bodyDiv w:val="1"/>
      <w:marLeft w:val="0"/>
      <w:marRight w:val="0"/>
      <w:marTop w:val="0"/>
      <w:marBottom w:val="0"/>
      <w:divBdr>
        <w:top w:val="none" w:sz="0" w:space="0" w:color="auto"/>
        <w:left w:val="none" w:sz="0" w:space="0" w:color="auto"/>
        <w:bottom w:val="none" w:sz="0" w:space="0" w:color="auto"/>
        <w:right w:val="none" w:sz="0" w:space="0" w:color="auto"/>
      </w:divBdr>
    </w:div>
    <w:div w:id="1249772672">
      <w:bodyDiv w:val="1"/>
      <w:marLeft w:val="0"/>
      <w:marRight w:val="0"/>
      <w:marTop w:val="0"/>
      <w:marBottom w:val="0"/>
      <w:divBdr>
        <w:top w:val="none" w:sz="0" w:space="0" w:color="auto"/>
        <w:left w:val="none" w:sz="0" w:space="0" w:color="auto"/>
        <w:bottom w:val="none" w:sz="0" w:space="0" w:color="auto"/>
        <w:right w:val="none" w:sz="0" w:space="0" w:color="auto"/>
      </w:divBdr>
    </w:div>
    <w:div w:id="1254968726">
      <w:bodyDiv w:val="1"/>
      <w:marLeft w:val="0"/>
      <w:marRight w:val="0"/>
      <w:marTop w:val="0"/>
      <w:marBottom w:val="0"/>
      <w:divBdr>
        <w:top w:val="none" w:sz="0" w:space="0" w:color="auto"/>
        <w:left w:val="none" w:sz="0" w:space="0" w:color="auto"/>
        <w:bottom w:val="none" w:sz="0" w:space="0" w:color="auto"/>
        <w:right w:val="none" w:sz="0" w:space="0" w:color="auto"/>
      </w:divBdr>
    </w:div>
    <w:div w:id="1259673387">
      <w:bodyDiv w:val="1"/>
      <w:marLeft w:val="0"/>
      <w:marRight w:val="0"/>
      <w:marTop w:val="0"/>
      <w:marBottom w:val="0"/>
      <w:divBdr>
        <w:top w:val="none" w:sz="0" w:space="0" w:color="auto"/>
        <w:left w:val="none" w:sz="0" w:space="0" w:color="auto"/>
        <w:bottom w:val="none" w:sz="0" w:space="0" w:color="auto"/>
        <w:right w:val="none" w:sz="0" w:space="0" w:color="auto"/>
      </w:divBdr>
    </w:div>
    <w:div w:id="1261916385">
      <w:bodyDiv w:val="1"/>
      <w:marLeft w:val="0"/>
      <w:marRight w:val="0"/>
      <w:marTop w:val="0"/>
      <w:marBottom w:val="0"/>
      <w:divBdr>
        <w:top w:val="none" w:sz="0" w:space="0" w:color="auto"/>
        <w:left w:val="none" w:sz="0" w:space="0" w:color="auto"/>
        <w:bottom w:val="none" w:sz="0" w:space="0" w:color="auto"/>
        <w:right w:val="none" w:sz="0" w:space="0" w:color="auto"/>
      </w:divBdr>
    </w:div>
    <w:div w:id="1272250795">
      <w:bodyDiv w:val="1"/>
      <w:marLeft w:val="0"/>
      <w:marRight w:val="0"/>
      <w:marTop w:val="0"/>
      <w:marBottom w:val="0"/>
      <w:divBdr>
        <w:top w:val="none" w:sz="0" w:space="0" w:color="auto"/>
        <w:left w:val="none" w:sz="0" w:space="0" w:color="auto"/>
        <w:bottom w:val="none" w:sz="0" w:space="0" w:color="auto"/>
        <w:right w:val="none" w:sz="0" w:space="0" w:color="auto"/>
      </w:divBdr>
    </w:div>
    <w:div w:id="1282150859">
      <w:bodyDiv w:val="1"/>
      <w:marLeft w:val="0"/>
      <w:marRight w:val="0"/>
      <w:marTop w:val="0"/>
      <w:marBottom w:val="0"/>
      <w:divBdr>
        <w:top w:val="none" w:sz="0" w:space="0" w:color="auto"/>
        <w:left w:val="none" w:sz="0" w:space="0" w:color="auto"/>
        <w:bottom w:val="none" w:sz="0" w:space="0" w:color="auto"/>
        <w:right w:val="none" w:sz="0" w:space="0" w:color="auto"/>
      </w:divBdr>
    </w:div>
    <w:div w:id="1288708026">
      <w:bodyDiv w:val="1"/>
      <w:marLeft w:val="0"/>
      <w:marRight w:val="0"/>
      <w:marTop w:val="0"/>
      <w:marBottom w:val="0"/>
      <w:divBdr>
        <w:top w:val="none" w:sz="0" w:space="0" w:color="auto"/>
        <w:left w:val="none" w:sz="0" w:space="0" w:color="auto"/>
        <w:bottom w:val="none" w:sz="0" w:space="0" w:color="auto"/>
        <w:right w:val="none" w:sz="0" w:space="0" w:color="auto"/>
      </w:divBdr>
    </w:div>
    <w:div w:id="1288774750">
      <w:bodyDiv w:val="1"/>
      <w:marLeft w:val="0"/>
      <w:marRight w:val="0"/>
      <w:marTop w:val="0"/>
      <w:marBottom w:val="0"/>
      <w:divBdr>
        <w:top w:val="none" w:sz="0" w:space="0" w:color="auto"/>
        <w:left w:val="none" w:sz="0" w:space="0" w:color="auto"/>
        <w:bottom w:val="none" w:sz="0" w:space="0" w:color="auto"/>
        <w:right w:val="none" w:sz="0" w:space="0" w:color="auto"/>
      </w:divBdr>
    </w:div>
    <w:div w:id="1288775382">
      <w:bodyDiv w:val="1"/>
      <w:marLeft w:val="0"/>
      <w:marRight w:val="0"/>
      <w:marTop w:val="0"/>
      <w:marBottom w:val="0"/>
      <w:divBdr>
        <w:top w:val="none" w:sz="0" w:space="0" w:color="auto"/>
        <w:left w:val="none" w:sz="0" w:space="0" w:color="auto"/>
        <w:bottom w:val="none" w:sz="0" w:space="0" w:color="auto"/>
        <w:right w:val="none" w:sz="0" w:space="0" w:color="auto"/>
      </w:divBdr>
    </w:div>
    <w:div w:id="1290551514">
      <w:bodyDiv w:val="1"/>
      <w:marLeft w:val="0"/>
      <w:marRight w:val="0"/>
      <w:marTop w:val="0"/>
      <w:marBottom w:val="0"/>
      <w:divBdr>
        <w:top w:val="none" w:sz="0" w:space="0" w:color="auto"/>
        <w:left w:val="none" w:sz="0" w:space="0" w:color="auto"/>
        <w:bottom w:val="none" w:sz="0" w:space="0" w:color="auto"/>
        <w:right w:val="none" w:sz="0" w:space="0" w:color="auto"/>
      </w:divBdr>
    </w:div>
    <w:div w:id="1291715564">
      <w:bodyDiv w:val="1"/>
      <w:marLeft w:val="0"/>
      <w:marRight w:val="0"/>
      <w:marTop w:val="0"/>
      <w:marBottom w:val="0"/>
      <w:divBdr>
        <w:top w:val="none" w:sz="0" w:space="0" w:color="auto"/>
        <w:left w:val="none" w:sz="0" w:space="0" w:color="auto"/>
        <w:bottom w:val="none" w:sz="0" w:space="0" w:color="auto"/>
        <w:right w:val="none" w:sz="0" w:space="0" w:color="auto"/>
      </w:divBdr>
    </w:div>
    <w:div w:id="1293708879">
      <w:bodyDiv w:val="1"/>
      <w:marLeft w:val="0"/>
      <w:marRight w:val="0"/>
      <w:marTop w:val="0"/>
      <w:marBottom w:val="0"/>
      <w:divBdr>
        <w:top w:val="none" w:sz="0" w:space="0" w:color="auto"/>
        <w:left w:val="none" w:sz="0" w:space="0" w:color="auto"/>
        <w:bottom w:val="none" w:sz="0" w:space="0" w:color="auto"/>
        <w:right w:val="none" w:sz="0" w:space="0" w:color="auto"/>
      </w:divBdr>
    </w:div>
    <w:div w:id="1299650529">
      <w:bodyDiv w:val="1"/>
      <w:marLeft w:val="0"/>
      <w:marRight w:val="0"/>
      <w:marTop w:val="0"/>
      <w:marBottom w:val="0"/>
      <w:divBdr>
        <w:top w:val="none" w:sz="0" w:space="0" w:color="auto"/>
        <w:left w:val="none" w:sz="0" w:space="0" w:color="auto"/>
        <w:bottom w:val="none" w:sz="0" w:space="0" w:color="auto"/>
        <w:right w:val="none" w:sz="0" w:space="0" w:color="auto"/>
      </w:divBdr>
    </w:div>
    <w:div w:id="1306860352">
      <w:bodyDiv w:val="1"/>
      <w:marLeft w:val="0"/>
      <w:marRight w:val="0"/>
      <w:marTop w:val="0"/>
      <w:marBottom w:val="0"/>
      <w:divBdr>
        <w:top w:val="none" w:sz="0" w:space="0" w:color="auto"/>
        <w:left w:val="none" w:sz="0" w:space="0" w:color="auto"/>
        <w:bottom w:val="none" w:sz="0" w:space="0" w:color="auto"/>
        <w:right w:val="none" w:sz="0" w:space="0" w:color="auto"/>
      </w:divBdr>
    </w:div>
    <w:div w:id="1310405581">
      <w:bodyDiv w:val="1"/>
      <w:marLeft w:val="0"/>
      <w:marRight w:val="0"/>
      <w:marTop w:val="0"/>
      <w:marBottom w:val="0"/>
      <w:divBdr>
        <w:top w:val="none" w:sz="0" w:space="0" w:color="auto"/>
        <w:left w:val="none" w:sz="0" w:space="0" w:color="auto"/>
        <w:bottom w:val="none" w:sz="0" w:space="0" w:color="auto"/>
        <w:right w:val="none" w:sz="0" w:space="0" w:color="auto"/>
      </w:divBdr>
    </w:div>
    <w:div w:id="1316227008">
      <w:bodyDiv w:val="1"/>
      <w:marLeft w:val="0"/>
      <w:marRight w:val="0"/>
      <w:marTop w:val="0"/>
      <w:marBottom w:val="0"/>
      <w:divBdr>
        <w:top w:val="none" w:sz="0" w:space="0" w:color="auto"/>
        <w:left w:val="none" w:sz="0" w:space="0" w:color="auto"/>
        <w:bottom w:val="none" w:sz="0" w:space="0" w:color="auto"/>
        <w:right w:val="none" w:sz="0" w:space="0" w:color="auto"/>
      </w:divBdr>
    </w:div>
    <w:div w:id="1316685743">
      <w:bodyDiv w:val="1"/>
      <w:marLeft w:val="0"/>
      <w:marRight w:val="0"/>
      <w:marTop w:val="0"/>
      <w:marBottom w:val="0"/>
      <w:divBdr>
        <w:top w:val="none" w:sz="0" w:space="0" w:color="auto"/>
        <w:left w:val="none" w:sz="0" w:space="0" w:color="auto"/>
        <w:bottom w:val="none" w:sz="0" w:space="0" w:color="auto"/>
        <w:right w:val="none" w:sz="0" w:space="0" w:color="auto"/>
      </w:divBdr>
    </w:div>
    <w:div w:id="1323587084">
      <w:bodyDiv w:val="1"/>
      <w:marLeft w:val="0"/>
      <w:marRight w:val="0"/>
      <w:marTop w:val="0"/>
      <w:marBottom w:val="0"/>
      <w:divBdr>
        <w:top w:val="none" w:sz="0" w:space="0" w:color="auto"/>
        <w:left w:val="none" w:sz="0" w:space="0" w:color="auto"/>
        <w:bottom w:val="none" w:sz="0" w:space="0" w:color="auto"/>
        <w:right w:val="none" w:sz="0" w:space="0" w:color="auto"/>
      </w:divBdr>
    </w:div>
    <w:div w:id="1327785513">
      <w:bodyDiv w:val="1"/>
      <w:marLeft w:val="0"/>
      <w:marRight w:val="0"/>
      <w:marTop w:val="0"/>
      <w:marBottom w:val="0"/>
      <w:divBdr>
        <w:top w:val="none" w:sz="0" w:space="0" w:color="auto"/>
        <w:left w:val="none" w:sz="0" w:space="0" w:color="auto"/>
        <w:bottom w:val="none" w:sz="0" w:space="0" w:color="auto"/>
        <w:right w:val="none" w:sz="0" w:space="0" w:color="auto"/>
      </w:divBdr>
    </w:div>
    <w:div w:id="1333798288">
      <w:bodyDiv w:val="1"/>
      <w:marLeft w:val="0"/>
      <w:marRight w:val="0"/>
      <w:marTop w:val="0"/>
      <w:marBottom w:val="0"/>
      <w:divBdr>
        <w:top w:val="none" w:sz="0" w:space="0" w:color="auto"/>
        <w:left w:val="none" w:sz="0" w:space="0" w:color="auto"/>
        <w:bottom w:val="none" w:sz="0" w:space="0" w:color="auto"/>
        <w:right w:val="none" w:sz="0" w:space="0" w:color="auto"/>
      </w:divBdr>
    </w:div>
    <w:div w:id="1335835877">
      <w:bodyDiv w:val="1"/>
      <w:marLeft w:val="0"/>
      <w:marRight w:val="0"/>
      <w:marTop w:val="0"/>
      <w:marBottom w:val="0"/>
      <w:divBdr>
        <w:top w:val="none" w:sz="0" w:space="0" w:color="auto"/>
        <w:left w:val="none" w:sz="0" w:space="0" w:color="auto"/>
        <w:bottom w:val="none" w:sz="0" w:space="0" w:color="auto"/>
        <w:right w:val="none" w:sz="0" w:space="0" w:color="auto"/>
      </w:divBdr>
    </w:div>
    <w:div w:id="1336956487">
      <w:bodyDiv w:val="1"/>
      <w:marLeft w:val="0"/>
      <w:marRight w:val="0"/>
      <w:marTop w:val="0"/>
      <w:marBottom w:val="0"/>
      <w:divBdr>
        <w:top w:val="none" w:sz="0" w:space="0" w:color="auto"/>
        <w:left w:val="none" w:sz="0" w:space="0" w:color="auto"/>
        <w:bottom w:val="none" w:sz="0" w:space="0" w:color="auto"/>
        <w:right w:val="none" w:sz="0" w:space="0" w:color="auto"/>
      </w:divBdr>
    </w:div>
    <w:div w:id="1342976363">
      <w:bodyDiv w:val="1"/>
      <w:marLeft w:val="0"/>
      <w:marRight w:val="0"/>
      <w:marTop w:val="0"/>
      <w:marBottom w:val="0"/>
      <w:divBdr>
        <w:top w:val="none" w:sz="0" w:space="0" w:color="auto"/>
        <w:left w:val="none" w:sz="0" w:space="0" w:color="auto"/>
        <w:bottom w:val="none" w:sz="0" w:space="0" w:color="auto"/>
        <w:right w:val="none" w:sz="0" w:space="0" w:color="auto"/>
      </w:divBdr>
    </w:div>
    <w:div w:id="1358627105">
      <w:bodyDiv w:val="1"/>
      <w:marLeft w:val="0"/>
      <w:marRight w:val="0"/>
      <w:marTop w:val="0"/>
      <w:marBottom w:val="0"/>
      <w:divBdr>
        <w:top w:val="none" w:sz="0" w:space="0" w:color="auto"/>
        <w:left w:val="none" w:sz="0" w:space="0" w:color="auto"/>
        <w:bottom w:val="none" w:sz="0" w:space="0" w:color="auto"/>
        <w:right w:val="none" w:sz="0" w:space="0" w:color="auto"/>
      </w:divBdr>
    </w:div>
    <w:div w:id="1359045889">
      <w:bodyDiv w:val="1"/>
      <w:marLeft w:val="0"/>
      <w:marRight w:val="0"/>
      <w:marTop w:val="0"/>
      <w:marBottom w:val="0"/>
      <w:divBdr>
        <w:top w:val="none" w:sz="0" w:space="0" w:color="auto"/>
        <w:left w:val="none" w:sz="0" w:space="0" w:color="auto"/>
        <w:bottom w:val="none" w:sz="0" w:space="0" w:color="auto"/>
        <w:right w:val="none" w:sz="0" w:space="0" w:color="auto"/>
      </w:divBdr>
    </w:div>
    <w:div w:id="1363823635">
      <w:bodyDiv w:val="1"/>
      <w:marLeft w:val="0"/>
      <w:marRight w:val="0"/>
      <w:marTop w:val="0"/>
      <w:marBottom w:val="0"/>
      <w:divBdr>
        <w:top w:val="none" w:sz="0" w:space="0" w:color="auto"/>
        <w:left w:val="none" w:sz="0" w:space="0" w:color="auto"/>
        <w:bottom w:val="none" w:sz="0" w:space="0" w:color="auto"/>
        <w:right w:val="none" w:sz="0" w:space="0" w:color="auto"/>
      </w:divBdr>
    </w:div>
    <w:div w:id="1364669279">
      <w:bodyDiv w:val="1"/>
      <w:marLeft w:val="0"/>
      <w:marRight w:val="0"/>
      <w:marTop w:val="0"/>
      <w:marBottom w:val="0"/>
      <w:divBdr>
        <w:top w:val="none" w:sz="0" w:space="0" w:color="auto"/>
        <w:left w:val="none" w:sz="0" w:space="0" w:color="auto"/>
        <w:bottom w:val="none" w:sz="0" w:space="0" w:color="auto"/>
        <w:right w:val="none" w:sz="0" w:space="0" w:color="auto"/>
      </w:divBdr>
    </w:div>
    <w:div w:id="1368606394">
      <w:bodyDiv w:val="1"/>
      <w:marLeft w:val="0"/>
      <w:marRight w:val="0"/>
      <w:marTop w:val="0"/>
      <w:marBottom w:val="0"/>
      <w:divBdr>
        <w:top w:val="none" w:sz="0" w:space="0" w:color="auto"/>
        <w:left w:val="none" w:sz="0" w:space="0" w:color="auto"/>
        <w:bottom w:val="none" w:sz="0" w:space="0" w:color="auto"/>
        <w:right w:val="none" w:sz="0" w:space="0" w:color="auto"/>
      </w:divBdr>
    </w:div>
    <w:div w:id="1372261865">
      <w:bodyDiv w:val="1"/>
      <w:marLeft w:val="0"/>
      <w:marRight w:val="0"/>
      <w:marTop w:val="0"/>
      <w:marBottom w:val="0"/>
      <w:divBdr>
        <w:top w:val="none" w:sz="0" w:space="0" w:color="auto"/>
        <w:left w:val="none" w:sz="0" w:space="0" w:color="auto"/>
        <w:bottom w:val="none" w:sz="0" w:space="0" w:color="auto"/>
        <w:right w:val="none" w:sz="0" w:space="0" w:color="auto"/>
      </w:divBdr>
    </w:div>
    <w:div w:id="1372657346">
      <w:bodyDiv w:val="1"/>
      <w:marLeft w:val="0"/>
      <w:marRight w:val="0"/>
      <w:marTop w:val="0"/>
      <w:marBottom w:val="0"/>
      <w:divBdr>
        <w:top w:val="none" w:sz="0" w:space="0" w:color="auto"/>
        <w:left w:val="none" w:sz="0" w:space="0" w:color="auto"/>
        <w:bottom w:val="none" w:sz="0" w:space="0" w:color="auto"/>
        <w:right w:val="none" w:sz="0" w:space="0" w:color="auto"/>
      </w:divBdr>
    </w:div>
    <w:div w:id="1374037928">
      <w:bodyDiv w:val="1"/>
      <w:marLeft w:val="0"/>
      <w:marRight w:val="0"/>
      <w:marTop w:val="0"/>
      <w:marBottom w:val="0"/>
      <w:divBdr>
        <w:top w:val="none" w:sz="0" w:space="0" w:color="auto"/>
        <w:left w:val="none" w:sz="0" w:space="0" w:color="auto"/>
        <w:bottom w:val="none" w:sz="0" w:space="0" w:color="auto"/>
        <w:right w:val="none" w:sz="0" w:space="0" w:color="auto"/>
      </w:divBdr>
    </w:div>
    <w:div w:id="1374426286">
      <w:bodyDiv w:val="1"/>
      <w:marLeft w:val="0"/>
      <w:marRight w:val="0"/>
      <w:marTop w:val="0"/>
      <w:marBottom w:val="0"/>
      <w:divBdr>
        <w:top w:val="none" w:sz="0" w:space="0" w:color="auto"/>
        <w:left w:val="none" w:sz="0" w:space="0" w:color="auto"/>
        <w:bottom w:val="none" w:sz="0" w:space="0" w:color="auto"/>
        <w:right w:val="none" w:sz="0" w:space="0" w:color="auto"/>
      </w:divBdr>
    </w:div>
    <w:div w:id="1376344813">
      <w:bodyDiv w:val="1"/>
      <w:marLeft w:val="0"/>
      <w:marRight w:val="0"/>
      <w:marTop w:val="0"/>
      <w:marBottom w:val="0"/>
      <w:divBdr>
        <w:top w:val="none" w:sz="0" w:space="0" w:color="auto"/>
        <w:left w:val="none" w:sz="0" w:space="0" w:color="auto"/>
        <w:bottom w:val="none" w:sz="0" w:space="0" w:color="auto"/>
        <w:right w:val="none" w:sz="0" w:space="0" w:color="auto"/>
      </w:divBdr>
    </w:div>
    <w:div w:id="1376731199">
      <w:bodyDiv w:val="1"/>
      <w:marLeft w:val="0"/>
      <w:marRight w:val="0"/>
      <w:marTop w:val="0"/>
      <w:marBottom w:val="0"/>
      <w:divBdr>
        <w:top w:val="none" w:sz="0" w:space="0" w:color="auto"/>
        <w:left w:val="none" w:sz="0" w:space="0" w:color="auto"/>
        <w:bottom w:val="none" w:sz="0" w:space="0" w:color="auto"/>
        <w:right w:val="none" w:sz="0" w:space="0" w:color="auto"/>
      </w:divBdr>
    </w:div>
    <w:div w:id="1378356069">
      <w:bodyDiv w:val="1"/>
      <w:marLeft w:val="0"/>
      <w:marRight w:val="0"/>
      <w:marTop w:val="0"/>
      <w:marBottom w:val="0"/>
      <w:divBdr>
        <w:top w:val="none" w:sz="0" w:space="0" w:color="auto"/>
        <w:left w:val="none" w:sz="0" w:space="0" w:color="auto"/>
        <w:bottom w:val="none" w:sz="0" w:space="0" w:color="auto"/>
        <w:right w:val="none" w:sz="0" w:space="0" w:color="auto"/>
      </w:divBdr>
    </w:div>
    <w:div w:id="1382945371">
      <w:bodyDiv w:val="1"/>
      <w:marLeft w:val="0"/>
      <w:marRight w:val="0"/>
      <w:marTop w:val="0"/>
      <w:marBottom w:val="0"/>
      <w:divBdr>
        <w:top w:val="none" w:sz="0" w:space="0" w:color="auto"/>
        <w:left w:val="none" w:sz="0" w:space="0" w:color="auto"/>
        <w:bottom w:val="none" w:sz="0" w:space="0" w:color="auto"/>
        <w:right w:val="none" w:sz="0" w:space="0" w:color="auto"/>
      </w:divBdr>
    </w:div>
    <w:div w:id="1384212823">
      <w:bodyDiv w:val="1"/>
      <w:marLeft w:val="0"/>
      <w:marRight w:val="0"/>
      <w:marTop w:val="0"/>
      <w:marBottom w:val="0"/>
      <w:divBdr>
        <w:top w:val="none" w:sz="0" w:space="0" w:color="auto"/>
        <w:left w:val="none" w:sz="0" w:space="0" w:color="auto"/>
        <w:bottom w:val="none" w:sz="0" w:space="0" w:color="auto"/>
        <w:right w:val="none" w:sz="0" w:space="0" w:color="auto"/>
      </w:divBdr>
    </w:div>
    <w:div w:id="1384719921">
      <w:bodyDiv w:val="1"/>
      <w:marLeft w:val="0"/>
      <w:marRight w:val="0"/>
      <w:marTop w:val="0"/>
      <w:marBottom w:val="0"/>
      <w:divBdr>
        <w:top w:val="none" w:sz="0" w:space="0" w:color="auto"/>
        <w:left w:val="none" w:sz="0" w:space="0" w:color="auto"/>
        <w:bottom w:val="none" w:sz="0" w:space="0" w:color="auto"/>
        <w:right w:val="none" w:sz="0" w:space="0" w:color="auto"/>
      </w:divBdr>
    </w:div>
    <w:div w:id="1385834843">
      <w:bodyDiv w:val="1"/>
      <w:marLeft w:val="0"/>
      <w:marRight w:val="0"/>
      <w:marTop w:val="0"/>
      <w:marBottom w:val="0"/>
      <w:divBdr>
        <w:top w:val="none" w:sz="0" w:space="0" w:color="auto"/>
        <w:left w:val="none" w:sz="0" w:space="0" w:color="auto"/>
        <w:bottom w:val="none" w:sz="0" w:space="0" w:color="auto"/>
        <w:right w:val="none" w:sz="0" w:space="0" w:color="auto"/>
      </w:divBdr>
    </w:div>
    <w:div w:id="1393044301">
      <w:bodyDiv w:val="1"/>
      <w:marLeft w:val="0"/>
      <w:marRight w:val="0"/>
      <w:marTop w:val="0"/>
      <w:marBottom w:val="0"/>
      <w:divBdr>
        <w:top w:val="none" w:sz="0" w:space="0" w:color="auto"/>
        <w:left w:val="none" w:sz="0" w:space="0" w:color="auto"/>
        <w:bottom w:val="none" w:sz="0" w:space="0" w:color="auto"/>
        <w:right w:val="none" w:sz="0" w:space="0" w:color="auto"/>
      </w:divBdr>
    </w:div>
    <w:div w:id="1396464931">
      <w:bodyDiv w:val="1"/>
      <w:marLeft w:val="0"/>
      <w:marRight w:val="0"/>
      <w:marTop w:val="0"/>
      <w:marBottom w:val="0"/>
      <w:divBdr>
        <w:top w:val="none" w:sz="0" w:space="0" w:color="auto"/>
        <w:left w:val="none" w:sz="0" w:space="0" w:color="auto"/>
        <w:bottom w:val="none" w:sz="0" w:space="0" w:color="auto"/>
        <w:right w:val="none" w:sz="0" w:space="0" w:color="auto"/>
      </w:divBdr>
    </w:div>
    <w:div w:id="1411848790">
      <w:bodyDiv w:val="1"/>
      <w:marLeft w:val="0"/>
      <w:marRight w:val="0"/>
      <w:marTop w:val="0"/>
      <w:marBottom w:val="0"/>
      <w:divBdr>
        <w:top w:val="none" w:sz="0" w:space="0" w:color="auto"/>
        <w:left w:val="none" w:sz="0" w:space="0" w:color="auto"/>
        <w:bottom w:val="none" w:sz="0" w:space="0" w:color="auto"/>
        <w:right w:val="none" w:sz="0" w:space="0" w:color="auto"/>
      </w:divBdr>
    </w:div>
    <w:div w:id="1412040898">
      <w:bodyDiv w:val="1"/>
      <w:marLeft w:val="0"/>
      <w:marRight w:val="0"/>
      <w:marTop w:val="0"/>
      <w:marBottom w:val="0"/>
      <w:divBdr>
        <w:top w:val="none" w:sz="0" w:space="0" w:color="auto"/>
        <w:left w:val="none" w:sz="0" w:space="0" w:color="auto"/>
        <w:bottom w:val="none" w:sz="0" w:space="0" w:color="auto"/>
        <w:right w:val="none" w:sz="0" w:space="0" w:color="auto"/>
      </w:divBdr>
    </w:div>
    <w:div w:id="1417895525">
      <w:bodyDiv w:val="1"/>
      <w:marLeft w:val="0"/>
      <w:marRight w:val="0"/>
      <w:marTop w:val="0"/>
      <w:marBottom w:val="0"/>
      <w:divBdr>
        <w:top w:val="none" w:sz="0" w:space="0" w:color="auto"/>
        <w:left w:val="none" w:sz="0" w:space="0" w:color="auto"/>
        <w:bottom w:val="none" w:sz="0" w:space="0" w:color="auto"/>
        <w:right w:val="none" w:sz="0" w:space="0" w:color="auto"/>
      </w:divBdr>
    </w:div>
    <w:div w:id="1419248804">
      <w:bodyDiv w:val="1"/>
      <w:marLeft w:val="0"/>
      <w:marRight w:val="0"/>
      <w:marTop w:val="0"/>
      <w:marBottom w:val="0"/>
      <w:divBdr>
        <w:top w:val="none" w:sz="0" w:space="0" w:color="auto"/>
        <w:left w:val="none" w:sz="0" w:space="0" w:color="auto"/>
        <w:bottom w:val="none" w:sz="0" w:space="0" w:color="auto"/>
        <w:right w:val="none" w:sz="0" w:space="0" w:color="auto"/>
      </w:divBdr>
    </w:div>
    <w:div w:id="1433404210">
      <w:bodyDiv w:val="1"/>
      <w:marLeft w:val="0"/>
      <w:marRight w:val="0"/>
      <w:marTop w:val="0"/>
      <w:marBottom w:val="0"/>
      <w:divBdr>
        <w:top w:val="none" w:sz="0" w:space="0" w:color="auto"/>
        <w:left w:val="none" w:sz="0" w:space="0" w:color="auto"/>
        <w:bottom w:val="none" w:sz="0" w:space="0" w:color="auto"/>
        <w:right w:val="none" w:sz="0" w:space="0" w:color="auto"/>
      </w:divBdr>
    </w:div>
    <w:div w:id="1437824124">
      <w:bodyDiv w:val="1"/>
      <w:marLeft w:val="0"/>
      <w:marRight w:val="0"/>
      <w:marTop w:val="0"/>
      <w:marBottom w:val="0"/>
      <w:divBdr>
        <w:top w:val="none" w:sz="0" w:space="0" w:color="auto"/>
        <w:left w:val="none" w:sz="0" w:space="0" w:color="auto"/>
        <w:bottom w:val="none" w:sz="0" w:space="0" w:color="auto"/>
        <w:right w:val="none" w:sz="0" w:space="0" w:color="auto"/>
      </w:divBdr>
    </w:div>
    <w:div w:id="1446540870">
      <w:bodyDiv w:val="1"/>
      <w:marLeft w:val="0"/>
      <w:marRight w:val="0"/>
      <w:marTop w:val="0"/>
      <w:marBottom w:val="0"/>
      <w:divBdr>
        <w:top w:val="none" w:sz="0" w:space="0" w:color="auto"/>
        <w:left w:val="none" w:sz="0" w:space="0" w:color="auto"/>
        <w:bottom w:val="none" w:sz="0" w:space="0" w:color="auto"/>
        <w:right w:val="none" w:sz="0" w:space="0" w:color="auto"/>
      </w:divBdr>
    </w:div>
    <w:div w:id="1446851086">
      <w:bodyDiv w:val="1"/>
      <w:marLeft w:val="0"/>
      <w:marRight w:val="0"/>
      <w:marTop w:val="0"/>
      <w:marBottom w:val="0"/>
      <w:divBdr>
        <w:top w:val="none" w:sz="0" w:space="0" w:color="auto"/>
        <w:left w:val="none" w:sz="0" w:space="0" w:color="auto"/>
        <w:bottom w:val="none" w:sz="0" w:space="0" w:color="auto"/>
        <w:right w:val="none" w:sz="0" w:space="0" w:color="auto"/>
      </w:divBdr>
    </w:div>
    <w:div w:id="1448618803">
      <w:bodyDiv w:val="1"/>
      <w:marLeft w:val="0"/>
      <w:marRight w:val="0"/>
      <w:marTop w:val="0"/>
      <w:marBottom w:val="0"/>
      <w:divBdr>
        <w:top w:val="none" w:sz="0" w:space="0" w:color="auto"/>
        <w:left w:val="none" w:sz="0" w:space="0" w:color="auto"/>
        <w:bottom w:val="none" w:sz="0" w:space="0" w:color="auto"/>
        <w:right w:val="none" w:sz="0" w:space="0" w:color="auto"/>
      </w:divBdr>
    </w:div>
    <w:div w:id="1448816184">
      <w:bodyDiv w:val="1"/>
      <w:marLeft w:val="0"/>
      <w:marRight w:val="0"/>
      <w:marTop w:val="0"/>
      <w:marBottom w:val="0"/>
      <w:divBdr>
        <w:top w:val="none" w:sz="0" w:space="0" w:color="auto"/>
        <w:left w:val="none" w:sz="0" w:space="0" w:color="auto"/>
        <w:bottom w:val="none" w:sz="0" w:space="0" w:color="auto"/>
        <w:right w:val="none" w:sz="0" w:space="0" w:color="auto"/>
      </w:divBdr>
    </w:div>
    <w:div w:id="1450398484">
      <w:bodyDiv w:val="1"/>
      <w:marLeft w:val="0"/>
      <w:marRight w:val="0"/>
      <w:marTop w:val="0"/>
      <w:marBottom w:val="0"/>
      <w:divBdr>
        <w:top w:val="none" w:sz="0" w:space="0" w:color="auto"/>
        <w:left w:val="none" w:sz="0" w:space="0" w:color="auto"/>
        <w:bottom w:val="none" w:sz="0" w:space="0" w:color="auto"/>
        <w:right w:val="none" w:sz="0" w:space="0" w:color="auto"/>
      </w:divBdr>
    </w:div>
    <w:div w:id="1457990890">
      <w:bodyDiv w:val="1"/>
      <w:marLeft w:val="0"/>
      <w:marRight w:val="0"/>
      <w:marTop w:val="0"/>
      <w:marBottom w:val="0"/>
      <w:divBdr>
        <w:top w:val="none" w:sz="0" w:space="0" w:color="auto"/>
        <w:left w:val="none" w:sz="0" w:space="0" w:color="auto"/>
        <w:bottom w:val="none" w:sz="0" w:space="0" w:color="auto"/>
        <w:right w:val="none" w:sz="0" w:space="0" w:color="auto"/>
      </w:divBdr>
    </w:div>
    <w:div w:id="1459957959">
      <w:bodyDiv w:val="1"/>
      <w:marLeft w:val="0"/>
      <w:marRight w:val="0"/>
      <w:marTop w:val="0"/>
      <w:marBottom w:val="0"/>
      <w:divBdr>
        <w:top w:val="none" w:sz="0" w:space="0" w:color="auto"/>
        <w:left w:val="none" w:sz="0" w:space="0" w:color="auto"/>
        <w:bottom w:val="none" w:sz="0" w:space="0" w:color="auto"/>
        <w:right w:val="none" w:sz="0" w:space="0" w:color="auto"/>
      </w:divBdr>
    </w:div>
    <w:div w:id="1460803027">
      <w:bodyDiv w:val="1"/>
      <w:marLeft w:val="0"/>
      <w:marRight w:val="0"/>
      <w:marTop w:val="0"/>
      <w:marBottom w:val="0"/>
      <w:divBdr>
        <w:top w:val="none" w:sz="0" w:space="0" w:color="auto"/>
        <w:left w:val="none" w:sz="0" w:space="0" w:color="auto"/>
        <w:bottom w:val="none" w:sz="0" w:space="0" w:color="auto"/>
        <w:right w:val="none" w:sz="0" w:space="0" w:color="auto"/>
      </w:divBdr>
    </w:div>
    <w:div w:id="1469395956">
      <w:bodyDiv w:val="1"/>
      <w:marLeft w:val="0"/>
      <w:marRight w:val="0"/>
      <w:marTop w:val="0"/>
      <w:marBottom w:val="0"/>
      <w:divBdr>
        <w:top w:val="none" w:sz="0" w:space="0" w:color="auto"/>
        <w:left w:val="none" w:sz="0" w:space="0" w:color="auto"/>
        <w:bottom w:val="none" w:sz="0" w:space="0" w:color="auto"/>
        <w:right w:val="none" w:sz="0" w:space="0" w:color="auto"/>
      </w:divBdr>
    </w:div>
    <w:div w:id="1480031573">
      <w:bodyDiv w:val="1"/>
      <w:marLeft w:val="0"/>
      <w:marRight w:val="0"/>
      <w:marTop w:val="0"/>
      <w:marBottom w:val="0"/>
      <w:divBdr>
        <w:top w:val="none" w:sz="0" w:space="0" w:color="auto"/>
        <w:left w:val="none" w:sz="0" w:space="0" w:color="auto"/>
        <w:bottom w:val="none" w:sz="0" w:space="0" w:color="auto"/>
        <w:right w:val="none" w:sz="0" w:space="0" w:color="auto"/>
      </w:divBdr>
    </w:div>
    <w:div w:id="1481772980">
      <w:bodyDiv w:val="1"/>
      <w:marLeft w:val="0"/>
      <w:marRight w:val="0"/>
      <w:marTop w:val="0"/>
      <w:marBottom w:val="0"/>
      <w:divBdr>
        <w:top w:val="none" w:sz="0" w:space="0" w:color="auto"/>
        <w:left w:val="none" w:sz="0" w:space="0" w:color="auto"/>
        <w:bottom w:val="none" w:sz="0" w:space="0" w:color="auto"/>
        <w:right w:val="none" w:sz="0" w:space="0" w:color="auto"/>
      </w:divBdr>
    </w:div>
    <w:div w:id="1489437743">
      <w:bodyDiv w:val="1"/>
      <w:marLeft w:val="0"/>
      <w:marRight w:val="0"/>
      <w:marTop w:val="0"/>
      <w:marBottom w:val="0"/>
      <w:divBdr>
        <w:top w:val="none" w:sz="0" w:space="0" w:color="auto"/>
        <w:left w:val="none" w:sz="0" w:space="0" w:color="auto"/>
        <w:bottom w:val="none" w:sz="0" w:space="0" w:color="auto"/>
        <w:right w:val="none" w:sz="0" w:space="0" w:color="auto"/>
      </w:divBdr>
    </w:div>
    <w:div w:id="1491214087">
      <w:bodyDiv w:val="1"/>
      <w:marLeft w:val="0"/>
      <w:marRight w:val="0"/>
      <w:marTop w:val="0"/>
      <w:marBottom w:val="0"/>
      <w:divBdr>
        <w:top w:val="none" w:sz="0" w:space="0" w:color="auto"/>
        <w:left w:val="none" w:sz="0" w:space="0" w:color="auto"/>
        <w:bottom w:val="none" w:sz="0" w:space="0" w:color="auto"/>
        <w:right w:val="none" w:sz="0" w:space="0" w:color="auto"/>
      </w:divBdr>
    </w:div>
    <w:div w:id="1495491511">
      <w:bodyDiv w:val="1"/>
      <w:marLeft w:val="0"/>
      <w:marRight w:val="0"/>
      <w:marTop w:val="0"/>
      <w:marBottom w:val="0"/>
      <w:divBdr>
        <w:top w:val="none" w:sz="0" w:space="0" w:color="auto"/>
        <w:left w:val="none" w:sz="0" w:space="0" w:color="auto"/>
        <w:bottom w:val="none" w:sz="0" w:space="0" w:color="auto"/>
        <w:right w:val="none" w:sz="0" w:space="0" w:color="auto"/>
      </w:divBdr>
    </w:div>
    <w:div w:id="1499806968">
      <w:bodyDiv w:val="1"/>
      <w:marLeft w:val="0"/>
      <w:marRight w:val="0"/>
      <w:marTop w:val="0"/>
      <w:marBottom w:val="0"/>
      <w:divBdr>
        <w:top w:val="none" w:sz="0" w:space="0" w:color="auto"/>
        <w:left w:val="none" w:sz="0" w:space="0" w:color="auto"/>
        <w:bottom w:val="none" w:sz="0" w:space="0" w:color="auto"/>
        <w:right w:val="none" w:sz="0" w:space="0" w:color="auto"/>
      </w:divBdr>
    </w:div>
    <w:div w:id="1500581605">
      <w:bodyDiv w:val="1"/>
      <w:marLeft w:val="0"/>
      <w:marRight w:val="0"/>
      <w:marTop w:val="0"/>
      <w:marBottom w:val="0"/>
      <w:divBdr>
        <w:top w:val="none" w:sz="0" w:space="0" w:color="auto"/>
        <w:left w:val="none" w:sz="0" w:space="0" w:color="auto"/>
        <w:bottom w:val="none" w:sz="0" w:space="0" w:color="auto"/>
        <w:right w:val="none" w:sz="0" w:space="0" w:color="auto"/>
      </w:divBdr>
    </w:div>
    <w:div w:id="1506048018">
      <w:bodyDiv w:val="1"/>
      <w:marLeft w:val="0"/>
      <w:marRight w:val="0"/>
      <w:marTop w:val="0"/>
      <w:marBottom w:val="0"/>
      <w:divBdr>
        <w:top w:val="none" w:sz="0" w:space="0" w:color="auto"/>
        <w:left w:val="none" w:sz="0" w:space="0" w:color="auto"/>
        <w:bottom w:val="none" w:sz="0" w:space="0" w:color="auto"/>
        <w:right w:val="none" w:sz="0" w:space="0" w:color="auto"/>
      </w:divBdr>
    </w:div>
    <w:div w:id="1513179412">
      <w:bodyDiv w:val="1"/>
      <w:marLeft w:val="0"/>
      <w:marRight w:val="0"/>
      <w:marTop w:val="0"/>
      <w:marBottom w:val="0"/>
      <w:divBdr>
        <w:top w:val="none" w:sz="0" w:space="0" w:color="auto"/>
        <w:left w:val="none" w:sz="0" w:space="0" w:color="auto"/>
        <w:bottom w:val="none" w:sz="0" w:space="0" w:color="auto"/>
        <w:right w:val="none" w:sz="0" w:space="0" w:color="auto"/>
      </w:divBdr>
    </w:div>
    <w:div w:id="1513566637">
      <w:bodyDiv w:val="1"/>
      <w:marLeft w:val="0"/>
      <w:marRight w:val="0"/>
      <w:marTop w:val="0"/>
      <w:marBottom w:val="0"/>
      <w:divBdr>
        <w:top w:val="none" w:sz="0" w:space="0" w:color="auto"/>
        <w:left w:val="none" w:sz="0" w:space="0" w:color="auto"/>
        <w:bottom w:val="none" w:sz="0" w:space="0" w:color="auto"/>
        <w:right w:val="none" w:sz="0" w:space="0" w:color="auto"/>
      </w:divBdr>
    </w:div>
    <w:div w:id="1521044888">
      <w:bodyDiv w:val="1"/>
      <w:marLeft w:val="0"/>
      <w:marRight w:val="0"/>
      <w:marTop w:val="0"/>
      <w:marBottom w:val="0"/>
      <w:divBdr>
        <w:top w:val="none" w:sz="0" w:space="0" w:color="auto"/>
        <w:left w:val="none" w:sz="0" w:space="0" w:color="auto"/>
        <w:bottom w:val="none" w:sz="0" w:space="0" w:color="auto"/>
        <w:right w:val="none" w:sz="0" w:space="0" w:color="auto"/>
      </w:divBdr>
    </w:div>
    <w:div w:id="1522746930">
      <w:bodyDiv w:val="1"/>
      <w:marLeft w:val="0"/>
      <w:marRight w:val="0"/>
      <w:marTop w:val="0"/>
      <w:marBottom w:val="0"/>
      <w:divBdr>
        <w:top w:val="none" w:sz="0" w:space="0" w:color="auto"/>
        <w:left w:val="none" w:sz="0" w:space="0" w:color="auto"/>
        <w:bottom w:val="none" w:sz="0" w:space="0" w:color="auto"/>
        <w:right w:val="none" w:sz="0" w:space="0" w:color="auto"/>
      </w:divBdr>
    </w:div>
    <w:div w:id="1524828435">
      <w:bodyDiv w:val="1"/>
      <w:marLeft w:val="0"/>
      <w:marRight w:val="0"/>
      <w:marTop w:val="0"/>
      <w:marBottom w:val="0"/>
      <w:divBdr>
        <w:top w:val="none" w:sz="0" w:space="0" w:color="auto"/>
        <w:left w:val="none" w:sz="0" w:space="0" w:color="auto"/>
        <w:bottom w:val="none" w:sz="0" w:space="0" w:color="auto"/>
        <w:right w:val="none" w:sz="0" w:space="0" w:color="auto"/>
      </w:divBdr>
    </w:div>
    <w:div w:id="1524902372">
      <w:bodyDiv w:val="1"/>
      <w:marLeft w:val="0"/>
      <w:marRight w:val="0"/>
      <w:marTop w:val="0"/>
      <w:marBottom w:val="0"/>
      <w:divBdr>
        <w:top w:val="none" w:sz="0" w:space="0" w:color="auto"/>
        <w:left w:val="none" w:sz="0" w:space="0" w:color="auto"/>
        <w:bottom w:val="none" w:sz="0" w:space="0" w:color="auto"/>
        <w:right w:val="none" w:sz="0" w:space="0" w:color="auto"/>
      </w:divBdr>
    </w:div>
    <w:div w:id="1525899859">
      <w:bodyDiv w:val="1"/>
      <w:marLeft w:val="0"/>
      <w:marRight w:val="0"/>
      <w:marTop w:val="0"/>
      <w:marBottom w:val="0"/>
      <w:divBdr>
        <w:top w:val="none" w:sz="0" w:space="0" w:color="auto"/>
        <w:left w:val="none" w:sz="0" w:space="0" w:color="auto"/>
        <w:bottom w:val="none" w:sz="0" w:space="0" w:color="auto"/>
        <w:right w:val="none" w:sz="0" w:space="0" w:color="auto"/>
      </w:divBdr>
    </w:div>
    <w:div w:id="1539050167">
      <w:bodyDiv w:val="1"/>
      <w:marLeft w:val="0"/>
      <w:marRight w:val="0"/>
      <w:marTop w:val="0"/>
      <w:marBottom w:val="0"/>
      <w:divBdr>
        <w:top w:val="none" w:sz="0" w:space="0" w:color="auto"/>
        <w:left w:val="none" w:sz="0" w:space="0" w:color="auto"/>
        <w:bottom w:val="none" w:sz="0" w:space="0" w:color="auto"/>
        <w:right w:val="none" w:sz="0" w:space="0" w:color="auto"/>
      </w:divBdr>
    </w:div>
    <w:div w:id="1542203712">
      <w:bodyDiv w:val="1"/>
      <w:marLeft w:val="0"/>
      <w:marRight w:val="0"/>
      <w:marTop w:val="0"/>
      <w:marBottom w:val="0"/>
      <w:divBdr>
        <w:top w:val="none" w:sz="0" w:space="0" w:color="auto"/>
        <w:left w:val="none" w:sz="0" w:space="0" w:color="auto"/>
        <w:bottom w:val="none" w:sz="0" w:space="0" w:color="auto"/>
        <w:right w:val="none" w:sz="0" w:space="0" w:color="auto"/>
      </w:divBdr>
    </w:div>
    <w:div w:id="1542287234">
      <w:bodyDiv w:val="1"/>
      <w:marLeft w:val="0"/>
      <w:marRight w:val="0"/>
      <w:marTop w:val="0"/>
      <w:marBottom w:val="0"/>
      <w:divBdr>
        <w:top w:val="none" w:sz="0" w:space="0" w:color="auto"/>
        <w:left w:val="none" w:sz="0" w:space="0" w:color="auto"/>
        <w:bottom w:val="none" w:sz="0" w:space="0" w:color="auto"/>
        <w:right w:val="none" w:sz="0" w:space="0" w:color="auto"/>
      </w:divBdr>
    </w:div>
    <w:div w:id="1549729965">
      <w:bodyDiv w:val="1"/>
      <w:marLeft w:val="0"/>
      <w:marRight w:val="0"/>
      <w:marTop w:val="0"/>
      <w:marBottom w:val="0"/>
      <w:divBdr>
        <w:top w:val="none" w:sz="0" w:space="0" w:color="auto"/>
        <w:left w:val="none" w:sz="0" w:space="0" w:color="auto"/>
        <w:bottom w:val="none" w:sz="0" w:space="0" w:color="auto"/>
        <w:right w:val="none" w:sz="0" w:space="0" w:color="auto"/>
      </w:divBdr>
    </w:div>
    <w:div w:id="1550725592">
      <w:bodyDiv w:val="1"/>
      <w:marLeft w:val="0"/>
      <w:marRight w:val="0"/>
      <w:marTop w:val="0"/>
      <w:marBottom w:val="0"/>
      <w:divBdr>
        <w:top w:val="none" w:sz="0" w:space="0" w:color="auto"/>
        <w:left w:val="none" w:sz="0" w:space="0" w:color="auto"/>
        <w:bottom w:val="none" w:sz="0" w:space="0" w:color="auto"/>
        <w:right w:val="none" w:sz="0" w:space="0" w:color="auto"/>
      </w:divBdr>
    </w:div>
    <w:div w:id="1557356969">
      <w:bodyDiv w:val="1"/>
      <w:marLeft w:val="0"/>
      <w:marRight w:val="0"/>
      <w:marTop w:val="0"/>
      <w:marBottom w:val="0"/>
      <w:divBdr>
        <w:top w:val="none" w:sz="0" w:space="0" w:color="auto"/>
        <w:left w:val="none" w:sz="0" w:space="0" w:color="auto"/>
        <w:bottom w:val="none" w:sz="0" w:space="0" w:color="auto"/>
        <w:right w:val="none" w:sz="0" w:space="0" w:color="auto"/>
      </w:divBdr>
    </w:div>
    <w:div w:id="1558200559">
      <w:bodyDiv w:val="1"/>
      <w:marLeft w:val="0"/>
      <w:marRight w:val="0"/>
      <w:marTop w:val="0"/>
      <w:marBottom w:val="0"/>
      <w:divBdr>
        <w:top w:val="none" w:sz="0" w:space="0" w:color="auto"/>
        <w:left w:val="none" w:sz="0" w:space="0" w:color="auto"/>
        <w:bottom w:val="none" w:sz="0" w:space="0" w:color="auto"/>
        <w:right w:val="none" w:sz="0" w:space="0" w:color="auto"/>
      </w:divBdr>
    </w:div>
    <w:div w:id="1566258843">
      <w:bodyDiv w:val="1"/>
      <w:marLeft w:val="0"/>
      <w:marRight w:val="0"/>
      <w:marTop w:val="0"/>
      <w:marBottom w:val="0"/>
      <w:divBdr>
        <w:top w:val="none" w:sz="0" w:space="0" w:color="auto"/>
        <w:left w:val="none" w:sz="0" w:space="0" w:color="auto"/>
        <w:bottom w:val="none" w:sz="0" w:space="0" w:color="auto"/>
        <w:right w:val="none" w:sz="0" w:space="0" w:color="auto"/>
      </w:divBdr>
    </w:div>
    <w:div w:id="1568373554">
      <w:bodyDiv w:val="1"/>
      <w:marLeft w:val="0"/>
      <w:marRight w:val="0"/>
      <w:marTop w:val="0"/>
      <w:marBottom w:val="0"/>
      <w:divBdr>
        <w:top w:val="none" w:sz="0" w:space="0" w:color="auto"/>
        <w:left w:val="none" w:sz="0" w:space="0" w:color="auto"/>
        <w:bottom w:val="none" w:sz="0" w:space="0" w:color="auto"/>
        <w:right w:val="none" w:sz="0" w:space="0" w:color="auto"/>
      </w:divBdr>
    </w:div>
    <w:div w:id="1568611860">
      <w:bodyDiv w:val="1"/>
      <w:marLeft w:val="0"/>
      <w:marRight w:val="0"/>
      <w:marTop w:val="0"/>
      <w:marBottom w:val="0"/>
      <w:divBdr>
        <w:top w:val="none" w:sz="0" w:space="0" w:color="auto"/>
        <w:left w:val="none" w:sz="0" w:space="0" w:color="auto"/>
        <w:bottom w:val="none" w:sz="0" w:space="0" w:color="auto"/>
        <w:right w:val="none" w:sz="0" w:space="0" w:color="auto"/>
      </w:divBdr>
    </w:div>
    <w:div w:id="1569000980">
      <w:bodyDiv w:val="1"/>
      <w:marLeft w:val="0"/>
      <w:marRight w:val="0"/>
      <w:marTop w:val="0"/>
      <w:marBottom w:val="0"/>
      <w:divBdr>
        <w:top w:val="none" w:sz="0" w:space="0" w:color="auto"/>
        <w:left w:val="none" w:sz="0" w:space="0" w:color="auto"/>
        <w:bottom w:val="none" w:sz="0" w:space="0" w:color="auto"/>
        <w:right w:val="none" w:sz="0" w:space="0" w:color="auto"/>
      </w:divBdr>
    </w:div>
    <w:div w:id="1571497219">
      <w:bodyDiv w:val="1"/>
      <w:marLeft w:val="0"/>
      <w:marRight w:val="0"/>
      <w:marTop w:val="0"/>
      <w:marBottom w:val="0"/>
      <w:divBdr>
        <w:top w:val="none" w:sz="0" w:space="0" w:color="auto"/>
        <w:left w:val="none" w:sz="0" w:space="0" w:color="auto"/>
        <w:bottom w:val="none" w:sz="0" w:space="0" w:color="auto"/>
        <w:right w:val="none" w:sz="0" w:space="0" w:color="auto"/>
      </w:divBdr>
    </w:div>
    <w:div w:id="1571574656">
      <w:bodyDiv w:val="1"/>
      <w:marLeft w:val="0"/>
      <w:marRight w:val="0"/>
      <w:marTop w:val="0"/>
      <w:marBottom w:val="0"/>
      <w:divBdr>
        <w:top w:val="none" w:sz="0" w:space="0" w:color="auto"/>
        <w:left w:val="none" w:sz="0" w:space="0" w:color="auto"/>
        <w:bottom w:val="none" w:sz="0" w:space="0" w:color="auto"/>
        <w:right w:val="none" w:sz="0" w:space="0" w:color="auto"/>
      </w:divBdr>
    </w:div>
    <w:div w:id="1580822848">
      <w:bodyDiv w:val="1"/>
      <w:marLeft w:val="0"/>
      <w:marRight w:val="0"/>
      <w:marTop w:val="0"/>
      <w:marBottom w:val="0"/>
      <w:divBdr>
        <w:top w:val="none" w:sz="0" w:space="0" w:color="auto"/>
        <w:left w:val="none" w:sz="0" w:space="0" w:color="auto"/>
        <w:bottom w:val="none" w:sz="0" w:space="0" w:color="auto"/>
        <w:right w:val="none" w:sz="0" w:space="0" w:color="auto"/>
      </w:divBdr>
    </w:div>
    <w:div w:id="1587181264">
      <w:bodyDiv w:val="1"/>
      <w:marLeft w:val="0"/>
      <w:marRight w:val="0"/>
      <w:marTop w:val="0"/>
      <w:marBottom w:val="0"/>
      <w:divBdr>
        <w:top w:val="none" w:sz="0" w:space="0" w:color="auto"/>
        <w:left w:val="none" w:sz="0" w:space="0" w:color="auto"/>
        <w:bottom w:val="none" w:sz="0" w:space="0" w:color="auto"/>
        <w:right w:val="none" w:sz="0" w:space="0" w:color="auto"/>
      </w:divBdr>
    </w:div>
    <w:div w:id="1590310594">
      <w:bodyDiv w:val="1"/>
      <w:marLeft w:val="0"/>
      <w:marRight w:val="0"/>
      <w:marTop w:val="0"/>
      <w:marBottom w:val="0"/>
      <w:divBdr>
        <w:top w:val="none" w:sz="0" w:space="0" w:color="auto"/>
        <w:left w:val="none" w:sz="0" w:space="0" w:color="auto"/>
        <w:bottom w:val="none" w:sz="0" w:space="0" w:color="auto"/>
        <w:right w:val="none" w:sz="0" w:space="0" w:color="auto"/>
      </w:divBdr>
    </w:div>
    <w:div w:id="1603535894">
      <w:bodyDiv w:val="1"/>
      <w:marLeft w:val="0"/>
      <w:marRight w:val="0"/>
      <w:marTop w:val="0"/>
      <w:marBottom w:val="0"/>
      <w:divBdr>
        <w:top w:val="none" w:sz="0" w:space="0" w:color="auto"/>
        <w:left w:val="none" w:sz="0" w:space="0" w:color="auto"/>
        <w:bottom w:val="none" w:sz="0" w:space="0" w:color="auto"/>
        <w:right w:val="none" w:sz="0" w:space="0" w:color="auto"/>
      </w:divBdr>
    </w:div>
    <w:div w:id="1604218938">
      <w:bodyDiv w:val="1"/>
      <w:marLeft w:val="0"/>
      <w:marRight w:val="0"/>
      <w:marTop w:val="0"/>
      <w:marBottom w:val="0"/>
      <w:divBdr>
        <w:top w:val="none" w:sz="0" w:space="0" w:color="auto"/>
        <w:left w:val="none" w:sz="0" w:space="0" w:color="auto"/>
        <w:bottom w:val="none" w:sz="0" w:space="0" w:color="auto"/>
        <w:right w:val="none" w:sz="0" w:space="0" w:color="auto"/>
      </w:divBdr>
    </w:div>
    <w:div w:id="1607614885">
      <w:bodyDiv w:val="1"/>
      <w:marLeft w:val="0"/>
      <w:marRight w:val="0"/>
      <w:marTop w:val="0"/>
      <w:marBottom w:val="0"/>
      <w:divBdr>
        <w:top w:val="none" w:sz="0" w:space="0" w:color="auto"/>
        <w:left w:val="none" w:sz="0" w:space="0" w:color="auto"/>
        <w:bottom w:val="none" w:sz="0" w:space="0" w:color="auto"/>
        <w:right w:val="none" w:sz="0" w:space="0" w:color="auto"/>
      </w:divBdr>
    </w:div>
    <w:div w:id="1608076896">
      <w:bodyDiv w:val="1"/>
      <w:marLeft w:val="0"/>
      <w:marRight w:val="0"/>
      <w:marTop w:val="0"/>
      <w:marBottom w:val="0"/>
      <w:divBdr>
        <w:top w:val="none" w:sz="0" w:space="0" w:color="auto"/>
        <w:left w:val="none" w:sz="0" w:space="0" w:color="auto"/>
        <w:bottom w:val="none" w:sz="0" w:space="0" w:color="auto"/>
        <w:right w:val="none" w:sz="0" w:space="0" w:color="auto"/>
      </w:divBdr>
    </w:div>
    <w:div w:id="1619146668">
      <w:bodyDiv w:val="1"/>
      <w:marLeft w:val="0"/>
      <w:marRight w:val="0"/>
      <w:marTop w:val="0"/>
      <w:marBottom w:val="0"/>
      <w:divBdr>
        <w:top w:val="none" w:sz="0" w:space="0" w:color="auto"/>
        <w:left w:val="none" w:sz="0" w:space="0" w:color="auto"/>
        <w:bottom w:val="none" w:sz="0" w:space="0" w:color="auto"/>
        <w:right w:val="none" w:sz="0" w:space="0" w:color="auto"/>
      </w:divBdr>
    </w:div>
    <w:div w:id="1622420920">
      <w:bodyDiv w:val="1"/>
      <w:marLeft w:val="0"/>
      <w:marRight w:val="0"/>
      <w:marTop w:val="0"/>
      <w:marBottom w:val="0"/>
      <w:divBdr>
        <w:top w:val="none" w:sz="0" w:space="0" w:color="auto"/>
        <w:left w:val="none" w:sz="0" w:space="0" w:color="auto"/>
        <w:bottom w:val="none" w:sz="0" w:space="0" w:color="auto"/>
        <w:right w:val="none" w:sz="0" w:space="0" w:color="auto"/>
      </w:divBdr>
    </w:div>
    <w:div w:id="1622764401">
      <w:bodyDiv w:val="1"/>
      <w:marLeft w:val="0"/>
      <w:marRight w:val="0"/>
      <w:marTop w:val="0"/>
      <w:marBottom w:val="0"/>
      <w:divBdr>
        <w:top w:val="none" w:sz="0" w:space="0" w:color="auto"/>
        <w:left w:val="none" w:sz="0" w:space="0" w:color="auto"/>
        <w:bottom w:val="none" w:sz="0" w:space="0" w:color="auto"/>
        <w:right w:val="none" w:sz="0" w:space="0" w:color="auto"/>
      </w:divBdr>
    </w:div>
    <w:div w:id="1625498574">
      <w:bodyDiv w:val="1"/>
      <w:marLeft w:val="0"/>
      <w:marRight w:val="0"/>
      <w:marTop w:val="0"/>
      <w:marBottom w:val="0"/>
      <w:divBdr>
        <w:top w:val="none" w:sz="0" w:space="0" w:color="auto"/>
        <w:left w:val="none" w:sz="0" w:space="0" w:color="auto"/>
        <w:bottom w:val="none" w:sz="0" w:space="0" w:color="auto"/>
        <w:right w:val="none" w:sz="0" w:space="0" w:color="auto"/>
      </w:divBdr>
    </w:div>
    <w:div w:id="1625848106">
      <w:bodyDiv w:val="1"/>
      <w:marLeft w:val="0"/>
      <w:marRight w:val="0"/>
      <w:marTop w:val="0"/>
      <w:marBottom w:val="0"/>
      <w:divBdr>
        <w:top w:val="none" w:sz="0" w:space="0" w:color="auto"/>
        <w:left w:val="none" w:sz="0" w:space="0" w:color="auto"/>
        <w:bottom w:val="none" w:sz="0" w:space="0" w:color="auto"/>
        <w:right w:val="none" w:sz="0" w:space="0" w:color="auto"/>
      </w:divBdr>
    </w:div>
    <w:div w:id="1635019190">
      <w:bodyDiv w:val="1"/>
      <w:marLeft w:val="0"/>
      <w:marRight w:val="0"/>
      <w:marTop w:val="0"/>
      <w:marBottom w:val="0"/>
      <w:divBdr>
        <w:top w:val="none" w:sz="0" w:space="0" w:color="auto"/>
        <w:left w:val="none" w:sz="0" w:space="0" w:color="auto"/>
        <w:bottom w:val="none" w:sz="0" w:space="0" w:color="auto"/>
        <w:right w:val="none" w:sz="0" w:space="0" w:color="auto"/>
      </w:divBdr>
    </w:div>
    <w:div w:id="1635912442">
      <w:bodyDiv w:val="1"/>
      <w:marLeft w:val="0"/>
      <w:marRight w:val="0"/>
      <w:marTop w:val="0"/>
      <w:marBottom w:val="0"/>
      <w:divBdr>
        <w:top w:val="none" w:sz="0" w:space="0" w:color="auto"/>
        <w:left w:val="none" w:sz="0" w:space="0" w:color="auto"/>
        <w:bottom w:val="none" w:sz="0" w:space="0" w:color="auto"/>
        <w:right w:val="none" w:sz="0" w:space="0" w:color="auto"/>
      </w:divBdr>
    </w:div>
    <w:div w:id="1638292698">
      <w:bodyDiv w:val="1"/>
      <w:marLeft w:val="0"/>
      <w:marRight w:val="0"/>
      <w:marTop w:val="0"/>
      <w:marBottom w:val="0"/>
      <w:divBdr>
        <w:top w:val="none" w:sz="0" w:space="0" w:color="auto"/>
        <w:left w:val="none" w:sz="0" w:space="0" w:color="auto"/>
        <w:bottom w:val="none" w:sz="0" w:space="0" w:color="auto"/>
        <w:right w:val="none" w:sz="0" w:space="0" w:color="auto"/>
      </w:divBdr>
    </w:div>
    <w:div w:id="1641687436">
      <w:bodyDiv w:val="1"/>
      <w:marLeft w:val="0"/>
      <w:marRight w:val="0"/>
      <w:marTop w:val="0"/>
      <w:marBottom w:val="0"/>
      <w:divBdr>
        <w:top w:val="none" w:sz="0" w:space="0" w:color="auto"/>
        <w:left w:val="none" w:sz="0" w:space="0" w:color="auto"/>
        <w:bottom w:val="none" w:sz="0" w:space="0" w:color="auto"/>
        <w:right w:val="none" w:sz="0" w:space="0" w:color="auto"/>
      </w:divBdr>
    </w:div>
    <w:div w:id="1653486222">
      <w:bodyDiv w:val="1"/>
      <w:marLeft w:val="0"/>
      <w:marRight w:val="0"/>
      <w:marTop w:val="0"/>
      <w:marBottom w:val="0"/>
      <w:divBdr>
        <w:top w:val="none" w:sz="0" w:space="0" w:color="auto"/>
        <w:left w:val="none" w:sz="0" w:space="0" w:color="auto"/>
        <w:bottom w:val="none" w:sz="0" w:space="0" w:color="auto"/>
        <w:right w:val="none" w:sz="0" w:space="0" w:color="auto"/>
      </w:divBdr>
    </w:div>
    <w:div w:id="1661350539">
      <w:bodyDiv w:val="1"/>
      <w:marLeft w:val="0"/>
      <w:marRight w:val="0"/>
      <w:marTop w:val="0"/>
      <w:marBottom w:val="0"/>
      <w:divBdr>
        <w:top w:val="none" w:sz="0" w:space="0" w:color="auto"/>
        <w:left w:val="none" w:sz="0" w:space="0" w:color="auto"/>
        <w:bottom w:val="none" w:sz="0" w:space="0" w:color="auto"/>
        <w:right w:val="none" w:sz="0" w:space="0" w:color="auto"/>
      </w:divBdr>
    </w:div>
    <w:div w:id="1663393760">
      <w:bodyDiv w:val="1"/>
      <w:marLeft w:val="0"/>
      <w:marRight w:val="0"/>
      <w:marTop w:val="0"/>
      <w:marBottom w:val="0"/>
      <w:divBdr>
        <w:top w:val="none" w:sz="0" w:space="0" w:color="auto"/>
        <w:left w:val="none" w:sz="0" w:space="0" w:color="auto"/>
        <w:bottom w:val="none" w:sz="0" w:space="0" w:color="auto"/>
        <w:right w:val="none" w:sz="0" w:space="0" w:color="auto"/>
      </w:divBdr>
    </w:div>
    <w:div w:id="1664819911">
      <w:bodyDiv w:val="1"/>
      <w:marLeft w:val="0"/>
      <w:marRight w:val="0"/>
      <w:marTop w:val="0"/>
      <w:marBottom w:val="0"/>
      <w:divBdr>
        <w:top w:val="none" w:sz="0" w:space="0" w:color="auto"/>
        <w:left w:val="none" w:sz="0" w:space="0" w:color="auto"/>
        <w:bottom w:val="none" w:sz="0" w:space="0" w:color="auto"/>
        <w:right w:val="none" w:sz="0" w:space="0" w:color="auto"/>
      </w:divBdr>
    </w:div>
    <w:div w:id="1667977939">
      <w:bodyDiv w:val="1"/>
      <w:marLeft w:val="0"/>
      <w:marRight w:val="0"/>
      <w:marTop w:val="0"/>
      <w:marBottom w:val="0"/>
      <w:divBdr>
        <w:top w:val="none" w:sz="0" w:space="0" w:color="auto"/>
        <w:left w:val="none" w:sz="0" w:space="0" w:color="auto"/>
        <w:bottom w:val="none" w:sz="0" w:space="0" w:color="auto"/>
        <w:right w:val="none" w:sz="0" w:space="0" w:color="auto"/>
      </w:divBdr>
    </w:div>
    <w:div w:id="1668365573">
      <w:bodyDiv w:val="1"/>
      <w:marLeft w:val="0"/>
      <w:marRight w:val="0"/>
      <w:marTop w:val="0"/>
      <w:marBottom w:val="0"/>
      <w:divBdr>
        <w:top w:val="none" w:sz="0" w:space="0" w:color="auto"/>
        <w:left w:val="none" w:sz="0" w:space="0" w:color="auto"/>
        <w:bottom w:val="none" w:sz="0" w:space="0" w:color="auto"/>
        <w:right w:val="none" w:sz="0" w:space="0" w:color="auto"/>
      </w:divBdr>
    </w:div>
    <w:div w:id="1673527577">
      <w:bodyDiv w:val="1"/>
      <w:marLeft w:val="0"/>
      <w:marRight w:val="0"/>
      <w:marTop w:val="0"/>
      <w:marBottom w:val="0"/>
      <w:divBdr>
        <w:top w:val="none" w:sz="0" w:space="0" w:color="auto"/>
        <w:left w:val="none" w:sz="0" w:space="0" w:color="auto"/>
        <w:bottom w:val="none" w:sz="0" w:space="0" w:color="auto"/>
        <w:right w:val="none" w:sz="0" w:space="0" w:color="auto"/>
      </w:divBdr>
    </w:div>
    <w:div w:id="1680812019">
      <w:bodyDiv w:val="1"/>
      <w:marLeft w:val="0"/>
      <w:marRight w:val="0"/>
      <w:marTop w:val="0"/>
      <w:marBottom w:val="0"/>
      <w:divBdr>
        <w:top w:val="none" w:sz="0" w:space="0" w:color="auto"/>
        <w:left w:val="none" w:sz="0" w:space="0" w:color="auto"/>
        <w:bottom w:val="none" w:sz="0" w:space="0" w:color="auto"/>
        <w:right w:val="none" w:sz="0" w:space="0" w:color="auto"/>
      </w:divBdr>
    </w:div>
    <w:div w:id="1681157757">
      <w:bodyDiv w:val="1"/>
      <w:marLeft w:val="0"/>
      <w:marRight w:val="0"/>
      <w:marTop w:val="0"/>
      <w:marBottom w:val="0"/>
      <w:divBdr>
        <w:top w:val="none" w:sz="0" w:space="0" w:color="auto"/>
        <w:left w:val="none" w:sz="0" w:space="0" w:color="auto"/>
        <w:bottom w:val="none" w:sz="0" w:space="0" w:color="auto"/>
        <w:right w:val="none" w:sz="0" w:space="0" w:color="auto"/>
      </w:divBdr>
    </w:div>
    <w:div w:id="1688099923">
      <w:bodyDiv w:val="1"/>
      <w:marLeft w:val="0"/>
      <w:marRight w:val="0"/>
      <w:marTop w:val="0"/>
      <w:marBottom w:val="0"/>
      <w:divBdr>
        <w:top w:val="none" w:sz="0" w:space="0" w:color="auto"/>
        <w:left w:val="none" w:sz="0" w:space="0" w:color="auto"/>
        <w:bottom w:val="none" w:sz="0" w:space="0" w:color="auto"/>
        <w:right w:val="none" w:sz="0" w:space="0" w:color="auto"/>
      </w:divBdr>
    </w:div>
    <w:div w:id="1693145611">
      <w:bodyDiv w:val="1"/>
      <w:marLeft w:val="0"/>
      <w:marRight w:val="0"/>
      <w:marTop w:val="0"/>
      <w:marBottom w:val="0"/>
      <w:divBdr>
        <w:top w:val="none" w:sz="0" w:space="0" w:color="auto"/>
        <w:left w:val="none" w:sz="0" w:space="0" w:color="auto"/>
        <w:bottom w:val="none" w:sz="0" w:space="0" w:color="auto"/>
        <w:right w:val="none" w:sz="0" w:space="0" w:color="auto"/>
      </w:divBdr>
    </w:div>
    <w:div w:id="1693457250">
      <w:bodyDiv w:val="1"/>
      <w:marLeft w:val="0"/>
      <w:marRight w:val="0"/>
      <w:marTop w:val="0"/>
      <w:marBottom w:val="0"/>
      <w:divBdr>
        <w:top w:val="none" w:sz="0" w:space="0" w:color="auto"/>
        <w:left w:val="none" w:sz="0" w:space="0" w:color="auto"/>
        <w:bottom w:val="none" w:sz="0" w:space="0" w:color="auto"/>
        <w:right w:val="none" w:sz="0" w:space="0" w:color="auto"/>
      </w:divBdr>
    </w:div>
    <w:div w:id="1706446078">
      <w:bodyDiv w:val="1"/>
      <w:marLeft w:val="0"/>
      <w:marRight w:val="0"/>
      <w:marTop w:val="0"/>
      <w:marBottom w:val="0"/>
      <w:divBdr>
        <w:top w:val="none" w:sz="0" w:space="0" w:color="auto"/>
        <w:left w:val="none" w:sz="0" w:space="0" w:color="auto"/>
        <w:bottom w:val="none" w:sz="0" w:space="0" w:color="auto"/>
        <w:right w:val="none" w:sz="0" w:space="0" w:color="auto"/>
      </w:divBdr>
    </w:div>
    <w:div w:id="1708750285">
      <w:bodyDiv w:val="1"/>
      <w:marLeft w:val="0"/>
      <w:marRight w:val="0"/>
      <w:marTop w:val="0"/>
      <w:marBottom w:val="0"/>
      <w:divBdr>
        <w:top w:val="none" w:sz="0" w:space="0" w:color="auto"/>
        <w:left w:val="none" w:sz="0" w:space="0" w:color="auto"/>
        <w:bottom w:val="none" w:sz="0" w:space="0" w:color="auto"/>
        <w:right w:val="none" w:sz="0" w:space="0" w:color="auto"/>
      </w:divBdr>
    </w:div>
    <w:div w:id="1709259729">
      <w:bodyDiv w:val="1"/>
      <w:marLeft w:val="0"/>
      <w:marRight w:val="0"/>
      <w:marTop w:val="0"/>
      <w:marBottom w:val="0"/>
      <w:divBdr>
        <w:top w:val="none" w:sz="0" w:space="0" w:color="auto"/>
        <w:left w:val="none" w:sz="0" w:space="0" w:color="auto"/>
        <w:bottom w:val="none" w:sz="0" w:space="0" w:color="auto"/>
        <w:right w:val="none" w:sz="0" w:space="0" w:color="auto"/>
      </w:divBdr>
    </w:div>
    <w:div w:id="1714427449">
      <w:bodyDiv w:val="1"/>
      <w:marLeft w:val="0"/>
      <w:marRight w:val="0"/>
      <w:marTop w:val="0"/>
      <w:marBottom w:val="0"/>
      <w:divBdr>
        <w:top w:val="none" w:sz="0" w:space="0" w:color="auto"/>
        <w:left w:val="none" w:sz="0" w:space="0" w:color="auto"/>
        <w:bottom w:val="none" w:sz="0" w:space="0" w:color="auto"/>
        <w:right w:val="none" w:sz="0" w:space="0" w:color="auto"/>
      </w:divBdr>
    </w:div>
    <w:div w:id="1729838867">
      <w:bodyDiv w:val="1"/>
      <w:marLeft w:val="0"/>
      <w:marRight w:val="0"/>
      <w:marTop w:val="0"/>
      <w:marBottom w:val="0"/>
      <w:divBdr>
        <w:top w:val="none" w:sz="0" w:space="0" w:color="auto"/>
        <w:left w:val="none" w:sz="0" w:space="0" w:color="auto"/>
        <w:bottom w:val="none" w:sz="0" w:space="0" w:color="auto"/>
        <w:right w:val="none" w:sz="0" w:space="0" w:color="auto"/>
      </w:divBdr>
    </w:div>
    <w:div w:id="1734817349">
      <w:bodyDiv w:val="1"/>
      <w:marLeft w:val="0"/>
      <w:marRight w:val="0"/>
      <w:marTop w:val="0"/>
      <w:marBottom w:val="0"/>
      <w:divBdr>
        <w:top w:val="none" w:sz="0" w:space="0" w:color="auto"/>
        <w:left w:val="none" w:sz="0" w:space="0" w:color="auto"/>
        <w:bottom w:val="none" w:sz="0" w:space="0" w:color="auto"/>
        <w:right w:val="none" w:sz="0" w:space="0" w:color="auto"/>
      </w:divBdr>
    </w:div>
    <w:div w:id="1744713748">
      <w:bodyDiv w:val="1"/>
      <w:marLeft w:val="0"/>
      <w:marRight w:val="0"/>
      <w:marTop w:val="0"/>
      <w:marBottom w:val="0"/>
      <w:divBdr>
        <w:top w:val="none" w:sz="0" w:space="0" w:color="auto"/>
        <w:left w:val="none" w:sz="0" w:space="0" w:color="auto"/>
        <w:bottom w:val="none" w:sz="0" w:space="0" w:color="auto"/>
        <w:right w:val="none" w:sz="0" w:space="0" w:color="auto"/>
      </w:divBdr>
    </w:div>
    <w:div w:id="1745957675">
      <w:bodyDiv w:val="1"/>
      <w:marLeft w:val="0"/>
      <w:marRight w:val="0"/>
      <w:marTop w:val="0"/>
      <w:marBottom w:val="0"/>
      <w:divBdr>
        <w:top w:val="none" w:sz="0" w:space="0" w:color="auto"/>
        <w:left w:val="none" w:sz="0" w:space="0" w:color="auto"/>
        <w:bottom w:val="none" w:sz="0" w:space="0" w:color="auto"/>
        <w:right w:val="none" w:sz="0" w:space="0" w:color="auto"/>
      </w:divBdr>
    </w:div>
    <w:div w:id="1746878003">
      <w:bodyDiv w:val="1"/>
      <w:marLeft w:val="0"/>
      <w:marRight w:val="0"/>
      <w:marTop w:val="0"/>
      <w:marBottom w:val="0"/>
      <w:divBdr>
        <w:top w:val="none" w:sz="0" w:space="0" w:color="auto"/>
        <w:left w:val="none" w:sz="0" w:space="0" w:color="auto"/>
        <w:bottom w:val="none" w:sz="0" w:space="0" w:color="auto"/>
        <w:right w:val="none" w:sz="0" w:space="0" w:color="auto"/>
      </w:divBdr>
    </w:div>
    <w:div w:id="1750999726">
      <w:bodyDiv w:val="1"/>
      <w:marLeft w:val="0"/>
      <w:marRight w:val="0"/>
      <w:marTop w:val="0"/>
      <w:marBottom w:val="0"/>
      <w:divBdr>
        <w:top w:val="none" w:sz="0" w:space="0" w:color="auto"/>
        <w:left w:val="none" w:sz="0" w:space="0" w:color="auto"/>
        <w:bottom w:val="none" w:sz="0" w:space="0" w:color="auto"/>
        <w:right w:val="none" w:sz="0" w:space="0" w:color="auto"/>
      </w:divBdr>
    </w:div>
    <w:div w:id="1753315850">
      <w:bodyDiv w:val="1"/>
      <w:marLeft w:val="0"/>
      <w:marRight w:val="0"/>
      <w:marTop w:val="0"/>
      <w:marBottom w:val="0"/>
      <w:divBdr>
        <w:top w:val="none" w:sz="0" w:space="0" w:color="auto"/>
        <w:left w:val="none" w:sz="0" w:space="0" w:color="auto"/>
        <w:bottom w:val="none" w:sz="0" w:space="0" w:color="auto"/>
        <w:right w:val="none" w:sz="0" w:space="0" w:color="auto"/>
      </w:divBdr>
    </w:div>
    <w:div w:id="1756973178">
      <w:bodyDiv w:val="1"/>
      <w:marLeft w:val="0"/>
      <w:marRight w:val="0"/>
      <w:marTop w:val="0"/>
      <w:marBottom w:val="0"/>
      <w:divBdr>
        <w:top w:val="none" w:sz="0" w:space="0" w:color="auto"/>
        <w:left w:val="none" w:sz="0" w:space="0" w:color="auto"/>
        <w:bottom w:val="none" w:sz="0" w:space="0" w:color="auto"/>
        <w:right w:val="none" w:sz="0" w:space="0" w:color="auto"/>
      </w:divBdr>
    </w:div>
    <w:div w:id="1772042457">
      <w:bodyDiv w:val="1"/>
      <w:marLeft w:val="0"/>
      <w:marRight w:val="0"/>
      <w:marTop w:val="0"/>
      <w:marBottom w:val="0"/>
      <w:divBdr>
        <w:top w:val="none" w:sz="0" w:space="0" w:color="auto"/>
        <w:left w:val="none" w:sz="0" w:space="0" w:color="auto"/>
        <w:bottom w:val="none" w:sz="0" w:space="0" w:color="auto"/>
        <w:right w:val="none" w:sz="0" w:space="0" w:color="auto"/>
      </w:divBdr>
    </w:div>
    <w:div w:id="1772125953">
      <w:bodyDiv w:val="1"/>
      <w:marLeft w:val="0"/>
      <w:marRight w:val="0"/>
      <w:marTop w:val="0"/>
      <w:marBottom w:val="0"/>
      <w:divBdr>
        <w:top w:val="none" w:sz="0" w:space="0" w:color="auto"/>
        <w:left w:val="none" w:sz="0" w:space="0" w:color="auto"/>
        <w:bottom w:val="none" w:sz="0" w:space="0" w:color="auto"/>
        <w:right w:val="none" w:sz="0" w:space="0" w:color="auto"/>
      </w:divBdr>
    </w:div>
    <w:div w:id="1772780229">
      <w:bodyDiv w:val="1"/>
      <w:marLeft w:val="0"/>
      <w:marRight w:val="0"/>
      <w:marTop w:val="0"/>
      <w:marBottom w:val="0"/>
      <w:divBdr>
        <w:top w:val="none" w:sz="0" w:space="0" w:color="auto"/>
        <w:left w:val="none" w:sz="0" w:space="0" w:color="auto"/>
        <w:bottom w:val="none" w:sz="0" w:space="0" w:color="auto"/>
        <w:right w:val="none" w:sz="0" w:space="0" w:color="auto"/>
      </w:divBdr>
    </w:div>
    <w:div w:id="1774398299">
      <w:bodyDiv w:val="1"/>
      <w:marLeft w:val="0"/>
      <w:marRight w:val="0"/>
      <w:marTop w:val="0"/>
      <w:marBottom w:val="0"/>
      <w:divBdr>
        <w:top w:val="none" w:sz="0" w:space="0" w:color="auto"/>
        <w:left w:val="none" w:sz="0" w:space="0" w:color="auto"/>
        <w:bottom w:val="none" w:sz="0" w:space="0" w:color="auto"/>
        <w:right w:val="none" w:sz="0" w:space="0" w:color="auto"/>
      </w:divBdr>
    </w:div>
    <w:div w:id="1774595213">
      <w:bodyDiv w:val="1"/>
      <w:marLeft w:val="0"/>
      <w:marRight w:val="0"/>
      <w:marTop w:val="0"/>
      <w:marBottom w:val="0"/>
      <w:divBdr>
        <w:top w:val="none" w:sz="0" w:space="0" w:color="auto"/>
        <w:left w:val="none" w:sz="0" w:space="0" w:color="auto"/>
        <w:bottom w:val="none" w:sz="0" w:space="0" w:color="auto"/>
        <w:right w:val="none" w:sz="0" w:space="0" w:color="auto"/>
      </w:divBdr>
    </w:div>
    <w:div w:id="1779450501">
      <w:bodyDiv w:val="1"/>
      <w:marLeft w:val="0"/>
      <w:marRight w:val="0"/>
      <w:marTop w:val="0"/>
      <w:marBottom w:val="0"/>
      <w:divBdr>
        <w:top w:val="none" w:sz="0" w:space="0" w:color="auto"/>
        <w:left w:val="none" w:sz="0" w:space="0" w:color="auto"/>
        <w:bottom w:val="none" w:sz="0" w:space="0" w:color="auto"/>
        <w:right w:val="none" w:sz="0" w:space="0" w:color="auto"/>
      </w:divBdr>
    </w:div>
    <w:div w:id="1784152776">
      <w:bodyDiv w:val="1"/>
      <w:marLeft w:val="0"/>
      <w:marRight w:val="0"/>
      <w:marTop w:val="0"/>
      <w:marBottom w:val="0"/>
      <w:divBdr>
        <w:top w:val="none" w:sz="0" w:space="0" w:color="auto"/>
        <w:left w:val="none" w:sz="0" w:space="0" w:color="auto"/>
        <w:bottom w:val="none" w:sz="0" w:space="0" w:color="auto"/>
        <w:right w:val="none" w:sz="0" w:space="0" w:color="auto"/>
      </w:divBdr>
    </w:div>
    <w:div w:id="1793087513">
      <w:bodyDiv w:val="1"/>
      <w:marLeft w:val="0"/>
      <w:marRight w:val="0"/>
      <w:marTop w:val="0"/>
      <w:marBottom w:val="0"/>
      <w:divBdr>
        <w:top w:val="none" w:sz="0" w:space="0" w:color="auto"/>
        <w:left w:val="none" w:sz="0" w:space="0" w:color="auto"/>
        <w:bottom w:val="none" w:sz="0" w:space="0" w:color="auto"/>
        <w:right w:val="none" w:sz="0" w:space="0" w:color="auto"/>
      </w:divBdr>
    </w:div>
    <w:div w:id="1794785163">
      <w:bodyDiv w:val="1"/>
      <w:marLeft w:val="0"/>
      <w:marRight w:val="0"/>
      <w:marTop w:val="0"/>
      <w:marBottom w:val="0"/>
      <w:divBdr>
        <w:top w:val="none" w:sz="0" w:space="0" w:color="auto"/>
        <w:left w:val="none" w:sz="0" w:space="0" w:color="auto"/>
        <w:bottom w:val="none" w:sz="0" w:space="0" w:color="auto"/>
        <w:right w:val="none" w:sz="0" w:space="0" w:color="auto"/>
      </w:divBdr>
    </w:div>
    <w:div w:id="1800495639">
      <w:bodyDiv w:val="1"/>
      <w:marLeft w:val="0"/>
      <w:marRight w:val="0"/>
      <w:marTop w:val="0"/>
      <w:marBottom w:val="0"/>
      <w:divBdr>
        <w:top w:val="none" w:sz="0" w:space="0" w:color="auto"/>
        <w:left w:val="none" w:sz="0" w:space="0" w:color="auto"/>
        <w:bottom w:val="none" w:sz="0" w:space="0" w:color="auto"/>
        <w:right w:val="none" w:sz="0" w:space="0" w:color="auto"/>
      </w:divBdr>
    </w:div>
    <w:div w:id="1803621743">
      <w:bodyDiv w:val="1"/>
      <w:marLeft w:val="0"/>
      <w:marRight w:val="0"/>
      <w:marTop w:val="0"/>
      <w:marBottom w:val="0"/>
      <w:divBdr>
        <w:top w:val="none" w:sz="0" w:space="0" w:color="auto"/>
        <w:left w:val="none" w:sz="0" w:space="0" w:color="auto"/>
        <w:bottom w:val="none" w:sz="0" w:space="0" w:color="auto"/>
        <w:right w:val="none" w:sz="0" w:space="0" w:color="auto"/>
      </w:divBdr>
    </w:div>
    <w:div w:id="1807969707">
      <w:bodyDiv w:val="1"/>
      <w:marLeft w:val="0"/>
      <w:marRight w:val="0"/>
      <w:marTop w:val="0"/>
      <w:marBottom w:val="0"/>
      <w:divBdr>
        <w:top w:val="none" w:sz="0" w:space="0" w:color="auto"/>
        <w:left w:val="none" w:sz="0" w:space="0" w:color="auto"/>
        <w:bottom w:val="none" w:sz="0" w:space="0" w:color="auto"/>
        <w:right w:val="none" w:sz="0" w:space="0" w:color="auto"/>
      </w:divBdr>
    </w:div>
    <w:div w:id="1813255649">
      <w:bodyDiv w:val="1"/>
      <w:marLeft w:val="0"/>
      <w:marRight w:val="0"/>
      <w:marTop w:val="0"/>
      <w:marBottom w:val="0"/>
      <w:divBdr>
        <w:top w:val="none" w:sz="0" w:space="0" w:color="auto"/>
        <w:left w:val="none" w:sz="0" w:space="0" w:color="auto"/>
        <w:bottom w:val="none" w:sz="0" w:space="0" w:color="auto"/>
        <w:right w:val="none" w:sz="0" w:space="0" w:color="auto"/>
      </w:divBdr>
    </w:div>
    <w:div w:id="1815876711">
      <w:bodyDiv w:val="1"/>
      <w:marLeft w:val="0"/>
      <w:marRight w:val="0"/>
      <w:marTop w:val="0"/>
      <w:marBottom w:val="0"/>
      <w:divBdr>
        <w:top w:val="none" w:sz="0" w:space="0" w:color="auto"/>
        <w:left w:val="none" w:sz="0" w:space="0" w:color="auto"/>
        <w:bottom w:val="none" w:sz="0" w:space="0" w:color="auto"/>
        <w:right w:val="none" w:sz="0" w:space="0" w:color="auto"/>
      </w:divBdr>
    </w:div>
    <w:div w:id="1827013160">
      <w:bodyDiv w:val="1"/>
      <w:marLeft w:val="0"/>
      <w:marRight w:val="0"/>
      <w:marTop w:val="0"/>
      <w:marBottom w:val="0"/>
      <w:divBdr>
        <w:top w:val="none" w:sz="0" w:space="0" w:color="auto"/>
        <w:left w:val="none" w:sz="0" w:space="0" w:color="auto"/>
        <w:bottom w:val="none" w:sz="0" w:space="0" w:color="auto"/>
        <w:right w:val="none" w:sz="0" w:space="0" w:color="auto"/>
      </w:divBdr>
    </w:div>
    <w:div w:id="1830321431">
      <w:bodyDiv w:val="1"/>
      <w:marLeft w:val="0"/>
      <w:marRight w:val="0"/>
      <w:marTop w:val="0"/>
      <w:marBottom w:val="0"/>
      <w:divBdr>
        <w:top w:val="none" w:sz="0" w:space="0" w:color="auto"/>
        <w:left w:val="none" w:sz="0" w:space="0" w:color="auto"/>
        <w:bottom w:val="none" w:sz="0" w:space="0" w:color="auto"/>
        <w:right w:val="none" w:sz="0" w:space="0" w:color="auto"/>
      </w:divBdr>
    </w:div>
    <w:div w:id="1838226078">
      <w:bodyDiv w:val="1"/>
      <w:marLeft w:val="0"/>
      <w:marRight w:val="0"/>
      <w:marTop w:val="0"/>
      <w:marBottom w:val="0"/>
      <w:divBdr>
        <w:top w:val="none" w:sz="0" w:space="0" w:color="auto"/>
        <w:left w:val="none" w:sz="0" w:space="0" w:color="auto"/>
        <w:bottom w:val="none" w:sz="0" w:space="0" w:color="auto"/>
        <w:right w:val="none" w:sz="0" w:space="0" w:color="auto"/>
      </w:divBdr>
    </w:div>
    <w:div w:id="1839465171">
      <w:bodyDiv w:val="1"/>
      <w:marLeft w:val="0"/>
      <w:marRight w:val="0"/>
      <w:marTop w:val="0"/>
      <w:marBottom w:val="0"/>
      <w:divBdr>
        <w:top w:val="none" w:sz="0" w:space="0" w:color="auto"/>
        <w:left w:val="none" w:sz="0" w:space="0" w:color="auto"/>
        <w:bottom w:val="none" w:sz="0" w:space="0" w:color="auto"/>
        <w:right w:val="none" w:sz="0" w:space="0" w:color="auto"/>
      </w:divBdr>
    </w:div>
    <w:div w:id="1842155180">
      <w:bodyDiv w:val="1"/>
      <w:marLeft w:val="0"/>
      <w:marRight w:val="0"/>
      <w:marTop w:val="0"/>
      <w:marBottom w:val="0"/>
      <w:divBdr>
        <w:top w:val="none" w:sz="0" w:space="0" w:color="auto"/>
        <w:left w:val="none" w:sz="0" w:space="0" w:color="auto"/>
        <w:bottom w:val="none" w:sz="0" w:space="0" w:color="auto"/>
        <w:right w:val="none" w:sz="0" w:space="0" w:color="auto"/>
      </w:divBdr>
    </w:div>
    <w:div w:id="1844314552">
      <w:bodyDiv w:val="1"/>
      <w:marLeft w:val="0"/>
      <w:marRight w:val="0"/>
      <w:marTop w:val="0"/>
      <w:marBottom w:val="0"/>
      <w:divBdr>
        <w:top w:val="none" w:sz="0" w:space="0" w:color="auto"/>
        <w:left w:val="none" w:sz="0" w:space="0" w:color="auto"/>
        <w:bottom w:val="none" w:sz="0" w:space="0" w:color="auto"/>
        <w:right w:val="none" w:sz="0" w:space="0" w:color="auto"/>
      </w:divBdr>
    </w:div>
    <w:div w:id="1848136733">
      <w:bodyDiv w:val="1"/>
      <w:marLeft w:val="0"/>
      <w:marRight w:val="0"/>
      <w:marTop w:val="0"/>
      <w:marBottom w:val="0"/>
      <w:divBdr>
        <w:top w:val="none" w:sz="0" w:space="0" w:color="auto"/>
        <w:left w:val="none" w:sz="0" w:space="0" w:color="auto"/>
        <w:bottom w:val="none" w:sz="0" w:space="0" w:color="auto"/>
        <w:right w:val="none" w:sz="0" w:space="0" w:color="auto"/>
      </w:divBdr>
    </w:div>
    <w:div w:id="1856504386">
      <w:bodyDiv w:val="1"/>
      <w:marLeft w:val="0"/>
      <w:marRight w:val="0"/>
      <w:marTop w:val="0"/>
      <w:marBottom w:val="0"/>
      <w:divBdr>
        <w:top w:val="none" w:sz="0" w:space="0" w:color="auto"/>
        <w:left w:val="none" w:sz="0" w:space="0" w:color="auto"/>
        <w:bottom w:val="none" w:sz="0" w:space="0" w:color="auto"/>
        <w:right w:val="none" w:sz="0" w:space="0" w:color="auto"/>
      </w:divBdr>
    </w:div>
    <w:div w:id="1857695066">
      <w:bodyDiv w:val="1"/>
      <w:marLeft w:val="0"/>
      <w:marRight w:val="0"/>
      <w:marTop w:val="0"/>
      <w:marBottom w:val="0"/>
      <w:divBdr>
        <w:top w:val="none" w:sz="0" w:space="0" w:color="auto"/>
        <w:left w:val="none" w:sz="0" w:space="0" w:color="auto"/>
        <w:bottom w:val="none" w:sz="0" w:space="0" w:color="auto"/>
        <w:right w:val="none" w:sz="0" w:space="0" w:color="auto"/>
      </w:divBdr>
    </w:div>
    <w:div w:id="1866744671">
      <w:bodyDiv w:val="1"/>
      <w:marLeft w:val="0"/>
      <w:marRight w:val="0"/>
      <w:marTop w:val="0"/>
      <w:marBottom w:val="0"/>
      <w:divBdr>
        <w:top w:val="none" w:sz="0" w:space="0" w:color="auto"/>
        <w:left w:val="none" w:sz="0" w:space="0" w:color="auto"/>
        <w:bottom w:val="none" w:sz="0" w:space="0" w:color="auto"/>
        <w:right w:val="none" w:sz="0" w:space="0" w:color="auto"/>
      </w:divBdr>
    </w:div>
    <w:div w:id="1874003763">
      <w:bodyDiv w:val="1"/>
      <w:marLeft w:val="0"/>
      <w:marRight w:val="0"/>
      <w:marTop w:val="0"/>
      <w:marBottom w:val="0"/>
      <w:divBdr>
        <w:top w:val="none" w:sz="0" w:space="0" w:color="auto"/>
        <w:left w:val="none" w:sz="0" w:space="0" w:color="auto"/>
        <w:bottom w:val="none" w:sz="0" w:space="0" w:color="auto"/>
        <w:right w:val="none" w:sz="0" w:space="0" w:color="auto"/>
      </w:divBdr>
    </w:div>
    <w:div w:id="1874615285">
      <w:bodyDiv w:val="1"/>
      <w:marLeft w:val="0"/>
      <w:marRight w:val="0"/>
      <w:marTop w:val="0"/>
      <w:marBottom w:val="0"/>
      <w:divBdr>
        <w:top w:val="none" w:sz="0" w:space="0" w:color="auto"/>
        <w:left w:val="none" w:sz="0" w:space="0" w:color="auto"/>
        <w:bottom w:val="none" w:sz="0" w:space="0" w:color="auto"/>
        <w:right w:val="none" w:sz="0" w:space="0" w:color="auto"/>
      </w:divBdr>
    </w:div>
    <w:div w:id="1877355275">
      <w:bodyDiv w:val="1"/>
      <w:marLeft w:val="0"/>
      <w:marRight w:val="0"/>
      <w:marTop w:val="0"/>
      <w:marBottom w:val="0"/>
      <w:divBdr>
        <w:top w:val="none" w:sz="0" w:space="0" w:color="auto"/>
        <w:left w:val="none" w:sz="0" w:space="0" w:color="auto"/>
        <w:bottom w:val="none" w:sz="0" w:space="0" w:color="auto"/>
        <w:right w:val="none" w:sz="0" w:space="0" w:color="auto"/>
      </w:divBdr>
    </w:div>
    <w:div w:id="1877548439">
      <w:bodyDiv w:val="1"/>
      <w:marLeft w:val="0"/>
      <w:marRight w:val="0"/>
      <w:marTop w:val="0"/>
      <w:marBottom w:val="0"/>
      <w:divBdr>
        <w:top w:val="none" w:sz="0" w:space="0" w:color="auto"/>
        <w:left w:val="none" w:sz="0" w:space="0" w:color="auto"/>
        <w:bottom w:val="none" w:sz="0" w:space="0" w:color="auto"/>
        <w:right w:val="none" w:sz="0" w:space="0" w:color="auto"/>
      </w:divBdr>
    </w:div>
    <w:div w:id="1879853006">
      <w:bodyDiv w:val="1"/>
      <w:marLeft w:val="0"/>
      <w:marRight w:val="0"/>
      <w:marTop w:val="0"/>
      <w:marBottom w:val="0"/>
      <w:divBdr>
        <w:top w:val="none" w:sz="0" w:space="0" w:color="auto"/>
        <w:left w:val="none" w:sz="0" w:space="0" w:color="auto"/>
        <w:bottom w:val="none" w:sz="0" w:space="0" w:color="auto"/>
        <w:right w:val="none" w:sz="0" w:space="0" w:color="auto"/>
      </w:divBdr>
    </w:div>
    <w:div w:id="1879856827">
      <w:bodyDiv w:val="1"/>
      <w:marLeft w:val="0"/>
      <w:marRight w:val="0"/>
      <w:marTop w:val="0"/>
      <w:marBottom w:val="0"/>
      <w:divBdr>
        <w:top w:val="none" w:sz="0" w:space="0" w:color="auto"/>
        <w:left w:val="none" w:sz="0" w:space="0" w:color="auto"/>
        <w:bottom w:val="none" w:sz="0" w:space="0" w:color="auto"/>
        <w:right w:val="none" w:sz="0" w:space="0" w:color="auto"/>
      </w:divBdr>
    </w:div>
    <w:div w:id="1880819020">
      <w:bodyDiv w:val="1"/>
      <w:marLeft w:val="0"/>
      <w:marRight w:val="0"/>
      <w:marTop w:val="0"/>
      <w:marBottom w:val="0"/>
      <w:divBdr>
        <w:top w:val="none" w:sz="0" w:space="0" w:color="auto"/>
        <w:left w:val="none" w:sz="0" w:space="0" w:color="auto"/>
        <w:bottom w:val="none" w:sz="0" w:space="0" w:color="auto"/>
        <w:right w:val="none" w:sz="0" w:space="0" w:color="auto"/>
      </w:divBdr>
    </w:div>
    <w:div w:id="1881934314">
      <w:bodyDiv w:val="1"/>
      <w:marLeft w:val="0"/>
      <w:marRight w:val="0"/>
      <w:marTop w:val="0"/>
      <w:marBottom w:val="0"/>
      <w:divBdr>
        <w:top w:val="none" w:sz="0" w:space="0" w:color="auto"/>
        <w:left w:val="none" w:sz="0" w:space="0" w:color="auto"/>
        <w:bottom w:val="none" w:sz="0" w:space="0" w:color="auto"/>
        <w:right w:val="none" w:sz="0" w:space="0" w:color="auto"/>
      </w:divBdr>
    </w:div>
    <w:div w:id="1884057129">
      <w:bodyDiv w:val="1"/>
      <w:marLeft w:val="0"/>
      <w:marRight w:val="0"/>
      <w:marTop w:val="0"/>
      <w:marBottom w:val="0"/>
      <w:divBdr>
        <w:top w:val="none" w:sz="0" w:space="0" w:color="auto"/>
        <w:left w:val="none" w:sz="0" w:space="0" w:color="auto"/>
        <w:bottom w:val="none" w:sz="0" w:space="0" w:color="auto"/>
        <w:right w:val="none" w:sz="0" w:space="0" w:color="auto"/>
      </w:divBdr>
    </w:div>
    <w:div w:id="1884252179">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7475222">
      <w:bodyDiv w:val="1"/>
      <w:marLeft w:val="0"/>
      <w:marRight w:val="0"/>
      <w:marTop w:val="0"/>
      <w:marBottom w:val="0"/>
      <w:divBdr>
        <w:top w:val="none" w:sz="0" w:space="0" w:color="auto"/>
        <w:left w:val="none" w:sz="0" w:space="0" w:color="auto"/>
        <w:bottom w:val="none" w:sz="0" w:space="0" w:color="auto"/>
        <w:right w:val="none" w:sz="0" w:space="0" w:color="auto"/>
      </w:divBdr>
    </w:div>
    <w:div w:id="1898856940">
      <w:bodyDiv w:val="1"/>
      <w:marLeft w:val="0"/>
      <w:marRight w:val="0"/>
      <w:marTop w:val="0"/>
      <w:marBottom w:val="0"/>
      <w:divBdr>
        <w:top w:val="none" w:sz="0" w:space="0" w:color="auto"/>
        <w:left w:val="none" w:sz="0" w:space="0" w:color="auto"/>
        <w:bottom w:val="none" w:sz="0" w:space="0" w:color="auto"/>
        <w:right w:val="none" w:sz="0" w:space="0" w:color="auto"/>
      </w:divBdr>
    </w:div>
    <w:div w:id="1906066230">
      <w:bodyDiv w:val="1"/>
      <w:marLeft w:val="0"/>
      <w:marRight w:val="0"/>
      <w:marTop w:val="0"/>
      <w:marBottom w:val="0"/>
      <w:divBdr>
        <w:top w:val="none" w:sz="0" w:space="0" w:color="auto"/>
        <w:left w:val="none" w:sz="0" w:space="0" w:color="auto"/>
        <w:bottom w:val="none" w:sz="0" w:space="0" w:color="auto"/>
        <w:right w:val="none" w:sz="0" w:space="0" w:color="auto"/>
      </w:divBdr>
    </w:div>
    <w:div w:id="1906332330">
      <w:bodyDiv w:val="1"/>
      <w:marLeft w:val="0"/>
      <w:marRight w:val="0"/>
      <w:marTop w:val="0"/>
      <w:marBottom w:val="0"/>
      <w:divBdr>
        <w:top w:val="none" w:sz="0" w:space="0" w:color="auto"/>
        <w:left w:val="none" w:sz="0" w:space="0" w:color="auto"/>
        <w:bottom w:val="none" w:sz="0" w:space="0" w:color="auto"/>
        <w:right w:val="none" w:sz="0" w:space="0" w:color="auto"/>
      </w:divBdr>
    </w:div>
    <w:div w:id="1908951976">
      <w:bodyDiv w:val="1"/>
      <w:marLeft w:val="0"/>
      <w:marRight w:val="0"/>
      <w:marTop w:val="0"/>
      <w:marBottom w:val="0"/>
      <w:divBdr>
        <w:top w:val="none" w:sz="0" w:space="0" w:color="auto"/>
        <w:left w:val="none" w:sz="0" w:space="0" w:color="auto"/>
        <w:bottom w:val="none" w:sz="0" w:space="0" w:color="auto"/>
        <w:right w:val="none" w:sz="0" w:space="0" w:color="auto"/>
      </w:divBdr>
    </w:div>
    <w:div w:id="1910768802">
      <w:bodyDiv w:val="1"/>
      <w:marLeft w:val="0"/>
      <w:marRight w:val="0"/>
      <w:marTop w:val="0"/>
      <w:marBottom w:val="0"/>
      <w:divBdr>
        <w:top w:val="none" w:sz="0" w:space="0" w:color="auto"/>
        <w:left w:val="none" w:sz="0" w:space="0" w:color="auto"/>
        <w:bottom w:val="none" w:sz="0" w:space="0" w:color="auto"/>
        <w:right w:val="none" w:sz="0" w:space="0" w:color="auto"/>
      </w:divBdr>
    </w:div>
    <w:div w:id="1915629524">
      <w:bodyDiv w:val="1"/>
      <w:marLeft w:val="0"/>
      <w:marRight w:val="0"/>
      <w:marTop w:val="0"/>
      <w:marBottom w:val="0"/>
      <w:divBdr>
        <w:top w:val="none" w:sz="0" w:space="0" w:color="auto"/>
        <w:left w:val="none" w:sz="0" w:space="0" w:color="auto"/>
        <w:bottom w:val="none" w:sz="0" w:space="0" w:color="auto"/>
        <w:right w:val="none" w:sz="0" w:space="0" w:color="auto"/>
      </w:divBdr>
    </w:div>
    <w:div w:id="1925918917">
      <w:bodyDiv w:val="1"/>
      <w:marLeft w:val="0"/>
      <w:marRight w:val="0"/>
      <w:marTop w:val="0"/>
      <w:marBottom w:val="0"/>
      <w:divBdr>
        <w:top w:val="none" w:sz="0" w:space="0" w:color="auto"/>
        <w:left w:val="none" w:sz="0" w:space="0" w:color="auto"/>
        <w:bottom w:val="none" w:sz="0" w:space="0" w:color="auto"/>
        <w:right w:val="none" w:sz="0" w:space="0" w:color="auto"/>
      </w:divBdr>
    </w:div>
    <w:div w:id="1925920710">
      <w:bodyDiv w:val="1"/>
      <w:marLeft w:val="0"/>
      <w:marRight w:val="0"/>
      <w:marTop w:val="0"/>
      <w:marBottom w:val="0"/>
      <w:divBdr>
        <w:top w:val="none" w:sz="0" w:space="0" w:color="auto"/>
        <w:left w:val="none" w:sz="0" w:space="0" w:color="auto"/>
        <w:bottom w:val="none" w:sz="0" w:space="0" w:color="auto"/>
        <w:right w:val="none" w:sz="0" w:space="0" w:color="auto"/>
      </w:divBdr>
    </w:div>
    <w:div w:id="1932161636">
      <w:bodyDiv w:val="1"/>
      <w:marLeft w:val="0"/>
      <w:marRight w:val="0"/>
      <w:marTop w:val="0"/>
      <w:marBottom w:val="0"/>
      <w:divBdr>
        <w:top w:val="none" w:sz="0" w:space="0" w:color="auto"/>
        <w:left w:val="none" w:sz="0" w:space="0" w:color="auto"/>
        <w:bottom w:val="none" w:sz="0" w:space="0" w:color="auto"/>
        <w:right w:val="none" w:sz="0" w:space="0" w:color="auto"/>
      </w:divBdr>
    </w:div>
    <w:div w:id="1934705937">
      <w:bodyDiv w:val="1"/>
      <w:marLeft w:val="0"/>
      <w:marRight w:val="0"/>
      <w:marTop w:val="0"/>
      <w:marBottom w:val="0"/>
      <w:divBdr>
        <w:top w:val="none" w:sz="0" w:space="0" w:color="auto"/>
        <w:left w:val="none" w:sz="0" w:space="0" w:color="auto"/>
        <w:bottom w:val="none" w:sz="0" w:space="0" w:color="auto"/>
        <w:right w:val="none" w:sz="0" w:space="0" w:color="auto"/>
      </w:divBdr>
    </w:div>
    <w:div w:id="1940483970">
      <w:bodyDiv w:val="1"/>
      <w:marLeft w:val="0"/>
      <w:marRight w:val="0"/>
      <w:marTop w:val="0"/>
      <w:marBottom w:val="0"/>
      <w:divBdr>
        <w:top w:val="none" w:sz="0" w:space="0" w:color="auto"/>
        <w:left w:val="none" w:sz="0" w:space="0" w:color="auto"/>
        <w:bottom w:val="none" w:sz="0" w:space="0" w:color="auto"/>
        <w:right w:val="none" w:sz="0" w:space="0" w:color="auto"/>
      </w:divBdr>
    </w:div>
    <w:div w:id="1954819077">
      <w:bodyDiv w:val="1"/>
      <w:marLeft w:val="0"/>
      <w:marRight w:val="0"/>
      <w:marTop w:val="0"/>
      <w:marBottom w:val="0"/>
      <w:divBdr>
        <w:top w:val="none" w:sz="0" w:space="0" w:color="auto"/>
        <w:left w:val="none" w:sz="0" w:space="0" w:color="auto"/>
        <w:bottom w:val="none" w:sz="0" w:space="0" w:color="auto"/>
        <w:right w:val="none" w:sz="0" w:space="0" w:color="auto"/>
      </w:divBdr>
    </w:div>
    <w:div w:id="1958364192">
      <w:bodyDiv w:val="1"/>
      <w:marLeft w:val="0"/>
      <w:marRight w:val="0"/>
      <w:marTop w:val="0"/>
      <w:marBottom w:val="0"/>
      <w:divBdr>
        <w:top w:val="none" w:sz="0" w:space="0" w:color="auto"/>
        <w:left w:val="none" w:sz="0" w:space="0" w:color="auto"/>
        <w:bottom w:val="none" w:sz="0" w:space="0" w:color="auto"/>
        <w:right w:val="none" w:sz="0" w:space="0" w:color="auto"/>
      </w:divBdr>
    </w:div>
    <w:div w:id="1958559748">
      <w:bodyDiv w:val="1"/>
      <w:marLeft w:val="0"/>
      <w:marRight w:val="0"/>
      <w:marTop w:val="0"/>
      <w:marBottom w:val="0"/>
      <w:divBdr>
        <w:top w:val="none" w:sz="0" w:space="0" w:color="auto"/>
        <w:left w:val="none" w:sz="0" w:space="0" w:color="auto"/>
        <w:bottom w:val="none" w:sz="0" w:space="0" w:color="auto"/>
        <w:right w:val="none" w:sz="0" w:space="0" w:color="auto"/>
      </w:divBdr>
    </w:div>
    <w:div w:id="1964462628">
      <w:bodyDiv w:val="1"/>
      <w:marLeft w:val="0"/>
      <w:marRight w:val="0"/>
      <w:marTop w:val="0"/>
      <w:marBottom w:val="0"/>
      <w:divBdr>
        <w:top w:val="none" w:sz="0" w:space="0" w:color="auto"/>
        <w:left w:val="none" w:sz="0" w:space="0" w:color="auto"/>
        <w:bottom w:val="none" w:sz="0" w:space="0" w:color="auto"/>
        <w:right w:val="none" w:sz="0" w:space="0" w:color="auto"/>
      </w:divBdr>
    </w:div>
    <w:div w:id="1965186812">
      <w:bodyDiv w:val="1"/>
      <w:marLeft w:val="0"/>
      <w:marRight w:val="0"/>
      <w:marTop w:val="0"/>
      <w:marBottom w:val="0"/>
      <w:divBdr>
        <w:top w:val="none" w:sz="0" w:space="0" w:color="auto"/>
        <w:left w:val="none" w:sz="0" w:space="0" w:color="auto"/>
        <w:bottom w:val="none" w:sz="0" w:space="0" w:color="auto"/>
        <w:right w:val="none" w:sz="0" w:space="0" w:color="auto"/>
      </w:divBdr>
    </w:div>
    <w:div w:id="1965847364">
      <w:bodyDiv w:val="1"/>
      <w:marLeft w:val="0"/>
      <w:marRight w:val="0"/>
      <w:marTop w:val="0"/>
      <w:marBottom w:val="0"/>
      <w:divBdr>
        <w:top w:val="none" w:sz="0" w:space="0" w:color="auto"/>
        <w:left w:val="none" w:sz="0" w:space="0" w:color="auto"/>
        <w:bottom w:val="none" w:sz="0" w:space="0" w:color="auto"/>
        <w:right w:val="none" w:sz="0" w:space="0" w:color="auto"/>
      </w:divBdr>
    </w:div>
    <w:div w:id="1971745711">
      <w:bodyDiv w:val="1"/>
      <w:marLeft w:val="0"/>
      <w:marRight w:val="0"/>
      <w:marTop w:val="0"/>
      <w:marBottom w:val="0"/>
      <w:divBdr>
        <w:top w:val="none" w:sz="0" w:space="0" w:color="auto"/>
        <w:left w:val="none" w:sz="0" w:space="0" w:color="auto"/>
        <w:bottom w:val="none" w:sz="0" w:space="0" w:color="auto"/>
        <w:right w:val="none" w:sz="0" w:space="0" w:color="auto"/>
      </w:divBdr>
    </w:div>
    <w:div w:id="1972243970">
      <w:bodyDiv w:val="1"/>
      <w:marLeft w:val="0"/>
      <w:marRight w:val="0"/>
      <w:marTop w:val="0"/>
      <w:marBottom w:val="0"/>
      <w:divBdr>
        <w:top w:val="none" w:sz="0" w:space="0" w:color="auto"/>
        <w:left w:val="none" w:sz="0" w:space="0" w:color="auto"/>
        <w:bottom w:val="none" w:sz="0" w:space="0" w:color="auto"/>
        <w:right w:val="none" w:sz="0" w:space="0" w:color="auto"/>
      </w:divBdr>
    </w:div>
    <w:div w:id="1978799551">
      <w:bodyDiv w:val="1"/>
      <w:marLeft w:val="0"/>
      <w:marRight w:val="0"/>
      <w:marTop w:val="0"/>
      <w:marBottom w:val="0"/>
      <w:divBdr>
        <w:top w:val="none" w:sz="0" w:space="0" w:color="auto"/>
        <w:left w:val="none" w:sz="0" w:space="0" w:color="auto"/>
        <w:bottom w:val="none" w:sz="0" w:space="0" w:color="auto"/>
        <w:right w:val="none" w:sz="0" w:space="0" w:color="auto"/>
      </w:divBdr>
    </w:div>
    <w:div w:id="1986858977">
      <w:bodyDiv w:val="1"/>
      <w:marLeft w:val="0"/>
      <w:marRight w:val="0"/>
      <w:marTop w:val="0"/>
      <w:marBottom w:val="0"/>
      <w:divBdr>
        <w:top w:val="none" w:sz="0" w:space="0" w:color="auto"/>
        <w:left w:val="none" w:sz="0" w:space="0" w:color="auto"/>
        <w:bottom w:val="none" w:sz="0" w:space="0" w:color="auto"/>
        <w:right w:val="none" w:sz="0" w:space="0" w:color="auto"/>
      </w:divBdr>
    </w:div>
    <w:div w:id="1989750274">
      <w:bodyDiv w:val="1"/>
      <w:marLeft w:val="0"/>
      <w:marRight w:val="0"/>
      <w:marTop w:val="0"/>
      <w:marBottom w:val="0"/>
      <w:divBdr>
        <w:top w:val="none" w:sz="0" w:space="0" w:color="auto"/>
        <w:left w:val="none" w:sz="0" w:space="0" w:color="auto"/>
        <w:bottom w:val="none" w:sz="0" w:space="0" w:color="auto"/>
        <w:right w:val="none" w:sz="0" w:space="0" w:color="auto"/>
      </w:divBdr>
    </w:div>
    <w:div w:id="1990403134">
      <w:bodyDiv w:val="1"/>
      <w:marLeft w:val="0"/>
      <w:marRight w:val="0"/>
      <w:marTop w:val="0"/>
      <w:marBottom w:val="0"/>
      <w:divBdr>
        <w:top w:val="none" w:sz="0" w:space="0" w:color="auto"/>
        <w:left w:val="none" w:sz="0" w:space="0" w:color="auto"/>
        <w:bottom w:val="none" w:sz="0" w:space="0" w:color="auto"/>
        <w:right w:val="none" w:sz="0" w:space="0" w:color="auto"/>
      </w:divBdr>
    </w:div>
    <w:div w:id="1990934662">
      <w:bodyDiv w:val="1"/>
      <w:marLeft w:val="0"/>
      <w:marRight w:val="0"/>
      <w:marTop w:val="0"/>
      <w:marBottom w:val="0"/>
      <w:divBdr>
        <w:top w:val="none" w:sz="0" w:space="0" w:color="auto"/>
        <w:left w:val="none" w:sz="0" w:space="0" w:color="auto"/>
        <w:bottom w:val="none" w:sz="0" w:space="0" w:color="auto"/>
        <w:right w:val="none" w:sz="0" w:space="0" w:color="auto"/>
      </w:divBdr>
    </w:div>
    <w:div w:id="1991249727">
      <w:bodyDiv w:val="1"/>
      <w:marLeft w:val="0"/>
      <w:marRight w:val="0"/>
      <w:marTop w:val="0"/>
      <w:marBottom w:val="0"/>
      <w:divBdr>
        <w:top w:val="none" w:sz="0" w:space="0" w:color="auto"/>
        <w:left w:val="none" w:sz="0" w:space="0" w:color="auto"/>
        <w:bottom w:val="none" w:sz="0" w:space="0" w:color="auto"/>
        <w:right w:val="none" w:sz="0" w:space="0" w:color="auto"/>
      </w:divBdr>
    </w:div>
    <w:div w:id="1991445662">
      <w:bodyDiv w:val="1"/>
      <w:marLeft w:val="0"/>
      <w:marRight w:val="0"/>
      <w:marTop w:val="0"/>
      <w:marBottom w:val="0"/>
      <w:divBdr>
        <w:top w:val="none" w:sz="0" w:space="0" w:color="auto"/>
        <w:left w:val="none" w:sz="0" w:space="0" w:color="auto"/>
        <w:bottom w:val="none" w:sz="0" w:space="0" w:color="auto"/>
        <w:right w:val="none" w:sz="0" w:space="0" w:color="auto"/>
      </w:divBdr>
    </w:div>
    <w:div w:id="1995402930">
      <w:bodyDiv w:val="1"/>
      <w:marLeft w:val="0"/>
      <w:marRight w:val="0"/>
      <w:marTop w:val="0"/>
      <w:marBottom w:val="0"/>
      <w:divBdr>
        <w:top w:val="none" w:sz="0" w:space="0" w:color="auto"/>
        <w:left w:val="none" w:sz="0" w:space="0" w:color="auto"/>
        <w:bottom w:val="none" w:sz="0" w:space="0" w:color="auto"/>
        <w:right w:val="none" w:sz="0" w:space="0" w:color="auto"/>
      </w:divBdr>
    </w:div>
    <w:div w:id="1996106930">
      <w:bodyDiv w:val="1"/>
      <w:marLeft w:val="0"/>
      <w:marRight w:val="0"/>
      <w:marTop w:val="0"/>
      <w:marBottom w:val="0"/>
      <w:divBdr>
        <w:top w:val="none" w:sz="0" w:space="0" w:color="auto"/>
        <w:left w:val="none" w:sz="0" w:space="0" w:color="auto"/>
        <w:bottom w:val="none" w:sz="0" w:space="0" w:color="auto"/>
        <w:right w:val="none" w:sz="0" w:space="0" w:color="auto"/>
      </w:divBdr>
    </w:div>
    <w:div w:id="2000883645">
      <w:bodyDiv w:val="1"/>
      <w:marLeft w:val="0"/>
      <w:marRight w:val="0"/>
      <w:marTop w:val="0"/>
      <w:marBottom w:val="0"/>
      <w:divBdr>
        <w:top w:val="none" w:sz="0" w:space="0" w:color="auto"/>
        <w:left w:val="none" w:sz="0" w:space="0" w:color="auto"/>
        <w:bottom w:val="none" w:sz="0" w:space="0" w:color="auto"/>
        <w:right w:val="none" w:sz="0" w:space="0" w:color="auto"/>
      </w:divBdr>
    </w:div>
    <w:div w:id="2001691316">
      <w:bodyDiv w:val="1"/>
      <w:marLeft w:val="0"/>
      <w:marRight w:val="0"/>
      <w:marTop w:val="0"/>
      <w:marBottom w:val="0"/>
      <w:divBdr>
        <w:top w:val="none" w:sz="0" w:space="0" w:color="auto"/>
        <w:left w:val="none" w:sz="0" w:space="0" w:color="auto"/>
        <w:bottom w:val="none" w:sz="0" w:space="0" w:color="auto"/>
        <w:right w:val="none" w:sz="0" w:space="0" w:color="auto"/>
      </w:divBdr>
    </w:div>
    <w:div w:id="2008243401">
      <w:bodyDiv w:val="1"/>
      <w:marLeft w:val="0"/>
      <w:marRight w:val="0"/>
      <w:marTop w:val="0"/>
      <w:marBottom w:val="0"/>
      <w:divBdr>
        <w:top w:val="none" w:sz="0" w:space="0" w:color="auto"/>
        <w:left w:val="none" w:sz="0" w:space="0" w:color="auto"/>
        <w:bottom w:val="none" w:sz="0" w:space="0" w:color="auto"/>
        <w:right w:val="none" w:sz="0" w:space="0" w:color="auto"/>
      </w:divBdr>
    </w:div>
    <w:div w:id="2017808117">
      <w:bodyDiv w:val="1"/>
      <w:marLeft w:val="0"/>
      <w:marRight w:val="0"/>
      <w:marTop w:val="0"/>
      <w:marBottom w:val="0"/>
      <w:divBdr>
        <w:top w:val="none" w:sz="0" w:space="0" w:color="auto"/>
        <w:left w:val="none" w:sz="0" w:space="0" w:color="auto"/>
        <w:bottom w:val="none" w:sz="0" w:space="0" w:color="auto"/>
        <w:right w:val="none" w:sz="0" w:space="0" w:color="auto"/>
      </w:divBdr>
    </w:div>
    <w:div w:id="2023124478">
      <w:bodyDiv w:val="1"/>
      <w:marLeft w:val="0"/>
      <w:marRight w:val="0"/>
      <w:marTop w:val="0"/>
      <w:marBottom w:val="0"/>
      <w:divBdr>
        <w:top w:val="none" w:sz="0" w:space="0" w:color="auto"/>
        <w:left w:val="none" w:sz="0" w:space="0" w:color="auto"/>
        <w:bottom w:val="none" w:sz="0" w:space="0" w:color="auto"/>
        <w:right w:val="none" w:sz="0" w:space="0" w:color="auto"/>
      </w:divBdr>
    </w:div>
    <w:div w:id="2024284805">
      <w:bodyDiv w:val="1"/>
      <w:marLeft w:val="0"/>
      <w:marRight w:val="0"/>
      <w:marTop w:val="0"/>
      <w:marBottom w:val="0"/>
      <w:divBdr>
        <w:top w:val="none" w:sz="0" w:space="0" w:color="auto"/>
        <w:left w:val="none" w:sz="0" w:space="0" w:color="auto"/>
        <w:bottom w:val="none" w:sz="0" w:space="0" w:color="auto"/>
        <w:right w:val="none" w:sz="0" w:space="0" w:color="auto"/>
      </w:divBdr>
    </w:div>
    <w:div w:id="2025017491">
      <w:bodyDiv w:val="1"/>
      <w:marLeft w:val="0"/>
      <w:marRight w:val="0"/>
      <w:marTop w:val="0"/>
      <w:marBottom w:val="0"/>
      <w:divBdr>
        <w:top w:val="none" w:sz="0" w:space="0" w:color="auto"/>
        <w:left w:val="none" w:sz="0" w:space="0" w:color="auto"/>
        <w:bottom w:val="none" w:sz="0" w:space="0" w:color="auto"/>
        <w:right w:val="none" w:sz="0" w:space="0" w:color="auto"/>
      </w:divBdr>
    </w:div>
    <w:div w:id="2025860894">
      <w:bodyDiv w:val="1"/>
      <w:marLeft w:val="0"/>
      <w:marRight w:val="0"/>
      <w:marTop w:val="0"/>
      <w:marBottom w:val="0"/>
      <w:divBdr>
        <w:top w:val="none" w:sz="0" w:space="0" w:color="auto"/>
        <w:left w:val="none" w:sz="0" w:space="0" w:color="auto"/>
        <w:bottom w:val="none" w:sz="0" w:space="0" w:color="auto"/>
        <w:right w:val="none" w:sz="0" w:space="0" w:color="auto"/>
      </w:divBdr>
    </w:div>
    <w:div w:id="2030984493">
      <w:bodyDiv w:val="1"/>
      <w:marLeft w:val="0"/>
      <w:marRight w:val="0"/>
      <w:marTop w:val="0"/>
      <w:marBottom w:val="0"/>
      <w:divBdr>
        <w:top w:val="none" w:sz="0" w:space="0" w:color="auto"/>
        <w:left w:val="none" w:sz="0" w:space="0" w:color="auto"/>
        <w:bottom w:val="none" w:sz="0" w:space="0" w:color="auto"/>
        <w:right w:val="none" w:sz="0" w:space="0" w:color="auto"/>
      </w:divBdr>
    </w:div>
    <w:div w:id="2034383934">
      <w:bodyDiv w:val="1"/>
      <w:marLeft w:val="0"/>
      <w:marRight w:val="0"/>
      <w:marTop w:val="0"/>
      <w:marBottom w:val="0"/>
      <w:divBdr>
        <w:top w:val="none" w:sz="0" w:space="0" w:color="auto"/>
        <w:left w:val="none" w:sz="0" w:space="0" w:color="auto"/>
        <w:bottom w:val="none" w:sz="0" w:space="0" w:color="auto"/>
        <w:right w:val="none" w:sz="0" w:space="0" w:color="auto"/>
      </w:divBdr>
    </w:div>
    <w:div w:id="2037920799">
      <w:bodyDiv w:val="1"/>
      <w:marLeft w:val="0"/>
      <w:marRight w:val="0"/>
      <w:marTop w:val="0"/>
      <w:marBottom w:val="0"/>
      <w:divBdr>
        <w:top w:val="none" w:sz="0" w:space="0" w:color="auto"/>
        <w:left w:val="none" w:sz="0" w:space="0" w:color="auto"/>
        <w:bottom w:val="none" w:sz="0" w:space="0" w:color="auto"/>
        <w:right w:val="none" w:sz="0" w:space="0" w:color="auto"/>
      </w:divBdr>
    </w:div>
    <w:div w:id="2039699843">
      <w:bodyDiv w:val="1"/>
      <w:marLeft w:val="0"/>
      <w:marRight w:val="0"/>
      <w:marTop w:val="0"/>
      <w:marBottom w:val="0"/>
      <w:divBdr>
        <w:top w:val="none" w:sz="0" w:space="0" w:color="auto"/>
        <w:left w:val="none" w:sz="0" w:space="0" w:color="auto"/>
        <w:bottom w:val="none" w:sz="0" w:space="0" w:color="auto"/>
        <w:right w:val="none" w:sz="0" w:space="0" w:color="auto"/>
      </w:divBdr>
    </w:div>
    <w:div w:id="2043360458">
      <w:bodyDiv w:val="1"/>
      <w:marLeft w:val="0"/>
      <w:marRight w:val="0"/>
      <w:marTop w:val="0"/>
      <w:marBottom w:val="0"/>
      <w:divBdr>
        <w:top w:val="none" w:sz="0" w:space="0" w:color="auto"/>
        <w:left w:val="none" w:sz="0" w:space="0" w:color="auto"/>
        <w:bottom w:val="none" w:sz="0" w:space="0" w:color="auto"/>
        <w:right w:val="none" w:sz="0" w:space="0" w:color="auto"/>
      </w:divBdr>
    </w:div>
    <w:div w:id="2046831341">
      <w:bodyDiv w:val="1"/>
      <w:marLeft w:val="0"/>
      <w:marRight w:val="0"/>
      <w:marTop w:val="0"/>
      <w:marBottom w:val="0"/>
      <w:divBdr>
        <w:top w:val="none" w:sz="0" w:space="0" w:color="auto"/>
        <w:left w:val="none" w:sz="0" w:space="0" w:color="auto"/>
        <w:bottom w:val="none" w:sz="0" w:space="0" w:color="auto"/>
        <w:right w:val="none" w:sz="0" w:space="0" w:color="auto"/>
      </w:divBdr>
    </w:div>
    <w:div w:id="2047947058">
      <w:bodyDiv w:val="1"/>
      <w:marLeft w:val="0"/>
      <w:marRight w:val="0"/>
      <w:marTop w:val="0"/>
      <w:marBottom w:val="0"/>
      <w:divBdr>
        <w:top w:val="none" w:sz="0" w:space="0" w:color="auto"/>
        <w:left w:val="none" w:sz="0" w:space="0" w:color="auto"/>
        <w:bottom w:val="none" w:sz="0" w:space="0" w:color="auto"/>
        <w:right w:val="none" w:sz="0" w:space="0" w:color="auto"/>
      </w:divBdr>
    </w:div>
    <w:div w:id="2049913481">
      <w:bodyDiv w:val="1"/>
      <w:marLeft w:val="0"/>
      <w:marRight w:val="0"/>
      <w:marTop w:val="0"/>
      <w:marBottom w:val="0"/>
      <w:divBdr>
        <w:top w:val="none" w:sz="0" w:space="0" w:color="auto"/>
        <w:left w:val="none" w:sz="0" w:space="0" w:color="auto"/>
        <w:bottom w:val="none" w:sz="0" w:space="0" w:color="auto"/>
        <w:right w:val="none" w:sz="0" w:space="0" w:color="auto"/>
      </w:divBdr>
    </w:div>
    <w:div w:id="2058895342">
      <w:bodyDiv w:val="1"/>
      <w:marLeft w:val="0"/>
      <w:marRight w:val="0"/>
      <w:marTop w:val="0"/>
      <w:marBottom w:val="0"/>
      <w:divBdr>
        <w:top w:val="none" w:sz="0" w:space="0" w:color="auto"/>
        <w:left w:val="none" w:sz="0" w:space="0" w:color="auto"/>
        <w:bottom w:val="none" w:sz="0" w:space="0" w:color="auto"/>
        <w:right w:val="none" w:sz="0" w:space="0" w:color="auto"/>
      </w:divBdr>
    </w:div>
    <w:div w:id="2067533047">
      <w:bodyDiv w:val="1"/>
      <w:marLeft w:val="0"/>
      <w:marRight w:val="0"/>
      <w:marTop w:val="0"/>
      <w:marBottom w:val="0"/>
      <w:divBdr>
        <w:top w:val="none" w:sz="0" w:space="0" w:color="auto"/>
        <w:left w:val="none" w:sz="0" w:space="0" w:color="auto"/>
        <w:bottom w:val="none" w:sz="0" w:space="0" w:color="auto"/>
        <w:right w:val="none" w:sz="0" w:space="0" w:color="auto"/>
      </w:divBdr>
    </w:div>
    <w:div w:id="2069260255">
      <w:bodyDiv w:val="1"/>
      <w:marLeft w:val="0"/>
      <w:marRight w:val="0"/>
      <w:marTop w:val="0"/>
      <w:marBottom w:val="0"/>
      <w:divBdr>
        <w:top w:val="none" w:sz="0" w:space="0" w:color="auto"/>
        <w:left w:val="none" w:sz="0" w:space="0" w:color="auto"/>
        <w:bottom w:val="none" w:sz="0" w:space="0" w:color="auto"/>
        <w:right w:val="none" w:sz="0" w:space="0" w:color="auto"/>
      </w:divBdr>
    </w:div>
    <w:div w:id="2074157914">
      <w:bodyDiv w:val="1"/>
      <w:marLeft w:val="0"/>
      <w:marRight w:val="0"/>
      <w:marTop w:val="0"/>
      <w:marBottom w:val="0"/>
      <w:divBdr>
        <w:top w:val="none" w:sz="0" w:space="0" w:color="auto"/>
        <w:left w:val="none" w:sz="0" w:space="0" w:color="auto"/>
        <w:bottom w:val="none" w:sz="0" w:space="0" w:color="auto"/>
        <w:right w:val="none" w:sz="0" w:space="0" w:color="auto"/>
      </w:divBdr>
    </w:div>
    <w:div w:id="2080593190">
      <w:bodyDiv w:val="1"/>
      <w:marLeft w:val="0"/>
      <w:marRight w:val="0"/>
      <w:marTop w:val="0"/>
      <w:marBottom w:val="0"/>
      <w:divBdr>
        <w:top w:val="none" w:sz="0" w:space="0" w:color="auto"/>
        <w:left w:val="none" w:sz="0" w:space="0" w:color="auto"/>
        <w:bottom w:val="none" w:sz="0" w:space="0" w:color="auto"/>
        <w:right w:val="none" w:sz="0" w:space="0" w:color="auto"/>
      </w:divBdr>
    </w:div>
    <w:div w:id="2080974333">
      <w:bodyDiv w:val="1"/>
      <w:marLeft w:val="0"/>
      <w:marRight w:val="0"/>
      <w:marTop w:val="0"/>
      <w:marBottom w:val="0"/>
      <w:divBdr>
        <w:top w:val="none" w:sz="0" w:space="0" w:color="auto"/>
        <w:left w:val="none" w:sz="0" w:space="0" w:color="auto"/>
        <w:bottom w:val="none" w:sz="0" w:space="0" w:color="auto"/>
        <w:right w:val="none" w:sz="0" w:space="0" w:color="auto"/>
      </w:divBdr>
    </w:div>
    <w:div w:id="2082941809">
      <w:bodyDiv w:val="1"/>
      <w:marLeft w:val="0"/>
      <w:marRight w:val="0"/>
      <w:marTop w:val="0"/>
      <w:marBottom w:val="0"/>
      <w:divBdr>
        <w:top w:val="none" w:sz="0" w:space="0" w:color="auto"/>
        <w:left w:val="none" w:sz="0" w:space="0" w:color="auto"/>
        <w:bottom w:val="none" w:sz="0" w:space="0" w:color="auto"/>
        <w:right w:val="none" w:sz="0" w:space="0" w:color="auto"/>
      </w:divBdr>
    </w:div>
    <w:div w:id="2083866438">
      <w:bodyDiv w:val="1"/>
      <w:marLeft w:val="0"/>
      <w:marRight w:val="0"/>
      <w:marTop w:val="0"/>
      <w:marBottom w:val="0"/>
      <w:divBdr>
        <w:top w:val="none" w:sz="0" w:space="0" w:color="auto"/>
        <w:left w:val="none" w:sz="0" w:space="0" w:color="auto"/>
        <w:bottom w:val="none" w:sz="0" w:space="0" w:color="auto"/>
        <w:right w:val="none" w:sz="0" w:space="0" w:color="auto"/>
      </w:divBdr>
    </w:div>
    <w:div w:id="2097821434">
      <w:bodyDiv w:val="1"/>
      <w:marLeft w:val="0"/>
      <w:marRight w:val="0"/>
      <w:marTop w:val="0"/>
      <w:marBottom w:val="0"/>
      <w:divBdr>
        <w:top w:val="none" w:sz="0" w:space="0" w:color="auto"/>
        <w:left w:val="none" w:sz="0" w:space="0" w:color="auto"/>
        <w:bottom w:val="none" w:sz="0" w:space="0" w:color="auto"/>
        <w:right w:val="none" w:sz="0" w:space="0" w:color="auto"/>
      </w:divBdr>
    </w:div>
    <w:div w:id="2104762293">
      <w:bodyDiv w:val="1"/>
      <w:marLeft w:val="0"/>
      <w:marRight w:val="0"/>
      <w:marTop w:val="0"/>
      <w:marBottom w:val="0"/>
      <w:divBdr>
        <w:top w:val="none" w:sz="0" w:space="0" w:color="auto"/>
        <w:left w:val="none" w:sz="0" w:space="0" w:color="auto"/>
        <w:bottom w:val="none" w:sz="0" w:space="0" w:color="auto"/>
        <w:right w:val="none" w:sz="0" w:space="0" w:color="auto"/>
      </w:divBdr>
    </w:div>
    <w:div w:id="2105296994">
      <w:bodyDiv w:val="1"/>
      <w:marLeft w:val="0"/>
      <w:marRight w:val="0"/>
      <w:marTop w:val="0"/>
      <w:marBottom w:val="0"/>
      <w:divBdr>
        <w:top w:val="none" w:sz="0" w:space="0" w:color="auto"/>
        <w:left w:val="none" w:sz="0" w:space="0" w:color="auto"/>
        <w:bottom w:val="none" w:sz="0" w:space="0" w:color="auto"/>
        <w:right w:val="none" w:sz="0" w:space="0" w:color="auto"/>
      </w:divBdr>
    </w:div>
    <w:div w:id="2107991007">
      <w:bodyDiv w:val="1"/>
      <w:marLeft w:val="0"/>
      <w:marRight w:val="0"/>
      <w:marTop w:val="0"/>
      <w:marBottom w:val="0"/>
      <w:divBdr>
        <w:top w:val="none" w:sz="0" w:space="0" w:color="auto"/>
        <w:left w:val="none" w:sz="0" w:space="0" w:color="auto"/>
        <w:bottom w:val="none" w:sz="0" w:space="0" w:color="auto"/>
        <w:right w:val="none" w:sz="0" w:space="0" w:color="auto"/>
      </w:divBdr>
    </w:div>
    <w:div w:id="2114402081">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8907623">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
    <w:div w:id="214330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lookup?journal=Clin.+Vaccine+Immunol.&amp;volume=20&amp;publication_year=2013&amp;pages=1108&amp;pmid=23697573&amp;" TargetMode="External"/><Relationship Id="rId299" Type="http://schemas.openxmlformats.org/officeDocument/2006/relationships/hyperlink" Target="https://www.ncbi.nlm.nih.gov/pubmed/11478810" TargetMode="External"/><Relationship Id="rId671" Type="http://schemas.openxmlformats.org/officeDocument/2006/relationships/footer" Target="footer2.xml"/><Relationship Id="rId21" Type="http://schemas.openxmlformats.org/officeDocument/2006/relationships/image" Target="media/image13.emf"/><Relationship Id="rId63" Type="http://schemas.openxmlformats.org/officeDocument/2006/relationships/hyperlink" Target="https://pubmed.ncbi.nlm.nih.gov/22065722" TargetMode="External"/><Relationship Id="rId159" Type="http://schemas.openxmlformats.org/officeDocument/2006/relationships/hyperlink" Target="https://pubmed.ncbi.nlm.nih.gov/17525752" TargetMode="External"/><Relationship Id="rId324" Type="http://schemas.openxmlformats.org/officeDocument/2006/relationships/hyperlink" Target="https://doi.org/10.1182%2Fblood-2009-10-247411" TargetMode="External"/><Relationship Id="rId366" Type="http://schemas.openxmlformats.org/officeDocument/2006/relationships/hyperlink" Target="https://onlinelibrary.wiley.com/servlet/linkout?suffix=null&amp;dbid=128&amp;doi=10.1111%2Fimr.12619&amp;key=000352500800010" TargetMode="External"/><Relationship Id="rId531" Type="http://schemas.openxmlformats.org/officeDocument/2006/relationships/hyperlink" Target="https://doi.org/10.1016/j.cyto.2018.03.036" TargetMode="External"/><Relationship Id="rId573" Type="http://schemas.openxmlformats.org/officeDocument/2006/relationships/hyperlink" Target="https://pubmed.ncbi.nlm.nih.gov/?term=Demehri+S&amp;cauthor_id=30696763" TargetMode="External"/><Relationship Id="rId629" Type="http://schemas.openxmlformats.org/officeDocument/2006/relationships/hyperlink" Target="https://doi.org/10.4049/jimmunol.181.4.2898" TargetMode="External"/><Relationship Id="rId170" Type="http://schemas.openxmlformats.org/officeDocument/2006/relationships/hyperlink" Target="https://scholar.google.com/scholar_lookup?journal=Postepy+Dermatol.+Alergol.&amp;volume=31&amp;publication_year=2014&amp;pages=84&amp;pmid=25097473&amp;" TargetMode="External"/><Relationship Id="rId226" Type="http://schemas.openxmlformats.org/officeDocument/2006/relationships/hyperlink" Target="https://www.ncbi.nlm.nih.gov/pmc/articles/PMC4910822/" TargetMode="External"/><Relationship Id="rId433" Type="http://schemas.openxmlformats.org/officeDocument/2006/relationships/hyperlink" Target="https://doi.org/10.1093%2Fintimm%2Fdxr006" TargetMode="External"/><Relationship Id="rId268" Type="http://schemas.openxmlformats.org/officeDocument/2006/relationships/hyperlink" Target="http://scholar.google.com/scholar_lookup?hl=en&amp;volume=110&amp;publication_year=2013&amp;pages=14918-14923&amp;journal=Proc+Natl+Acad+Sci+U+S+A&amp;author=X+Liu&amp;author=M+Hammel&amp;author=Y+He&amp;title=Structural+insights+into+the+interaction+of+IL%E2%80%9033+with+its+receptors" TargetMode="External"/><Relationship Id="rId475" Type="http://schemas.openxmlformats.org/officeDocument/2006/relationships/hyperlink" Target="https://doi.org/10.3899/jrheum.140234" TargetMode="External"/><Relationship Id="rId640" Type="http://schemas.openxmlformats.org/officeDocument/2006/relationships/hyperlink" Target="https://www.jimmunol.org/lookup/google-scholar?link_type=googlescholar&amp;gs_type=article&amp;q_txt=Bettelli%2C+E.%2C+Y.+Carrier%2C+W.+Gao%2C+T.+Korn%2C+T.+B.+Strom%2C+M.+Oukka%2C+H.+L.+Weiner%2C+V.+K.+Kuchroo.+2006.+Reciprocal+developmental+pathways+for+the+generation+of+pathogenic+effector+TH17+and+regulatory+T+cells.+Nature+441%3A+235-238." TargetMode="External"/><Relationship Id="rId32" Type="http://schemas.openxmlformats.org/officeDocument/2006/relationships/image" Target="media/image24.emf"/><Relationship Id="rId74" Type="http://schemas.openxmlformats.org/officeDocument/2006/relationships/hyperlink" Target="https://pubmed.ncbi.nlm.nih.gov/19413999" TargetMode="External"/><Relationship Id="rId128" Type="http://schemas.openxmlformats.org/officeDocument/2006/relationships/hyperlink" Target="https://scholar.google.com/scholar_lookup?journal=Nat.+Rev.+Immunol.&amp;volume=14&amp;publication_year=2014&amp;pages=329&amp;pmid=24751956&amp;" TargetMode="External"/><Relationship Id="rId335" Type="http://schemas.openxmlformats.org/officeDocument/2006/relationships/hyperlink" Target="https://doi.org/10.1016%2Fj.cyto.2012.02.008" TargetMode="External"/><Relationship Id="rId377" Type="http://schemas.openxmlformats.org/officeDocument/2006/relationships/hyperlink" Target="http://scholar.google.com/scholar_lookup?hl=en&amp;volume=15&amp;publication_year=2016&amp;pages=1743-1756&amp;journal=Cell+Rep&amp;author=M+Mahapatro&amp;author=S+Foersch&amp;author=M+Hefele&amp;title=Programming+of+intestinal+epithelial+differentiation+by+IL%E2%80%9033+derived+from+pericryptal+fibroblasts+in+response+to+systemic+infection" TargetMode="External"/><Relationship Id="rId500" Type="http://schemas.openxmlformats.org/officeDocument/2006/relationships/hyperlink" Target="https://doi.org/10.4049/jimmunol.1602186" TargetMode="External"/><Relationship Id="rId542" Type="http://schemas.openxmlformats.org/officeDocument/2006/relationships/hyperlink" Target="https://www.ncbi.nlm.nih.gov/pmc/articles/PMC2195840/?report=reader" TargetMode="External"/><Relationship Id="rId584" Type="http://schemas.openxmlformats.org/officeDocument/2006/relationships/hyperlink" Target="https://www.ncbi.nlm.nih.gov/pubmed/24564868" TargetMode="External"/><Relationship Id="rId5" Type="http://schemas.openxmlformats.org/officeDocument/2006/relationships/settings" Target="settings.xml"/><Relationship Id="rId181" Type="http://schemas.openxmlformats.org/officeDocument/2006/relationships/hyperlink" Target="https://scholar.google.com/scholar_lookup?journal=Sens.+Actuators,+B&amp;volume=251&amp;publication_year=2017&amp;pages=1026&amp;" TargetMode="External"/><Relationship Id="rId237" Type="http://schemas.openxmlformats.org/officeDocument/2006/relationships/hyperlink" Target="https://pubmed.ncbi.nlm.nih.gov/24522699" TargetMode="External"/><Relationship Id="rId402" Type="http://schemas.openxmlformats.org/officeDocument/2006/relationships/hyperlink" Target="https://onlinelibrary.wiley.com/servlet/linkout?suffix=null&amp;dbid=16&amp;doi=10.1111%2Fimr.12619&amp;key=10.1038%2Fnature08900" TargetMode="External"/><Relationship Id="rId279" Type="http://schemas.openxmlformats.org/officeDocument/2006/relationships/hyperlink" Target="https://jlb.onlinelibrary.wiley.com/doi/10.1189/jlb.0811425" TargetMode="External"/><Relationship Id="rId444" Type="http://schemas.openxmlformats.org/officeDocument/2006/relationships/hyperlink" Target="https://pubmed.ncbi.nlm.nih.gov/30886621" TargetMode="External"/><Relationship Id="rId486" Type="http://schemas.openxmlformats.org/officeDocument/2006/relationships/hyperlink" Target="https://www.ncbi.nlm.nih.gov/pmc/articles/PMC7352728/" TargetMode="External"/><Relationship Id="rId651" Type="http://schemas.openxmlformats.org/officeDocument/2006/relationships/hyperlink" Target="https://www.jimmunol.org/lookup/google-scholar?link_type=googlescholar&amp;gs_type=article&amp;q_txt=Okamura%2C+H.%2C+H.+Tsutsui%2C+T.+Komatsu%2C+M.+Yutsudo%2C+A.+Hakura%2C+T.+Tanimoto%2C+K.+Torigoe%2C+T.+Okura%2C+Y.+Nukada%2C+K.+Hattori%2C+et+al+1995.+Cloning+of+a+new+cytokine+that+induces+IFN-%CE%B3+production+by+T+cells.+Nature+378%3A+88-91." TargetMode="External"/><Relationship Id="rId43" Type="http://schemas.openxmlformats.org/officeDocument/2006/relationships/image" Target="media/image35.emf"/><Relationship Id="rId139" Type="http://schemas.openxmlformats.org/officeDocument/2006/relationships/hyperlink" Target="https://pubmed.ncbi.nlm.nih.gov/16481637" TargetMode="External"/><Relationship Id="rId290" Type="http://schemas.openxmlformats.org/officeDocument/2006/relationships/hyperlink" Target="https://scholar.google.com/scholar_lookup?journal=Cell+Growth+Differ&amp;title=Role+of+cell+type-specific+promoters+in+the+developmental+regulation+of+T1,+an+interleukin+1+receptor+homologue&amp;author=E+Thomassen&amp;volume=6&amp;publication_year=1995&amp;pages=179-184&amp;pmid=7756176&amp;" TargetMode="External"/><Relationship Id="rId304" Type="http://schemas.openxmlformats.org/officeDocument/2006/relationships/hyperlink" Target="https://pubmed.ncbi.nlm.nih.gov/27694493" TargetMode="External"/><Relationship Id="rId346" Type="http://schemas.openxmlformats.org/officeDocument/2006/relationships/hyperlink" Target="https://onlinelibrary.wiley.com/servlet/linkout?suffix=null&amp;dbid=32&amp;doi=10.1111%2Fimr.12619&amp;key=1%3ACAS%3A528%3ADC%252BD1cXht1ygtrjN" TargetMode="External"/><Relationship Id="rId388" Type="http://schemas.openxmlformats.org/officeDocument/2006/relationships/hyperlink" Target="https://onlinelibrary.wiley.com/servlet/linkout?suffix=null&amp;dbid=32&amp;doi=10.1111%2Fimr.12619&amp;key=1%3ACAS%3A528%3ADC%252BC2MXhtF2rsb3M" TargetMode="External"/><Relationship Id="rId511" Type="http://schemas.openxmlformats.org/officeDocument/2006/relationships/hyperlink" Target="https://pubmed.ncbi.nlm.nih.gov/?term=Otsuka%20Y%5BAuthor%5D" TargetMode="External"/><Relationship Id="rId553" Type="http://schemas.openxmlformats.org/officeDocument/2006/relationships/hyperlink" Target="https://doi.org/10.3389/fendo.2019.00026" TargetMode="External"/><Relationship Id="rId609" Type="http://schemas.openxmlformats.org/officeDocument/2006/relationships/hyperlink" Target="https://www.jimmunol.org/lookup/google-scholar?link_type=googlescholar&amp;gs_type=article&amp;q_txt=Bettelli%2C+E.%2C+Y.+Carrier%2C+W.+Gao%2C+T.+Korn%2C+T.+B.+Strom%2C+M.+Oukka%2C+H.+L.+Weiner%2C+V.+K.+Kuchroo.+2006.+Reciprocal+developmental+pathways+for+the+generation+of+pathogenic+effector+TH17+and+regulatory+T+cells.+Nature+441%3A+235-238." TargetMode="External"/><Relationship Id="rId85" Type="http://schemas.openxmlformats.org/officeDocument/2006/relationships/hyperlink" Target="https://scholar.google.com/scholar_lookup?journal=Int.+J.+Biol.+Macromol.&amp;volume=69&amp;publication_year=2014&amp;pages=382&amp;pmid=24905959&amp;" TargetMode="External"/><Relationship Id="rId150" Type="http://schemas.openxmlformats.org/officeDocument/2006/relationships/hyperlink" Target="https://scholar.google.com/scholar_lookup?journal=Am.+J.+Pathol.&amp;volume=165&amp;publication_year=2004&amp;pages=1583&amp;pmid=15509528&amp;" TargetMode="External"/><Relationship Id="rId192" Type="http://schemas.openxmlformats.org/officeDocument/2006/relationships/hyperlink" Target="https://pubmed.ncbi.nlm.nih.gov/31636925" TargetMode="External"/><Relationship Id="rId206" Type="http://schemas.openxmlformats.org/officeDocument/2006/relationships/hyperlink" Target="https://www.ncbi.nlm.nih.gov/pmc/articles/PMC6833483/" TargetMode="External"/><Relationship Id="rId413" Type="http://schemas.openxmlformats.org/officeDocument/2006/relationships/hyperlink" Target="https://onlinelibrary.wiley.com/servlet/linkout?suffix=null&amp;dbid=32&amp;doi=10.1111%2Fimr.12619&amp;key=1%3ACAS%3A528%3ADC%252BC3MXhtFGntbfL" TargetMode="External"/><Relationship Id="rId595" Type="http://schemas.openxmlformats.org/officeDocument/2006/relationships/hyperlink" Target="https://www.jimmunol.org/lookup/external-ref?access_num=10.1038/ni1254&amp;link_type=DOI" TargetMode="External"/><Relationship Id="rId248" Type="http://schemas.openxmlformats.org/officeDocument/2006/relationships/hyperlink" Target="https://scholar.google.com/scholar_lookup?journal=Cytokine&amp;volume=125&amp;publication_year=2020&amp;pages=154829&amp;pmid=31472404&amp;" TargetMode="External"/><Relationship Id="rId455" Type="http://schemas.openxmlformats.org/officeDocument/2006/relationships/hyperlink" Target="https://pubmed.ncbi.nlm.nih.gov/?term=Pradeep%20A%5BAuthor%5D" TargetMode="External"/><Relationship Id="rId497" Type="http://schemas.openxmlformats.org/officeDocument/2006/relationships/hyperlink" Target="https://doi.org/10.1126/science.1215418" TargetMode="External"/><Relationship Id="rId620" Type="http://schemas.openxmlformats.org/officeDocument/2006/relationships/hyperlink" Target="https://doi.org/10.1126/science.aat6280" TargetMode="External"/><Relationship Id="rId662" Type="http://schemas.openxmlformats.org/officeDocument/2006/relationships/hyperlink" Target="https://www.jimmunol.org/lookup/ijlink/YTozOntzOjQ6InBhdGgiO3M6MTQ6Ii9sb29rdXAvaWpsaW5rIjtzOjU6InF1ZXJ5IjthOjQ6e3M6ODoibGlua1R5cGUiO3M6NDoiQUJTVCI7czoxMToiam91cm5hbENvZGUiO3M6NToiamxldWIiO3M6NToicmVzaWQiO3M6ODoiODIvMi8zMjciO3M6NDoiYXRvbSI7czoyNToiL2ppbW11bm9sLzE4MS80LzI4OTguYXRvbSI7fXM6ODoiZnJhZ21lbnQiO3M6MDoiIjt9" TargetMode="External"/><Relationship Id="rId12" Type="http://schemas.openxmlformats.org/officeDocument/2006/relationships/image" Target="media/image4.png"/><Relationship Id="rId108" Type="http://schemas.openxmlformats.org/officeDocument/2006/relationships/hyperlink" Target="https://pubmed.ncbi.nlm.nih.gov/24583068" TargetMode="External"/><Relationship Id="rId315" Type="http://schemas.openxmlformats.org/officeDocument/2006/relationships/hyperlink" Target="https://doi.org/10.1016%2Fj.ajpath.2015.08.013" TargetMode="External"/><Relationship Id="rId357" Type="http://schemas.openxmlformats.org/officeDocument/2006/relationships/hyperlink" Target="https://onlinelibrary.wiley.com/servlet/linkout?suffix=null&amp;dbid=32&amp;doi=10.1111%2Fimr.12619&amp;key=1%3ACAS%3A528%3ADC%252BC3sXmvFGhtA%253D%253D" TargetMode="External"/><Relationship Id="rId522" Type="http://schemas.openxmlformats.org/officeDocument/2006/relationships/hyperlink" Target="https://dx.doi.org/10.3390%2Fijms19092676" TargetMode="External"/><Relationship Id="rId54" Type="http://schemas.openxmlformats.org/officeDocument/2006/relationships/hyperlink" Target="https://scholar.google.com/scholar_lookup?journal=Breast+Cancer+Research&amp;title=Inflammation+and+breast+cancer.+Balancing+immune+response:+crosstalk+between+adaptive+and+innate+immune+cells+during+breast+cancer+progression&amp;author=DG+Denardo&amp;author=LM+Coussens&amp;volume=9&amp;publication_year=2007&amp;pages=212&amp;pmid=17705880&amp;doi=10.1186/bcr1746&amp;" TargetMode="External"/><Relationship Id="rId96" Type="http://schemas.openxmlformats.org/officeDocument/2006/relationships/hyperlink" Target="https://www.ncbi.nlm.nih.gov/pmc/articles/PMC6598278/" TargetMode="External"/><Relationship Id="rId161" Type="http://schemas.openxmlformats.org/officeDocument/2006/relationships/hyperlink" Target="https://pubmed.ncbi.nlm.nih.gov/14563353" TargetMode="External"/><Relationship Id="rId217" Type="http://schemas.openxmlformats.org/officeDocument/2006/relationships/hyperlink" Target="https://scholar.google.com/scholar_lookup?journal=Biopreserv.+Biobanking&amp;volume=14&amp;publication_year=2016&amp;pages=51&amp;" TargetMode="External"/><Relationship Id="rId399" Type="http://schemas.openxmlformats.org/officeDocument/2006/relationships/hyperlink" Target="https://onlinelibrary.wiley.com/servlet/linkout?suffix=null&amp;dbid=8&amp;doi=10.1111%2Fimr.12619&amp;key=20023630" TargetMode="External"/><Relationship Id="rId564" Type="http://schemas.openxmlformats.org/officeDocument/2006/relationships/hyperlink" Target="https://pubmed.ncbi.nlm.nih.gov/?term=Moradi+Tuchayi+S&amp;cauthor_id=30696763" TargetMode="External"/><Relationship Id="rId259" Type="http://schemas.openxmlformats.org/officeDocument/2006/relationships/hyperlink" Target="https://onlinelibrary.wiley.com/servlet/linkout?suffix=null&amp;dbid=16&amp;doi=10.1111%2Fimr.12619&amp;key=10.1016%2Fj.str.2009.08.009" TargetMode="External"/><Relationship Id="rId424" Type="http://schemas.openxmlformats.org/officeDocument/2006/relationships/hyperlink" Target="https://pubmed.ncbi.nlm.nih.gov/?term=Sattar+N&amp;cauthor_id=20634488" TargetMode="External"/><Relationship Id="rId466" Type="http://schemas.openxmlformats.org/officeDocument/2006/relationships/hyperlink" Target="https://pubmed.ncbi.nlm.nih.gov/?term=Martins%20LA%5BAuthor%5D" TargetMode="External"/><Relationship Id="rId631" Type="http://schemas.openxmlformats.org/officeDocument/2006/relationships/hyperlink" Target="https://www.jimmunol.org/lookup/external-ref?access_num=17676044&amp;link_type=MED&amp;atom=%2Fjimmunol%2F181%2F4%2F2898.atom" TargetMode="External"/><Relationship Id="rId673" Type="http://schemas.openxmlformats.org/officeDocument/2006/relationships/theme" Target="theme/theme1.xml"/><Relationship Id="rId23" Type="http://schemas.openxmlformats.org/officeDocument/2006/relationships/image" Target="media/image15.emf"/><Relationship Id="rId119" Type="http://schemas.openxmlformats.org/officeDocument/2006/relationships/hyperlink" Target="https://pubmed.ncbi.nlm.nih.gov/25215307" TargetMode="External"/><Relationship Id="rId270" Type="http://schemas.openxmlformats.org/officeDocument/2006/relationships/hyperlink" Target="https://www.ncbi.nlm.nih.gov/pubmed/20959797" TargetMode="External"/><Relationship Id="rId326" Type="http://schemas.openxmlformats.org/officeDocument/2006/relationships/hyperlink" Target="https://pubmed.ncbi.nlm.nih.gov/25531326" TargetMode="External"/><Relationship Id="rId533" Type="http://schemas.openxmlformats.org/officeDocument/2006/relationships/hyperlink" Target="https://pubmed.ncbi.nlm.nih.gov/?term=Wang%20W%5BAuthor%5D" TargetMode="External"/><Relationship Id="rId65" Type="http://schemas.openxmlformats.org/officeDocument/2006/relationships/hyperlink" Target="https://onlinelibrary.wiley.com/action/doSearch?ContribAuthorStored=Dinarello%2C+Charles+A" TargetMode="External"/><Relationship Id="rId130" Type="http://schemas.openxmlformats.org/officeDocument/2006/relationships/hyperlink" Target="https://scholar.google.com/scholar_lookup?journal=Immunity&amp;volume=1&amp;publication_year=1994&amp;pages=553&amp;pmid=7600284&amp;" TargetMode="External"/><Relationship Id="rId368" Type="http://schemas.openxmlformats.org/officeDocument/2006/relationships/hyperlink" Target="https://onlinelibrary.wiley.com/servlet/linkout?suffix=null&amp;dbid=16&amp;doi=10.1111%2Fimr.12619&amp;key=10.1073%2Fpnas.1422445112" TargetMode="External"/><Relationship Id="rId575" Type="http://schemas.openxmlformats.org/officeDocument/2006/relationships/hyperlink" Target="https://www.ncbi.nlm.nih.gov/pmc/articles/PMC2865633/?report=reader" TargetMode="External"/><Relationship Id="rId172" Type="http://schemas.openxmlformats.org/officeDocument/2006/relationships/hyperlink" Target="https://pubmed.ncbi.nlm.nih.gov/?term=Chu%20D%5BAuthor%5D" TargetMode="External"/><Relationship Id="rId228" Type="http://schemas.openxmlformats.org/officeDocument/2006/relationships/hyperlink" Target="https://scholar.google.com/scholar_lookup?journal=Cytokine&amp;volume=84&amp;publication_year=2016&amp;pages=17&amp;pmid=27208752&amp;" TargetMode="External"/><Relationship Id="rId435" Type="http://schemas.openxmlformats.org/officeDocument/2006/relationships/hyperlink" Target="https://www.ncbi.nlm.nih.gov/pmc/articles/PMC3262877/" TargetMode="External"/><Relationship Id="rId477" Type="http://schemas.openxmlformats.org/officeDocument/2006/relationships/hyperlink" Target="https://pubmed.ncbi.nlm.nih.gov/?term=Stellin%20L%5BAuthor%5D" TargetMode="External"/><Relationship Id="rId600" Type="http://schemas.openxmlformats.org/officeDocument/2006/relationships/hyperlink" Target="https://www.jimmunol.org/lookup/google-scholar?link_type=googlescholar&amp;gs_type=article&amp;q_txt=Park%2C+H.%2C+Z.+Li%2C+X.+O.+Yang%2C+S.+H.+Chang%2C+R.+Nurieva%2C+Y.+H.+Wang%2C+Y.+Wang%2C+L.+Hood%2C+Z.+Zhu%2C+Q.+Tian%2C+C.+Dong.+2005.+A+distinct+lineage+of+CD4+T+cells+regulates+tissue+inflammation+by+producing+interleukin+17.+Nat.+Immunol.+6%3A+1133-1141." TargetMode="External"/><Relationship Id="rId642" Type="http://schemas.openxmlformats.org/officeDocument/2006/relationships/hyperlink" Target="https://www.jimmunol.org/lookup/google-scholar?link_type=googlescholar&amp;gs_type=article&amp;q_txt=Fox%2C+R.+I.%2C+H.+I.+Kang%2C+D.+Ando%2C+J.+Abrams%2C+E.+Pisa.+1994.+Cytokine+mRNA+expression+in+salivary+gland+biopsies+of+Sj%C3%B6gren%E2%80%99s+syndrome.+J.+Immunol.+152%3A+5532-5539." TargetMode="External"/><Relationship Id="rId281" Type="http://schemas.openxmlformats.org/officeDocument/2006/relationships/hyperlink" Target="https://onlinelibrary.wiley.com/servlet/linkout?suffix=null&amp;dbid=8&amp;doi=10.1111%2Fimr.12619&amp;key=22013230" TargetMode="External"/><Relationship Id="rId337" Type="http://schemas.openxmlformats.org/officeDocument/2006/relationships/hyperlink" Target="https://pubmed.ncbi.nlm.nih.gov/21737781" TargetMode="External"/><Relationship Id="rId502" Type="http://schemas.openxmlformats.org/officeDocument/2006/relationships/hyperlink" Target="https://doi.org/10.2500/ajra.2009.23.3303" TargetMode="External"/><Relationship Id="rId34" Type="http://schemas.openxmlformats.org/officeDocument/2006/relationships/image" Target="media/image26.emf"/><Relationship Id="rId76" Type="http://schemas.openxmlformats.org/officeDocument/2006/relationships/hyperlink" Target="https://pubmed.ncbi.nlm.nih.gov/?term=Dinarello+CA&amp;cauthor_id=10936147" TargetMode="External"/><Relationship Id="rId141" Type="http://schemas.openxmlformats.org/officeDocument/2006/relationships/hyperlink" Target="https://pubmed.ncbi.nlm.nih.gov/15823270" TargetMode="External"/><Relationship Id="rId379" Type="http://schemas.openxmlformats.org/officeDocument/2006/relationships/hyperlink" Target="https://onlinelibrary.wiley.com/servlet/linkout?suffix=null&amp;dbid=32&amp;doi=10.1111%2Fimr.12619&amp;key=1%3ACAS%3A528%3ADC%252BC3sXhvFymt7%252FO" TargetMode="External"/><Relationship Id="rId544" Type="http://schemas.openxmlformats.org/officeDocument/2006/relationships/hyperlink" Target="https://scholar.google.com/scholar_lookup?journal=J+Exper+Med&amp;title=Differential+tumor+surveillance+by+natural+killer+(NK)+and+NKT+cells&amp;author=MT+Smyth&amp;author=KY+Thia&amp;author=SE+Street&amp;author=E+Cretney&amp;author=JA+Trapani&amp;volume=191&amp;issue=4&amp;publication_year=2000&amp;pages=661-8&amp;pmid=10684858&amp;" TargetMode="External"/><Relationship Id="rId586" Type="http://schemas.openxmlformats.org/officeDocument/2006/relationships/hyperlink" Target="https://www.ncbi.nlm.nih.gov/pmc/articles/PMC2974025/?report=reader" TargetMode="External"/><Relationship Id="rId7" Type="http://schemas.openxmlformats.org/officeDocument/2006/relationships/footnotes" Target="footnotes.xml"/><Relationship Id="rId183" Type="http://schemas.openxmlformats.org/officeDocument/2006/relationships/hyperlink" Target="https://pubmed.ncbi.nlm.nih.gov/23199394" TargetMode="External"/><Relationship Id="rId239" Type="http://schemas.openxmlformats.org/officeDocument/2006/relationships/hyperlink" Target="https://pubmed.ncbi.nlm.nih.gov/18976019" TargetMode="External"/><Relationship Id="rId390" Type="http://schemas.openxmlformats.org/officeDocument/2006/relationships/hyperlink" Target="https://onlinelibrary.wiley.com/servlet/linkout?suffix=null&amp;dbid=128&amp;doi=10.1111%2Fimr.12619&amp;key=000356362800008" TargetMode="External"/><Relationship Id="rId404" Type="http://schemas.openxmlformats.org/officeDocument/2006/relationships/hyperlink" Target="https://onlinelibrary.wiley.com/servlet/linkout?suffix=null&amp;dbid=8&amp;doi=10.1111%2Fimr.12619&amp;key=20200518" TargetMode="External"/><Relationship Id="rId446" Type="http://schemas.openxmlformats.org/officeDocument/2006/relationships/hyperlink" Target="https://scholar.google.com/scholar_lookup?journal=Front.+Immunol.&amp;title=IL33:+roles+in+allergic+inflammation+and+therapeutic+perspectives&amp;author=B.+C.+L.+Chan&amp;author=C.+W.+K.+Lam&amp;author=L.+S.+Tam&amp;author=C.+K.+Wong&amp;volume=10&amp;publication_year=2019&amp;pages=364&amp;pmid=30886621&amp;doi=10.3389/fimmu.2019.00364&amp;" TargetMode="External"/><Relationship Id="rId611" Type="http://schemas.openxmlformats.org/officeDocument/2006/relationships/hyperlink" Target="https://www.jimmunol.org/lookup/external-ref?access_num=17363300&amp;link_type=MED&amp;atom=%2Fjimmunol%2F181%2F4%2F2898.atom" TargetMode="External"/><Relationship Id="rId653" Type="http://schemas.openxmlformats.org/officeDocument/2006/relationships/hyperlink" Target="https://www.jimmunol.org/lookup/external-ref?access_num=11244043&amp;link_type=MED&amp;atom=%2Fjimmunol%2F181%2F4%2F2898.atom" TargetMode="External"/><Relationship Id="rId250" Type="http://schemas.openxmlformats.org/officeDocument/2006/relationships/hyperlink" Target="https://scholar.google.com/scholar_lookup?journal=Methods&amp;volume=61&amp;publication_year=2013&amp;pages=10&amp;pmid=23603216&amp;" TargetMode="External"/><Relationship Id="rId292" Type="http://schemas.openxmlformats.org/officeDocument/2006/relationships/hyperlink" Target="https://scholar.google.com/scholar_lookup?journal=J+Biol+Chem&amp;title=Transcription+of+the+interleukin-1+receptor-related+T1+gene+is+initiated+at+different+promoters+in+mast+cells+and+fibroblasts&amp;author=T+Gachter&amp;author=AK+Werenskiold&amp;author=R+Klemenz&amp;volume=271&amp;publication_year=1996&amp;pages=124-129&amp;pmid=8550546&amp;" TargetMode="External"/><Relationship Id="rId306" Type="http://schemas.openxmlformats.org/officeDocument/2006/relationships/hyperlink" Target="https://scholar.google.com/scholar_lookup?journal=J+Immunol&amp;title=MK2/3+are+pivotal+for+IL-33-induced+and+mast+cell-dependent+leukocyte+recruitment+and+the+resulting+skin+inflammation&amp;author=S+Drube&amp;author=F+Kraft&amp;author=J+Dudeck&amp;author=AL+Muller&amp;author=F+Weber&amp;volume=197&amp;publication_year=2016&amp;pages=3662-3668&amp;pmid=27694493&amp;doi=10.4049/jimmunol.1600658&amp;" TargetMode="External"/><Relationship Id="rId488" Type="http://schemas.openxmlformats.org/officeDocument/2006/relationships/hyperlink" Target="https://www.ncbi.nlm.nih.gov/pmc/articles/PMC2271006/" TargetMode="External"/><Relationship Id="rId45" Type="http://schemas.openxmlformats.org/officeDocument/2006/relationships/image" Target="media/image37.jpeg"/><Relationship Id="rId87" Type="http://schemas.openxmlformats.org/officeDocument/2006/relationships/hyperlink" Target="https://www.ncbi.nlm.nih.gov/pmc/articles/PMC1857251/" TargetMode="External"/><Relationship Id="rId110" Type="http://schemas.openxmlformats.org/officeDocument/2006/relationships/hyperlink" Target="https://www.ncbi.nlm.nih.gov/pmc/articles/PMC5033675/" TargetMode="External"/><Relationship Id="rId348" Type="http://schemas.openxmlformats.org/officeDocument/2006/relationships/hyperlink" Target="https://onlinelibrary.wiley.com/servlet/linkout?suffix=null&amp;dbid=128&amp;doi=10.1111%2Fimr.12619&amp;key=000265113500002" TargetMode="External"/><Relationship Id="rId513" Type="http://schemas.openxmlformats.org/officeDocument/2006/relationships/hyperlink" Target="https://pubmed.ncbi.nlm.nih.gov/?term=Yoshikawa%20T%5BAuthor%5D" TargetMode="External"/><Relationship Id="rId555" Type="http://schemas.openxmlformats.org/officeDocument/2006/relationships/hyperlink" Target="https://doi.org/10.1093%2Fmolehr%2Fgat094" TargetMode="External"/><Relationship Id="rId597" Type="http://schemas.openxmlformats.org/officeDocument/2006/relationships/hyperlink" Target="https://www.jimmunol.org/lookup/google-scholar?link_type=googlescholar&amp;gs_type=article&amp;q_txt=Harrington%2C+L.+E.%2C+R.+D.+Hatton%2C+P.+R.+Mangan%2C+H.+Turner%2C+T.+L.+Murphy%2C+K.+M.+Murphy%2C+C.+T.+Weaver.+2005.+Interleukin+17-producing+CD4%2B+effector+T+cells+develop+via+a+lineage+distinct+from+the+T+helper+type+1+and+2+lineages.+Nat.+Immunol.+6%3A+1123-1132." TargetMode="External"/><Relationship Id="rId152" Type="http://schemas.openxmlformats.org/officeDocument/2006/relationships/hyperlink" Target="https://pubmed.ncbi.nlm.nih.gov/19365081" TargetMode="External"/><Relationship Id="rId194" Type="http://schemas.openxmlformats.org/officeDocument/2006/relationships/hyperlink" Target="https://scholar.google.com/scholar_lookup?journal=Mol.+Syst.+Des.+Eng.&amp;volume=4&amp;publication_year=2019&amp;pages=872&amp;" TargetMode="External"/><Relationship Id="rId208" Type="http://schemas.openxmlformats.org/officeDocument/2006/relationships/hyperlink" Target="https://scholar.google.com/scholar_lookup?journal=iScience&amp;volume=20&amp;publication_year=2019&amp;pages=137&amp;pmid=31569048&amp;" TargetMode="External"/><Relationship Id="rId415" Type="http://schemas.openxmlformats.org/officeDocument/2006/relationships/hyperlink" Target="https://onlinelibrary.wiley.com/servlet/linkout?suffix=null&amp;dbid=128&amp;doi=10.1111%2Fimr.12619&amp;key=000296500100010" TargetMode="External"/><Relationship Id="rId457" Type="http://schemas.openxmlformats.org/officeDocument/2006/relationships/hyperlink" Target="https://pubmed.ncbi.nlm.nih.gov/?term=Sen%20S%5BAuthor%5D" TargetMode="External"/><Relationship Id="rId622" Type="http://schemas.openxmlformats.org/officeDocument/2006/relationships/hyperlink" Target="https://onlinelibrary.wiley.com/servlet/linkout?suffix=null&amp;dbid=128&amp;doi=10.1002%2Feji.202048627&amp;key=000455315800053" TargetMode="External"/><Relationship Id="rId261" Type="http://schemas.openxmlformats.org/officeDocument/2006/relationships/hyperlink" Target="https://onlinelibrary.wiley.com/servlet/linkout?suffix=null&amp;dbid=8&amp;doi=10.1111%2Fimr.12619&amp;key=19836339" TargetMode="External"/><Relationship Id="rId499" Type="http://schemas.openxmlformats.org/officeDocument/2006/relationships/hyperlink" Target="https://doi.org/10.4110/in.2016.16.3.159" TargetMode="External"/><Relationship Id="rId664" Type="http://schemas.openxmlformats.org/officeDocument/2006/relationships/hyperlink" Target="https://doi.org/10.4049/jimmunol.181.4.2898" TargetMode="External"/><Relationship Id="rId14" Type="http://schemas.openxmlformats.org/officeDocument/2006/relationships/image" Target="media/image6.png"/><Relationship Id="rId56" Type="http://schemas.openxmlformats.org/officeDocument/2006/relationships/hyperlink" Target="https://dx.doi.org/10.1016/S0016-5085(03)00157-4" TargetMode="External"/><Relationship Id="rId317" Type="http://schemas.openxmlformats.org/officeDocument/2006/relationships/hyperlink" Target="https://pubmed.ncbi.nlm.nih.gov/20939024" TargetMode="External"/><Relationship Id="rId359" Type="http://schemas.openxmlformats.org/officeDocument/2006/relationships/hyperlink" Target="https://onlinelibrary.wiley.com/servlet/linkout?suffix=null&amp;dbid=128&amp;doi=10.1111%2Fimr.12619&amp;key=000312829100035" TargetMode="External"/><Relationship Id="rId524" Type="http://schemas.openxmlformats.org/officeDocument/2006/relationships/hyperlink" Target="https://doi.org/10.1016%2Fj.bbrc.2014.09.106" TargetMode="External"/><Relationship Id="rId566" Type="http://schemas.openxmlformats.org/officeDocument/2006/relationships/hyperlink" Target="https://pubmed.ncbi.nlm.nih.gov/?term=Park+JH&amp;cauthor_id=30696763" TargetMode="External"/><Relationship Id="rId98" Type="http://schemas.openxmlformats.org/officeDocument/2006/relationships/hyperlink" Target="https://scholar.google.com/scholar_lookup?journal=J.+Neuroinflammation&amp;volume=16&amp;publication_year=2019&amp;pages=129&amp;pmid=31248424&amp;" TargetMode="External"/><Relationship Id="rId121" Type="http://schemas.openxmlformats.org/officeDocument/2006/relationships/hyperlink" Target="https://pubmed.ncbi.nlm.nih.gov/8537471" TargetMode="External"/><Relationship Id="rId163" Type="http://schemas.openxmlformats.org/officeDocument/2006/relationships/hyperlink" Target="https://pubmed.ncbi.nlm.nih.gov/26774995" TargetMode="External"/><Relationship Id="rId219" Type="http://schemas.openxmlformats.org/officeDocument/2006/relationships/hyperlink" Target="https://pubmed.ncbi.nlm.nih.gov/17449271" TargetMode="External"/><Relationship Id="rId370" Type="http://schemas.openxmlformats.org/officeDocument/2006/relationships/hyperlink" Target="https://onlinelibrary.wiley.com/servlet/linkout?suffix=null&amp;dbid=8&amp;doi=10.1111%2Fimr.12619&amp;key=25918379" TargetMode="External"/><Relationship Id="rId426" Type="http://schemas.openxmlformats.org/officeDocument/2006/relationships/hyperlink" Target="https://pubmed.ncbi.nlm.nih.gov/?term=Liew+FY&amp;cauthor_id=20634488" TargetMode="External"/><Relationship Id="rId633" Type="http://schemas.openxmlformats.org/officeDocument/2006/relationships/hyperlink" Target="https://doi.org/10.1016/j.imlet.2015.02.008" TargetMode="External"/><Relationship Id="rId230" Type="http://schemas.openxmlformats.org/officeDocument/2006/relationships/hyperlink" Target="https://scholar.google.com/scholar_lookup?journal=Clin.+Chem.&amp;volume=50&amp;publication_year=2004&amp;pages=2215&amp;pmid=15502103&amp;" TargetMode="External"/><Relationship Id="rId468" Type="http://schemas.openxmlformats.org/officeDocument/2006/relationships/hyperlink" Target="https://pubmed.ncbi.nlm.nih.gov/?term=Heller%20D%5BAuthor%5D" TargetMode="External"/><Relationship Id="rId25" Type="http://schemas.openxmlformats.org/officeDocument/2006/relationships/image" Target="media/image17.emf"/><Relationship Id="rId67" Type="http://schemas.openxmlformats.org/officeDocument/2006/relationships/hyperlink" Target="https://scholar.google.com/scholar_lookup?journal=J.+Cancer+Res.+Treat.&amp;volume=2&amp;publication_year=2014&amp;pages=41&amp;" TargetMode="External"/><Relationship Id="rId272" Type="http://schemas.openxmlformats.org/officeDocument/2006/relationships/hyperlink" Target="https://onlinelibrary.wiley.com/servlet/linkout?suffix=null&amp;dbid=16&amp;doi=10.1111%2Fimr.12619&amp;key=10.1038%2Fnri.2016.95" TargetMode="External"/><Relationship Id="rId328" Type="http://schemas.openxmlformats.org/officeDocument/2006/relationships/hyperlink" Target="https://scholar.google.com/scholar_lookup?journal=Oncogene&amp;title=Interleukin-33/ST2+axis+promotes+epithelial+cell+transformation+and+breast+tumorigenesis+via+upregulation+of+COT+activity&amp;author=JY+Kim&amp;author=SC+Lim&amp;author=G+Kim&amp;author=HJ+Yun&amp;author=SG+Ahn&amp;volume=34&amp;publication_year=2015&amp;pages=4928-4938&amp;pmid=25531326&amp;doi=10.1038/onc.2014.418&amp;" TargetMode="External"/><Relationship Id="rId535" Type="http://schemas.openxmlformats.org/officeDocument/2006/relationships/hyperlink" Target="https://pubmed.ncbi.nlm.nih.gov/?term=Ji%20M%5BAuthor%5D" TargetMode="External"/><Relationship Id="rId577" Type="http://schemas.openxmlformats.org/officeDocument/2006/relationships/hyperlink" Target="https://scholar.google.com/scholar_lookup?journal=Cancer+Metastasis+Rev&amp;title=Why+not+treat+human+cancer+with+interleukin-1+blockade?&amp;author=CA+Dinarello&amp;volume=29&amp;issue=2&amp;publication_year=2010&amp;pages=317-329&amp;pmid=20422276&amp;" TargetMode="External"/><Relationship Id="rId132" Type="http://schemas.openxmlformats.org/officeDocument/2006/relationships/hyperlink" Target="https://pubmed.ncbi.nlm.nih.gov/32217835" TargetMode="External"/><Relationship Id="rId174" Type="http://schemas.openxmlformats.org/officeDocument/2006/relationships/hyperlink" Target="https://pubmed.ncbi.nlm.nih.gov/?term=George%20J%5BAuthor%5D" TargetMode="External"/><Relationship Id="rId381" Type="http://schemas.openxmlformats.org/officeDocument/2006/relationships/hyperlink" Target="https://onlinelibrary.wiley.com/servlet/linkout?suffix=null&amp;dbid=128&amp;doi=10.1111%2Fimr.12619&amp;key=000326877200008" TargetMode="External"/><Relationship Id="rId602" Type="http://schemas.openxmlformats.org/officeDocument/2006/relationships/hyperlink" Target="https://www.jimmunol.org/lookup/external-ref?access_num=16648837&amp;link_type=MED&amp;atom=%2Fjimmunol%2F181%2F4%2F2898.atom" TargetMode="External"/><Relationship Id="rId241" Type="http://schemas.openxmlformats.org/officeDocument/2006/relationships/hyperlink" Target="https://pubmed.ncbi.nlm.nih.gov/18976019" TargetMode="External"/><Relationship Id="rId437" Type="http://schemas.openxmlformats.org/officeDocument/2006/relationships/hyperlink" Target="https://doi.org/10.4049%2Fjimmunol.1102832" TargetMode="External"/><Relationship Id="rId479" Type="http://schemas.openxmlformats.org/officeDocument/2006/relationships/hyperlink" Target="https://pubmed.ncbi.nlm.nih.gov/?term=Gallenga%20CE%5BAuthor%5D" TargetMode="External"/><Relationship Id="rId644" Type="http://schemas.openxmlformats.org/officeDocument/2006/relationships/hyperlink" Target="https://www.jimmunol.org/lookup/external-ref?access_num=10441181&amp;link_type=MED&amp;atom=%2Fjimmunol%2F181%2F4%2F2898.atom" TargetMode="External"/><Relationship Id="rId36" Type="http://schemas.openxmlformats.org/officeDocument/2006/relationships/image" Target="media/image28.emf"/><Relationship Id="rId283" Type="http://schemas.openxmlformats.org/officeDocument/2006/relationships/hyperlink" Target="http://scholar.google.com/scholar_lookup?hl=en&amp;volume=91&amp;publication_year=2012&amp;pages=119-125&amp;journal=J+Leukoc+Biol&amp;author=D+Talabot%E2%80%90Ayer&amp;author=N+Calo&amp;author=S+Vigne&amp;author=C+Lamacchia&amp;author=C+Gabay&amp;author=G+Palmer&amp;title=The+mouse+interleukin+%28Il%2933+gene+is+expressed+in+a+cell+type%E2%80%90+and+stimulus%E2%80%90dependent+manner+from+two+alternative+promoters" TargetMode="External"/><Relationship Id="rId339" Type="http://schemas.openxmlformats.org/officeDocument/2006/relationships/hyperlink" Target="https://scholar.google.com/scholar_lookup?journal=Arterioscler+Thromb+Vasc+Biol&amp;title=Interleukin-33+induces+expression+of+adhesion+molecules+and+inflammatory+activation+in+human+endothelial+cells+and+in+human+atherosclerotic+plaques&amp;author=S+Demyanets&amp;author=V+Konya&amp;author=SP+Kastl&amp;author=C+Kaun&amp;author=S+Rauscher&amp;volume=31&amp;publication_year=2011&amp;pages=2080-2089&amp;pmid=21737781&amp;doi=10.1161/ATVBAHA.111.231431&amp;" TargetMode="External"/><Relationship Id="rId490" Type="http://schemas.openxmlformats.org/officeDocument/2006/relationships/hyperlink" Target="https://doi.org/10.1084%2Fjem.20071868" TargetMode="External"/><Relationship Id="rId504" Type="http://schemas.openxmlformats.org/officeDocument/2006/relationships/hyperlink" Target="https://doi.org/10.1002/term.3091" TargetMode="External"/><Relationship Id="rId546" Type="http://schemas.openxmlformats.org/officeDocument/2006/relationships/hyperlink" Target="https://www.ncbi.nlm.nih.gov/pubmed/29275861" TargetMode="External"/><Relationship Id="rId78" Type="http://schemas.openxmlformats.org/officeDocument/2006/relationships/hyperlink" Target="https://pubmed.ncbi.nlm.nih.gov/27878687" TargetMode="External"/><Relationship Id="rId101" Type="http://schemas.openxmlformats.org/officeDocument/2006/relationships/hyperlink" Target="https://scholar.google.com/scholar_lookup?journal=Front.+Immunol.&amp;volume=9&amp;publication_year=2018&amp;pages=586&amp;pmid=29686666&amp;" TargetMode="External"/><Relationship Id="rId143" Type="http://schemas.openxmlformats.org/officeDocument/2006/relationships/hyperlink" Target="https://www.ncbi.nlm.nih.gov/pmc/articles/PMC3512574/" TargetMode="External"/><Relationship Id="rId185" Type="http://schemas.openxmlformats.org/officeDocument/2006/relationships/hyperlink" Target="https://pubmed.ncbi.nlm.nih.gov/30022657" TargetMode="External"/><Relationship Id="rId350" Type="http://schemas.openxmlformats.org/officeDocument/2006/relationships/hyperlink" Target="https://onlinelibrary.wiley.com/servlet/linkout?suffix=null&amp;dbid=16&amp;doi=10.1111%2Fimr.12619&amp;key=10.4049%2Fjimmunol.1101977" TargetMode="External"/><Relationship Id="rId406" Type="http://schemas.openxmlformats.org/officeDocument/2006/relationships/hyperlink" Target="http://scholar.google.com/scholar_lookup?hl=en&amp;volume=464&amp;publication_year=2010&amp;pages=1367-1370&amp;journal=Nature&amp;author=DR+Neill&amp;author=SH+Wong&amp;author=A+Bellosi&amp;title=Nuocytes+represent+a+new+innate+effector+leukocyte+that+mediates+type%E2%80%902+immunity" TargetMode="External"/><Relationship Id="rId588" Type="http://schemas.openxmlformats.org/officeDocument/2006/relationships/hyperlink" Target="https://scholar.google.com/scholar_lookup?journal=J+Immunol&amp;title=Dysregulation+of+inflammatory+responses+by+chronic+circadian+disruption&amp;author=O+Castanon-Cervantes&amp;author=M+Wu&amp;author=JC+Ehlen&amp;volume=185&amp;issue=10&amp;publication_year=2010&amp;pages=5796-5805&amp;pmid=20944004&amp;" TargetMode="External"/><Relationship Id="rId9" Type="http://schemas.openxmlformats.org/officeDocument/2006/relationships/image" Target="media/image1.png"/><Relationship Id="rId210" Type="http://schemas.openxmlformats.org/officeDocument/2006/relationships/hyperlink" Target="https://scholar.google.com/scholar_lookup?journal=Ann.+Clin.+Biochem.&amp;volume=32&amp;publication_year=1995&amp;pages=358&amp;pmid=7486794&amp;" TargetMode="External"/><Relationship Id="rId392" Type="http://schemas.openxmlformats.org/officeDocument/2006/relationships/hyperlink" Target="https://onlinelibrary.wiley.com/servlet/linkout?suffix=null&amp;dbid=16&amp;doi=10.1111%2Fimr.12619&amp;key=10.1038%2Fnri.2016.95" TargetMode="External"/><Relationship Id="rId448" Type="http://schemas.openxmlformats.org/officeDocument/2006/relationships/hyperlink" Target="https://doi.org/10.1139%2Fbcb-2014-0163" TargetMode="External"/><Relationship Id="rId613" Type="http://schemas.openxmlformats.org/officeDocument/2006/relationships/hyperlink" Target="https://www.jimmunol.org/lookup/ijlink/YTozOntzOjQ6InBhdGgiO3M6MTQ6Ii9sb29rdXAvaWpsaW5rIjtzOjU6InF1ZXJ5IjthOjQ6e3M6ODoibGlua1R5cGUiO3M6NDoiQUJTVCI7czoxMToiam91cm5hbENvZGUiO3M6NToiamxldWIiO3M6NToicmVzaWQiO3M6NjoiNzEvMS8xIjtzOjQ6ImF0b20iO3M6MjU6Ii9qaW1tdW5vbC8xODEvNC8yODk4LmF0b20iO31zOjg6ImZyYWdtZW50IjtzOjA6IiI7fQ==" TargetMode="External"/><Relationship Id="rId655" Type="http://schemas.openxmlformats.org/officeDocument/2006/relationships/hyperlink" Target="https://www.jimmunol.org/lookup/external-ref?access_num=10.1086/374751&amp;link_type=DOI" TargetMode="External"/><Relationship Id="rId252" Type="http://schemas.openxmlformats.org/officeDocument/2006/relationships/hyperlink" Target="https://pubmed.ncbi.nlm.nih.gov/26835245" TargetMode="External"/><Relationship Id="rId294" Type="http://schemas.openxmlformats.org/officeDocument/2006/relationships/hyperlink" Target="https://scholar.google.com/scholar_lookup?journal=Biochem+Biophys+Res+Commun&amp;title=Presence+and+expression+of+a+novel+variant+form+of+ST2+gene+product+in+human+leukemic+cell+line+UT-7/GM&amp;author=S+Tominaga&amp;volume=264&amp;publication_year=1999&amp;pages=14-18&amp;pmid=10527832&amp;" TargetMode="External"/><Relationship Id="rId308" Type="http://schemas.openxmlformats.org/officeDocument/2006/relationships/hyperlink" Target="https://doi.org/10.1182%2Fblood-2009-02-203372" TargetMode="External"/><Relationship Id="rId515" Type="http://schemas.openxmlformats.org/officeDocument/2006/relationships/hyperlink" Target="https://pubmed.ncbi.nlm.nih.gov/?term=Takenaka%20M%5BAuthor%5D" TargetMode="External"/><Relationship Id="rId47" Type="http://schemas.openxmlformats.org/officeDocument/2006/relationships/hyperlink" Target="https://doi.org/10.1177/1066896916633856" TargetMode="External"/><Relationship Id="rId89" Type="http://schemas.openxmlformats.org/officeDocument/2006/relationships/hyperlink" Target="https://scholar.google.com/scholar_lookup?journal=J.+Clin.+Invest.&amp;volume=117&amp;publication_year=2007&amp;pages=1175&amp;pmid=17476347&amp;" TargetMode="External"/><Relationship Id="rId112" Type="http://schemas.openxmlformats.org/officeDocument/2006/relationships/hyperlink" Target="https://scholar.google.com/scholar_lookup?journal=Hepatology&amp;volume=64&amp;publication_year=2016&amp;pages=1189&amp;pmid=27178326&amp;" TargetMode="External"/><Relationship Id="rId154" Type="http://schemas.openxmlformats.org/officeDocument/2006/relationships/hyperlink" Target="https://pubmed.ncbi.nlm.nih.gov/21697814" TargetMode="External"/><Relationship Id="rId361" Type="http://schemas.openxmlformats.org/officeDocument/2006/relationships/hyperlink" Target="https://onlinelibrary.wiley.com/servlet/linkout?suffix=null&amp;dbid=16&amp;doi=10.1111%2Fimr.12619&amp;key=10.1038%2Fjid.2015.85" TargetMode="External"/><Relationship Id="rId557" Type="http://schemas.openxmlformats.org/officeDocument/2006/relationships/hyperlink" Target="https://pubmed.ncbi.nlm.nih.gov/28058630" TargetMode="External"/><Relationship Id="rId599" Type="http://schemas.openxmlformats.org/officeDocument/2006/relationships/hyperlink" Target="https://www.jimmunol.org/lookup/external-ref?access_num=16200068&amp;link_type=MED&amp;atom=%2Fjimmunol%2F181%2F4%2F2898.atom" TargetMode="External"/><Relationship Id="rId196" Type="http://schemas.openxmlformats.org/officeDocument/2006/relationships/hyperlink" Target="https://scholar.google.com/scholar_lookup?journal=Nanoscale&amp;volume=9&amp;publication_year=2017&amp;pages=4934&amp;pmid=28368062&amp;" TargetMode="External"/><Relationship Id="rId417" Type="http://schemas.openxmlformats.org/officeDocument/2006/relationships/hyperlink" Target="https://doi.org/10.1126/" TargetMode="External"/><Relationship Id="rId459" Type="http://schemas.openxmlformats.org/officeDocument/2006/relationships/hyperlink" Target="https://doi.org/10.4103%2Fjisp.jisp_217_19" TargetMode="External"/><Relationship Id="rId624" Type="http://schemas.openxmlformats.org/officeDocument/2006/relationships/hyperlink" Target="https://onlinelibrary.wiley.com/servlet/linkout?suffix=null&amp;dbid=16&amp;doi=10.1002%2Feji.202048627&amp;key=10.3109%2F08830185.2014.954698" TargetMode="External"/><Relationship Id="rId666" Type="http://schemas.openxmlformats.org/officeDocument/2006/relationships/hyperlink" Target="https://www.jimmunol.org/lookup/external-ref?access_num=15380044&amp;link_type=MED&amp;atom=%2Fjimmunol%2F181%2F4%2F2898.atom" TargetMode="External"/><Relationship Id="rId16" Type="http://schemas.openxmlformats.org/officeDocument/2006/relationships/image" Target="media/image8.emf"/><Relationship Id="rId221" Type="http://schemas.openxmlformats.org/officeDocument/2006/relationships/hyperlink" Target="https://www.ncbi.nlm.nih.gov/pmc/articles/PMC3964841/" TargetMode="External"/><Relationship Id="rId263" Type="http://schemas.openxmlformats.org/officeDocument/2006/relationships/hyperlink" Target="http://scholar.google.com/scholar_lookup?hl=en&amp;volume=17&amp;publication_year=2009&amp;pages=1398-1410&amp;journal=Structure&amp;author=A+Lingel&amp;author=TM+Weiss&amp;author=M+Niebuhr&amp;title=Structure+of+IL%E2%80%9033+and+its+interaction+with+the+ST2+and+IL%E2%80%901RAcP+receptors%E2%80%93insight+into+heterotrimeric+IL%E2%80%901+signaling+complexes" TargetMode="External"/><Relationship Id="rId319" Type="http://schemas.openxmlformats.org/officeDocument/2006/relationships/hyperlink" Target="https://scholar.google.com/scholar_lookup?journal=J+Bone+Miner+Res&amp;title=Interleukin-33+is+expressed+in+differentiated+osteoblasts+and+blocks+osteoclast+formation+from+bone+marrow+precursor+cells&amp;author=J+Schulze&amp;author=T+Bickert&amp;author=FT+Beil&amp;author=MM+Zaiss&amp;author=J+Albers&amp;volume=26&amp;publication_year=2011&amp;pages=704-717&amp;pmid=20939024&amp;doi=10.1002/jbmr.269&amp;" TargetMode="External"/><Relationship Id="rId470" Type="http://schemas.openxmlformats.org/officeDocument/2006/relationships/hyperlink" Target="https://doi.org/10.1038%2Fs41598-019-54615-y" TargetMode="External"/><Relationship Id="rId526" Type="http://schemas.openxmlformats.org/officeDocument/2006/relationships/hyperlink" Target="https://doi.org/10.1158%2F0008-5472.CAN-16-1602" TargetMode="External"/><Relationship Id="rId58" Type="http://schemas.openxmlformats.org/officeDocument/2006/relationships/hyperlink" Target="http://scholar.google.com/scholar_lookup?&amp;title=54PDPreclinical%20Development%20of%20tumor-infiltrating%20lymphocytes%20%28TILs%29%20based%20adoptive%20cell%20transfer%20immunotherapy%20%28ACT%29%20for%20patients%20with%20advanced%20ovarian%20cancer&amp;publication_year=2016&amp;author=Westergaard%2CMCW&amp;author=Andersen%2CR&amp;author=Kjeldsen%2CJW" TargetMode="External"/><Relationship Id="rId123" Type="http://schemas.openxmlformats.org/officeDocument/2006/relationships/hyperlink" Target="https://pubmed.ncbi.nlm.nih.gov/31013453" TargetMode="External"/><Relationship Id="rId330" Type="http://schemas.openxmlformats.org/officeDocument/2006/relationships/hyperlink" Target="https://pubmed.ncbi.nlm.nih.gov/25367039" TargetMode="External"/><Relationship Id="rId568" Type="http://schemas.openxmlformats.org/officeDocument/2006/relationships/hyperlink" Target="https://pubmed.ncbi.nlm.nih.gov/?term=Li+T&amp;cauthor_id=30696763" TargetMode="External"/><Relationship Id="rId165" Type="http://schemas.openxmlformats.org/officeDocument/2006/relationships/hyperlink" Target="https://www.ncbi.nlm.nih.gov/pmc/articles/PMC368245/" TargetMode="External"/><Relationship Id="rId372" Type="http://schemas.openxmlformats.org/officeDocument/2006/relationships/hyperlink" Target="http://scholar.google.com/scholar_lookup?hl=en&amp;volume=112&amp;publication_year=2015&amp;pages=E2487-E2496&amp;journal=Proc+Natl+Acad+Sci+USA&amp;author=RL+Maywald&amp;author=SK+Doerner&amp;author=L+Pastorelli&amp;title=IL%E2%80%9033+activates+tumor+stroma+to+promote+intestinal+polyposis" TargetMode="External"/><Relationship Id="rId428" Type="http://schemas.openxmlformats.org/officeDocument/2006/relationships/hyperlink" Target="https://www.ncbi.nlm.nih.gov/pmc/articles/PMC3928996/" TargetMode="External"/><Relationship Id="rId635" Type="http://schemas.openxmlformats.org/officeDocument/2006/relationships/hyperlink" Target="https://www.jimmunol.org/lookup/external-ref?access_num=10.1016/S1359-6101(02)00027-8&amp;link_type=DOI" TargetMode="External"/><Relationship Id="rId232" Type="http://schemas.openxmlformats.org/officeDocument/2006/relationships/hyperlink" Target="https://scholar.google.com/scholar_lookup?journal=Arch.+Pathol.+Lab.+Med.&amp;volume=132&amp;publication_year=2008&amp;pages=1802&amp;pmid=18976019&amp;" TargetMode="External"/><Relationship Id="rId274" Type="http://schemas.openxmlformats.org/officeDocument/2006/relationships/hyperlink" Target="https://onlinelibrary.wiley.com/servlet/linkout?suffix=null&amp;dbid=8&amp;doi=10.1111%2Fimr.12619&amp;key=27640624" TargetMode="External"/><Relationship Id="rId481" Type="http://schemas.openxmlformats.org/officeDocument/2006/relationships/hyperlink" Target="https://pubmed.ncbi.nlm.nih.gov/?term=Kritas%20SK%5BAuthor%5D" TargetMode="External"/><Relationship Id="rId27" Type="http://schemas.openxmlformats.org/officeDocument/2006/relationships/image" Target="media/image19.emf"/><Relationship Id="rId69" Type="http://schemas.openxmlformats.org/officeDocument/2006/relationships/hyperlink" Target="https://pubmed.ncbi.nlm.nih.gov/24733962" TargetMode="External"/><Relationship Id="rId134" Type="http://schemas.openxmlformats.org/officeDocument/2006/relationships/hyperlink" Target="https://www.ncbi.nlm.nih.gov/pmc/articles/PMC7270045/" TargetMode="External"/><Relationship Id="rId537" Type="http://schemas.openxmlformats.org/officeDocument/2006/relationships/hyperlink" Target="https://www.ncbi.nlm.nih.gov/pmc/articles/PMC7733302/" TargetMode="External"/><Relationship Id="rId579" Type="http://schemas.openxmlformats.org/officeDocument/2006/relationships/hyperlink" Target="https://www.ncbi.nlm.nih.gov/pubmed/23024467" TargetMode="External"/><Relationship Id="rId80" Type="http://schemas.openxmlformats.org/officeDocument/2006/relationships/hyperlink" Target="https://scholar.google.com/scholar_lookup?journal=Int.+J.+Inflammation&amp;volume=2017&amp;publication_year=2017&amp;pages=1&amp;" TargetMode="External"/><Relationship Id="rId176" Type="http://schemas.openxmlformats.org/officeDocument/2006/relationships/hyperlink" Target="https://www.ncbi.nlm.nih.gov/pmc/articles/PMC8336501/" TargetMode="External"/><Relationship Id="rId341" Type="http://schemas.openxmlformats.org/officeDocument/2006/relationships/hyperlink" Target="https://pubmed.ncbi.nlm.nih.gov/24275094" TargetMode="External"/><Relationship Id="rId383" Type="http://schemas.openxmlformats.org/officeDocument/2006/relationships/hyperlink" Target="https://onlinelibrary.wiley.com/servlet/linkout?suffix=null&amp;dbid=16&amp;doi=10.1111%2Fimr.12619&amp;key=10.1016%2Fj.coi.2014.09.004" TargetMode="External"/><Relationship Id="rId439" Type="http://schemas.openxmlformats.org/officeDocument/2006/relationships/hyperlink" Target="https://www.ncbi.nlm.nih.gov/pmc/articles/PMC5484710/" TargetMode="External"/><Relationship Id="rId590" Type="http://schemas.openxmlformats.org/officeDocument/2006/relationships/hyperlink" Target="https://dx.doi.org/10.1155%2F2014%2F158786" TargetMode="External"/><Relationship Id="rId604" Type="http://schemas.openxmlformats.org/officeDocument/2006/relationships/hyperlink" Target="https://www.jimmunol.org/lookup/external-ref?access_num=10.1016/j.immuni.2006.01.001&amp;link_type=DOI" TargetMode="External"/><Relationship Id="rId646" Type="http://schemas.openxmlformats.org/officeDocument/2006/relationships/hyperlink" Target="https://www.jimmunol.org/lookup/external-ref?access_num=10.1002/art.1780390816&amp;link_type=DOI" TargetMode="External"/><Relationship Id="rId201" Type="http://schemas.openxmlformats.org/officeDocument/2006/relationships/hyperlink" Target="https://www.ncbi.nlm.nih.gov/pmc/articles/PMC7370241/" TargetMode="External"/><Relationship Id="rId243" Type="http://schemas.openxmlformats.org/officeDocument/2006/relationships/hyperlink" Target="https://pubmed.ncbi.nlm.nih.gov/29909979" TargetMode="External"/><Relationship Id="rId285" Type="http://schemas.openxmlformats.org/officeDocument/2006/relationships/hyperlink" Target="https://scholar.google.com/scholar_lookup?journal=Eur+J+Biochem&amp;title=Different+promoter+usage+and+multiple+transcription+initiation+sites+of+the+interleukin-1+receptor-related+human+ST2+gene+in+UT-7+and+TM12+cells&amp;author=H+Iwahana&amp;volume=264&amp;publication_year=1999&amp;pages=397-406&amp;pmid=10491084&amp;" TargetMode="External"/><Relationship Id="rId450" Type="http://schemas.openxmlformats.org/officeDocument/2006/relationships/hyperlink" Target="https://pubmed.ncbi.nlm.nih.gov/24866242" TargetMode="External"/><Relationship Id="rId506" Type="http://schemas.openxmlformats.org/officeDocument/2006/relationships/hyperlink" Target="https://pubmed.ncbi.nlm.nih.gov/?term=Watanabe%20T%5BAuthor%5D" TargetMode="External"/><Relationship Id="rId38" Type="http://schemas.openxmlformats.org/officeDocument/2006/relationships/image" Target="media/image30.emf"/><Relationship Id="rId103" Type="http://schemas.openxmlformats.org/officeDocument/2006/relationships/hyperlink" Target="https://pubmed.ncbi.nlm.nih.gov/25458968" TargetMode="External"/><Relationship Id="rId310" Type="http://schemas.openxmlformats.org/officeDocument/2006/relationships/hyperlink" Target="https://www.ncbi.nlm.nih.gov/pmc/articles/PMC3399252/" TargetMode="External"/><Relationship Id="rId492" Type="http://schemas.openxmlformats.org/officeDocument/2006/relationships/hyperlink" Target="https://www.ncbi.nlm.nih.gov/pmc/articles/PMC5638662/" TargetMode="External"/><Relationship Id="rId548" Type="http://schemas.openxmlformats.org/officeDocument/2006/relationships/hyperlink" Target="https://doi.org/10.3390/ijms20205226" TargetMode="External"/><Relationship Id="rId91" Type="http://schemas.openxmlformats.org/officeDocument/2006/relationships/hyperlink" Target="https://scholar.google.com/scholar_lookup?journal=Life+Sci.&amp;volume=67&amp;publication_year=2000&amp;pages=291&amp;pmid=10983873&amp;" TargetMode="External"/><Relationship Id="rId145" Type="http://schemas.openxmlformats.org/officeDocument/2006/relationships/hyperlink" Target="https://scholar.google.com/scholar_lookup?journal=Cell&amp;volume=134&amp;publication_year=2008&amp;pages=215&amp;pmid=18662538&amp;" TargetMode="External"/><Relationship Id="rId187" Type="http://schemas.openxmlformats.org/officeDocument/2006/relationships/hyperlink" Target="https://pubmed.ncbi.nlm.nih.gov/27600768" TargetMode="External"/><Relationship Id="rId352" Type="http://schemas.openxmlformats.org/officeDocument/2006/relationships/hyperlink" Target="https://onlinelibrary.wiley.com/servlet/linkout?suffix=null&amp;dbid=8&amp;doi=10.1111%2Fimr.12619&amp;key=22371395" TargetMode="External"/><Relationship Id="rId394" Type="http://schemas.openxmlformats.org/officeDocument/2006/relationships/hyperlink" Target="https://onlinelibrary.wiley.com/servlet/linkout?suffix=null&amp;dbid=8&amp;doi=10.1111%2Fimr.12619&amp;key=27640624" TargetMode="External"/><Relationship Id="rId408" Type="http://schemas.openxmlformats.org/officeDocument/2006/relationships/hyperlink" Target="https://onlinelibrary.wiley.com/servlet/linkout?suffix=null&amp;dbid=32&amp;doi=10.1111%2Fimr.12619&amp;key=1%3ACAS%3A528%3ADC%252BC3cXot1ahurc%253D" TargetMode="External"/><Relationship Id="rId615" Type="http://schemas.openxmlformats.org/officeDocument/2006/relationships/hyperlink" Target="https://www.jimmunol.org/lookup/external-ref?access_num=12651226&amp;link_type=MED&amp;atom=%2Fjimmunol%2F181%2F4%2F2898.atom" TargetMode="External"/><Relationship Id="rId212" Type="http://schemas.openxmlformats.org/officeDocument/2006/relationships/hyperlink" Target="https://scholar.google.com/scholar_lookup?journal=Biomarkers&amp;volume=15&amp;publication_year=2010&amp;pages=140&amp;pmid=19848603&amp;" TargetMode="External"/><Relationship Id="rId254" Type="http://schemas.openxmlformats.org/officeDocument/2006/relationships/hyperlink" Target="https://www.ncbi.nlm.nih.gov/pmc/articles/PMC2955626/" TargetMode="External"/><Relationship Id="rId657" Type="http://schemas.openxmlformats.org/officeDocument/2006/relationships/hyperlink" Target="https://www.jimmunol.org/lookup/google-scholar?link_type=googlescholar&amp;gs_type=article&amp;q_txt=Dinarello%2C+C.+A.%2C+G.+Fantuzzi.+2003.+Interleukin-18+and+host+defense+against+infection.+J.+Infect.+Dis.+187%3A+S370-S384." TargetMode="External"/><Relationship Id="rId49" Type="http://schemas.openxmlformats.org/officeDocument/2006/relationships/hyperlink" Target="https://dx.doi.org/10.1016/S0140-6736(00)04046-0" TargetMode="External"/><Relationship Id="rId114" Type="http://schemas.openxmlformats.org/officeDocument/2006/relationships/hyperlink" Target="https://scholar.google.com/scholar_lookup?journal=Chest&amp;volume=117&amp;publication_year=2000&amp;pages=1162&amp;pmid=10767254&amp;" TargetMode="External"/><Relationship Id="rId296" Type="http://schemas.openxmlformats.org/officeDocument/2006/relationships/hyperlink" Target="https://scholar.google.com/scholar_lookup?journal=Dev+Biol&amp;title=Secreted+and+membrane-bound+isoforms+of+T1,+an+orphan+receptor+related+to+IL-1-binding+proteins,+are+differently+expressed+in+vivo&amp;author=U+Rossler&amp;volume=168&amp;publication_year=1995&amp;pages=86-97&amp;pmid=7883081&amp;" TargetMode="External"/><Relationship Id="rId461" Type="http://schemas.openxmlformats.org/officeDocument/2006/relationships/hyperlink" Target="https://pubmed.ncbi.nlm.nih.gov/?term=Cavalieri%20D%5BAuthor%5D" TargetMode="External"/><Relationship Id="rId517" Type="http://schemas.openxmlformats.org/officeDocument/2006/relationships/hyperlink" Target="https://pubmed.ncbi.nlm.nih.gov/?term=Kudo%20M%5BAuthor%5D" TargetMode="External"/><Relationship Id="rId559" Type="http://schemas.openxmlformats.org/officeDocument/2006/relationships/hyperlink" Target="https://scholar.google.com/scholar_lookup?journal=Med+Oncol&amp;title=IL-33+acts+as+a+foe+to+MIA+PaCa-2+pancreatic+cancer&amp;author=Y+Fang&amp;author=L+Zhao&amp;author=H+Xiao&amp;author=KM+Cook&amp;author=Q+Bai&amp;volume=34&amp;publication_year=2017&amp;pages=23&amp;pmid=28058630&amp;doi=10.1007/s12032-016-0880-3&amp;" TargetMode="External"/><Relationship Id="rId60" Type="http://schemas.openxmlformats.org/officeDocument/2006/relationships/hyperlink" Target="https://pubmed.ncbi.nlm.nih.gov/18400190" TargetMode="External"/><Relationship Id="rId156" Type="http://schemas.openxmlformats.org/officeDocument/2006/relationships/hyperlink" Target="https://www.ncbi.nlm.nih.gov/pmc/articles/PMC2206478/" TargetMode="External"/><Relationship Id="rId198" Type="http://schemas.openxmlformats.org/officeDocument/2006/relationships/hyperlink" Target="https://scholar.google.com/scholar_lookup?journal=ACS+Appl.+Bio+Mater.&amp;volume=3&amp;publication_year=2020&amp;pages=539&amp;" TargetMode="External"/><Relationship Id="rId321" Type="http://schemas.openxmlformats.org/officeDocument/2006/relationships/hyperlink" Target="https://doi.org/10.1016%2Fj.cellsig.2010.10.006" TargetMode="External"/><Relationship Id="rId363" Type="http://schemas.openxmlformats.org/officeDocument/2006/relationships/hyperlink" Target="https://onlinelibrary.wiley.com/servlet/linkout?suffix=null&amp;dbid=16&amp;doi=10.1111%2Fimr.12619&amp;key=10.1016%2Fj.cmet.2015.03.005" TargetMode="External"/><Relationship Id="rId419" Type="http://schemas.openxmlformats.org/officeDocument/2006/relationships/hyperlink" Target="https://pubmed.ncbi.nlm.nih.gov/?term=Hueber+AJ&amp;cauthor_id=20634488" TargetMode="External"/><Relationship Id="rId570" Type="http://schemas.openxmlformats.org/officeDocument/2006/relationships/hyperlink" Target="https://pubmed.ncbi.nlm.nih.gov/?term=Colonna+M&amp;cauthor_id=30696763" TargetMode="External"/><Relationship Id="rId626" Type="http://schemas.openxmlformats.org/officeDocument/2006/relationships/hyperlink" Target="https://onlinelibrary.wiley.com/servlet/linkout?suffix=null&amp;dbid=8&amp;doi=10.1002%2Feji.202048627&amp;key=25259411" TargetMode="External"/><Relationship Id="rId223" Type="http://schemas.openxmlformats.org/officeDocument/2006/relationships/hyperlink" Target="https://scholar.google.com/scholar_lookup?journal=Mediators+Inflammation&amp;volume=2014&amp;publication_year=2014&amp;pages=545493&amp;" TargetMode="External"/><Relationship Id="rId430" Type="http://schemas.openxmlformats.org/officeDocument/2006/relationships/hyperlink" Target="https://doi.org/10.1016%2Fj.biocel.2013.11.008" TargetMode="External"/><Relationship Id="rId668" Type="http://schemas.openxmlformats.org/officeDocument/2006/relationships/hyperlink" Target="http://dx.doi.org/10.1136/annrheumdis-2016-eular.4061" TargetMode="External"/><Relationship Id="rId18" Type="http://schemas.openxmlformats.org/officeDocument/2006/relationships/image" Target="media/image10.emf"/><Relationship Id="rId265" Type="http://schemas.openxmlformats.org/officeDocument/2006/relationships/hyperlink" Target="https://onlinelibrary.wiley.com/servlet/linkout?suffix=null&amp;dbid=32&amp;doi=10.1111%2Fimr.12619&amp;key=1%3ACAS%3A528%3ADC%252BC3sXhsFWrsrrJ" TargetMode="External"/><Relationship Id="rId472" Type="http://schemas.openxmlformats.org/officeDocument/2006/relationships/hyperlink" Target="https://pubmed.ncbi.nlm.nih.gov/?term=Sun%20Q%5BAuthor%5D" TargetMode="External"/><Relationship Id="rId528" Type="http://schemas.openxmlformats.org/officeDocument/2006/relationships/hyperlink" Target="https://doi.org/10.1002/mc.22491" TargetMode="External"/><Relationship Id="rId50" Type="http://schemas.openxmlformats.org/officeDocument/2006/relationships/hyperlink" Target="https://scholar.google.com/scholar_lookup?journal=Lancet&amp;title=Inflammation+and+cancer:+back+to+Virchow?&amp;author=F+Balkwill&amp;author=A+Mantovani&amp;volume=357&amp;publication_year=2001&amp;pages=539-545&amp;pmid=11229684&amp;doi=10.1016/S0140-6736(00)04046-0&amp;" TargetMode="External"/><Relationship Id="rId104" Type="http://schemas.openxmlformats.org/officeDocument/2006/relationships/hyperlink" Target="https://scholar.google.com/scholar_lookup?journal=Cytokine&amp;volume=74&amp;publication_year=2015&amp;pages=5&amp;pmid=25458968&amp;" TargetMode="External"/><Relationship Id="rId125" Type="http://schemas.openxmlformats.org/officeDocument/2006/relationships/hyperlink" Target="https://pubmed.ncbi.nlm.nih.gov/11861611" TargetMode="External"/><Relationship Id="rId146" Type="http://schemas.openxmlformats.org/officeDocument/2006/relationships/hyperlink" Target="https://pubmed.ncbi.nlm.nih.gov/20015486" TargetMode="External"/><Relationship Id="rId167" Type="http://schemas.openxmlformats.org/officeDocument/2006/relationships/hyperlink" Target="https://scholar.google.com/scholar_lookup?journal=Clin.+Diagn.+Lab.+Immunol.&amp;volume=1&amp;publication_year=1994&amp;pages=257&amp;pmid=7496959&amp;" TargetMode="External"/><Relationship Id="rId188" Type="http://schemas.openxmlformats.org/officeDocument/2006/relationships/hyperlink" Target="https://scholar.google.com/scholar_lookup?journal=Anal.+Chem.&amp;volume=88&amp;publication_year=2016&amp;pages=9614&amp;pmid=27600768&amp;" TargetMode="External"/><Relationship Id="rId311" Type="http://schemas.openxmlformats.org/officeDocument/2006/relationships/hyperlink" Target="https://pubmed.ncbi.nlm.nih.gov/20532808" TargetMode="External"/><Relationship Id="rId332" Type="http://schemas.openxmlformats.org/officeDocument/2006/relationships/hyperlink" Target="https://scholar.google.com/scholar_lookup?journal=Proteomics&amp;title=Quantitative+phosphoproteomic+analysis+of+IL-33-mediated+signaling&amp;author=SM+Pinto&amp;author=RS+Nirujogi&amp;author=PL+Rojas&amp;author=AH+Patil&amp;author=SS+Manda&amp;volume=15&amp;publication_year=2015&amp;pages=532-544&amp;pmid=25367039&amp;doi=10.1002/pmic.201400303&amp;" TargetMode="External"/><Relationship Id="rId353" Type="http://schemas.openxmlformats.org/officeDocument/2006/relationships/hyperlink" Target="https://onlinelibrary.wiley.com/servlet/linkout?suffix=null&amp;dbid=128&amp;doi=10.1111%2Fimr.12619&amp;key=000302150300062" TargetMode="External"/><Relationship Id="rId374" Type="http://schemas.openxmlformats.org/officeDocument/2006/relationships/hyperlink" Target="https://onlinelibrary.wiley.com/servlet/linkout?suffix=null&amp;dbid=32&amp;doi=10.1111%2Fimr.12619&amp;key=1%3ACAS%3A528%3ADC%252BC28XnvV2kurs%253D" TargetMode="External"/><Relationship Id="rId395" Type="http://schemas.openxmlformats.org/officeDocument/2006/relationships/hyperlink" Target="https://onlinelibrary.wiley.com/servlet/linkout?suffix=null&amp;dbid=128&amp;doi=10.1111%2Fimr.12619&amp;key=000387131400008" TargetMode="External"/><Relationship Id="rId409" Type="http://schemas.openxmlformats.org/officeDocument/2006/relationships/hyperlink" Target="https://onlinelibrary.wiley.com/servlet/linkout?suffix=null&amp;dbid=8&amp;doi=10.1111%2Fimr.12619&amp;key=20534524" TargetMode="External"/><Relationship Id="rId560" Type="http://schemas.openxmlformats.org/officeDocument/2006/relationships/hyperlink" Target="https://doi.org/10.1080/2162402x.2015.1063772" TargetMode="External"/><Relationship Id="rId581" Type="http://schemas.openxmlformats.org/officeDocument/2006/relationships/hyperlink" Target="https://www.ncbi.nlm.nih.gov/pubmed/15313862" TargetMode="External"/><Relationship Id="rId71" Type="http://schemas.openxmlformats.org/officeDocument/2006/relationships/hyperlink" Target="https://pubmed.ncbi.nlm.nih.gov/24751956" TargetMode="External"/><Relationship Id="rId92" Type="http://schemas.openxmlformats.org/officeDocument/2006/relationships/hyperlink" Target="https://pubmed.ncbi.nlm.nih.gov/15540988" TargetMode="External"/><Relationship Id="rId213" Type="http://schemas.openxmlformats.org/officeDocument/2006/relationships/hyperlink" Target="https://www.ncbi.nlm.nih.gov/pmc/articles/PMC2955626/" TargetMode="External"/><Relationship Id="rId234" Type="http://schemas.openxmlformats.org/officeDocument/2006/relationships/hyperlink" Target="https://pubmed.ncbi.nlm.nih.gov/22705152" TargetMode="External"/><Relationship Id="rId420" Type="http://schemas.openxmlformats.org/officeDocument/2006/relationships/hyperlink" Target="https://pubmed.ncbi.nlm.nih.gov/?term=Anderson+LA&amp;cauthor_id=20634488" TargetMode="External"/><Relationship Id="rId616" Type="http://schemas.openxmlformats.org/officeDocument/2006/relationships/hyperlink" Target="https://www.jimmunol.org/lookup/google-scholar?link_type=googlescholar&amp;gs_type=article&amp;q_txt=Moseley%2C+T.+A.%2C+D.+R.+Haudenschild%2C+L.+Rose%2C+A.+H.+Reddi.+2003.+Interleukin-17+family+and+IL-17+receptors.+Cytokine+Growth+Factor+Rev.+14%3A+155-174." TargetMode="External"/><Relationship Id="rId637" Type="http://schemas.openxmlformats.org/officeDocument/2006/relationships/hyperlink" Target="https://www.jimmunol.org/lookup/google-scholar?link_type=googlescholar&amp;gs_type=article&amp;q_txt=Ishihara%2C+K.%2C+T.+Hirano.+2002.+IL-6+in+autoimmune+disease+and+chronic+inflammatory+proliferative+disease.+Cytokine+Growth+Factor+Rev.+13%3A+357-368." TargetMode="External"/><Relationship Id="rId658" Type="http://schemas.openxmlformats.org/officeDocument/2006/relationships/hyperlink" Target="https://www.jimmunol.org/lookup/ijlink/YTozOntzOjQ6InBhdGgiO3M6MTQ6Ii9sb29rdXAvaWpsaW5rIjtzOjU6InF1ZXJ5IjthOjQ6e3M6ODoibGlua1R5cGUiO3M6NDoiQUJTVCI7czoxMToiam91cm5hbENvZGUiO3M6NToiamxldWIiO3M6NToicmVzaWQiO3M6ODoiNzMvMi8yMTMiO3M6NDoiYXRvbSI7czoyNToiL2ppbW11bm9sLzE4MS80LzI4OTguYXRvbSI7fXM6ODoiZnJhZ21lbnQiO3M6MDoiIjt9" TargetMode="External"/><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hyperlink" Target="https://pubmed.ncbi.nlm.nih.gov/20657280" TargetMode="External"/><Relationship Id="rId276" Type="http://schemas.openxmlformats.org/officeDocument/2006/relationships/hyperlink" Target="http://scholar.google.com/scholar_lookup?hl=en&amp;volume=16&amp;publication_year=2016&amp;pages=676-689&amp;journal=Nat+Rev+Immunol&amp;author=FY+Liew&amp;author=JP+Girard&amp;author=HR+Turnquist&amp;title=Interleukin%E2%80%9033+in+health+and+disease" TargetMode="External"/><Relationship Id="rId297" Type="http://schemas.openxmlformats.org/officeDocument/2006/relationships/hyperlink" Target="https://www.ncbi.nlm.nih.gov/pubmed/9207179" TargetMode="External"/><Relationship Id="rId441" Type="http://schemas.openxmlformats.org/officeDocument/2006/relationships/hyperlink" Target="https://doi.org/10.1038%2Fs41598-017-03674-0" TargetMode="External"/><Relationship Id="rId462" Type="http://schemas.openxmlformats.org/officeDocument/2006/relationships/hyperlink" Target="https://pubmed.ncbi.nlm.nih.gov/?term=Do%20Nascimento%20S%5BAuthor%5D" TargetMode="External"/><Relationship Id="rId483" Type="http://schemas.openxmlformats.org/officeDocument/2006/relationships/hyperlink" Target="https://pubmed.ncbi.nlm.nih.gov/?term=Younes%20A%5BAuthor%5D" TargetMode="External"/><Relationship Id="rId518" Type="http://schemas.openxmlformats.org/officeDocument/2006/relationships/hyperlink" Target="https://www.ncbi.nlm.nih.gov/pmc/articles/PMC7495433/" TargetMode="External"/><Relationship Id="rId539" Type="http://schemas.openxmlformats.org/officeDocument/2006/relationships/hyperlink" Target="https://doi.org/10.1016/j.cyto.2012.06.286" TargetMode="External"/><Relationship Id="rId40" Type="http://schemas.openxmlformats.org/officeDocument/2006/relationships/image" Target="media/image32.emf"/><Relationship Id="rId115" Type="http://schemas.openxmlformats.org/officeDocument/2006/relationships/hyperlink" Target="https://www.ncbi.nlm.nih.gov/pmc/articles/PMC3754507/" TargetMode="External"/><Relationship Id="rId136" Type="http://schemas.openxmlformats.org/officeDocument/2006/relationships/hyperlink" Target="https://scholar.google.com/scholar_lookup?journal=Lancet&amp;volume=395&amp;publication_year=2020&amp;pages=1033&amp;pmid=32192578&amp;" TargetMode="External"/><Relationship Id="rId157" Type="http://schemas.openxmlformats.org/officeDocument/2006/relationships/hyperlink" Target="https://pubmed.ncbi.nlm.nih.gov/17448250" TargetMode="External"/><Relationship Id="rId178" Type="http://schemas.openxmlformats.org/officeDocument/2006/relationships/hyperlink" Target="https://www.ncbi.nlm.nih.gov/pmc/articles/PMC4447431/" TargetMode="External"/><Relationship Id="rId301" Type="http://schemas.openxmlformats.org/officeDocument/2006/relationships/hyperlink" Target="https://pubmed.ncbi.nlm.nih.gov/18603409" TargetMode="External"/><Relationship Id="rId322" Type="http://schemas.openxmlformats.org/officeDocument/2006/relationships/hyperlink" Target="https://scholar.google.com/scholar_lookup?journal=Cell+Signal&amp;title=JAK2+is+an+important+signal+transducer+in+IL-33-induced+NF-kappaB+activation&amp;author=M+Funakoshi-Tago&amp;author=K+Tago&amp;author=Y+Sato&amp;author=S+Tominaga&amp;author=T+Kasahara&amp;volume=23&amp;publication_year=2011&amp;pages=363-370&amp;pmid=20940045&amp;doi=10.1016/j.cellsig.2010.10.006&amp;" TargetMode="External"/><Relationship Id="rId343" Type="http://schemas.openxmlformats.org/officeDocument/2006/relationships/hyperlink" Target="https://scholar.google.com/scholar_lookup?journal=Int+J+Biochem+Cell+Biol&amp;title=The+anti-atherogenic+cytokine+interleukin-33+inhibits+the+expression+of+a+disintegrin+and+metalloproteinase+with+thrombospondin+motifs-1,+%E2%88%924+and+%E2%88%925+in+human+macrophages:+requirement+of+extracellular+signal-regulated+kinase,+c-Jun+N-terminal+kinase+and+phosphoinositide+3-kinase+signaling+pathways&amp;author=TG+Ashlin&amp;author=ML+Buckley&amp;author=RC+Salter&amp;author=JL+Johnson&amp;author=AP+Kwan&amp;volume=46&amp;publication_year=2014&amp;pages=113-123&amp;pmid=24275094&amp;doi=10.1016/j.biocel.2013.11.008&amp;" TargetMode="External"/><Relationship Id="rId364" Type="http://schemas.openxmlformats.org/officeDocument/2006/relationships/hyperlink" Target="https://onlinelibrary.wiley.com/servlet/linkout?suffix=null&amp;dbid=32&amp;doi=10.1111%2Fimr.12619&amp;key=1%3ACAS%3A528%3ADC%252BC2MXlsVKqt74%253D" TargetMode="External"/><Relationship Id="rId550" Type="http://schemas.openxmlformats.org/officeDocument/2006/relationships/hyperlink" Target="https://www.ncbi.nlm.nih.gov/pmc/articles/PMC5220330/" TargetMode="External"/><Relationship Id="rId61" Type="http://schemas.openxmlformats.org/officeDocument/2006/relationships/hyperlink" Target="https://scholar.google.com/scholar_lookup?journal=Immunity&amp;volume=28&amp;publication_year=2008&amp;pages=477&amp;pmid=18400190&amp;" TargetMode="External"/><Relationship Id="rId82" Type="http://schemas.openxmlformats.org/officeDocument/2006/relationships/hyperlink" Target="https://pubmed.ncbi.nlm.nih.gov/21942420" TargetMode="External"/><Relationship Id="rId199" Type="http://schemas.openxmlformats.org/officeDocument/2006/relationships/hyperlink" Target="https://pubmed.ncbi.nlm.nih.gov/28723139" TargetMode="External"/><Relationship Id="rId203" Type="http://schemas.openxmlformats.org/officeDocument/2006/relationships/hyperlink" Target="https://scholar.google.com/scholar_lookup?journal=Acta+Biomater.&amp;volume=101&amp;publication_year=2020&amp;pages=372&amp;pmid=31622780&amp;" TargetMode="External"/><Relationship Id="rId385" Type="http://schemas.openxmlformats.org/officeDocument/2006/relationships/hyperlink" Target="https://onlinelibrary.wiley.com/servlet/linkout?suffix=null&amp;dbid=128&amp;doi=10.1111%2Fimr.12619&amp;key=000347136200007" TargetMode="External"/><Relationship Id="rId571" Type="http://schemas.openxmlformats.org/officeDocument/2006/relationships/hyperlink" Target="https://pubmed.ncbi.nlm.nih.gov/?term=Lee+RT&amp;cauthor_id=30696763" TargetMode="External"/><Relationship Id="rId592" Type="http://schemas.openxmlformats.org/officeDocument/2006/relationships/hyperlink" Target="https://doi.org/10.1373/clinchem.2008.116939" TargetMode="External"/><Relationship Id="rId606" Type="http://schemas.openxmlformats.org/officeDocument/2006/relationships/hyperlink" Target="https://www.jimmunol.org/lookup/google-scholar?link_type=googlescholar&amp;gs_type=article&amp;q_txt=Veldhoen%2C+M.%2C+R.+J.+Hocking%2C+C.+J.+Atkins%2C+R.+M.+Locksley%2C+B.+Stockinger.+2006.+TGF%CE%B2+in+the+context+of+an+inflammatory+cytokine+milieu+supports+de+novo+differentiation+of+IL-17-producing+T+cells.+Immunity+24%3A+179-189." TargetMode="External"/><Relationship Id="rId627" Type="http://schemas.openxmlformats.org/officeDocument/2006/relationships/hyperlink" Target="https://onlinelibrary.wiley.com/servlet/linkout?suffix=null&amp;dbid=128&amp;doi=10.1002%2Feji.202048627&amp;key=000359814000004" TargetMode="External"/><Relationship Id="rId648" Type="http://schemas.openxmlformats.org/officeDocument/2006/relationships/hyperlink" Target="https://www.jimmunol.org/lookup/google-scholar?link_type=googlescholar&amp;gs_type=article&amp;q_txt=Ohyama%2C+Y.%2C+S.+Nakamura%2C+G.+Matsuzaki%2C+M.+Shinohara%2C+A.+Hiroki%2C+T.+Fujimura%2C+A.+Yamada%2C+K.+Itoh%2C+K.+Nomoto.+1996.+Cytokine+messenger+RNA+expression+in+the+labial+salivary+glands+of+patients+with+Sj%C3%B6gren%E2%80%99s+syndrome.+Arthritis+Rheum.+39%3A+1376-1384." TargetMode="External"/><Relationship Id="rId669" Type="http://schemas.openxmlformats.org/officeDocument/2006/relationships/header" Target="header1.xml"/><Relationship Id="rId19" Type="http://schemas.openxmlformats.org/officeDocument/2006/relationships/image" Target="media/image11.emf"/><Relationship Id="rId224" Type="http://schemas.openxmlformats.org/officeDocument/2006/relationships/hyperlink" Target="https://pubmed.ncbi.nlm.nih.gov/30633878" TargetMode="External"/><Relationship Id="rId245" Type="http://schemas.openxmlformats.org/officeDocument/2006/relationships/hyperlink" Target="https://pubmed.ncbi.nlm.nih.gov/31276936" TargetMode="External"/><Relationship Id="rId266" Type="http://schemas.openxmlformats.org/officeDocument/2006/relationships/hyperlink" Target="https://onlinelibrary.wiley.com/servlet/linkout?suffix=null&amp;dbid=8&amp;doi=10.1111%2Fimr.12619&amp;key=23980170" TargetMode="External"/><Relationship Id="rId287" Type="http://schemas.openxmlformats.org/officeDocument/2006/relationships/hyperlink" Target="https://www.ncbi.nlm.nih.gov/pubmed/8131748" TargetMode="External"/><Relationship Id="rId410" Type="http://schemas.openxmlformats.org/officeDocument/2006/relationships/hyperlink" Target="https://onlinelibrary.wiley.com/servlet/linkout?suffix=null&amp;dbid=128&amp;doi=10.1111%2Fimr.12619&amp;key=000279058000061" TargetMode="External"/><Relationship Id="rId431" Type="http://schemas.openxmlformats.org/officeDocument/2006/relationships/hyperlink" Target="https://scholar.google.com/scholar_lookup?journal=Int+J+Biochem+Cell+Biol&amp;title=The+anti-atherogenic+cytokine+interleukin-33+inhibits+the+expression+of+a+disintegrin+and+metalloproteinase+with+thrombospondin+motifs-1,+%E2%88%924+and+%E2%88%925+in+human+macrophages:+requirement+of+extracellular+signal-regulated+kinase,+c-Jun+N-terminal+kinase+and+phosphoinositide+3-kinase+signaling+pathways&amp;author=TG+Ashlin&amp;author=ML+Buckley&amp;author=RC+Salter&amp;author=JL+Johnson&amp;author=AP+Kwan&amp;volume=46&amp;publication_year=2014&amp;pages=113-123&amp;pmid=24275094&amp;doi=10.1016/j.biocel.2013.11.008&amp;" TargetMode="External"/><Relationship Id="rId452" Type="http://schemas.openxmlformats.org/officeDocument/2006/relationships/hyperlink" Target="https://scholar.google.com/scholar_lookup?journal=Biochem+Biophys+Res+Commun&amp;title=Interleukin-33/ST2+signaling+promotes+production+of+interleukin-6+and+interleukin-8+in+systemic+inflammation+in+cigarette+smoke-induced+chronic+obstructive+pulmonary+disease+mice&amp;author=H+Wu&amp;author=S+Yang&amp;author=X+Wu&amp;author=J+Zhao&amp;author=Q+Ning&amp;volume=450&amp;publication_year=2014&amp;pages=110-116&amp;pmid=24866242&amp;doi=10.1016/j.bbrc.2014.05.073&amp;" TargetMode="External"/><Relationship Id="rId473" Type="http://schemas.openxmlformats.org/officeDocument/2006/relationships/hyperlink" Target="https://www.ncbi.nlm.nih.gov/pmc/articles/PMC6683938/" TargetMode="External"/><Relationship Id="rId494" Type="http://schemas.openxmlformats.org/officeDocument/2006/relationships/hyperlink" Target="https://doi.org/10.1038/srep46897" TargetMode="External"/><Relationship Id="rId508" Type="http://schemas.openxmlformats.org/officeDocument/2006/relationships/hyperlink" Target="https://pubmed.ncbi.nlm.nih.gov/?term=Kamata%20K%5BAuthor%5D" TargetMode="External"/><Relationship Id="rId529" Type="http://schemas.openxmlformats.org/officeDocument/2006/relationships/hyperlink" Target="https://doi.org/10.1172/jci.insight.136073" TargetMode="External"/><Relationship Id="rId30" Type="http://schemas.openxmlformats.org/officeDocument/2006/relationships/image" Target="media/image22.emf"/><Relationship Id="rId105" Type="http://schemas.openxmlformats.org/officeDocument/2006/relationships/hyperlink" Target="https://pubmed.ncbi.nlm.nih.gov/9285200" TargetMode="External"/><Relationship Id="rId126" Type="http://schemas.openxmlformats.org/officeDocument/2006/relationships/hyperlink" Target="https://scholar.google.com/scholar_lookup?journal=Annu.+Rev.+Immunol.&amp;volume=20&amp;publication_year=2002&amp;pages=495&amp;pmid=11861611&amp;" TargetMode="External"/><Relationship Id="rId147" Type="http://schemas.openxmlformats.org/officeDocument/2006/relationships/hyperlink" Target="https://scholar.google.com/scholar_lookup?journal=Biol.+Psychiatry&amp;volume=67&amp;publication_year=2010&amp;pages=446&amp;pmid=20015486&amp;" TargetMode="External"/><Relationship Id="rId168" Type="http://schemas.openxmlformats.org/officeDocument/2006/relationships/hyperlink" Target="https://www.ncbi.nlm.nih.gov/pmc/articles/PMC4112246/" TargetMode="External"/><Relationship Id="rId312" Type="http://schemas.openxmlformats.org/officeDocument/2006/relationships/hyperlink" Target="https://doi.org/10.1007%2Fs00018-010-0410-y" TargetMode="External"/><Relationship Id="rId333" Type="http://schemas.openxmlformats.org/officeDocument/2006/relationships/hyperlink" Target="https://www.ncbi.nlm.nih.gov/pmc/articles/PMC4060276/" TargetMode="External"/><Relationship Id="rId354" Type="http://schemas.openxmlformats.org/officeDocument/2006/relationships/hyperlink" Target="http://scholar.google.com/scholar_lookup?hl=en&amp;volume=188&amp;publication_year=2012&amp;pages=3488-3495&amp;journal=J+Immunol&amp;author=M+Pichery&amp;author=E+Mirey&amp;author=P+Mercier&amp;title=Endogenous+IL%E2%80%9033+is+highly+expressed+in+mouse+epithelial+barrier+tissues%2C+lymphoid+organs%2C+brain%2C+embryos%2C+and+inflamed+tissues.+In+situ+analysis+using+a+novel+Il%E2%80%9033%E2%80%90LacZ+gene+trap+reporter+strain" TargetMode="External"/><Relationship Id="rId540" Type="http://schemas.openxmlformats.org/officeDocument/2006/relationships/hyperlink" Target="https://www.ncbi.nlm.nih.gov/pubmed/23376950" TargetMode="External"/><Relationship Id="rId51" Type="http://schemas.openxmlformats.org/officeDocument/2006/relationships/hyperlink" Target="https://www.ncbi.nlm.nih.gov/pmc/articles/PMC2206719/" TargetMode="External"/><Relationship Id="rId72" Type="http://schemas.openxmlformats.org/officeDocument/2006/relationships/hyperlink" Target="https://scholar.google.com/scholar_lookup?journal=Nat.+Rev.+Immunol.&amp;volume=14&amp;publication_year=2014&amp;pages=329&amp;pmid=24751956&amp;" TargetMode="External"/><Relationship Id="rId93" Type="http://schemas.openxmlformats.org/officeDocument/2006/relationships/hyperlink" Target="https://scholar.google.com/scholar_lookup?journal=Clin.+Sci.&amp;volume=108&amp;publication_year=2005&amp;pages=205&amp;" TargetMode="External"/><Relationship Id="rId189" Type="http://schemas.openxmlformats.org/officeDocument/2006/relationships/hyperlink" Target="https://pubmed.ncbi.nlm.nih.gov/29119789" TargetMode="External"/><Relationship Id="rId375" Type="http://schemas.openxmlformats.org/officeDocument/2006/relationships/hyperlink" Target="https://onlinelibrary.wiley.com/servlet/linkout?suffix=null&amp;dbid=8&amp;doi=10.1111%2Fimr.12619&amp;key=27184849" TargetMode="External"/><Relationship Id="rId396" Type="http://schemas.openxmlformats.org/officeDocument/2006/relationships/hyperlink" Target="http://scholar.google.com/scholar_lookup?hl=en&amp;volume=16&amp;publication_year=2016&amp;pages=676-689&amp;journal=Nat+Rev+Immunol&amp;author=FY+Liew&amp;author=JP+Girard&amp;author=HR+Turnquist&amp;title=Interleukin%E2%80%9033+in+health+and+disease" TargetMode="External"/><Relationship Id="rId561" Type="http://schemas.openxmlformats.org/officeDocument/2006/relationships/hyperlink" Target="https://pubmed.ncbi.nlm.nih.gov/16424916" TargetMode="External"/><Relationship Id="rId582" Type="http://schemas.openxmlformats.org/officeDocument/2006/relationships/hyperlink" Target="https://scholar.google.com/scholar_lookup?journal=Arch+Otolaryngol+Head+Neck+Surg&amp;title=Interleukin+6+and+interleukin+8+as+potential+biomarkers+for+oral+cavity+and+oropharyngeal+squamous+cell+carcinoma&amp;author=MA+St+John&amp;author=Y+Li&amp;author=X+Zhou&amp;volume=130&amp;issue=8&amp;publication_year=2004&amp;pages=929-935&amp;pmid=15313862&amp;" TargetMode="External"/><Relationship Id="rId617" Type="http://schemas.openxmlformats.org/officeDocument/2006/relationships/hyperlink" Target="https://www.jimmunol.org/lookup/external-ref?access_num=10.1016/j.immuni.2004.08.018&amp;link_type=DOI" TargetMode="External"/><Relationship Id="rId638" Type="http://schemas.openxmlformats.org/officeDocument/2006/relationships/hyperlink" Target="https://www.jimmunol.org/lookup/external-ref?access_num=10.1038/nature04753&amp;link_type=DOI" TargetMode="External"/><Relationship Id="rId659" Type="http://schemas.openxmlformats.org/officeDocument/2006/relationships/hyperlink" Target="https://www.jimmunol.org/lookup/google-scholar?link_type=googlescholar&amp;gs_type=article&amp;q_txt=Gracie%2C+J.+A.%2C+S.+E.+Robertson%2C+I.+B.+McInnes.+2003.+Interleukin-18.+J.+Leukocyte+Biol.+73%3A+213-224." TargetMode="External"/><Relationship Id="rId3" Type="http://schemas.openxmlformats.org/officeDocument/2006/relationships/styles" Target="styles.xml"/><Relationship Id="rId214" Type="http://schemas.openxmlformats.org/officeDocument/2006/relationships/hyperlink" Target="https://pubmed.ncbi.nlm.nih.gov/20657280" TargetMode="External"/><Relationship Id="rId235" Type="http://schemas.openxmlformats.org/officeDocument/2006/relationships/hyperlink" Target="https://scholar.google.com/scholar_lookup?journal=Cytokine&amp;volume=60&amp;publication_year=2012&amp;pages=438&amp;pmid=22705152&amp;" TargetMode="External"/><Relationship Id="rId256" Type="http://schemas.openxmlformats.org/officeDocument/2006/relationships/hyperlink" Target="https://scholar.google.com/scholar_lookup?journal=Curr.+Opin.+Clin.+Nutr.+Metab.+Care&amp;volume=13&amp;publication_year=2010&amp;pages=541&amp;pmid=20657280&amp;" TargetMode="External"/><Relationship Id="rId277" Type="http://schemas.openxmlformats.org/officeDocument/2006/relationships/hyperlink" Target="https://onlinelibrary.wiley.com/servlet/linkout?suffix=null&amp;dbid=16&amp;doi=10.1111%2Fimr.12619&amp;key=10.1016%2Fj.jdermsci.2016.11.002" TargetMode="External"/><Relationship Id="rId298" Type="http://schemas.openxmlformats.org/officeDocument/2006/relationships/hyperlink" Target="https://scholar.google.com/scholar_lookup?journal=Biochem+Biophys+Res+Commun&amp;title=Expression+of+ST2,+an+interleukin-1+receptor+homologue,+is+induced+by+proinflammatory+stimuli&amp;author=S+Kumar&amp;author=MN+Tzimas&amp;author=DE+Griswold&amp;author=PR+Young&amp;volume=235&amp;publication_year=1997&amp;pages=474-478&amp;pmid=9207179&amp;" TargetMode="External"/><Relationship Id="rId400" Type="http://schemas.openxmlformats.org/officeDocument/2006/relationships/hyperlink" Target="https://onlinelibrary.wiley.com/servlet/linkout?suffix=null&amp;dbid=128&amp;doi=10.1111%2Fimr.12619&amp;key=000273981100051" TargetMode="External"/><Relationship Id="rId421" Type="http://schemas.openxmlformats.org/officeDocument/2006/relationships/hyperlink" Target="https://pubmed.ncbi.nlm.nih.gov/?term=Holmes+WM&amp;cauthor_id=20634488" TargetMode="External"/><Relationship Id="rId442" Type="http://schemas.openxmlformats.org/officeDocument/2006/relationships/hyperlink" Target="https://scholar.google.com/scholar_lookup?journal=Sci.+Rep.&amp;title=Interleukin+33+exacerbates+antigen+driven+airway+hyperresponsiveness,+inflammation+and+remodeling+in+a+mouse+model+of+asthma&amp;author=L.+C.+Sjoberg&amp;author=A.+Z.+Nilsson&amp;author=Y.+Lei&amp;author=J.+A.+Gregory&amp;author=M.+Adner&amp;volume=7&amp;publication_year=2017&amp;pages=4219&amp;pmid=28652606&amp;doi=10.1038/s41598-017-03674-0&amp;" TargetMode="External"/><Relationship Id="rId463" Type="http://schemas.openxmlformats.org/officeDocument/2006/relationships/hyperlink" Target="https://pubmed.ncbi.nlm.nih.gov/?term=Louren%C3%A7o%20TG%5BAuthor%5D" TargetMode="External"/><Relationship Id="rId484" Type="http://schemas.openxmlformats.org/officeDocument/2006/relationships/hyperlink" Target="https://pubmed.ncbi.nlm.nih.gov/?term=Di%20Emidio%20P%5BAuthor%5D" TargetMode="External"/><Relationship Id="rId519" Type="http://schemas.openxmlformats.org/officeDocument/2006/relationships/hyperlink" Target="https://doi.org/10.1038%2Fs41598-020-71848-4" TargetMode="External"/><Relationship Id="rId670" Type="http://schemas.openxmlformats.org/officeDocument/2006/relationships/footer" Target="footer1.xml"/><Relationship Id="rId116" Type="http://schemas.openxmlformats.org/officeDocument/2006/relationships/hyperlink" Target="https://pubmed.ncbi.nlm.nih.gov/23697573" TargetMode="External"/><Relationship Id="rId137" Type="http://schemas.openxmlformats.org/officeDocument/2006/relationships/hyperlink" Target="https://pubmed.ncbi.nlm.nih.gov/32303591" TargetMode="External"/><Relationship Id="rId158" Type="http://schemas.openxmlformats.org/officeDocument/2006/relationships/hyperlink" Target="https://scholar.google.com/scholar_lookup?journal=Crit.+Care&amp;volume=11&amp;publication_year=2007&amp;pages=R49&amp;pmid=17448250&amp;" TargetMode="External"/><Relationship Id="rId302" Type="http://schemas.openxmlformats.org/officeDocument/2006/relationships/hyperlink" Target="https://doi.org/10.1016%2Fj.cellsig.2008.05.013" TargetMode="External"/><Relationship Id="rId323" Type="http://schemas.openxmlformats.org/officeDocument/2006/relationships/hyperlink" Target="https://pubmed.ncbi.nlm.nih.gov/20200353" TargetMode="External"/><Relationship Id="rId344" Type="http://schemas.openxmlformats.org/officeDocument/2006/relationships/hyperlink" Target="https://doi.org/10.3389/fendo.2019.00026" TargetMode="External"/><Relationship Id="rId530" Type="http://schemas.openxmlformats.org/officeDocument/2006/relationships/hyperlink" Target="https://doi.org/10.4049/jimmunol.1401344" TargetMode="External"/><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hyperlink" Target="https://www.ncbi.nlm.nih.gov/pmc/articles/PMC3252703/" TargetMode="External"/><Relationship Id="rId83" Type="http://schemas.openxmlformats.org/officeDocument/2006/relationships/hyperlink" Target="https://scholar.google.com/scholar_lookup?journal=J.+Interferon+Cytokine+Res.&amp;volume=31&amp;publication_year=2011&amp;pages=695&amp;pmid=21942420&amp;" TargetMode="External"/><Relationship Id="rId179" Type="http://schemas.openxmlformats.org/officeDocument/2006/relationships/hyperlink" Target="https://pubmed.ncbi.nlm.nih.gov/25790830" TargetMode="External"/><Relationship Id="rId365" Type="http://schemas.openxmlformats.org/officeDocument/2006/relationships/hyperlink" Target="https://onlinelibrary.wiley.com/servlet/linkout?suffix=null&amp;dbid=8&amp;doi=10.1111%2Fimr.12619&amp;key=25863247" TargetMode="External"/><Relationship Id="rId386" Type="http://schemas.openxmlformats.org/officeDocument/2006/relationships/hyperlink" Target="http://scholar.google.com/scholar_lookup?hl=en&amp;volume=31C&amp;publication_year=2014&amp;pages=31-37&amp;journal=Curr+Opin+Immunol&amp;author=C+Cayrol&amp;author=JP+Girard&amp;title=IL%E2%80%9033%3A+An+alarmin+cytokine+with+crucial+roles+in+innate+immunity%2C+inflammation+and+allergy" TargetMode="External"/><Relationship Id="rId551" Type="http://schemas.openxmlformats.org/officeDocument/2006/relationships/hyperlink" Target="https://pubmed.ncbi.nlm.nih.gov/28119694" TargetMode="External"/><Relationship Id="rId572" Type="http://schemas.openxmlformats.org/officeDocument/2006/relationships/hyperlink" Target="https://pubmed.ncbi.nlm.nih.gov/?term=Mino-Kenudson+M&amp;cauthor_id=30696763" TargetMode="External"/><Relationship Id="rId593" Type="http://schemas.openxmlformats.org/officeDocument/2006/relationships/hyperlink" Target="https://dx.doi.org/10.1371%2Fjournal.pone.0143009" TargetMode="External"/><Relationship Id="rId607" Type="http://schemas.openxmlformats.org/officeDocument/2006/relationships/hyperlink" Target="https://www.jimmunol.org/lookup/external-ref?access_num=10.1038/nature04753&amp;link_type=DOI" TargetMode="External"/><Relationship Id="rId628" Type="http://schemas.openxmlformats.org/officeDocument/2006/relationships/hyperlink" Target="http://scholar.google.com/scholar_lookup?hl=en&amp;volume=34&amp;publication_year=2015&amp;pages=318-331&amp;journal=Int.+Rev.+Immunol.&amp;author=Y.+Liang&amp;author=H.+F.+Pan&amp;author=D.+Q.+Ye&amp;title=Tc17+cells+in+immunity+and+systemic+autoimmunity" TargetMode="External"/><Relationship Id="rId649" Type="http://schemas.openxmlformats.org/officeDocument/2006/relationships/hyperlink" Target="https://www.jimmunol.org/lookup/external-ref?access_num=10.1038/378088a0&amp;link_type=DOI" TargetMode="External"/><Relationship Id="rId190" Type="http://schemas.openxmlformats.org/officeDocument/2006/relationships/hyperlink" Target="https://scholar.google.com/scholar_lookup?journal=ACS+Appl.+Mater.+Interfaces&amp;volume=9&amp;publication_year=2017&amp;pages=41659&amp;pmid=29119789&amp;" TargetMode="External"/><Relationship Id="rId204" Type="http://schemas.openxmlformats.org/officeDocument/2006/relationships/hyperlink" Target="https://pubmed.ncbi.nlm.nih.gov/29308890" TargetMode="External"/><Relationship Id="rId225" Type="http://schemas.openxmlformats.org/officeDocument/2006/relationships/hyperlink" Target="https://scholar.google.com/scholar_lookup?journal=Clin.+Biochem.&amp;volume=65&amp;publication_year=2019&amp;pages=38&amp;pmid=30633878&amp;" TargetMode="External"/><Relationship Id="rId246" Type="http://schemas.openxmlformats.org/officeDocument/2006/relationships/hyperlink" Target="https://scholar.google.com/scholar_lookup?journal=Cytokine&amp;volume=123&amp;publication_year=2019&amp;pages=154768&amp;pmid=31276936&amp;" TargetMode="External"/><Relationship Id="rId267" Type="http://schemas.openxmlformats.org/officeDocument/2006/relationships/hyperlink" Target="https://onlinelibrary.wiley.com/servlet/linkout?suffix=null&amp;dbid=128&amp;doi=10.1111%2Fimr.12619&amp;key=000324125100034" TargetMode="External"/><Relationship Id="rId288" Type="http://schemas.openxmlformats.org/officeDocument/2006/relationships/hyperlink" Target="https://scholar.google.com/scholar_lookup?journal=EMBO+J&amp;title=Alternative+promoter+usage+of+the+Fos-responsive+gene+Fit-1+generates+mRNA+isoforms+coding+for+either+secreted+or+membrane-bound+proteins+related+to+the+IL-1+receptor&amp;author=G+Bergers&amp;author=A+Reikerstorfer&amp;author=S+Braselmann&amp;author=P+Graninger&amp;author=M+Busslinger&amp;volume=13&amp;publication_year=1994&amp;pages=1176-1188&amp;pmid=8131748&amp;" TargetMode="External"/><Relationship Id="rId411" Type="http://schemas.openxmlformats.org/officeDocument/2006/relationships/hyperlink" Target="http://scholar.google.com/scholar_lookup?hl=en&amp;volume=107&amp;publication_year=2010&amp;pages=11489-11494&amp;journal=Proc+Natl+Acad+Sci+USA&amp;author=AE+Price&amp;author=HE+Liang&amp;author=BM+Sullivan&amp;title=Systemically+dispersed+innate+IL%E2%80%9013%E2%80%90expressing+cells+in+type+2+immunity" TargetMode="External"/><Relationship Id="rId432" Type="http://schemas.openxmlformats.org/officeDocument/2006/relationships/hyperlink" Target="https://pubmed.ncbi.nlm.nih.gov/21422152" TargetMode="External"/><Relationship Id="rId453" Type="http://schemas.openxmlformats.org/officeDocument/2006/relationships/hyperlink" Target="https://doi.org/10.1126/science.1215418" TargetMode="External"/><Relationship Id="rId474" Type="http://schemas.openxmlformats.org/officeDocument/2006/relationships/hyperlink" Target="https://doi.org/10.1177%2F0300060519854630" TargetMode="External"/><Relationship Id="rId509" Type="http://schemas.openxmlformats.org/officeDocument/2006/relationships/hyperlink" Target="https://pubmed.ncbi.nlm.nih.gov/?term=Omoto%20S%5BAuthor%5D" TargetMode="External"/><Relationship Id="rId660" Type="http://schemas.openxmlformats.org/officeDocument/2006/relationships/hyperlink" Target="https://www.jimmunol.org/lookup/ijlink/YTozOntzOjQ6InBhdGgiO3M6MTQ6Ii9sb29rdXAvaWpsaW5rIjtzOjU6InF1ZXJ5IjthOjQ6e3M6ODoibGlua1R5cGUiO3M6NDoiQUJTVCI7czoxMToiam91cm5hbENvZGUiO3M6ODoiamltbXVub2wiO3M6NToicmVzaWQiO3M6MTE6IjE2Ny8xMS82NTY4IjtzOjQ6ImF0b20iO3M6MjU6Ii9qaW1tdW5vbC8xODEvNC8yODk4LmF0b20iO31zOjg6ImZyYWdtZW50IjtzOjA6IiI7fQ==" TargetMode="External"/><Relationship Id="rId106" Type="http://schemas.openxmlformats.org/officeDocument/2006/relationships/hyperlink" Target="https://scholar.google.com/scholar_lookup?journal=Drug+Saf.&amp;volume=17&amp;publication_year=1997&amp;pages=93&amp;pmid=9285200&amp;" TargetMode="External"/><Relationship Id="rId127" Type="http://schemas.openxmlformats.org/officeDocument/2006/relationships/hyperlink" Target="https://pubmed.ncbi.nlm.nih.gov/24751956" TargetMode="External"/><Relationship Id="rId313" Type="http://schemas.openxmlformats.org/officeDocument/2006/relationships/hyperlink" Target="https://scholar.google.com/scholar_lookup?journal=Cell+Mol+Life+Sci&amp;title=Interleukin-33+stimulates+formation+of+functional+osteoclasts+from+human+CD14(+)+monocytes&amp;author=SH+Mun&amp;author=NY+Ko&amp;author=HS+Kim&amp;author=JW+Kim&amp;author=K+Kim+do&amp;volume=67&amp;publication_year=2010&amp;pages=3883-3892&amp;pmid=20532808&amp;doi=10.1007/s00018-010-0410-y&amp;" TargetMode="External"/><Relationship Id="rId495" Type="http://schemas.openxmlformats.org/officeDocument/2006/relationships/hyperlink" Target="https://www.ncbi.nlm.nih.gov/pmc/articles/PMC7180392/" TargetMode="External"/><Relationship Id="rId10" Type="http://schemas.openxmlformats.org/officeDocument/2006/relationships/image" Target="media/image2.png"/><Relationship Id="rId31" Type="http://schemas.openxmlformats.org/officeDocument/2006/relationships/image" Target="media/image23.emf"/><Relationship Id="rId52" Type="http://schemas.openxmlformats.org/officeDocument/2006/relationships/hyperlink" Target="https://www.ncbi.nlm.nih.gov/pubmed/17705880" TargetMode="External"/><Relationship Id="rId73" Type="http://schemas.openxmlformats.org/officeDocument/2006/relationships/hyperlink" Target="https://www.ncbi.nlm.nih.gov/pmc/articles/PMC2730638/" TargetMode="External"/><Relationship Id="rId94" Type="http://schemas.openxmlformats.org/officeDocument/2006/relationships/hyperlink" Target="https://pubmed.ncbi.nlm.nih.gov/31013453" TargetMode="External"/><Relationship Id="rId148" Type="http://schemas.openxmlformats.org/officeDocument/2006/relationships/hyperlink" Target="https://www.ncbi.nlm.nih.gov/pmc/articles/PMC1618676/" TargetMode="External"/><Relationship Id="rId169" Type="http://schemas.openxmlformats.org/officeDocument/2006/relationships/hyperlink" Target="https://pubmed.ncbi.nlm.nih.gov/25097473" TargetMode="External"/><Relationship Id="rId334" Type="http://schemas.openxmlformats.org/officeDocument/2006/relationships/hyperlink" Target="https://pubmed.ncbi.nlm.nih.gov/22445500" TargetMode="External"/><Relationship Id="rId355" Type="http://schemas.openxmlformats.org/officeDocument/2006/relationships/hyperlink" Target="http://scholar.google.com/scholar_lookup?hl=en&amp;volume=130&amp;publication_year=2012&amp;pages=e11&amp;journal=J+Allergy+Clin+Immunol&amp;issue=184%E2%80%9394&amp;author=Y+Haenuki&amp;author=K+Matsushita&amp;author=S+Futatsugi%E2%80%90Yumikura&amp;title=A+critical+role+of+IL%E2%80%9033+in+experimental+allergic+rhinitis" TargetMode="External"/><Relationship Id="rId376" Type="http://schemas.openxmlformats.org/officeDocument/2006/relationships/hyperlink" Target="https://onlinelibrary.wiley.com/servlet/linkout?suffix=null&amp;dbid=128&amp;doi=10.1111%2Fimr.12619&amp;key=000376654500011" TargetMode="External"/><Relationship Id="rId397" Type="http://schemas.openxmlformats.org/officeDocument/2006/relationships/hyperlink" Target="https://onlinelibrary.wiley.com/servlet/linkout?suffix=null&amp;dbid=16&amp;doi=10.1111%2Fimr.12619&amp;key=10.1038%2Fnature08636" TargetMode="External"/><Relationship Id="rId520" Type="http://schemas.openxmlformats.org/officeDocument/2006/relationships/hyperlink" Target="https://doi.org/10.1111/ced.12670" TargetMode="External"/><Relationship Id="rId541" Type="http://schemas.openxmlformats.org/officeDocument/2006/relationships/hyperlink" Target="https://scholar.google.com/scholar_lookup?journal=Nature&amp;title=T-helper-1-cell+cytokines+drive+cancer+into+senescence&amp;author=H+Braumuller&amp;author=T+Wieder&amp;author=E+Brenner&amp;author=S+Assmann&amp;author=M+Hahn&amp;volume=494&amp;issue=7437&amp;publication_year=2013&amp;pages=361-5&amp;pmid=23376950&amp;" TargetMode="External"/><Relationship Id="rId562" Type="http://schemas.openxmlformats.org/officeDocument/2006/relationships/hyperlink" Target="https://scholar.google.com/scholar_lookup?journal=Nat+Rev+Drug+Discov&amp;title=Antibody+targeted+drugs+as+cancer+therapeutics&amp;author=D+Schrama&amp;author=RA+Reisfeld&amp;author=JC+Becker&amp;volume=5&amp;issue=2&amp;publication_year=2006&amp;pages=147-159&amp;pmid=16424916&amp;" TargetMode="External"/><Relationship Id="rId583" Type="http://schemas.openxmlformats.org/officeDocument/2006/relationships/hyperlink" Target="https://www.ncbi.nlm.nih.gov/pmc/articles/PMC3945802/?report=reader" TargetMode="External"/><Relationship Id="rId618" Type="http://schemas.openxmlformats.org/officeDocument/2006/relationships/hyperlink" Target="https://www.jimmunol.org/lookup/external-ref?access_num=15485625&amp;link_type=MED&amp;atom=%2Fjimmunol%2F181%2F4%2F2898.atom" TargetMode="External"/><Relationship Id="rId639" Type="http://schemas.openxmlformats.org/officeDocument/2006/relationships/hyperlink" Target="https://www.jimmunol.org/lookup/external-ref?access_num=16648838&amp;link_type=MED&amp;atom=%2Fjimmunol%2F181%2F4%2F2898.atom" TargetMode="External"/><Relationship Id="rId4" Type="http://schemas.microsoft.com/office/2007/relationships/stylesWithEffects" Target="stylesWithEffects.xml"/><Relationship Id="rId180" Type="http://schemas.openxmlformats.org/officeDocument/2006/relationships/hyperlink" Target="https://scholar.google.com/scholar_lookup?journal=ACS+Nano&amp;volume=9&amp;publication_year=2015&amp;pages=4173&amp;pmid=25790830&amp;" TargetMode="External"/><Relationship Id="rId215" Type="http://schemas.openxmlformats.org/officeDocument/2006/relationships/hyperlink" Target="https://scholar.google.com/scholar_lookup?journal=Curr.+Opin.+Clin.+Nutr.+Metab.+Care&amp;volume=13&amp;publication_year=2010&amp;pages=541&amp;pmid=20657280&amp;" TargetMode="External"/><Relationship Id="rId236" Type="http://schemas.openxmlformats.org/officeDocument/2006/relationships/hyperlink" Target="https://www.ncbi.nlm.nih.gov/pmc/articles/PMC4332596/" TargetMode="External"/><Relationship Id="rId257" Type="http://schemas.openxmlformats.org/officeDocument/2006/relationships/hyperlink" Target="https://pubmed.ncbi.nlm.nih.gov/28595117" TargetMode="External"/><Relationship Id="rId278" Type="http://schemas.openxmlformats.org/officeDocument/2006/relationships/hyperlink" Target="http://scholar.google.com/scholar_lookup?hl=en&amp;volume=85&amp;publication_year=2017&amp;pages=137-140&amp;journal=J+Dermatol+Sci&amp;author=H+Tsuda&amp;author=M+Komine&amp;author=SI+Tominaga&amp;author=M+Ohtsuki&amp;title=Identification+of+the+promoter+region+of+human+IL%E2%80%9033+responsive+to+induction+by+IFNgamma" TargetMode="External"/><Relationship Id="rId401" Type="http://schemas.openxmlformats.org/officeDocument/2006/relationships/hyperlink" Target="http://scholar.google.com/scholar_lookup?hl=en&amp;volume=463&amp;publication_year=2010&amp;pages=540-544&amp;journal=Nature&amp;author=K+Moro&amp;author=T+Yamada&amp;author=M+Tanabe&amp;title=Innate+production+of+T%28H%292+cytokines+by+adipose+tissue%E2%80%90associated+c%E2%80%90Kit%28%2B%29Sca%E2%80%901%28%2B%29+lymphoid+cells" TargetMode="External"/><Relationship Id="rId422" Type="http://schemas.openxmlformats.org/officeDocument/2006/relationships/hyperlink" Target="https://pubmed.ncbi.nlm.nih.gov/?term=McKenzie+AN&amp;cauthor_id=20634488" TargetMode="External"/><Relationship Id="rId443" Type="http://schemas.openxmlformats.org/officeDocument/2006/relationships/hyperlink" Target="https://www.ncbi.nlm.nih.gov/pmc/articles/PMC6409346/" TargetMode="External"/><Relationship Id="rId464" Type="http://schemas.openxmlformats.org/officeDocument/2006/relationships/hyperlink" Target="https://pubmed.ncbi.nlm.nih.gov/?term=Ramos%20DV%5BAuthor%5D" TargetMode="External"/><Relationship Id="rId650" Type="http://schemas.openxmlformats.org/officeDocument/2006/relationships/hyperlink" Target="https://www.jimmunol.org/lookup/external-ref?access_num=7477296&amp;link_type=MED&amp;atom=%2Fjimmunol%2F181%2F4%2F2898.atom" TargetMode="External"/><Relationship Id="rId303" Type="http://schemas.openxmlformats.org/officeDocument/2006/relationships/hyperlink" Target="https://scholar.google.com/scholar_lookup?journal=Cell+Signal&amp;title=TRAF6+is+a+critical+signal+transducer+in+IL-33+signaling+pathway&amp;author=M+Funakoshi-Tago&amp;author=K+Tago&amp;author=M+Hayakawa&amp;author=S+Tominaga&amp;author=T+Ohshio&amp;volume=20&amp;publication_year=2008&amp;pages=1679-1686&amp;pmid=18603409&amp;doi=10.1016/j.cellsig.2008.05.013&amp;" TargetMode="External"/><Relationship Id="rId485" Type="http://schemas.openxmlformats.org/officeDocument/2006/relationships/hyperlink" Target="https://pubmed.ncbi.nlm.nih.gov/?term=Ronconi%20G%5BAuthor%5D" TargetMode="External"/><Relationship Id="rId42" Type="http://schemas.openxmlformats.org/officeDocument/2006/relationships/image" Target="media/image34.emf"/><Relationship Id="rId84" Type="http://schemas.openxmlformats.org/officeDocument/2006/relationships/hyperlink" Target="https://pubmed.ncbi.nlm.nih.gov/24905959" TargetMode="External"/><Relationship Id="rId138" Type="http://schemas.openxmlformats.org/officeDocument/2006/relationships/hyperlink" Target="https://scholar.google.com/scholar_lookup?journal=Science&amp;volume=368&amp;publication_year=2020&amp;pages=473&amp;pmid=32303591&amp;" TargetMode="External"/><Relationship Id="rId345" Type="http://schemas.openxmlformats.org/officeDocument/2006/relationships/hyperlink" Target="https://onlinelibrary.wiley.com/servlet/linkout?suffix=null&amp;dbid=16&amp;doi=10.1111%2Fimr.12619&amp;key=10.1371%2Fjournal.pone.0003331" TargetMode="External"/><Relationship Id="rId387" Type="http://schemas.openxmlformats.org/officeDocument/2006/relationships/hyperlink" Target="https://onlinelibrary.wiley.com/servlet/linkout?suffix=null&amp;dbid=16&amp;doi=10.1111%2Fimr.12619&amp;key=10.1016%2Fj.immuni.2015.06.006" TargetMode="External"/><Relationship Id="rId510" Type="http://schemas.openxmlformats.org/officeDocument/2006/relationships/hyperlink" Target="https://pubmed.ncbi.nlm.nih.gov/?term=Nakai%20A%5BAuthor%5D" TargetMode="External"/><Relationship Id="rId552" Type="http://schemas.openxmlformats.org/officeDocument/2006/relationships/hyperlink" Target="https://scholar.google.com/scholar_lookup?journal=Front+Immunol&amp;title=The+role+of+IL-33-dependent+inflammation+in+the+tumor+microenvironment&amp;author=MH+Wasmer&amp;author=P+Krebs&amp;volume=7&amp;publication_year=2016&amp;pages=682&amp;pmid=28119694&amp;" TargetMode="External"/><Relationship Id="rId594" Type="http://schemas.openxmlformats.org/officeDocument/2006/relationships/hyperlink" Target="https://doi.org/10.1186/s12943-017-0721-9" TargetMode="External"/><Relationship Id="rId608" Type="http://schemas.openxmlformats.org/officeDocument/2006/relationships/hyperlink" Target="https://www.jimmunol.org/lookup/external-ref?access_num=16648838&amp;link_type=MED&amp;atom=%2Fjimmunol%2F181%2F4%2F2898.atom" TargetMode="External"/><Relationship Id="rId191" Type="http://schemas.openxmlformats.org/officeDocument/2006/relationships/hyperlink" Target="https://www.ncbi.nlm.nih.gov/pmc/articles/PMC6799845/" TargetMode="External"/><Relationship Id="rId205" Type="http://schemas.openxmlformats.org/officeDocument/2006/relationships/hyperlink" Target="https://scholar.google.com/scholar_lookup?journal=ACS+Sens.&amp;volume=3&amp;publication_year=2018&amp;pages=320&amp;pmid=29308890&amp;" TargetMode="External"/><Relationship Id="rId247" Type="http://schemas.openxmlformats.org/officeDocument/2006/relationships/hyperlink" Target="https://pubmed.ncbi.nlm.nih.gov/31472404" TargetMode="External"/><Relationship Id="rId412" Type="http://schemas.openxmlformats.org/officeDocument/2006/relationships/hyperlink" Target="https://onlinelibrary.wiley.com/servlet/linkout?suffix=null&amp;dbid=16&amp;doi=10.1111%2Fimr.12619&amp;key=10.1038%2Fni.2104" TargetMode="External"/><Relationship Id="rId107" Type="http://schemas.openxmlformats.org/officeDocument/2006/relationships/hyperlink" Target="https://www.ncbi.nlm.nih.gov/pmc/articles/PMC4148478/" TargetMode="External"/><Relationship Id="rId289" Type="http://schemas.openxmlformats.org/officeDocument/2006/relationships/hyperlink" Target="https://www.ncbi.nlm.nih.gov/pubmed/7756176" TargetMode="External"/><Relationship Id="rId454" Type="http://schemas.openxmlformats.org/officeDocument/2006/relationships/hyperlink" Target="https://pubmed.ncbi.nlm.nih.gov/?term=Ballambettu%20SP%5BAuthor%5D" TargetMode="External"/><Relationship Id="rId496" Type="http://schemas.openxmlformats.org/officeDocument/2006/relationships/hyperlink" Target="https://doi.org/10.3389/fimmu.2018.00962" TargetMode="External"/><Relationship Id="rId661" Type="http://schemas.openxmlformats.org/officeDocument/2006/relationships/hyperlink" Target="https://www.jimmunol.org/lookup/google-scholar?link_type=googlescholar&amp;gs_type=article&amp;q_txt=Sugawara%2C+S.%2C+A.+Uehara%2C+T.+Nochi%2C+T.+Yamaguchi%2C+H.+Ueda%2C+A.+Sugiyama%2C+K.+Hanzawa%2C+K.+Kumagai%2C+H.+Okamura%2C+H.+Takada.+2001.+Neutrophil+proteinase+3-mediated+induction+of+bioactive+IL-18+secretion+by+human+oral+epithelial+cells.+J.+Immunol.+167%3A+6568-6575." TargetMode="External"/><Relationship Id="rId11" Type="http://schemas.openxmlformats.org/officeDocument/2006/relationships/image" Target="media/image3.jpeg"/><Relationship Id="rId53" Type="http://schemas.openxmlformats.org/officeDocument/2006/relationships/hyperlink" Target="https://dx.doi.org/10.1186/bcr1746" TargetMode="External"/><Relationship Id="rId149" Type="http://schemas.openxmlformats.org/officeDocument/2006/relationships/hyperlink" Target="https://pubmed.ncbi.nlm.nih.gov/15509528" TargetMode="External"/><Relationship Id="rId314" Type="http://schemas.openxmlformats.org/officeDocument/2006/relationships/hyperlink" Target="https://pubmed.ncbi.nlm.nih.gov/26598236" TargetMode="External"/><Relationship Id="rId356" Type="http://schemas.openxmlformats.org/officeDocument/2006/relationships/hyperlink" Target="https://onlinelibrary.wiley.com/servlet/linkout?suffix=null&amp;dbid=16&amp;doi=10.1111%2Fimr.12619&amp;key=10.1371%2Fjournal.pone.0052252" TargetMode="External"/><Relationship Id="rId398" Type="http://schemas.openxmlformats.org/officeDocument/2006/relationships/hyperlink" Target="https://onlinelibrary.wiley.com/servlet/linkout?suffix=null&amp;dbid=32&amp;doi=10.1111%2Fimr.12619&amp;key=1%3ACAS%3A528%3ADC%252BD1MXhsFyhsL3O" TargetMode="External"/><Relationship Id="rId521" Type="http://schemas.openxmlformats.org/officeDocument/2006/relationships/hyperlink" Target="https://doi.org/10.3899/jrheum.100184" TargetMode="External"/><Relationship Id="rId563" Type="http://schemas.openxmlformats.org/officeDocument/2006/relationships/hyperlink" Target="https://pubmed.ncbi.nlm.nih.gov/?term=Ameri+AH&amp;cauthor_id=30696763" TargetMode="External"/><Relationship Id="rId619" Type="http://schemas.openxmlformats.org/officeDocument/2006/relationships/hyperlink" Target="https://www.jimmunol.org/lookup/google-scholar?link_type=googlescholar&amp;gs_type=article&amp;q_txt=Kolls%2C+J.+K.%2C+A.+Lind%C3%A9n.+2004.+Interleukin-17+family+members+and+inflammation.+Immunity+21%3A+467-476." TargetMode="External"/><Relationship Id="rId95" Type="http://schemas.openxmlformats.org/officeDocument/2006/relationships/hyperlink" Target="https://scholar.google.com/scholar_lookup?journal=J.+Interferon+Cytokine+Res.&amp;volume=39&amp;publication_year=2019&amp;pages=393&amp;pmid=31013453&amp;" TargetMode="External"/><Relationship Id="rId160" Type="http://schemas.openxmlformats.org/officeDocument/2006/relationships/hyperlink" Target="https://scholar.google.com/scholar_lookup?journal=Nat.+Rev.+Immunol.&amp;volume=7&amp;publication_year=2007&amp;pages=429&amp;pmid=17525752&amp;" TargetMode="External"/><Relationship Id="rId216" Type="http://schemas.openxmlformats.org/officeDocument/2006/relationships/hyperlink" Target="https://pubmed.ncbi.nlm.nih.gov/26808439" TargetMode="External"/><Relationship Id="rId423" Type="http://schemas.openxmlformats.org/officeDocument/2006/relationships/hyperlink" Target="https://pubmed.ncbi.nlm.nih.gov/?term=Xu+D&amp;cauthor_id=20634488" TargetMode="External"/><Relationship Id="rId258" Type="http://schemas.openxmlformats.org/officeDocument/2006/relationships/hyperlink" Target="https://scholar.google.com/scholar_lookup?journal=Cytokine&amp;volume=97&amp;publication_year=2017&amp;pages=86&amp;pmid=28595117&amp;" TargetMode="External"/><Relationship Id="rId465" Type="http://schemas.openxmlformats.org/officeDocument/2006/relationships/hyperlink" Target="https://pubmed.ncbi.nlm.nih.gov/?term=Pasqualin%20Dd%5BAuthor%5D" TargetMode="External"/><Relationship Id="rId630" Type="http://schemas.openxmlformats.org/officeDocument/2006/relationships/hyperlink" Target="https://www.jimmunol.org/lookup/external-ref?access_num=10.1038/ni1497&amp;link_type=DOI" TargetMode="External"/><Relationship Id="rId672" Type="http://schemas.openxmlformats.org/officeDocument/2006/relationships/fontTable" Target="fontTable.xml"/><Relationship Id="rId22" Type="http://schemas.openxmlformats.org/officeDocument/2006/relationships/image" Target="media/image14.emf"/><Relationship Id="rId64" Type="http://schemas.openxmlformats.org/officeDocument/2006/relationships/hyperlink" Target="https://scholar.google.com/scholar_lookup?journal=Cancer+Res.&amp;volume=72&amp;publication_year=2012&amp;pages=66&amp;pmid=22065722&amp;" TargetMode="External"/><Relationship Id="rId118" Type="http://schemas.openxmlformats.org/officeDocument/2006/relationships/hyperlink" Target="https://www.ncbi.nlm.nih.gov/pmc/articles/PMC4158303/" TargetMode="External"/><Relationship Id="rId325" Type="http://schemas.openxmlformats.org/officeDocument/2006/relationships/hyperlink" Target="https://scholar.google.com/scholar_lookup?journal=Blood&amp;title=The+receptor+tyrosine+kinase+c-kit+controls+IL-33+receptor+signaling+in+mast+cells&amp;author=S+Drube&amp;author=S+Heink&amp;author=S+Walter&amp;author=T+Lohn&amp;author=M+Grusser&amp;volume=115&amp;publication_year=2010&amp;pages=3899-3906&amp;pmid=20200353&amp;doi=10.1182/blood-2009-10-247411&amp;" TargetMode="External"/><Relationship Id="rId367" Type="http://schemas.openxmlformats.org/officeDocument/2006/relationships/hyperlink" Target="http://scholar.google.com/scholar_lookup?hl=en&amp;volume=21&amp;publication_year=2015&amp;pages=543-557&amp;journal=Cell+Metab&amp;author=D+Kolodin&amp;author=N+Panhuys&amp;author=C+Li&amp;title=Antigen%E2%80%90+and+cytokine%E2%80%90driven+accumulation+of+regulatory+T+cells+in+visceral+adipose+tissue+of+lean+mice" TargetMode="External"/><Relationship Id="rId532" Type="http://schemas.openxmlformats.org/officeDocument/2006/relationships/hyperlink" Target="https://doi.org/10.1038/ncomms11385" TargetMode="External"/><Relationship Id="rId574" Type="http://schemas.openxmlformats.org/officeDocument/2006/relationships/hyperlink" Target="https://doi.org/10.1073/pnas.1815016116" TargetMode="External"/><Relationship Id="rId171" Type="http://schemas.openxmlformats.org/officeDocument/2006/relationships/hyperlink" Target="https://pubmed.ncbi.nlm.nih.gov/?term=Liu%20C%5BAuthor%5D" TargetMode="External"/><Relationship Id="rId227" Type="http://schemas.openxmlformats.org/officeDocument/2006/relationships/hyperlink" Target="https://pubmed.ncbi.nlm.nih.gov/27208752" TargetMode="External"/><Relationship Id="rId269" Type="http://schemas.openxmlformats.org/officeDocument/2006/relationships/hyperlink" Target="https://www.ncbi.nlm.nih.gov/pmc/articles/PMC4174560/?report=reader" TargetMode="External"/><Relationship Id="rId434" Type="http://schemas.openxmlformats.org/officeDocument/2006/relationships/hyperlink" Target="https://scholar.google.com/scholar_lookup?journal=Int.+Immunol.&amp;title=Endogenous+IL-33+enhances+Th2+cytokine+production+and+T-cell+responses+during+allergic+airway+inflammation&amp;author=J.+Louten&amp;author=A.+L.+Rankin&amp;author=Y.+Li&amp;author=E.+E.+Murphy&amp;author=M.+Beaumont&amp;volume=23&amp;publication_year=2011&amp;pages=307-315&amp;pmid=21422152&amp;doi=10.1093/intimm/dxr006&amp;" TargetMode="External"/><Relationship Id="rId476" Type="http://schemas.openxmlformats.org/officeDocument/2006/relationships/hyperlink" Target="https://pubmed.ncbi.nlm.nih.gov/?term=Conti%20P%5BAuthor%5D" TargetMode="External"/><Relationship Id="rId641" Type="http://schemas.openxmlformats.org/officeDocument/2006/relationships/hyperlink" Target="https://www.jimmunol.org/lookup/ijlink/YTozOntzOjQ6InBhdGgiO3M6MTQ6Ii9sb29rdXAvaWpsaW5rIjtzOjU6InF1ZXJ5IjthOjQ6e3M6ODoibGlua1R5cGUiO3M6NDoiQUJTVCI7czoxMToiam91cm5hbENvZGUiO3M6ODoiamltbXVub2wiO3M6NToicmVzaWQiO3M6MTE6IjE1Mi8xMS81NTMyIjtzOjQ6ImF0b20iO3M6MjU6Ii9qaW1tdW5vbC8xODEvNC8yODk4LmF0b20iO31zOjg6ImZyYWdtZW50IjtzOjA6IiI7fQ==" TargetMode="External"/><Relationship Id="rId33" Type="http://schemas.openxmlformats.org/officeDocument/2006/relationships/image" Target="media/image25.emf"/><Relationship Id="rId129" Type="http://schemas.openxmlformats.org/officeDocument/2006/relationships/hyperlink" Target="https://pubmed.ncbi.nlm.nih.gov/7600284" TargetMode="External"/><Relationship Id="rId280" Type="http://schemas.openxmlformats.org/officeDocument/2006/relationships/hyperlink" Target="https://onlinelibrary.wiley.com/servlet/linkout?suffix=null&amp;dbid=32&amp;doi=10.1111%2Fimr.12619&amp;key=1%3ACAS%3A528%3ADC%252BC38Xmtlanuw%253D%253D" TargetMode="External"/><Relationship Id="rId336" Type="http://schemas.openxmlformats.org/officeDocument/2006/relationships/hyperlink" Target="https://scholar.google.com/scholar_lookup?journal=Cytokine&amp;title=Effects+of+interleukin-33+on+cardiac+fibroblast+gene+expression+and+activity&amp;author=J+Zhu&amp;author=W+Carver&amp;volume=58&amp;publication_year=2012&amp;pages=368-379&amp;pmid=22445500&amp;doi=10.1016/j.cyto.2012.02.008&amp;" TargetMode="External"/><Relationship Id="rId501" Type="http://schemas.openxmlformats.org/officeDocument/2006/relationships/hyperlink" Target="https://doi.org/10.1371/journal.ppat.1003918" TargetMode="External"/><Relationship Id="rId543" Type="http://schemas.openxmlformats.org/officeDocument/2006/relationships/hyperlink" Target="https://www.ncbi.nlm.nih.gov/pubmed/10684858" TargetMode="External"/><Relationship Id="rId75" Type="http://schemas.openxmlformats.org/officeDocument/2006/relationships/hyperlink" Target="https://scholar.google.com/scholar_lookup?journal=Biochem.+Pharmacol.&amp;volume=78&amp;publication_year=2009&amp;pages=539&amp;pmid=19413999&amp;" TargetMode="External"/><Relationship Id="rId140" Type="http://schemas.openxmlformats.org/officeDocument/2006/relationships/hyperlink" Target="https://scholar.google.com/scholar_lookup?journal=N.+Engl.+J.+Med.&amp;volume=354&amp;publication_year=2006&amp;pages=697&amp;pmid=16481637&amp;" TargetMode="External"/><Relationship Id="rId182" Type="http://schemas.openxmlformats.org/officeDocument/2006/relationships/hyperlink" Target="https://scholar.google.com/scholar_lookup?journal=TrAC,+Trends+Anal.+Chem.&amp;volume=102&amp;publication_year=2018&amp;pages=379&amp;" TargetMode="External"/><Relationship Id="rId378" Type="http://schemas.openxmlformats.org/officeDocument/2006/relationships/hyperlink" Target="https://onlinelibrary.wiley.com/servlet/linkout?suffix=null&amp;dbid=16&amp;doi=10.1111%2Fimr.12619&amp;key=10.1136%2Fgutjnl-2011-301785" TargetMode="External"/><Relationship Id="rId403" Type="http://schemas.openxmlformats.org/officeDocument/2006/relationships/hyperlink" Target="https://onlinelibrary.wiley.com/servlet/linkout?suffix=null&amp;dbid=32&amp;doi=10.1111%2Fimr.12619&amp;key=1%3ACAS%3A528%3ADC%252BC3cXivVCiur4%253D" TargetMode="External"/><Relationship Id="rId585" Type="http://schemas.openxmlformats.org/officeDocument/2006/relationships/hyperlink" Target="https://scholar.google.com/scholar_lookup?journal=Clin+Transl+Med&amp;title=A+review+of+research+on+salivary+biomarkers+for+oral+cancer+detection&amp;author=Y-SL+Cheng&amp;author=T+Rees&amp;author=J+Wright&amp;volume=3&amp;publication_year=2014&amp;pages=3-3&amp;pmid=24564868&amp;" TargetMode="External"/><Relationship Id="rId6" Type="http://schemas.openxmlformats.org/officeDocument/2006/relationships/webSettings" Target="webSettings.xml"/><Relationship Id="rId238" Type="http://schemas.openxmlformats.org/officeDocument/2006/relationships/hyperlink" Target="https://scholar.google.com/scholar_lookup?journal=Immunol.+Res.&amp;volume=58&amp;publication_year=2014&amp;pages=224&amp;pmid=24522699&amp;" TargetMode="External"/><Relationship Id="rId445" Type="http://schemas.openxmlformats.org/officeDocument/2006/relationships/hyperlink" Target="https://doi.org/10.3389%2Ffimmu.2019.00364" TargetMode="External"/><Relationship Id="rId487" Type="http://schemas.openxmlformats.org/officeDocument/2006/relationships/hyperlink" Target="https://doi.org/10.3390%2Fijms21124297" TargetMode="External"/><Relationship Id="rId610" Type="http://schemas.openxmlformats.org/officeDocument/2006/relationships/hyperlink" Target="https://www.jimmunol.org/lookup/external-ref?access_num=10.1016/j.immuni.2007.02.009&amp;link_type=DOI" TargetMode="External"/><Relationship Id="rId652" Type="http://schemas.openxmlformats.org/officeDocument/2006/relationships/hyperlink" Target="https://www.jimmunol.org/lookup/external-ref?access_num=10.1146/annurev.immunol.19.1.423&amp;link_type=DOI" TargetMode="External"/><Relationship Id="rId291" Type="http://schemas.openxmlformats.org/officeDocument/2006/relationships/hyperlink" Target="https://www.ncbi.nlm.nih.gov/pubmed/8550546" TargetMode="External"/><Relationship Id="rId305" Type="http://schemas.openxmlformats.org/officeDocument/2006/relationships/hyperlink" Target="https://doi.org/10.4049%2Fjimmunol.1600658" TargetMode="External"/><Relationship Id="rId347" Type="http://schemas.openxmlformats.org/officeDocument/2006/relationships/hyperlink" Target="https://onlinelibrary.wiley.com/servlet/linkout?suffix=null&amp;dbid=8&amp;doi=10.1111%2Fimr.12619&amp;key=18836528" TargetMode="External"/><Relationship Id="rId512" Type="http://schemas.openxmlformats.org/officeDocument/2006/relationships/hyperlink" Target="https://pubmed.ncbi.nlm.nih.gov/?term=Sekai%20I%5BAuthor%5D" TargetMode="External"/><Relationship Id="rId44" Type="http://schemas.openxmlformats.org/officeDocument/2006/relationships/image" Target="media/image36.jpeg"/><Relationship Id="rId86" Type="http://schemas.openxmlformats.org/officeDocument/2006/relationships/hyperlink" Target="https://scholar.google.com/scholar_lookup?title=Immune+Response+Activation+and+Immunomodulation&amp;publication_year=2018&amp;" TargetMode="External"/><Relationship Id="rId151" Type="http://schemas.openxmlformats.org/officeDocument/2006/relationships/hyperlink" Target="https://www.ncbi.nlm.nih.gov/pmc/articles/PMC2714209/" TargetMode="External"/><Relationship Id="rId389" Type="http://schemas.openxmlformats.org/officeDocument/2006/relationships/hyperlink" Target="https://onlinelibrary.wiley.com/servlet/linkout?suffix=null&amp;dbid=8&amp;doi=10.1111%2Fimr.12619&amp;key=26084021" TargetMode="External"/><Relationship Id="rId554" Type="http://schemas.openxmlformats.org/officeDocument/2006/relationships/hyperlink" Target="https://pubmed.ncbi.nlm.nih.gov/24344240" TargetMode="External"/><Relationship Id="rId596" Type="http://schemas.openxmlformats.org/officeDocument/2006/relationships/hyperlink" Target="https://www.jimmunol.org/lookup/external-ref?access_num=16200070&amp;link_type=MED&amp;atom=%2Fjimmunol%2F181%2F4%2F2898.atom" TargetMode="External"/><Relationship Id="rId193" Type="http://schemas.openxmlformats.org/officeDocument/2006/relationships/hyperlink" Target="https://scholar.google.com/scholar_lookup?journal=Microsyst.+Nanoeng.&amp;volume=5&amp;publication_year=2019&amp;pages=35&amp;pmid=31636925&amp;" TargetMode="External"/><Relationship Id="rId207" Type="http://schemas.openxmlformats.org/officeDocument/2006/relationships/hyperlink" Target="https://pubmed.ncbi.nlm.nih.gov/31569048" TargetMode="External"/><Relationship Id="rId249" Type="http://schemas.openxmlformats.org/officeDocument/2006/relationships/hyperlink" Target="https://pubmed.ncbi.nlm.nih.gov/23603216" TargetMode="External"/><Relationship Id="rId414" Type="http://schemas.openxmlformats.org/officeDocument/2006/relationships/hyperlink" Target="https://onlinelibrary.wiley.com/servlet/linkout?suffix=null&amp;dbid=8&amp;doi=10.1111%2Fimr.12619&amp;key=21909091" TargetMode="External"/><Relationship Id="rId456" Type="http://schemas.openxmlformats.org/officeDocument/2006/relationships/hyperlink" Target="https://pubmed.ncbi.nlm.nih.gov/?term=Purushottam%20M%5BAuthor%5D" TargetMode="External"/><Relationship Id="rId498" Type="http://schemas.openxmlformats.org/officeDocument/2006/relationships/hyperlink" Target="https://doi.org/10.1031/ni.2131" TargetMode="External"/><Relationship Id="rId621" Type="http://schemas.openxmlformats.org/officeDocument/2006/relationships/hyperlink" Target="https://onlinelibrary.wiley.com/servlet/linkout?suffix=null&amp;dbid=16&amp;doi=10.1002%2Feji.202048627&amp;key=10.1126%2Fscience.aat6280" TargetMode="External"/><Relationship Id="rId663" Type="http://schemas.openxmlformats.org/officeDocument/2006/relationships/hyperlink" Target="https://www.jimmunol.org/lookup/google-scholar?link_type=googlescholar&amp;gs_type=article&amp;q_txt=Nishioka%2C+T.%2C+T.+Kuroishi%2C+Y.+Sugawara%2C+Z.+Yu%2C+T.+Sasano%2C+Y.+Endo%2C+S.+Sugawara.+2007.+Induction+of+serum+IL-18+with+Propionibacterium+acnes+and+lipopolysaccharide+in+phagocytic+macrophage-inactivated+mice.+J.+Leukocyte+Biol.+82%3A+327-334." TargetMode="External"/><Relationship Id="rId13" Type="http://schemas.openxmlformats.org/officeDocument/2006/relationships/image" Target="media/image5.jpeg"/><Relationship Id="rId109" Type="http://schemas.openxmlformats.org/officeDocument/2006/relationships/hyperlink" Target="https://scholar.google.com/scholar_lookup?journal=J.+Autoimmun.&amp;volume=53&amp;publication_year=2014&amp;pages=33&amp;pmid=24583068&amp;" TargetMode="External"/><Relationship Id="rId260" Type="http://schemas.openxmlformats.org/officeDocument/2006/relationships/hyperlink" Target="https://onlinelibrary.wiley.com/servlet/linkout?suffix=null&amp;dbid=32&amp;doi=10.1111%2Fimr.12619&amp;key=1%3ACAS%3A528%3ADC%252BD1MXht1yms77J" TargetMode="External"/><Relationship Id="rId316" Type="http://schemas.openxmlformats.org/officeDocument/2006/relationships/hyperlink" Target="https://scholar.google.com/scholar_lookup?journal=Am+J+Pathol&amp;title=Osteoprotective+effects+of+IL-33/ST2+link+to+osteoclast+apoptosis&amp;author=IL+Lima&amp;author=S+Macari&amp;author=MF+Madeira&amp;author=LF+Rodrigues&amp;author=PM+Colavite&amp;volume=185&amp;publication_year=2015&amp;pages=3338-3348&amp;pmid=26598236&amp;doi=10.1016/j.ajpath.2015.08.013&amp;" TargetMode="External"/><Relationship Id="rId523" Type="http://schemas.openxmlformats.org/officeDocument/2006/relationships/hyperlink" Target="https://pubmed.ncbi.nlm.nih.gov/25280997" TargetMode="External"/><Relationship Id="rId55" Type="http://schemas.openxmlformats.org/officeDocument/2006/relationships/hyperlink" Target="https://www.ncbi.nlm.nih.gov/pubmed/12730860" TargetMode="External"/><Relationship Id="rId97" Type="http://schemas.openxmlformats.org/officeDocument/2006/relationships/hyperlink" Target="https://pubmed.ncbi.nlm.nih.gov/31248424" TargetMode="External"/><Relationship Id="rId120" Type="http://schemas.openxmlformats.org/officeDocument/2006/relationships/hyperlink" Target="https://scholar.google.com/scholar_lookup?journal=Clin.+Dev.+Immunol.&amp;volume=2014&amp;publication_year=2014&amp;pages=698192&amp;" TargetMode="External"/><Relationship Id="rId358" Type="http://schemas.openxmlformats.org/officeDocument/2006/relationships/hyperlink" Target="https://onlinelibrary.wiley.com/servlet/linkout?suffix=null&amp;dbid=8&amp;doi=10.1111%2Fimr.12619&amp;key=23300625" TargetMode="External"/><Relationship Id="rId565" Type="http://schemas.openxmlformats.org/officeDocument/2006/relationships/hyperlink" Target="https://pubmed.ncbi.nlm.nih.gov/?term=Zaalberg+A&amp;cauthor_id=30696763" TargetMode="External"/><Relationship Id="rId162" Type="http://schemas.openxmlformats.org/officeDocument/2006/relationships/hyperlink" Target="https://scholar.google.com/scholar_lookup?journal=Cytokine+Growth+Factor+Rev.&amp;volume=14&amp;publication_year=2003&amp;pages=511&amp;pmid=14563353&amp;" TargetMode="External"/><Relationship Id="rId218" Type="http://schemas.openxmlformats.org/officeDocument/2006/relationships/hyperlink" Target="https://www.ncbi.nlm.nih.gov/pmc/articles/PMC1945112/" TargetMode="External"/><Relationship Id="rId425" Type="http://schemas.openxmlformats.org/officeDocument/2006/relationships/hyperlink" Target="https://pubmed.ncbi.nlm.nih.gov/?term=McInnes+IB&amp;cauthor_id=20634488" TargetMode="External"/><Relationship Id="rId467" Type="http://schemas.openxmlformats.org/officeDocument/2006/relationships/hyperlink" Target="https://pubmed.ncbi.nlm.nih.gov/?term=Rocha%20FA%5BAuthor%5D" TargetMode="External"/><Relationship Id="rId632" Type="http://schemas.openxmlformats.org/officeDocument/2006/relationships/hyperlink" Target="https://www.jimmunol.org/lookup/google-scholar?link_type=googlescholar&amp;gs_type=article&amp;q_txt=Wilson%2C+N.+J.%2C+K.+Boniface%2C+J.+R.+Chan%2C+B.+S.+McKenzie%2C+W.+M.+Blumenschein%2C+J.+D.+Mattson%2C+B.+Basham%2C+K.+Smith%2C+T.+Chen%2C+F.+Morel%2C+et+al+2007.+Development%2C+cytokine+profile+and+function+of+human+interleukin+17-producing+helper+T+cells.+Nat.+Immunol.+8%3A+950-957." TargetMode="External"/><Relationship Id="rId271" Type="http://schemas.openxmlformats.org/officeDocument/2006/relationships/hyperlink" Target="https://scholar.google.com/scholar_lookup?journal=Nat+Immunol&amp;title=IL-1+family+nomenclature&amp;author=C+Dinarello&amp;author=W+Arend&amp;author=J+Sims&amp;author=D+Smith&amp;author=H+Blumberg&amp;volume=11&amp;publication_year=2010&amp;pages=973&amp;pmid=20959797&amp;" TargetMode="External"/><Relationship Id="rId24" Type="http://schemas.openxmlformats.org/officeDocument/2006/relationships/image" Target="media/image16.emf"/><Relationship Id="rId66" Type="http://schemas.openxmlformats.org/officeDocument/2006/relationships/hyperlink" Target="https://doi.org/10.1002/eji.200737772" TargetMode="External"/><Relationship Id="rId131" Type="http://schemas.openxmlformats.org/officeDocument/2006/relationships/hyperlink" Target="https://www.ncbi.nlm.nih.gov/pmc/articles/PMC7190990/" TargetMode="External"/><Relationship Id="rId327" Type="http://schemas.openxmlformats.org/officeDocument/2006/relationships/hyperlink" Target="https://doi.org/10.1038%2Fonc.2014.418" TargetMode="External"/><Relationship Id="rId369" Type="http://schemas.openxmlformats.org/officeDocument/2006/relationships/hyperlink" Target="https://onlinelibrary.wiley.com/servlet/linkout?suffix=null&amp;dbid=32&amp;doi=10.1111%2Fimr.12619&amp;key=1%3ACAS%3A528%3ADC%252BC2MXntFCitrk%253D" TargetMode="External"/><Relationship Id="rId534" Type="http://schemas.openxmlformats.org/officeDocument/2006/relationships/hyperlink" Target="https://pubmed.ncbi.nlm.nih.gov/?term=Wu%20J%5BAuthor%5D" TargetMode="External"/><Relationship Id="rId576" Type="http://schemas.openxmlformats.org/officeDocument/2006/relationships/hyperlink" Target="https://www.ncbi.nlm.nih.gov/pubmed/20422276" TargetMode="External"/><Relationship Id="rId173" Type="http://schemas.openxmlformats.org/officeDocument/2006/relationships/hyperlink" Target="https://pubmed.ncbi.nlm.nih.gov/?term=Kalantar%E2%80%90Zadeh%20K%5BAuthor%5D" TargetMode="External"/><Relationship Id="rId229" Type="http://schemas.openxmlformats.org/officeDocument/2006/relationships/hyperlink" Target="https://pubmed.ncbi.nlm.nih.gov/15502103" TargetMode="External"/><Relationship Id="rId380" Type="http://schemas.openxmlformats.org/officeDocument/2006/relationships/hyperlink" Target="https://onlinelibrary.wiley.com/servlet/linkout?suffix=null&amp;dbid=8&amp;doi=10.1111%2Fimr.12619&amp;key=23172891" TargetMode="External"/><Relationship Id="rId436" Type="http://schemas.openxmlformats.org/officeDocument/2006/relationships/hyperlink" Target="https://pubmed.ncbi.nlm.nih.gov/22198948" TargetMode="External"/><Relationship Id="rId601" Type="http://schemas.openxmlformats.org/officeDocument/2006/relationships/hyperlink" Target="https://www.jimmunol.org/lookup/external-ref?access_num=10.1038/nature04754&amp;link_type=DOI" TargetMode="External"/><Relationship Id="rId643" Type="http://schemas.openxmlformats.org/officeDocument/2006/relationships/hyperlink" Target="https://www.jimmunol.org/lookup/external-ref?access_num=10.1006/jaut.1999.0289&amp;link_type=DOI" TargetMode="External"/><Relationship Id="rId240" Type="http://schemas.openxmlformats.org/officeDocument/2006/relationships/hyperlink" Target="https://scholar.google.com/scholar_lookup?journal=Arch.+Pathol.+Lab.+Med.&amp;volume=132&amp;publication_year=2009&amp;pages=1802&amp;" TargetMode="External"/><Relationship Id="rId478" Type="http://schemas.openxmlformats.org/officeDocument/2006/relationships/hyperlink" Target="https://pubmed.ncbi.nlm.nih.gov/?term=Caraffa%20A%5BAuthor%5D" TargetMode="External"/><Relationship Id="rId35" Type="http://schemas.openxmlformats.org/officeDocument/2006/relationships/image" Target="media/image27.emf"/><Relationship Id="rId77" Type="http://schemas.openxmlformats.org/officeDocument/2006/relationships/hyperlink" Target="https://doi.org/10.1378/chest.118.2.503" TargetMode="External"/><Relationship Id="rId100" Type="http://schemas.openxmlformats.org/officeDocument/2006/relationships/hyperlink" Target="https://pubmed.ncbi.nlm.nih.gov/29686666" TargetMode="External"/><Relationship Id="rId282" Type="http://schemas.openxmlformats.org/officeDocument/2006/relationships/hyperlink" Target="https://onlinelibrary.wiley.com/servlet/linkout?suffix=null&amp;dbid=128&amp;doi=10.1111%2Fimr.12619&amp;key=000299168600013" TargetMode="External"/><Relationship Id="rId338" Type="http://schemas.openxmlformats.org/officeDocument/2006/relationships/hyperlink" Target="https://doi.org/10.1161%2FATVBAHA.111.231431" TargetMode="External"/><Relationship Id="rId503" Type="http://schemas.openxmlformats.org/officeDocument/2006/relationships/hyperlink" Target="https://doi.org/10.12659/msm.907540%20%20IL-33" TargetMode="External"/><Relationship Id="rId545" Type="http://schemas.openxmlformats.org/officeDocument/2006/relationships/hyperlink" Target="https://www.ncbi.nlm.nih.gov/pmc/articles/PMC6684025/?report=reader" TargetMode="External"/><Relationship Id="rId587" Type="http://schemas.openxmlformats.org/officeDocument/2006/relationships/hyperlink" Target="https://www.ncbi.nlm.nih.gov/pubmed/20944004" TargetMode="External"/><Relationship Id="rId8" Type="http://schemas.openxmlformats.org/officeDocument/2006/relationships/endnotes" Target="endnotes.xml"/><Relationship Id="rId142" Type="http://schemas.openxmlformats.org/officeDocument/2006/relationships/hyperlink" Target="https://scholar.google.com/scholar_lookup?journal=Atherosclerosis&amp;volume=180&amp;publication_year=2000&amp;pages=11&amp;" TargetMode="External"/><Relationship Id="rId184" Type="http://schemas.openxmlformats.org/officeDocument/2006/relationships/hyperlink" Target="https://scholar.google.com/scholar_lookup?journal=Expert+Rev.+Anti%E2%80%90Infect.+Ther.&amp;volume=10&amp;publication_year=2012&amp;pages=1079&amp;pmid=23199394&amp;" TargetMode="External"/><Relationship Id="rId391" Type="http://schemas.openxmlformats.org/officeDocument/2006/relationships/hyperlink" Target="http://scholar.google.com/scholar_lookup?hl=en&amp;volume=42&amp;publication_year=2015&amp;pages=1005-1019&amp;journal=Immunity&amp;author=AB+Molofsky&amp;author=AK+Savage&amp;author=RM+Locksley&amp;title=Interleukin%E2%80%9033+in+tissue+homeostasis%2C+injury%2C+and+inflammation" TargetMode="External"/><Relationship Id="rId405" Type="http://schemas.openxmlformats.org/officeDocument/2006/relationships/hyperlink" Target="https://onlinelibrary.wiley.com/servlet/linkout?suffix=null&amp;dbid=128&amp;doi=10.1111%2Fimr.12619&amp;key=000277149000050" TargetMode="External"/><Relationship Id="rId447" Type="http://schemas.openxmlformats.org/officeDocument/2006/relationships/hyperlink" Target="https://pubmed.ncbi.nlm.nih.gov/26158865" TargetMode="External"/><Relationship Id="rId612" Type="http://schemas.openxmlformats.org/officeDocument/2006/relationships/hyperlink" Target="https://www.jimmunol.org/lookup/google-scholar?link_type=googlescholar&amp;gs_type=article&amp;q_txt=Laurence%2C+A.%2C+C.+M.+Tato%2C+T.+S.+Davidson%2C+Y.+Kanno%2C+Z.+Chen%2C+Z.+Yao%2C+R.+B.+Blank%2C+F.+Meylan%2C+R.+Siegel%2C+L.+Hennighausen%2C+et+al+2007.+Interleukin-2+signaling+via+STAT5+constrains+T+helper+17+cell+generation.+Immunity+26%3A+371-381." TargetMode="External"/><Relationship Id="rId251" Type="http://schemas.openxmlformats.org/officeDocument/2006/relationships/hyperlink" Target="https://www.ncbi.nlm.nih.gov/pmc/articles/PMC4700770/" TargetMode="External"/><Relationship Id="rId489" Type="http://schemas.openxmlformats.org/officeDocument/2006/relationships/hyperlink" Target="https://pubmed.ncbi.nlm.nih.gov/18268038" TargetMode="External"/><Relationship Id="rId654" Type="http://schemas.openxmlformats.org/officeDocument/2006/relationships/hyperlink" Target="https://www.jimmunol.org/lookup/google-scholar?link_type=googlescholar&amp;gs_type=article&amp;q_txt=Nakanishi%2C+K.%2C+T.+Yoshimoto%2C+H.+Tsutsui%2C+H.+Okamura.+2001.+Interleukin-18+regulates+both+Th1+and+Th2+responses.+Annu.+Rev.+Immunol.+19%3A+423-474." TargetMode="External"/><Relationship Id="rId46" Type="http://schemas.openxmlformats.org/officeDocument/2006/relationships/image" Target="media/image38.jpeg"/><Relationship Id="rId293" Type="http://schemas.openxmlformats.org/officeDocument/2006/relationships/hyperlink" Target="https://www.ncbi.nlm.nih.gov/pubmed/10527832" TargetMode="External"/><Relationship Id="rId307" Type="http://schemas.openxmlformats.org/officeDocument/2006/relationships/hyperlink" Target="https://pubmed.ncbi.nlm.nih.gov/19661270" TargetMode="External"/><Relationship Id="rId349" Type="http://schemas.openxmlformats.org/officeDocument/2006/relationships/hyperlink" Target="http://scholar.google.com/scholar_lookup?hl=en&amp;volume=3&amp;publication_year=2008&amp;pages=e3331&amp;journal=PLoS+ONE&amp;author=C+Moussion&amp;author=N+Ortega&amp;author=JP+Girard&amp;title=The+IL%E2%80%901%E2%80%90like+cytokine+IL%E2%80%9033+is+constitutively+expressed+in+the+nucleus+of+endothelial+cells+and+epithelial+cells+in+vivo%3A+A+novel+%E2%80%98alarmin%E2%80%99%3F" TargetMode="External"/><Relationship Id="rId514" Type="http://schemas.openxmlformats.org/officeDocument/2006/relationships/hyperlink" Target="https://pubmed.ncbi.nlm.nih.gov/?term=Yamao%20K%5BAuthor%5D" TargetMode="External"/><Relationship Id="rId556" Type="http://schemas.openxmlformats.org/officeDocument/2006/relationships/hyperlink" Target="https://scholar.google.com/scholar_lookup?journal=Mol+Hum+Reprod&amp;title=IL-33+enhances+proliferation+and+invasiveness+of+decidual+stromal+cells+by+up-regulation+of+CCL2/CCR2+via+NF-kappaB+and+ERK1/2+signaling&amp;author=WT+Hu&amp;author=MQ+Li&amp;author=W+Liu&amp;author=LP+Jin&amp;author=DJ+Li&amp;volume=20&amp;publication_year=2014&amp;pages=358-372&amp;pmid=24344240&amp;doi=10.1093/molehr/gat094&amp;" TargetMode="External"/><Relationship Id="rId88" Type="http://schemas.openxmlformats.org/officeDocument/2006/relationships/hyperlink" Target="https://pubmed.ncbi.nlm.nih.gov/17476347" TargetMode="External"/><Relationship Id="rId111" Type="http://schemas.openxmlformats.org/officeDocument/2006/relationships/hyperlink" Target="https://pubmed.ncbi.nlm.nih.gov/27178326" TargetMode="External"/><Relationship Id="rId153" Type="http://schemas.openxmlformats.org/officeDocument/2006/relationships/hyperlink" Target="https://scholar.google.com/scholar_lookup?journal=Blood&amp;volume=114&amp;publication_year=2009&amp;pages=346&amp;pmid=19365081&amp;" TargetMode="External"/><Relationship Id="rId195" Type="http://schemas.openxmlformats.org/officeDocument/2006/relationships/hyperlink" Target="https://pubmed.ncbi.nlm.nih.gov/28368062" TargetMode="External"/><Relationship Id="rId209" Type="http://schemas.openxmlformats.org/officeDocument/2006/relationships/hyperlink" Target="https://pubmed.ncbi.nlm.nih.gov/7486794" TargetMode="External"/><Relationship Id="rId360" Type="http://schemas.openxmlformats.org/officeDocument/2006/relationships/hyperlink" Target="http://scholar.google.com/scholar_lookup?hl=en&amp;volume=7&amp;publication_year=2012&amp;pages=e52252&amp;journal=PLoS+ONE&amp;author=MS+Salker&amp;author=J+Nautiyal&amp;author=JH+Steel&amp;title=Disordered+IL%E2%80%9033%2FST2+activation+in+decidualizing+stromal+cells+prolongs+uterine+receptivity+in+women+with+recurrent+pregnancy+loss" TargetMode="External"/><Relationship Id="rId416" Type="http://schemas.openxmlformats.org/officeDocument/2006/relationships/hyperlink" Target="http://scholar.google.com/scholar_lookup?hl=en&amp;volume=12&amp;publication_year=2011&amp;pages=1055-1062&amp;journal=Nat+Immunol&amp;author=JM+Mjosberg&amp;author=S+Trifari&amp;author=NK+Crellin&amp;title=Human+IL%E2%80%9025%E2%80%90+and+IL%E2%80%9033%E2%80%90responsive+type+2+innate+lymphoid+cells+are+defined+by+expression+of+CRTH2+and+CD161" TargetMode="External"/><Relationship Id="rId598" Type="http://schemas.openxmlformats.org/officeDocument/2006/relationships/hyperlink" Target="https://www.jimmunol.org/lookup/external-ref?access_num=10.1038/ni1261&amp;link_type=DOI" TargetMode="External"/><Relationship Id="rId220" Type="http://schemas.openxmlformats.org/officeDocument/2006/relationships/hyperlink" Target="https://scholar.google.com/scholar_lookup?journal=Cytokine&amp;volume=37&amp;publication_year=2007&amp;pages=176&amp;pmid=17449271&amp;" TargetMode="External"/><Relationship Id="rId458" Type="http://schemas.openxmlformats.org/officeDocument/2006/relationships/hyperlink" Target="https://www.ncbi.nlm.nih.gov/pmc/articles/PMC6737856/" TargetMode="External"/><Relationship Id="rId623" Type="http://schemas.openxmlformats.org/officeDocument/2006/relationships/hyperlink" Target="http://scholar.google.com/scholar_lookup?hl=en&amp;volume=363&amp;publication_year=2019&amp;journal=Science&amp;author=O.+J.+Harrison&amp;author=J.+L.+Linehan&amp;author=H.+Y.+Shih&amp;author=N.+Bouladoux&amp;author=S.+J.+Han&amp;author=M.+Smelkinson&amp;author=S.+K.+Sen&amp;title=Commensal%E2%80%90specific+T%C2%A0cell+plasticity+promotes+rapid+tissue+adaptation+to+injury" TargetMode="External"/><Relationship Id="rId665" Type="http://schemas.openxmlformats.org/officeDocument/2006/relationships/hyperlink" Target="https://www.jimmunol.org/lookup/external-ref?access_num=10.1186/ar1209&amp;link_type=DOI" TargetMode="External"/><Relationship Id="rId15" Type="http://schemas.openxmlformats.org/officeDocument/2006/relationships/image" Target="media/image7.emf"/><Relationship Id="rId57" Type="http://schemas.openxmlformats.org/officeDocument/2006/relationships/hyperlink" Target="https://scholar.google.com/scholar_lookup?journal=Gastroenterology&amp;title=Increased+risk+of+noncardia+gastric+cancer+associated+with+proinflammatory+cytokine+gene+polymorphisms&amp;author=EM+Elomar&amp;author=CS+Rabkin&amp;author=MD+Gammon&amp;volume=124&amp;publication_year=2003&amp;pages=1193&amp;pmid=12730860&amp;doi=10.1016/S0016-5085(03)00157-4&amp;" TargetMode="External"/><Relationship Id="rId262" Type="http://schemas.openxmlformats.org/officeDocument/2006/relationships/hyperlink" Target="https://onlinelibrary.wiley.com/servlet/linkout?suffix=null&amp;dbid=128&amp;doi=10.1111%2Fimr.12619&amp;key=000271047700015" TargetMode="External"/><Relationship Id="rId318" Type="http://schemas.openxmlformats.org/officeDocument/2006/relationships/hyperlink" Target="https://doi.org/10.1002%2Fjbmr.269" TargetMode="External"/><Relationship Id="rId525" Type="http://schemas.openxmlformats.org/officeDocument/2006/relationships/hyperlink" Target="https://scholar.google.com/scholar_lookup?journal=Biochem+Biophys+Res+Commun&amp;title=IL-33/ST2+pathway+contributes+to+metastasis+of+human+colorectal+cancer&amp;author=X+Liu&amp;author=L+Zhu&amp;author=X+Lu&amp;author=H+Bian&amp;author=X+Wu&amp;volume=453&amp;publication_year=2014&amp;pages=486-492&amp;pmid=25280997&amp;doi=10.1016/j.bbrc.2014.09.106&amp;" TargetMode="External"/><Relationship Id="rId567" Type="http://schemas.openxmlformats.org/officeDocument/2006/relationships/hyperlink" Target="https://pubmed.ncbi.nlm.nih.gov/?term=Ngo+KH&amp;cauthor_id=30696763" TargetMode="External"/><Relationship Id="rId99" Type="http://schemas.openxmlformats.org/officeDocument/2006/relationships/hyperlink" Target="https://www.ncbi.nlm.nih.gov/pmc/articles/PMC5900450/" TargetMode="External"/><Relationship Id="rId122" Type="http://schemas.openxmlformats.org/officeDocument/2006/relationships/hyperlink" Target="https://scholar.google.com/scholar_lookup?journal=J.+Clin.+Immunol.&amp;volume=15&amp;publication_year=1995&amp;pages=266&amp;pmid=8537471&amp;" TargetMode="External"/><Relationship Id="rId164" Type="http://schemas.openxmlformats.org/officeDocument/2006/relationships/hyperlink" Target="https://scholar.google.com/scholar_lookup?journal=Biosens.+Bioelectron.&amp;volume=79&amp;publication_year=2016&amp;pages=810&amp;pmid=26774995&amp;" TargetMode="External"/><Relationship Id="rId371" Type="http://schemas.openxmlformats.org/officeDocument/2006/relationships/hyperlink" Target="https://onlinelibrary.wiley.com/servlet/linkout?suffix=null&amp;dbid=128&amp;doi=10.1111%2Fimr.12619&amp;key=000354390600014" TargetMode="External"/><Relationship Id="rId427" Type="http://schemas.openxmlformats.org/officeDocument/2006/relationships/hyperlink" Target="https://doi.org/10.1161/circresaha.110.218867" TargetMode="External"/><Relationship Id="rId469" Type="http://schemas.openxmlformats.org/officeDocument/2006/relationships/hyperlink" Target="https://www.ncbi.nlm.nih.gov/pmc/articles/PMC6889227/" TargetMode="External"/><Relationship Id="rId634" Type="http://schemas.openxmlformats.org/officeDocument/2006/relationships/hyperlink" Target="https://doi.org/10.1177/1535370218774539" TargetMode="External"/><Relationship Id="rId26" Type="http://schemas.openxmlformats.org/officeDocument/2006/relationships/image" Target="media/image18.emf"/><Relationship Id="rId231" Type="http://schemas.openxmlformats.org/officeDocument/2006/relationships/hyperlink" Target="https://pubmed.ncbi.nlm.nih.gov/18976019" TargetMode="External"/><Relationship Id="rId273" Type="http://schemas.openxmlformats.org/officeDocument/2006/relationships/hyperlink" Target="https://onlinelibrary.wiley.com/servlet/linkout?suffix=null&amp;dbid=32&amp;doi=10.1111%2Fimr.12619&amp;key=1%3ACAS%3A528%3ADC%252BC28XhsFamtLnJ" TargetMode="External"/><Relationship Id="rId329" Type="http://schemas.openxmlformats.org/officeDocument/2006/relationships/hyperlink" Target="https://www.ncbi.nlm.nih.gov/pmc/articles/PMC4528959/" TargetMode="External"/><Relationship Id="rId480" Type="http://schemas.openxmlformats.org/officeDocument/2006/relationships/hyperlink" Target="https://pubmed.ncbi.nlm.nih.gov/?term=Ross%20R%5BAuthor%5D" TargetMode="External"/><Relationship Id="rId536" Type="http://schemas.openxmlformats.org/officeDocument/2006/relationships/hyperlink" Target="https://pubmed.ncbi.nlm.nih.gov/?term=Wu%20C%5BAuthor%5D" TargetMode="External"/><Relationship Id="rId68" Type="http://schemas.openxmlformats.org/officeDocument/2006/relationships/hyperlink" Target="https://www.ncbi.nlm.nih.gov/pmc/articles/PMC3964841/" TargetMode="External"/><Relationship Id="rId133" Type="http://schemas.openxmlformats.org/officeDocument/2006/relationships/hyperlink" Target="https://scholar.google.com/scholar_lookup?journal=J.+Clin.+Invest.&amp;volume=130&amp;publication_year=2020&amp;pages=2620&amp;pmid=32217835&amp;" TargetMode="External"/><Relationship Id="rId175" Type="http://schemas.openxmlformats.org/officeDocument/2006/relationships/hyperlink" Target="https://pubmed.ncbi.nlm.nih.gov/?term=Young%20HA%5BAuthor%5D" TargetMode="External"/><Relationship Id="rId340" Type="http://schemas.openxmlformats.org/officeDocument/2006/relationships/hyperlink" Target="https://www.ncbi.nlm.nih.gov/pmc/articles/PMC3928996/" TargetMode="External"/><Relationship Id="rId578" Type="http://schemas.openxmlformats.org/officeDocument/2006/relationships/hyperlink" Target="https://www.ncbi.nlm.nih.gov/pmc/articles/PMC3210231/?report=reader" TargetMode="External"/><Relationship Id="rId200" Type="http://schemas.openxmlformats.org/officeDocument/2006/relationships/hyperlink" Target="https://scholar.google.com/scholar_lookup?journal=ACS+Sens.&amp;volume=2&amp;publication_year=2017&amp;pages=218&amp;pmid=28723139&amp;" TargetMode="External"/><Relationship Id="rId382" Type="http://schemas.openxmlformats.org/officeDocument/2006/relationships/hyperlink" Target="http://scholar.google.com/scholar_lookup?hl=en&amp;volume=62&amp;publication_year=2013&amp;pages=1714-1723&amp;journal=Gut&amp;author=MA+Sedhom&amp;author=M+Pichery&amp;author=JR+Murdoch&amp;title=Neutralisation+of+the+interleukin%E2%80%9033%2FST2+pathway+ameliorates+experimental+colitis+through+enhancement+of+mucosal+healing+in+mice" TargetMode="External"/><Relationship Id="rId438" Type="http://schemas.openxmlformats.org/officeDocument/2006/relationships/hyperlink" Target="https://scholar.google.com/scholar_lookup?journal=J.+Immunol.&amp;title=IL-33-responsive+lineage-+CD25++CD44(hi)+lymphoid+cells+mediate+innate+type+2+immunity+and+allergic+inflammation+in+the+lungs&amp;author=K.+R.+Bartemes&amp;author=K.+Iijima&amp;author=T.+Kobayashi&amp;author=G.+M.+Kephart&amp;author=A.+N.+McKenzie&amp;volume=188&amp;publication_year=2012&amp;pages=1503-1513&amp;pmid=22198948&amp;doi=10.4049/jimmunol.1102832&amp;" TargetMode="External"/><Relationship Id="rId603" Type="http://schemas.openxmlformats.org/officeDocument/2006/relationships/hyperlink" Target="https://www.jimmunol.org/lookup/google-scholar?link_type=googlescholar&amp;gs_type=article&amp;q_txt=Mangan%2C+P.+R.%2C+L.+E.+Harrington%2C+D.+B.+O%27Quinn%2C+W.+S.+Helms%2C+D.+C.+Bullard%2C+C.+O.+Elson%2C+R.+D.+Hatton%2C+S.+M.+Wahl%2C+T.+R.+Schoeb%2C+C.+T.+Weaver.+2006.+Transforming+growth+factor-%CE%B2+induces+development+of+the+TH17+lineage.+Nature+441%3A+231-234." TargetMode="External"/><Relationship Id="rId645" Type="http://schemas.openxmlformats.org/officeDocument/2006/relationships/hyperlink" Target="https://www.jimmunol.org/lookup/google-scholar?link_type=googlescholar&amp;gs_type=article&amp;q_txt=Kolkowski%2C+E.+C.%2C+P.+Reth%2C+F.+Pelusa%2C+J.+Bosch%2C+R.+Pujol-Borrell%2C+J.+Coll%2C+D.+Jaraquemada.+1999.+Th1+predominance+and+perforin+expression+in+minor+salivary+glands+from+patients+with+primary+Sj%C3%B6gren%E2%80%99s+syndrome.+J.+Autoimmun.+13%3A+155-162." TargetMode="External"/><Relationship Id="rId242" Type="http://schemas.openxmlformats.org/officeDocument/2006/relationships/hyperlink" Target="https://scholar.google.com/scholar_lookup?journal=Arch.+Pathol.+Lab.+Med.&amp;volume=132&amp;publication_year=2009&amp;pages=1802&amp;" TargetMode="External"/><Relationship Id="rId284" Type="http://schemas.openxmlformats.org/officeDocument/2006/relationships/hyperlink" Target="https://www.ncbi.nlm.nih.gov/pubmed/10491084" TargetMode="External"/><Relationship Id="rId491" Type="http://schemas.openxmlformats.org/officeDocument/2006/relationships/hyperlink" Target="https://scholar.google.com/scholar_lookup?journal=J+Exp+Med&amp;title=IL-33+reduces+the+development+of+atherosclerosis&amp;author=AM+Miller&amp;author=D+Xu&amp;author=DL+Asquith&amp;author=L+Denby&amp;author=Y+Li&amp;volume=205&amp;publication_year=2008&amp;pages=339-346&amp;pmid=18268038&amp;doi=10.1084/jem.20071868&amp;" TargetMode="External"/><Relationship Id="rId505" Type="http://schemas.openxmlformats.org/officeDocument/2006/relationships/hyperlink" Target="https://pubmed.ncbi.nlm.nih.gov/?term=Minaga%20K%5BAuthor%5D" TargetMode="External"/><Relationship Id="rId37" Type="http://schemas.openxmlformats.org/officeDocument/2006/relationships/image" Target="media/image29.emf"/><Relationship Id="rId79" Type="http://schemas.openxmlformats.org/officeDocument/2006/relationships/hyperlink" Target="https://scholar.google.com/scholar_lookup?journal=Inflammation&amp;volume=40&amp;publication_year=2017&amp;pages=340&amp;pmid=27878687&amp;" TargetMode="External"/><Relationship Id="rId102" Type="http://schemas.openxmlformats.org/officeDocument/2006/relationships/hyperlink" Target="https://www.ncbi.nlm.nih.gov/pmc/articles/PMC4416069/" TargetMode="External"/><Relationship Id="rId144" Type="http://schemas.openxmlformats.org/officeDocument/2006/relationships/hyperlink" Target="https://pubmed.ncbi.nlm.nih.gov/18662538" TargetMode="External"/><Relationship Id="rId547" Type="http://schemas.openxmlformats.org/officeDocument/2006/relationships/hyperlink" Target="https://scholar.google.com/scholar_lookup?journal=Cell&amp;title=Natural+killer+cells+control+tumor+growth+by+sensing+a+growth+factor&amp;author=AD+Banow&amp;author=MA+Edeling&amp;author=V+Trifonov&amp;author=J+Luo&amp;author=P+Goyal&amp;volume=172&amp;issue=3&amp;publication_year=2018&amp;pages=534-48.e19&amp;pmid=29275861&amp;" TargetMode="External"/><Relationship Id="rId589" Type="http://schemas.openxmlformats.org/officeDocument/2006/relationships/hyperlink" Target="https://scholar.google.com/scholar_lookup?journal=J+Immunol&amp;title=Dysregulation+of+inflammatory+responses+by+chronic+circadian+disruption&amp;author=O+Castanon-Cervantes&amp;author=M+Wu&amp;author=JC+Ehlen&amp;volume=185&amp;issue=10&amp;publication_year=2010&amp;pages=5796-5805&amp;pmid=20944004&amp;" TargetMode="External"/><Relationship Id="rId90" Type="http://schemas.openxmlformats.org/officeDocument/2006/relationships/hyperlink" Target="https://pubmed.ncbi.nlm.nih.gov/10983873" TargetMode="External"/><Relationship Id="rId186" Type="http://schemas.openxmlformats.org/officeDocument/2006/relationships/hyperlink" Target="https://scholar.google.com/scholar_lookup?journal=ACS+Sens.&amp;volume=3&amp;publication_year=2018&amp;pages=1553&amp;pmid=30022657&amp;" TargetMode="External"/><Relationship Id="rId351" Type="http://schemas.openxmlformats.org/officeDocument/2006/relationships/hyperlink" Target="https://onlinelibrary.wiley.com/servlet/linkout?suffix=null&amp;dbid=32&amp;doi=10.1111%2Fimr.12619&amp;key=1%3ACAS%3A528%3ADC%252BC38XksVOltLk%253D" TargetMode="External"/><Relationship Id="rId393" Type="http://schemas.openxmlformats.org/officeDocument/2006/relationships/hyperlink" Target="https://onlinelibrary.wiley.com/servlet/linkout?suffix=null&amp;dbid=32&amp;doi=10.1111%2Fimr.12619&amp;key=1%3ACAS%3A528%3ADC%252BC28XhsFamtLnJ" TargetMode="External"/><Relationship Id="rId407" Type="http://schemas.openxmlformats.org/officeDocument/2006/relationships/hyperlink" Target="https://onlinelibrary.wiley.com/servlet/linkout?suffix=null&amp;dbid=16&amp;doi=10.1111%2Fimr.12619&amp;key=10.1073%2Fpnas.1003988107" TargetMode="External"/><Relationship Id="rId449" Type="http://schemas.openxmlformats.org/officeDocument/2006/relationships/hyperlink" Target="https://scholar.google.com/scholar_lookup?journal=Biochem+Cell+Biol&amp;title=Interleukin-33+promotes+inflammatory+cytokine+production+in+chronic+airway+inflammation&amp;author=J+Shang&amp;author=J+Zhao&amp;author=X+Wu&amp;author=Y+Xu&amp;author=J+Xie&amp;volume=93&amp;publication_year=2015&amp;pages=359-366&amp;pmid=26158865&amp;doi=10.1139/bcb-2014-0163&amp;" TargetMode="External"/><Relationship Id="rId614" Type="http://schemas.openxmlformats.org/officeDocument/2006/relationships/hyperlink" Target="https://www.jimmunol.org/lookup/external-ref?access_num=10.1016/S1359-6101(03)00002-9&amp;link_type=DOI" TargetMode="External"/><Relationship Id="rId656" Type="http://schemas.openxmlformats.org/officeDocument/2006/relationships/hyperlink" Target="https://www.jimmunol.org/lookup/external-ref?access_num=12792854&amp;link_type=MED&amp;atom=%2Fjimmunol%2F181%2F4%2F2898.atom" TargetMode="External"/><Relationship Id="rId211" Type="http://schemas.openxmlformats.org/officeDocument/2006/relationships/hyperlink" Target="https://pubmed.ncbi.nlm.nih.gov/19848603" TargetMode="External"/><Relationship Id="rId253" Type="http://schemas.openxmlformats.org/officeDocument/2006/relationships/hyperlink" Target="https://scholar.google.com/scholar_lookup?journal=Osong+Public+Health+Res.+Perspect.&amp;volume=6&amp;publication_year=2015&amp;pages=357&amp;pmid=26835245&amp;" TargetMode="External"/><Relationship Id="rId295" Type="http://schemas.openxmlformats.org/officeDocument/2006/relationships/hyperlink" Target="https://www.ncbi.nlm.nih.gov/pubmed/7883081" TargetMode="External"/><Relationship Id="rId309" Type="http://schemas.openxmlformats.org/officeDocument/2006/relationships/hyperlink" Target="https://scholar.google.com/scholar_lookup?journal=Blood&amp;title=Interleukin-33+induces+angiogenesis+and+vascular+permeability+through+ST2/TRAF6-mediated+endothelial+nitric+oxide+production&amp;author=YS+Choi&amp;author=HJ+Choi&amp;author=JK+Min&amp;author=BJ+Pyun&amp;author=YS+Maeng&amp;volume=114&amp;publication_year=2009&amp;pages=3117-3126&amp;pmid=19661270&amp;doi=10.1182/blood-2009-02-203372&amp;" TargetMode="External"/><Relationship Id="rId460" Type="http://schemas.openxmlformats.org/officeDocument/2006/relationships/hyperlink" Target="https://pubmed.ncbi.nlm.nih.gov/?term=Carvalho%20MF%5BAuthor%5D" TargetMode="External"/><Relationship Id="rId516" Type="http://schemas.openxmlformats.org/officeDocument/2006/relationships/hyperlink" Target="https://pubmed.ncbi.nlm.nih.gov/?term=Chiba%20Y%5BAuthor%5D" TargetMode="External"/><Relationship Id="rId48" Type="http://schemas.openxmlformats.org/officeDocument/2006/relationships/hyperlink" Target="https://www.ncbi.nlm.nih.gov/pubmed/11229684" TargetMode="External"/><Relationship Id="rId113" Type="http://schemas.openxmlformats.org/officeDocument/2006/relationships/hyperlink" Target="https://pubmed.ncbi.nlm.nih.gov/10767254" TargetMode="External"/><Relationship Id="rId320" Type="http://schemas.openxmlformats.org/officeDocument/2006/relationships/hyperlink" Target="https://pubmed.ncbi.nlm.nih.gov/20940045" TargetMode="External"/><Relationship Id="rId558" Type="http://schemas.openxmlformats.org/officeDocument/2006/relationships/hyperlink" Target="https://doi.org/10.1007%2Fs12032-016-0880-3" TargetMode="External"/><Relationship Id="rId155" Type="http://schemas.openxmlformats.org/officeDocument/2006/relationships/hyperlink" Target="https://scholar.google.com/scholar_lookup?journal=Kidney+Int.&amp;volume=80&amp;publication_year=2011&amp;pages=708&amp;pmid=21697814&amp;" TargetMode="External"/><Relationship Id="rId197" Type="http://schemas.openxmlformats.org/officeDocument/2006/relationships/hyperlink" Target="https://scholar.google.com/scholar_lookup?journal=Nanomedicine&amp;volume=14&amp;publication_year=2019&amp;pages=1191&amp;" TargetMode="External"/><Relationship Id="rId362" Type="http://schemas.openxmlformats.org/officeDocument/2006/relationships/hyperlink" Target="http://scholar.google.com/scholar_lookup?hl=en&amp;volume=135&amp;publication_year=2015&amp;pages=1771-1780&amp;journal=J+Invest+Dermatol&amp;author=O+Sundnes&amp;author=W+Pietka&amp;author=T+Loos&amp;title=Epidermal+expression+and+regulation+of+interleukin%E2%80%9033+during+homeostasis+and+inflammation%3A+Strong+species+differences" TargetMode="External"/><Relationship Id="rId418" Type="http://schemas.openxmlformats.org/officeDocument/2006/relationships/hyperlink" Target="https://pubmed.ncbi.nlm.nih.gov/?term=Asquith+DL&amp;cauthor_id=20634488" TargetMode="External"/><Relationship Id="rId625" Type="http://schemas.openxmlformats.org/officeDocument/2006/relationships/hyperlink" Target="https://onlinelibrary.wiley.com/servlet/linkout?suffix=null&amp;dbid=32&amp;doi=10.1002%2Feji.202048627&amp;key=1%3ACAS%3A528%3ADC%252BC2MXhtFOlsbnN" TargetMode="External"/><Relationship Id="rId222" Type="http://schemas.openxmlformats.org/officeDocument/2006/relationships/hyperlink" Target="https://pubmed.ncbi.nlm.nih.gov/24733962" TargetMode="External"/><Relationship Id="rId264" Type="http://schemas.openxmlformats.org/officeDocument/2006/relationships/hyperlink" Target="https://onlinelibrary.wiley.com/servlet/linkout?suffix=null&amp;dbid=16&amp;doi=10.1111%2Fimr.12619&amp;key=10.1073%2Fpnas.1308651110" TargetMode="External"/><Relationship Id="rId471" Type="http://schemas.openxmlformats.org/officeDocument/2006/relationships/hyperlink" Target="https://pubmed.ncbi.nlm.nih.gov/?term=Zhu%20Y%5BAuthor%5D" TargetMode="External"/><Relationship Id="rId667" Type="http://schemas.openxmlformats.org/officeDocument/2006/relationships/hyperlink" Target="https://www.jimmunol.org/lookup/google-scholar?link_type=googlescholar&amp;gs_type=article&amp;q_txt=Bombardieri%2C+M.%2C+F.+Barone%2C+V.+Pittoni%2C+C.+Alessandri%2C+P.+Conigliaro%2C+M.+C.+Blades%2C+R.+Priori%2C+I.+B.+McInnes%2C+G.+Valesini%2C+C.+Pitzalis.+2004.+Increased+circulating+levels+and+salivary+gland+expression+of+interleukin-18+in+patients+with+Sj%C3%B6gren%E2%80%99s+syndrome%3A+relationship+with+autoantibody+production+and+lymphoid+organization+of+the+periductal+inflammatory+infiltrate.+Arthritis+Res.+Ther.+6%3A+R447-R456." TargetMode="External"/><Relationship Id="rId17" Type="http://schemas.openxmlformats.org/officeDocument/2006/relationships/image" Target="media/image9.emf"/><Relationship Id="rId59" Type="http://schemas.openxmlformats.org/officeDocument/2006/relationships/hyperlink" Target="https://www.ncbi.nlm.nih.gov/pmc/articles/PMC2782488/" TargetMode="External"/><Relationship Id="rId124" Type="http://schemas.openxmlformats.org/officeDocument/2006/relationships/hyperlink" Target="https://scholar.google.com/scholar_lookup?journal=J.+Interferon+Cytokine+Res.&amp;volume=39&amp;publication_year=2019&amp;pages=393&amp;pmid=31013453&amp;" TargetMode="External"/><Relationship Id="rId527" Type="http://schemas.openxmlformats.org/officeDocument/2006/relationships/hyperlink" Target="https://doi.org/10.1016/j.biopha.2020.110232" TargetMode="External"/><Relationship Id="rId569" Type="http://schemas.openxmlformats.org/officeDocument/2006/relationships/hyperlink" Target="https://pubmed.ncbi.nlm.nih.gov/?term=Lopez+E&amp;cauthor_id=30696763" TargetMode="External"/><Relationship Id="rId70" Type="http://schemas.openxmlformats.org/officeDocument/2006/relationships/hyperlink" Target="https://scholar.google.com/scholar_lookup?journal=Mediators+Inflammation&amp;volume=2014&amp;publication_year=2014&amp;pages=545493&amp;" TargetMode="External"/><Relationship Id="rId166" Type="http://schemas.openxmlformats.org/officeDocument/2006/relationships/hyperlink" Target="https://pubmed.ncbi.nlm.nih.gov/7496959" TargetMode="External"/><Relationship Id="rId331" Type="http://schemas.openxmlformats.org/officeDocument/2006/relationships/hyperlink" Target="https://doi.org/10.1002%2Fpmic.201400303" TargetMode="External"/><Relationship Id="rId373" Type="http://schemas.openxmlformats.org/officeDocument/2006/relationships/hyperlink" Target="https://onlinelibrary.wiley.com/servlet/linkout?suffix=null&amp;dbid=16&amp;doi=10.1111%2Fimr.12619&amp;key=10.1016%2Fj.celrep.2016.04.049" TargetMode="External"/><Relationship Id="rId429" Type="http://schemas.openxmlformats.org/officeDocument/2006/relationships/hyperlink" Target="https://pubmed.ncbi.nlm.nih.gov/24275094" TargetMode="External"/><Relationship Id="rId580" Type="http://schemas.openxmlformats.org/officeDocument/2006/relationships/hyperlink" Target="https://scholar.google.com/scholar_lookup?journal=Indian+J+Clin+Biochem&amp;title=A+review+on+salivary+genomics+and+proteomics+biomarkers+in+oral+cancer&amp;author=FD+Shah&amp;author=R+Begum&amp;author=BN+Vajaria&amp;volume=26&amp;issue=4&amp;publication_year=2011&amp;pages=326-334&amp;pmid=23024467&amp;" TargetMode="External"/><Relationship Id="rId636" Type="http://schemas.openxmlformats.org/officeDocument/2006/relationships/hyperlink" Target="https://www.jimmunol.org/lookup/external-ref?access_num=12220549&amp;link_type=MED&amp;atom=%2Fjimmunol%2F181%2F4%2F2898.atom" TargetMode="External"/><Relationship Id="rId1" Type="http://schemas.openxmlformats.org/officeDocument/2006/relationships/customXml" Target="../customXml/item1.xml"/><Relationship Id="rId233" Type="http://schemas.openxmlformats.org/officeDocument/2006/relationships/hyperlink" Target="https://www.ncbi.nlm.nih.gov/pmc/articles/PMC3449030/" TargetMode="External"/><Relationship Id="rId440" Type="http://schemas.openxmlformats.org/officeDocument/2006/relationships/hyperlink" Target="https://pubmed.ncbi.nlm.nih.gov/28652606" TargetMode="External"/><Relationship Id="rId28" Type="http://schemas.openxmlformats.org/officeDocument/2006/relationships/image" Target="media/image20.emf"/><Relationship Id="rId275" Type="http://schemas.openxmlformats.org/officeDocument/2006/relationships/hyperlink" Target="https://onlinelibrary.wiley.com/servlet/linkout?suffix=null&amp;dbid=128&amp;doi=10.1111%2Fimr.12619&amp;key=000387131400008" TargetMode="External"/><Relationship Id="rId300" Type="http://schemas.openxmlformats.org/officeDocument/2006/relationships/hyperlink" Target="https://scholar.google.com/scholar_lookup?journal=Biochem+Biophys+Res+Commun&amp;title=Tissue+distribution+and+subcellular+localization+of+a+variant+form+of+the+human+ST2+gene+product,+ST2V&amp;author=K+Tago&amp;volume=285&amp;publication_year=2001&amp;pages=1377-1383&amp;pmid=11478810&amp;" TargetMode="External"/><Relationship Id="rId482" Type="http://schemas.openxmlformats.org/officeDocument/2006/relationships/hyperlink" Target="https://pubmed.ncbi.nlm.nih.gov/?term=Frydas%20I%5BAuthor%5D" TargetMode="External"/><Relationship Id="rId538" Type="http://schemas.openxmlformats.org/officeDocument/2006/relationships/hyperlink" Target="https://doi.org/10.1186%2Fs12967-020-02661-w" TargetMode="External"/><Relationship Id="rId81" Type="http://schemas.openxmlformats.org/officeDocument/2006/relationships/hyperlink" Target="https://www.ncbi.nlm.nih.gov/pmc/articles/PMC3189547/" TargetMode="External"/><Relationship Id="rId135" Type="http://schemas.openxmlformats.org/officeDocument/2006/relationships/hyperlink" Target="https://pubmed.ncbi.nlm.nih.gov/32192578" TargetMode="External"/><Relationship Id="rId177" Type="http://schemas.openxmlformats.org/officeDocument/2006/relationships/hyperlink" Target="https://doi.org/10.1002%2Fadvs.202004433" TargetMode="External"/><Relationship Id="rId342" Type="http://schemas.openxmlformats.org/officeDocument/2006/relationships/hyperlink" Target="https://doi.org/10.1016%2Fj.biocel.2013.11.008" TargetMode="External"/><Relationship Id="rId384" Type="http://schemas.openxmlformats.org/officeDocument/2006/relationships/hyperlink" Target="https://onlinelibrary.wiley.com/servlet/linkout?suffix=null&amp;dbid=32&amp;doi=10.1111%2Fimr.12619&amp;key=1%3ACAS%3A528%3ADC%252BC2cXhs1WjsbfM" TargetMode="External"/><Relationship Id="rId591" Type="http://schemas.openxmlformats.org/officeDocument/2006/relationships/hyperlink" Target="https://dx.doi.org/10.4137%2FBIC.S25375" TargetMode="External"/><Relationship Id="rId605" Type="http://schemas.openxmlformats.org/officeDocument/2006/relationships/hyperlink" Target="https://www.jimmunol.org/lookup/external-ref?access_num=16473830&amp;link_type=MED&amp;atom=%2Fjimmunol%2F181%2F4%2F2898.atom" TargetMode="External"/><Relationship Id="rId202" Type="http://schemas.openxmlformats.org/officeDocument/2006/relationships/hyperlink" Target="https://pubmed.ncbi.nlm.nih.gov/31622780" TargetMode="External"/><Relationship Id="rId244" Type="http://schemas.openxmlformats.org/officeDocument/2006/relationships/hyperlink" Target="https://scholar.google.com/scholar_lookup?journal=Cytokine&amp;volume=113&amp;publication_year=2019&amp;pages=453&amp;pmid=29909979&amp;" TargetMode="External"/><Relationship Id="rId647" Type="http://schemas.openxmlformats.org/officeDocument/2006/relationships/hyperlink" Target="https://www.jimmunol.org/lookup/external-ref?access_num=8702447&amp;link_type=MED&amp;atom=%2Fjimmunol%2F181%2F4%2F2898.atom" TargetMode="External"/><Relationship Id="rId39" Type="http://schemas.openxmlformats.org/officeDocument/2006/relationships/image" Target="media/image31.emf"/><Relationship Id="rId286" Type="http://schemas.openxmlformats.org/officeDocument/2006/relationships/hyperlink" Target="https://www.ncbi.nlm.nih.gov/pmc/articles/PMC394927/?report=reader" TargetMode="External"/><Relationship Id="rId451" Type="http://schemas.openxmlformats.org/officeDocument/2006/relationships/hyperlink" Target="https://doi.org/10.1016%2Fj.bbrc.2014.05.073" TargetMode="External"/><Relationship Id="rId493" Type="http://schemas.openxmlformats.org/officeDocument/2006/relationships/hyperlink" Target="https://pubmed.ncbi.nlm.nih.gov/28401938" TargetMode="External"/><Relationship Id="rId507" Type="http://schemas.openxmlformats.org/officeDocument/2006/relationships/hyperlink" Target="https://pubmed.ncbi.nlm.nih.gov/?term=Hara%20A%5BAuthor%5D" TargetMode="External"/><Relationship Id="rId549" Type="http://schemas.openxmlformats.org/officeDocument/2006/relationships/hyperlink" Target="https://doi.org/10.1134/s00268984190500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6D8B2-8F86-4897-9E52-56E4FB943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53327</Words>
  <Characters>303964</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OBSTRUCTIVE JAUNDICE CAUSED BY PANCREATIC HEAD MALIGNANCIES</vt:lpstr>
    </vt:vector>
  </TitlesOfParts>
  <Company/>
  <LinksUpToDate>false</LinksUpToDate>
  <CharactersWithSpaces>356578</CharactersWithSpaces>
  <SharedDoc>false</SharedDoc>
  <HLinks>
    <vt:vector size="4242" baseType="variant">
      <vt:variant>
        <vt:i4>8257661</vt:i4>
      </vt:variant>
      <vt:variant>
        <vt:i4>2118</vt:i4>
      </vt:variant>
      <vt:variant>
        <vt:i4>0</vt:i4>
      </vt:variant>
      <vt:variant>
        <vt:i4>5</vt:i4>
      </vt:variant>
      <vt:variant>
        <vt:lpwstr>https://dx.doi.org/10.1007%2Fs12105-011-0302-y</vt:lpwstr>
      </vt:variant>
      <vt:variant>
        <vt:lpwstr/>
      </vt:variant>
      <vt:variant>
        <vt:i4>7929956</vt:i4>
      </vt:variant>
      <vt:variant>
        <vt:i4>2115</vt:i4>
      </vt:variant>
      <vt:variant>
        <vt:i4>0</vt:i4>
      </vt:variant>
      <vt:variant>
        <vt:i4>5</vt:i4>
      </vt:variant>
      <vt:variant>
        <vt:lpwstr>http://dx.doi.org/10.4103/0973-1482. 196859</vt:lpwstr>
      </vt:variant>
      <vt:variant>
        <vt:lpwstr/>
      </vt:variant>
      <vt:variant>
        <vt:i4>5046336</vt:i4>
      </vt:variant>
      <vt:variant>
        <vt:i4>2112</vt:i4>
      </vt:variant>
      <vt:variant>
        <vt:i4>0</vt:i4>
      </vt:variant>
      <vt:variant>
        <vt:i4>5</vt:i4>
      </vt:variant>
      <vt:variant>
        <vt:lpwstr>http://dx.doi.org/10. 1517/13543784.15.8.917</vt:lpwstr>
      </vt:variant>
      <vt:variant>
        <vt:lpwstr/>
      </vt:variant>
      <vt:variant>
        <vt:i4>6946914</vt:i4>
      </vt:variant>
      <vt:variant>
        <vt:i4>2109</vt:i4>
      </vt:variant>
      <vt:variant>
        <vt:i4>0</vt:i4>
      </vt:variant>
      <vt:variant>
        <vt:i4>5</vt:i4>
      </vt:variant>
      <vt:variant>
        <vt:lpwstr>https://www.ncbi.nlm.nih.gov/entrez/eutils/elink.fcgi?dbfrom=pubmed&amp;retmode=ref&amp;cmd=prlinks&amp;id=27156386</vt:lpwstr>
      </vt:variant>
      <vt:variant>
        <vt:lpwstr/>
      </vt:variant>
      <vt:variant>
        <vt:i4>3604514</vt:i4>
      </vt:variant>
      <vt:variant>
        <vt:i4>2106</vt:i4>
      </vt:variant>
      <vt:variant>
        <vt:i4>0</vt:i4>
      </vt:variant>
      <vt:variant>
        <vt:i4>5</vt:i4>
      </vt:variant>
      <vt:variant>
        <vt:lpwstr>https://dx.doi.org/10.1136%2Fmp.56.1.52</vt:lpwstr>
      </vt:variant>
      <vt:variant>
        <vt:lpwstr/>
      </vt:variant>
      <vt:variant>
        <vt:i4>1966175</vt:i4>
      </vt:variant>
      <vt:variant>
        <vt:i4>2103</vt:i4>
      </vt:variant>
      <vt:variant>
        <vt:i4>0</vt:i4>
      </vt:variant>
      <vt:variant>
        <vt:i4>5</vt:i4>
      </vt:variant>
      <vt:variant>
        <vt:lpwstr>https://doi.org/10.1097/00130404-200605000-00005</vt:lpwstr>
      </vt:variant>
      <vt:variant>
        <vt:lpwstr/>
      </vt:variant>
      <vt:variant>
        <vt:i4>2752621</vt:i4>
      </vt:variant>
      <vt:variant>
        <vt:i4>2100</vt:i4>
      </vt:variant>
      <vt:variant>
        <vt:i4>0</vt:i4>
      </vt:variant>
      <vt:variant>
        <vt:i4>5</vt:i4>
      </vt:variant>
      <vt:variant>
        <vt:lpwstr>http://doi.org/10.3892/etm.2012.544</vt:lpwstr>
      </vt:variant>
      <vt:variant>
        <vt:lpwstr/>
      </vt:variant>
      <vt:variant>
        <vt:i4>5832781</vt:i4>
      </vt:variant>
      <vt:variant>
        <vt:i4>2097</vt:i4>
      </vt:variant>
      <vt:variant>
        <vt:i4>0</vt:i4>
      </vt:variant>
      <vt:variant>
        <vt:i4>5</vt:i4>
      </vt:variant>
      <vt:variant>
        <vt:lpwstr>https://doi.org/10.1684/ecn.2017.0388</vt:lpwstr>
      </vt:variant>
      <vt:variant>
        <vt:lpwstr/>
      </vt:variant>
      <vt:variant>
        <vt:i4>327705</vt:i4>
      </vt:variant>
      <vt:variant>
        <vt:i4>2094</vt:i4>
      </vt:variant>
      <vt:variant>
        <vt:i4>0</vt:i4>
      </vt:variant>
      <vt:variant>
        <vt:i4>5</vt:i4>
      </vt:variant>
      <vt:variant>
        <vt:lpwstr>https://doi.org/10.1007/s10753-018-0764-0</vt:lpwstr>
      </vt:variant>
      <vt:variant>
        <vt:lpwstr/>
      </vt:variant>
      <vt:variant>
        <vt:i4>6488137</vt:i4>
      </vt:variant>
      <vt:variant>
        <vt:i4>2091</vt:i4>
      </vt:variant>
      <vt:variant>
        <vt:i4>0</vt:i4>
      </vt:variant>
      <vt:variant>
        <vt:i4>5</vt:i4>
      </vt:variant>
      <vt:variant>
        <vt:lpwstr>https://pubmed.ncbi.nlm.nih.gov/?term=Azuma+M&amp;cauthor_id=29549479</vt:lpwstr>
      </vt:variant>
      <vt:variant>
        <vt:lpwstr/>
      </vt:variant>
      <vt:variant>
        <vt:i4>589931</vt:i4>
      </vt:variant>
      <vt:variant>
        <vt:i4>2088</vt:i4>
      </vt:variant>
      <vt:variant>
        <vt:i4>0</vt:i4>
      </vt:variant>
      <vt:variant>
        <vt:i4>5</vt:i4>
      </vt:variant>
      <vt:variant>
        <vt:lpwstr>https://pubmed.ncbi.nlm.nih.gov/?term=Ishimaru+N&amp;cauthor_id=29549479</vt:lpwstr>
      </vt:variant>
      <vt:variant>
        <vt:lpwstr/>
      </vt:variant>
      <vt:variant>
        <vt:i4>3211333</vt:i4>
      </vt:variant>
      <vt:variant>
        <vt:i4>2085</vt:i4>
      </vt:variant>
      <vt:variant>
        <vt:i4>0</vt:i4>
      </vt:variant>
      <vt:variant>
        <vt:i4>5</vt:i4>
      </vt:variant>
      <vt:variant>
        <vt:lpwstr>https://pubmed.ncbi.nlm.nih.gov/?term=Nakashiro+KI&amp;cauthor_id=29549479</vt:lpwstr>
      </vt:variant>
      <vt:variant>
        <vt:lpwstr/>
      </vt:variant>
      <vt:variant>
        <vt:i4>1769526</vt:i4>
      </vt:variant>
      <vt:variant>
        <vt:i4>2082</vt:i4>
      </vt:variant>
      <vt:variant>
        <vt:i4>0</vt:i4>
      </vt:variant>
      <vt:variant>
        <vt:i4>5</vt:i4>
      </vt:variant>
      <vt:variant>
        <vt:lpwstr>https://pubmed.ncbi.nlm.nih.gov/?term=Yamanoi+T&amp;cauthor_id=29549479</vt:lpwstr>
      </vt:variant>
      <vt:variant>
        <vt:lpwstr/>
      </vt:variant>
      <vt:variant>
        <vt:i4>655472</vt:i4>
      </vt:variant>
      <vt:variant>
        <vt:i4>2079</vt:i4>
      </vt:variant>
      <vt:variant>
        <vt:i4>0</vt:i4>
      </vt:variant>
      <vt:variant>
        <vt:i4>5</vt:i4>
      </vt:variant>
      <vt:variant>
        <vt:lpwstr>https://pubmed.ncbi.nlm.nih.gov/?term=Kani+K&amp;cauthor_id=29549479</vt:lpwstr>
      </vt:variant>
      <vt:variant>
        <vt:lpwstr/>
      </vt:variant>
      <vt:variant>
        <vt:i4>786528</vt:i4>
      </vt:variant>
      <vt:variant>
        <vt:i4>2076</vt:i4>
      </vt:variant>
      <vt:variant>
        <vt:i4>0</vt:i4>
      </vt:variant>
      <vt:variant>
        <vt:i4>5</vt:i4>
      </vt:variant>
      <vt:variant>
        <vt:lpwstr>https://pubmed.ncbi.nlm.nih.gov/?term=Aota+K&amp;cauthor_id=29549479</vt:lpwstr>
      </vt:variant>
      <vt:variant>
        <vt:lpwstr/>
      </vt:variant>
      <vt:variant>
        <vt:i4>6488137</vt:i4>
      </vt:variant>
      <vt:variant>
        <vt:i4>2073</vt:i4>
      </vt:variant>
      <vt:variant>
        <vt:i4>0</vt:i4>
      </vt:variant>
      <vt:variant>
        <vt:i4>5</vt:i4>
      </vt:variant>
      <vt:variant>
        <vt:lpwstr>https://pubmed.ncbi.nlm.nih.gov/?term=Azuma+M&amp;cauthor_id=29549479</vt:lpwstr>
      </vt:variant>
      <vt:variant>
        <vt:lpwstr/>
      </vt:variant>
      <vt:variant>
        <vt:i4>589931</vt:i4>
      </vt:variant>
      <vt:variant>
        <vt:i4>2070</vt:i4>
      </vt:variant>
      <vt:variant>
        <vt:i4>0</vt:i4>
      </vt:variant>
      <vt:variant>
        <vt:i4>5</vt:i4>
      </vt:variant>
      <vt:variant>
        <vt:lpwstr>https://pubmed.ncbi.nlm.nih.gov/?term=Ishimaru+N&amp;cauthor_id=29549479</vt:lpwstr>
      </vt:variant>
      <vt:variant>
        <vt:lpwstr/>
      </vt:variant>
      <vt:variant>
        <vt:i4>3211333</vt:i4>
      </vt:variant>
      <vt:variant>
        <vt:i4>2067</vt:i4>
      </vt:variant>
      <vt:variant>
        <vt:i4>0</vt:i4>
      </vt:variant>
      <vt:variant>
        <vt:i4>5</vt:i4>
      </vt:variant>
      <vt:variant>
        <vt:lpwstr>https://pubmed.ncbi.nlm.nih.gov/?term=Nakashiro+KI&amp;cauthor_id=29549479</vt:lpwstr>
      </vt:variant>
      <vt:variant>
        <vt:lpwstr/>
      </vt:variant>
      <vt:variant>
        <vt:i4>1769526</vt:i4>
      </vt:variant>
      <vt:variant>
        <vt:i4>2064</vt:i4>
      </vt:variant>
      <vt:variant>
        <vt:i4>0</vt:i4>
      </vt:variant>
      <vt:variant>
        <vt:i4>5</vt:i4>
      </vt:variant>
      <vt:variant>
        <vt:lpwstr>https://pubmed.ncbi.nlm.nih.gov/?term=Yamanoi+T&amp;cauthor_id=29549479</vt:lpwstr>
      </vt:variant>
      <vt:variant>
        <vt:lpwstr/>
      </vt:variant>
      <vt:variant>
        <vt:i4>655472</vt:i4>
      </vt:variant>
      <vt:variant>
        <vt:i4>2061</vt:i4>
      </vt:variant>
      <vt:variant>
        <vt:i4>0</vt:i4>
      </vt:variant>
      <vt:variant>
        <vt:i4>5</vt:i4>
      </vt:variant>
      <vt:variant>
        <vt:lpwstr>https://pubmed.ncbi.nlm.nih.gov/?term=Kani+K&amp;cauthor_id=29549479</vt:lpwstr>
      </vt:variant>
      <vt:variant>
        <vt:lpwstr/>
      </vt:variant>
      <vt:variant>
        <vt:i4>786528</vt:i4>
      </vt:variant>
      <vt:variant>
        <vt:i4>2058</vt:i4>
      </vt:variant>
      <vt:variant>
        <vt:i4>0</vt:i4>
      </vt:variant>
      <vt:variant>
        <vt:i4>5</vt:i4>
      </vt:variant>
      <vt:variant>
        <vt:lpwstr>https://pubmed.ncbi.nlm.nih.gov/?term=Aota+K&amp;cauthor_id=29549479</vt:lpwstr>
      </vt:variant>
      <vt:variant>
        <vt:lpwstr/>
      </vt:variant>
      <vt:variant>
        <vt:i4>5832768</vt:i4>
      </vt:variant>
      <vt:variant>
        <vt:i4>2055</vt:i4>
      </vt:variant>
      <vt:variant>
        <vt:i4>0</vt:i4>
      </vt:variant>
      <vt:variant>
        <vt:i4>5</vt:i4>
      </vt:variant>
      <vt:variant>
        <vt:lpwstr>https://doi.org/10.1016/j.ejphar.2007.10.049</vt:lpwstr>
      </vt:variant>
      <vt:variant>
        <vt:lpwstr/>
      </vt:variant>
      <vt:variant>
        <vt:i4>2490453</vt:i4>
      </vt:variant>
      <vt:variant>
        <vt:i4>2052</vt:i4>
      </vt:variant>
      <vt:variant>
        <vt:i4>0</vt:i4>
      </vt:variant>
      <vt:variant>
        <vt:i4>5</vt:i4>
      </vt:variant>
      <vt:variant>
        <vt:lpwstr>https://pubmed.ncbi.nlm.nih.gov/?term=Kalra+BS&amp;cauthor_id=18021769</vt:lpwstr>
      </vt:variant>
      <vt:variant>
        <vt:lpwstr/>
      </vt:variant>
      <vt:variant>
        <vt:i4>5505119</vt:i4>
      </vt:variant>
      <vt:variant>
        <vt:i4>2049</vt:i4>
      </vt:variant>
      <vt:variant>
        <vt:i4>0</vt:i4>
      </vt:variant>
      <vt:variant>
        <vt:i4>5</vt:i4>
      </vt:variant>
      <vt:variant>
        <vt:lpwstr>http://doi.org/10.18632/oncotarget.27797</vt:lpwstr>
      </vt:variant>
      <vt:variant>
        <vt:lpwstr/>
      </vt:variant>
      <vt:variant>
        <vt:i4>6684698</vt:i4>
      </vt:variant>
      <vt:variant>
        <vt:i4>2046</vt:i4>
      </vt:variant>
      <vt:variant>
        <vt:i4>0</vt:i4>
      </vt:variant>
      <vt:variant>
        <vt:i4>5</vt:i4>
      </vt:variant>
      <vt:variant>
        <vt:lpwstr>https://scholar.google.com/scholar_lookup?journal=Lab+Invest&amp;title=Pathogenic+role+of+endogenous+TNF-%CE%B1+in+the+development+of+Sj%C3%B6gren%E2%80%99s-like+sialadenitis+and+secretory+dysfunction+in+non-obese+diabetic+mice&amp;author=J+Zhou&amp;author=T+Kawai&amp;author=Q.+Yu&amp;volume=97&amp;issue=4&amp;publication_year=2017&amp;pages=458-467&amp;pmid=28067896&amp;</vt:lpwstr>
      </vt:variant>
      <vt:variant>
        <vt:lpwstr/>
      </vt:variant>
      <vt:variant>
        <vt:i4>655371</vt:i4>
      </vt:variant>
      <vt:variant>
        <vt:i4>2043</vt:i4>
      </vt:variant>
      <vt:variant>
        <vt:i4>0</vt:i4>
      </vt:variant>
      <vt:variant>
        <vt:i4>5</vt:i4>
      </vt:variant>
      <vt:variant>
        <vt:lpwstr>https://pubmed.ncbi.nlm.nih.gov/28067896</vt:lpwstr>
      </vt:variant>
      <vt:variant>
        <vt:lpwstr/>
      </vt:variant>
      <vt:variant>
        <vt:i4>1179717</vt:i4>
      </vt:variant>
      <vt:variant>
        <vt:i4>2040</vt:i4>
      </vt:variant>
      <vt:variant>
        <vt:i4>0</vt:i4>
      </vt:variant>
      <vt:variant>
        <vt:i4>5</vt:i4>
      </vt:variant>
      <vt:variant>
        <vt:lpwstr>https://www.ncbi.nlm.nih.gov/pmc/articles/PMC5376226/</vt:lpwstr>
      </vt:variant>
      <vt:variant>
        <vt:lpwstr/>
      </vt:variant>
      <vt:variant>
        <vt:i4>7274523</vt:i4>
      </vt:variant>
      <vt:variant>
        <vt:i4>2037</vt:i4>
      </vt:variant>
      <vt:variant>
        <vt:i4>0</vt:i4>
      </vt:variant>
      <vt:variant>
        <vt:i4>5</vt:i4>
      </vt:variant>
      <vt:variant>
        <vt:lpwstr>https://scholar.google.com/scholar_lookup?journal=Arthritis+Rheum&amp;title=Inefficacy+of+infliximab+in+primary+Sj%C3%B6gren%E2%80%99s+syndrome:+results+of+the+randomized,+controlled+Trial+of+Remicade+in+Primary+Sj%C3%B6gren%E2%80%99s+Syndrome+(TRIPSS)&amp;author=X+Mariette&amp;author=P+Ravaud&amp;author=S+Steinfeld&amp;author=G+Baron&amp;author=J+Goetz&amp;volume=50&amp;issue=4&amp;publication_year=2004&amp;pages=1270-1276&amp;pmid=15077311&amp;</vt:lpwstr>
      </vt:variant>
      <vt:variant>
        <vt:lpwstr/>
      </vt:variant>
      <vt:variant>
        <vt:i4>655360</vt:i4>
      </vt:variant>
      <vt:variant>
        <vt:i4>2034</vt:i4>
      </vt:variant>
      <vt:variant>
        <vt:i4>0</vt:i4>
      </vt:variant>
      <vt:variant>
        <vt:i4>5</vt:i4>
      </vt:variant>
      <vt:variant>
        <vt:lpwstr>https://pubmed.ncbi.nlm.nih.gov/15077311</vt:lpwstr>
      </vt:variant>
      <vt:variant>
        <vt:lpwstr/>
      </vt:variant>
      <vt:variant>
        <vt:i4>7143472</vt:i4>
      </vt:variant>
      <vt:variant>
        <vt:i4>2031</vt:i4>
      </vt:variant>
      <vt:variant>
        <vt:i4>0</vt:i4>
      </vt:variant>
      <vt:variant>
        <vt:i4>5</vt:i4>
      </vt:variant>
      <vt:variant>
        <vt:lpwstr>https://dx.doi.org/10.1152%2Fajpcell.00144.2008</vt:lpwstr>
      </vt:variant>
      <vt:variant>
        <vt:lpwstr/>
      </vt:variant>
      <vt:variant>
        <vt:i4>20</vt:i4>
      </vt:variant>
      <vt:variant>
        <vt:i4>2028</vt:i4>
      </vt:variant>
      <vt:variant>
        <vt:i4>0</vt:i4>
      </vt:variant>
      <vt:variant>
        <vt:i4>5</vt:i4>
      </vt:variant>
      <vt:variant>
        <vt:lpwstr>https://doi.org/10.1007/s10495-006-0281-8</vt:lpwstr>
      </vt:variant>
      <vt:variant>
        <vt:lpwstr/>
      </vt:variant>
      <vt:variant>
        <vt:i4>3670030</vt:i4>
      </vt:variant>
      <vt:variant>
        <vt:i4>2025</vt:i4>
      </vt:variant>
      <vt:variant>
        <vt:i4>0</vt:i4>
      </vt:variant>
      <vt:variant>
        <vt:i4>5</vt:i4>
      </vt:variant>
      <vt:variant>
        <vt:lpwstr>https://scholar.google.com/scholar_lookup?journal=Ann+N+Y+Acad+Sci&amp;title=Tumor+necrosis+factor+inhibitors+block+apoptosis+of+human+epithelial+cells+of+the+salivary+glands&amp;author=M+Sisto&amp;author=M+D%E2%80%99Amore&amp;author=S+Caprio&amp;author=V+Mitolo&amp;author=P+Scagliusi&amp;volume=1171&amp;publication_year=2009&amp;pages=407-414&amp;pmid=19723083&amp;</vt:lpwstr>
      </vt:variant>
      <vt:variant>
        <vt:lpwstr/>
      </vt:variant>
      <vt:variant>
        <vt:i4>131082</vt:i4>
      </vt:variant>
      <vt:variant>
        <vt:i4>2022</vt:i4>
      </vt:variant>
      <vt:variant>
        <vt:i4>0</vt:i4>
      </vt:variant>
      <vt:variant>
        <vt:i4>5</vt:i4>
      </vt:variant>
      <vt:variant>
        <vt:lpwstr>https://pubmed.ncbi.nlm.nih.gov/19723083</vt:lpwstr>
      </vt:variant>
      <vt:variant>
        <vt:lpwstr/>
      </vt:variant>
      <vt:variant>
        <vt:i4>3604497</vt:i4>
      </vt:variant>
      <vt:variant>
        <vt:i4>2019</vt:i4>
      </vt:variant>
      <vt:variant>
        <vt:i4>0</vt:i4>
      </vt:variant>
      <vt:variant>
        <vt:i4>5</vt:i4>
      </vt:variant>
      <vt:variant>
        <vt:lpwstr>https://scholar.google.com/scholar_lookup?journal=Am+J+Physiol+Cell+Physiol&amp;title=Proinflammatory+cytokines+tumor+necrosis+factor-alpha+and+interferon-gamma+alter+tight+junction+structure+and+function+in+the+rat+parotid+gland+Par-C10+cell+line&amp;author=OJ+Baker&amp;author=JM+Camden&amp;author=RS+Redman&amp;author=JE+Jones&amp;author=CI+Seye&amp;volume=295&amp;issue=5&amp;publication_year=2008&amp;pages=C1191-C1201&amp;pmid=18768927&amp;</vt:lpwstr>
      </vt:variant>
      <vt:variant>
        <vt:lpwstr/>
      </vt:variant>
      <vt:variant>
        <vt:i4>655371</vt:i4>
      </vt:variant>
      <vt:variant>
        <vt:i4>2016</vt:i4>
      </vt:variant>
      <vt:variant>
        <vt:i4>0</vt:i4>
      </vt:variant>
      <vt:variant>
        <vt:i4>5</vt:i4>
      </vt:variant>
      <vt:variant>
        <vt:lpwstr>https://pubmed.ncbi.nlm.nih.gov/18768927</vt:lpwstr>
      </vt:variant>
      <vt:variant>
        <vt:lpwstr/>
      </vt:variant>
      <vt:variant>
        <vt:i4>1966155</vt:i4>
      </vt:variant>
      <vt:variant>
        <vt:i4>2013</vt:i4>
      </vt:variant>
      <vt:variant>
        <vt:i4>0</vt:i4>
      </vt:variant>
      <vt:variant>
        <vt:i4>5</vt:i4>
      </vt:variant>
      <vt:variant>
        <vt:lpwstr>https://www.ncbi.nlm.nih.gov/pmc/articles/PMC2584989/</vt:lpwstr>
      </vt:variant>
      <vt:variant>
        <vt:lpwstr/>
      </vt:variant>
      <vt:variant>
        <vt:i4>4063317</vt:i4>
      </vt:variant>
      <vt:variant>
        <vt:i4>2010</vt:i4>
      </vt:variant>
      <vt:variant>
        <vt:i4>0</vt:i4>
      </vt:variant>
      <vt:variant>
        <vt:i4>5</vt:i4>
      </vt:variant>
      <vt:variant>
        <vt:lpwstr>https://scholar.google.com/scholar_lookup?journal=J+Cell+Mol+Med&amp;title=TNF-%CE%B1+inhibits+aquaporin+5+expression+in+human+salivary+gland+acinar+cells+via+suppression+of+histone+H4+acetylation&amp;author=Y+Yamamura&amp;author=K+Motegi&amp;author=K+Kani&amp;author=H+Takano&amp;author=Y+Momota&amp;volume=16&amp;issue=8&amp;publication_year=2012&amp;pages=1766-1775&amp;pmid=21973049&amp;</vt:lpwstr>
      </vt:variant>
      <vt:variant>
        <vt:lpwstr/>
      </vt:variant>
      <vt:variant>
        <vt:i4>327691</vt:i4>
      </vt:variant>
      <vt:variant>
        <vt:i4>2007</vt:i4>
      </vt:variant>
      <vt:variant>
        <vt:i4>0</vt:i4>
      </vt:variant>
      <vt:variant>
        <vt:i4>5</vt:i4>
      </vt:variant>
      <vt:variant>
        <vt:lpwstr>https://pubmed.ncbi.nlm.nih.gov/21973049</vt:lpwstr>
      </vt:variant>
      <vt:variant>
        <vt:lpwstr/>
      </vt:variant>
      <vt:variant>
        <vt:i4>1245249</vt:i4>
      </vt:variant>
      <vt:variant>
        <vt:i4>2004</vt:i4>
      </vt:variant>
      <vt:variant>
        <vt:i4>0</vt:i4>
      </vt:variant>
      <vt:variant>
        <vt:i4>5</vt:i4>
      </vt:variant>
      <vt:variant>
        <vt:lpwstr>https://www.ncbi.nlm.nih.gov/pmc/articles/PMC3822690/</vt:lpwstr>
      </vt:variant>
      <vt:variant>
        <vt:lpwstr/>
      </vt:variant>
      <vt:variant>
        <vt:i4>3866635</vt:i4>
      </vt:variant>
      <vt:variant>
        <vt:i4>2001</vt:i4>
      </vt:variant>
      <vt:variant>
        <vt:i4>0</vt:i4>
      </vt:variant>
      <vt:variant>
        <vt:i4>5</vt:i4>
      </vt:variant>
      <vt:variant>
        <vt:lpwstr>https://scholar.google.com/scholar_lookup?journal=Arch+Oral+Biol&amp;title=Participation+of+the+endocannabinoid+system+in+lipopolysaccharide-induced+inhibition+of+salivary+secretion&amp;author=J+Fernandez-Solari&amp;author=JP+Prestifilippo&amp;author=CA+Ossola&amp;author=V+Rettori&amp;author=JC.+Elverdin&amp;volume=55&amp;issue=8&amp;publication_year=2010&amp;pages=583-590&amp;pmid=20542488&amp;</vt:lpwstr>
      </vt:variant>
      <vt:variant>
        <vt:lpwstr/>
      </vt:variant>
      <vt:variant>
        <vt:i4>131082</vt:i4>
      </vt:variant>
      <vt:variant>
        <vt:i4>1998</vt:i4>
      </vt:variant>
      <vt:variant>
        <vt:i4>0</vt:i4>
      </vt:variant>
      <vt:variant>
        <vt:i4>5</vt:i4>
      </vt:variant>
      <vt:variant>
        <vt:lpwstr>https://pubmed.ncbi.nlm.nih.gov/20542488</vt:lpwstr>
      </vt:variant>
      <vt:variant>
        <vt:lpwstr/>
      </vt:variant>
      <vt:variant>
        <vt:i4>3080287</vt:i4>
      </vt:variant>
      <vt:variant>
        <vt:i4>1995</vt:i4>
      </vt:variant>
      <vt:variant>
        <vt:i4>0</vt:i4>
      </vt:variant>
      <vt:variant>
        <vt:i4>5</vt:i4>
      </vt:variant>
      <vt:variant>
        <vt:lpwstr>https://scholar.google.com/scholar_lookup?journal=Clin+Exp+Rheumatol&amp;title=Salivary+cytokine+profiles+in+primary+Sj%C3%B6gren%E2%80%99s+syndrome+differ+from+those+in+non-Sj%C3%B6gren+sicca+in+terms+of+TNF-%CE%B1+levels+and+Th-1/Th-2+ratios&amp;author=EH+Kang&amp;author=YJ+Lee&amp;author=JY+Hyon&amp;author=PY+Yun&amp;author=YW.+Song&amp;volume=29&amp;issue=6&amp;publication_year=2011&amp;pages=970-976&amp;pmid=22132900&amp;</vt:lpwstr>
      </vt:variant>
      <vt:variant>
        <vt:lpwstr/>
      </vt:variant>
      <vt:variant>
        <vt:i4>131078</vt:i4>
      </vt:variant>
      <vt:variant>
        <vt:i4>1992</vt:i4>
      </vt:variant>
      <vt:variant>
        <vt:i4>0</vt:i4>
      </vt:variant>
      <vt:variant>
        <vt:i4>5</vt:i4>
      </vt:variant>
      <vt:variant>
        <vt:lpwstr>https://pubmed.ncbi.nlm.nih.gov/22132900</vt:lpwstr>
      </vt:variant>
      <vt:variant>
        <vt:lpwstr/>
      </vt:variant>
      <vt:variant>
        <vt:i4>2818144</vt:i4>
      </vt:variant>
      <vt:variant>
        <vt:i4>1989</vt:i4>
      </vt:variant>
      <vt:variant>
        <vt:i4>0</vt:i4>
      </vt:variant>
      <vt:variant>
        <vt:i4>5</vt:i4>
      </vt:variant>
      <vt:variant>
        <vt:lpwstr>https://doi.org/10.1089/107999099313497</vt:lpwstr>
      </vt:variant>
      <vt:variant>
        <vt:lpwstr/>
      </vt:variant>
      <vt:variant>
        <vt:i4>5832768</vt:i4>
      </vt:variant>
      <vt:variant>
        <vt:i4>1986</vt:i4>
      </vt:variant>
      <vt:variant>
        <vt:i4>0</vt:i4>
      </vt:variant>
      <vt:variant>
        <vt:i4>5</vt:i4>
      </vt:variant>
      <vt:variant>
        <vt:lpwstr>https://doi.org/10.1016/j.ejphar.2007.10.049</vt:lpwstr>
      </vt:variant>
      <vt:variant>
        <vt:lpwstr/>
      </vt:variant>
      <vt:variant>
        <vt:i4>2490453</vt:i4>
      </vt:variant>
      <vt:variant>
        <vt:i4>1983</vt:i4>
      </vt:variant>
      <vt:variant>
        <vt:i4>0</vt:i4>
      </vt:variant>
      <vt:variant>
        <vt:i4>5</vt:i4>
      </vt:variant>
      <vt:variant>
        <vt:lpwstr>https://pubmed.ncbi.nlm.nih.gov/?term=Kalra+BS&amp;cauthor_id=18021769</vt:lpwstr>
      </vt:variant>
      <vt:variant>
        <vt:lpwstr/>
      </vt:variant>
      <vt:variant>
        <vt:i4>5177421</vt:i4>
      </vt:variant>
      <vt:variant>
        <vt:i4>1980</vt:i4>
      </vt:variant>
      <vt:variant>
        <vt:i4>0</vt:i4>
      </vt:variant>
      <vt:variant>
        <vt:i4>5</vt:i4>
      </vt:variant>
      <vt:variant>
        <vt:lpwstr>http://dx.doi.org/10.1136/annrheumdis-2016-eular.4061</vt:lpwstr>
      </vt:variant>
      <vt:variant>
        <vt:lpwstr/>
      </vt:variant>
      <vt:variant>
        <vt:i4>3670036</vt:i4>
      </vt:variant>
      <vt:variant>
        <vt:i4>1977</vt:i4>
      </vt:variant>
      <vt:variant>
        <vt:i4>0</vt:i4>
      </vt:variant>
      <vt:variant>
        <vt:i4>5</vt:i4>
      </vt:variant>
      <vt:variant>
        <vt:lpwstr>https://www.jimmunol.org/lookup/google-scholar?link_type=googlescholar&amp;gs_type=article&amp;q_txt=Bombardieri%2C+M.%2C+F.+Barone%2C+V.+Pittoni%2C+C.+Alessandri%2C+P.+Conigliaro%2C+M.+C.+Blades%2C+R.+Priori%2C+I.+B.+McInnes%2C+G.+Valesini%2C+C.+Pitzalis.+2004.+Increased+circulating+levels+and+salivary+gland+expression+of+interleukin-18+in+patients+with+Sj%C3%B6gren%E2%80%99s+syndrome%3A+relationship+with+autoantibody+production+and+lymphoid+organization+of+the+periductal+inflammatory+infiltrate.+Arthritis+Res.+Ther.+6%3A+R447-R456.</vt:lpwstr>
      </vt:variant>
      <vt:variant>
        <vt:lpwstr/>
      </vt:variant>
      <vt:variant>
        <vt:i4>5898250</vt:i4>
      </vt:variant>
      <vt:variant>
        <vt:i4>1974</vt:i4>
      </vt:variant>
      <vt:variant>
        <vt:i4>0</vt:i4>
      </vt:variant>
      <vt:variant>
        <vt:i4>5</vt:i4>
      </vt:variant>
      <vt:variant>
        <vt:lpwstr>https://www.jimmunol.org/lookup/external-ref?access_num=15380044&amp;link_type=MED&amp;atom=%2Fjimmunol%2F181%2F4%2F2898.atom</vt:lpwstr>
      </vt:variant>
      <vt:variant>
        <vt:lpwstr/>
      </vt:variant>
      <vt:variant>
        <vt:i4>5308499</vt:i4>
      </vt:variant>
      <vt:variant>
        <vt:i4>1971</vt:i4>
      </vt:variant>
      <vt:variant>
        <vt:i4>0</vt:i4>
      </vt:variant>
      <vt:variant>
        <vt:i4>5</vt:i4>
      </vt:variant>
      <vt:variant>
        <vt:lpwstr>https://www.jimmunol.org/lookup/external-ref?access_num=10.1186/ar1209&amp;link_type=DOI</vt:lpwstr>
      </vt:variant>
      <vt:variant>
        <vt:lpwstr/>
      </vt:variant>
      <vt:variant>
        <vt:i4>2818144</vt:i4>
      </vt:variant>
      <vt:variant>
        <vt:i4>1968</vt:i4>
      </vt:variant>
      <vt:variant>
        <vt:i4>0</vt:i4>
      </vt:variant>
      <vt:variant>
        <vt:i4>5</vt:i4>
      </vt:variant>
      <vt:variant>
        <vt:lpwstr>https://doi.org/10.4049/jimmunol.181.4.2898</vt:lpwstr>
      </vt:variant>
      <vt:variant>
        <vt:lpwstr/>
      </vt:variant>
      <vt:variant>
        <vt:i4>7667712</vt:i4>
      </vt:variant>
      <vt:variant>
        <vt:i4>1965</vt:i4>
      </vt:variant>
      <vt:variant>
        <vt:i4>0</vt:i4>
      </vt:variant>
      <vt:variant>
        <vt:i4>5</vt:i4>
      </vt:variant>
      <vt:variant>
        <vt:lpwstr>https://www.jimmunol.org/lookup/google-scholar?link_type=googlescholar&amp;gs_type=article&amp;q_txt=Nishioka%2C+T.%2C+T.+Kuroishi%2C+Y.+Sugawara%2C+Z.+Yu%2C+T.+Sasano%2C+Y.+Endo%2C+S.+Sugawara.+2007.+Induction+of+serum+IL-18+with+Propionibacterium+acnes+and+lipopolysaccharide+in+phagocytic+macrophage-inactivated+mice.+J.+Leukocyte+Biol.+82%3A+327-334.</vt:lpwstr>
      </vt:variant>
      <vt:variant>
        <vt:lpwstr/>
      </vt:variant>
      <vt:variant>
        <vt:i4>2752545</vt:i4>
      </vt:variant>
      <vt:variant>
        <vt:i4>1962</vt:i4>
      </vt:variant>
      <vt:variant>
        <vt:i4>0</vt:i4>
      </vt:variant>
      <vt:variant>
        <vt:i4>5</vt:i4>
      </vt:variant>
      <vt:variant>
        <vt:lpwstr>https://www.jimmunol.org/lookup/ijlink/YTozOntzOjQ6InBhdGgiO3M6MTQ6Ii9sb29rdXAvaWpsaW5rIjtzOjU6InF1ZXJ5IjthOjQ6e3M6ODoibGlua1R5cGUiO3M6NDoiQUJTVCI7czoxMToiam91cm5hbENvZGUiO3M6NToiamxldWIiO3M6NToicmVzaWQiO3M6ODoiODIvMi8zMjciO3M6NDoiYXRvbSI7czoyNToiL2ppbW11bm9sLzE4MS80LzI4OTguYXRvbSI7fXM6ODoiZnJhZ21lbnQiO3M6MDoiIjt9</vt:lpwstr>
      </vt:variant>
      <vt:variant>
        <vt:lpwstr/>
      </vt:variant>
      <vt:variant>
        <vt:i4>3014663</vt:i4>
      </vt:variant>
      <vt:variant>
        <vt:i4>1959</vt:i4>
      </vt:variant>
      <vt:variant>
        <vt:i4>0</vt:i4>
      </vt:variant>
      <vt:variant>
        <vt:i4>5</vt:i4>
      </vt:variant>
      <vt:variant>
        <vt:lpwstr>https://www.jimmunol.org/lookup/google-scholar?link_type=googlescholar&amp;gs_type=article&amp;q_txt=Sugawara%2C+S.%2C+A.+Uehara%2C+T.+Nochi%2C+T.+Yamaguchi%2C+H.+Ueda%2C+A.+Sugiyama%2C+K.+Hanzawa%2C+K.+Kumagai%2C+H.+Okamura%2C+H.+Takada.+2001.+Neutrophil+proteinase+3-mediated+induction+of+bioactive+IL-18+secretion+by+human+oral+epithelial+cells.+J.+Immunol.+167%3A+6568-6575.</vt:lpwstr>
      </vt:variant>
      <vt:variant>
        <vt:lpwstr/>
      </vt:variant>
      <vt:variant>
        <vt:i4>8060984</vt:i4>
      </vt:variant>
      <vt:variant>
        <vt:i4>1956</vt:i4>
      </vt:variant>
      <vt:variant>
        <vt:i4>0</vt:i4>
      </vt:variant>
      <vt:variant>
        <vt:i4>5</vt:i4>
      </vt:variant>
      <vt:variant>
        <vt:lpwstr>https://www.jimmunol.org/lookup/ijlink/YTozOntzOjQ6InBhdGgiO3M6MTQ6Ii9sb29rdXAvaWpsaW5rIjtzOjU6InF1ZXJ5IjthOjQ6e3M6ODoibGlua1R5cGUiO3M6NDoiQUJTVCI7czoxMToiam91cm5hbENvZGUiO3M6ODoiamltbXVub2wiO3M6NToicmVzaWQiO3M6MTE6IjE2Ny8xMS82NTY4IjtzOjQ6ImF0b20iO3M6MjU6Ii9qaW1tdW5vbC8xODEvNC8yODk4LmF0b20iO31zOjg6ImZyYWdtZW50IjtzOjA6IiI7fQ==</vt:lpwstr>
      </vt:variant>
      <vt:variant>
        <vt:lpwstr/>
      </vt:variant>
      <vt:variant>
        <vt:i4>5832812</vt:i4>
      </vt:variant>
      <vt:variant>
        <vt:i4>1953</vt:i4>
      </vt:variant>
      <vt:variant>
        <vt:i4>0</vt:i4>
      </vt:variant>
      <vt:variant>
        <vt:i4>5</vt:i4>
      </vt:variant>
      <vt:variant>
        <vt:lpwstr>https://www.jimmunol.org/lookup/google-scholar?link_type=googlescholar&amp;gs_type=article&amp;q_txt=Gracie%2C+J.+A.%2C+S.+E.+Robertson%2C+I.+B.+McInnes.+2003.+Interleukin-18.+J.+Leukocyte+Biol.+73%3A+213-224.</vt:lpwstr>
      </vt:variant>
      <vt:variant>
        <vt:lpwstr/>
      </vt:variant>
      <vt:variant>
        <vt:i4>2162722</vt:i4>
      </vt:variant>
      <vt:variant>
        <vt:i4>1950</vt:i4>
      </vt:variant>
      <vt:variant>
        <vt:i4>0</vt:i4>
      </vt:variant>
      <vt:variant>
        <vt:i4>5</vt:i4>
      </vt:variant>
      <vt:variant>
        <vt:lpwstr>https://www.jimmunol.org/lookup/ijlink/YTozOntzOjQ6InBhdGgiO3M6MTQ6Ii9sb29rdXAvaWpsaW5rIjtzOjU6InF1ZXJ5IjthOjQ6e3M6ODoibGlua1R5cGUiO3M6NDoiQUJTVCI7czoxMToiam91cm5hbENvZGUiO3M6NToiamxldWIiO3M6NToicmVzaWQiO3M6ODoiNzMvMi8yMTMiO3M6NDoiYXRvbSI7czoyNToiL2ppbW11bm9sLzE4MS80LzI4OTguYXRvbSI7fXM6ODoiZnJhZ21lbnQiO3M6MDoiIjt9</vt:lpwstr>
      </vt:variant>
      <vt:variant>
        <vt:lpwstr/>
      </vt:variant>
      <vt:variant>
        <vt:i4>7471124</vt:i4>
      </vt:variant>
      <vt:variant>
        <vt:i4>1947</vt:i4>
      </vt:variant>
      <vt:variant>
        <vt:i4>0</vt:i4>
      </vt:variant>
      <vt:variant>
        <vt:i4>5</vt:i4>
      </vt:variant>
      <vt:variant>
        <vt:lpwstr>https://www.jimmunol.org/lookup/google-scholar?link_type=googlescholar&amp;gs_type=article&amp;q_txt=Dinarello%2C+C.+A.%2C+G.+Fantuzzi.+2003.+Interleukin-18+and+host+defense+against+infection.+J.+Infect.+Dis.+187%3A+S370-S384.</vt:lpwstr>
      </vt:variant>
      <vt:variant>
        <vt:lpwstr/>
      </vt:variant>
      <vt:variant>
        <vt:i4>5505037</vt:i4>
      </vt:variant>
      <vt:variant>
        <vt:i4>1944</vt:i4>
      </vt:variant>
      <vt:variant>
        <vt:i4>0</vt:i4>
      </vt:variant>
      <vt:variant>
        <vt:i4>5</vt:i4>
      </vt:variant>
      <vt:variant>
        <vt:lpwstr>https://www.jimmunol.org/lookup/external-ref?access_num=12792854&amp;link_type=MED&amp;atom=%2Fjimmunol%2F181%2F4%2F2898.atom</vt:lpwstr>
      </vt:variant>
      <vt:variant>
        <vt:lpwstr/>
      </vt:variant>
      <vt:variant>
        <vt:i4>1638400</vt:i4>
      </vt:variant>
      <vt:variant>
        <vt:i4>1941</vt:i4>
      </vt:variant>
      <vt:variant>
        <vt:i4>0</vt:i4>
      </vt:variant>
      <vt:variant>
        <vt:i4>5</vt:i4>
      </vt:variant>
      <vt:variant>
        <vt:lpwstr>https://www.jimmunol.org/lookup/external-ref?access_num=10.1086/374751&amp;link_type=DOI</vt:lpwstr>
      </vt:variant>
      <vt:variant>
        <vt:lpwstr/>
      </vt:variant>
      <vt:variant>
        <vt:i4>8257603</vt:i4>
      </vt:variant>
      <vt:variant>
        <vt:i4>1938</vt:i4>
      </vt:variant>
      <vt:variant>
        <vt:i4>0</vt:i4>
      </vt:variant>
      <vt:variant>
        <vt:i4>5</vt:i4>
      </vt:variant>
      <vt:variant>
        <vt:lpwstr>https://www.jimmunol.org/lookup/google-scholar?link_type=googlescholar&amp;gs_type=article&amp;q_txt=Nakanishi%2C+K.%2C+T.+Yoshimoto%2C+H.+Tsutsui%2C+H.+Okamura.+2001.+Interleukin-18+regulates+both+Th1+and+Th2+responses.+Annu.+Rev.+Immunol.+19%3A+423-474.</vt:lpwstr>
      </vt:variant>
      <vt:variant>
        <vt:lpwstr/>
      </vt:variant>
      <vt:variant>
        <vt:i4>5570575</vt:i4>
      </vt:variant>
      <vt:variant>
        <vt:i4>1935</vt:i4>
      </vt:variant>
      <vt:variant>
        <vt:i4>0</vt:i4>
      </vt:variant>
      <vt:variant>
        <vt:i4>5</vt:i4>
      </vt:variant>
      <vt:variant>
        <vt:lpwstr>https://www.jimmunol.org/lookup/external-ref?access_num=11244043&amp;link_type=MED&amp;atom=%2Fjimmunol%2F181%2F4%2F2898.atom</vt:lpwstr>
      </vt:variant>
      <vt:variant>
        <vt:lpwstr/>
      </vt:variant>
      <vt:variant>
        <vt:i4>2228285</vt:i4>
      </vt:variant>
      <vt:variant>
        <vt:i4>1932</vt:i4>
      </vt:variant>
      <vt:variant>
        <vt:i4>0</vt:i4>
      </vt:variant>
      <vt:variant>
        <vt:i4>5</vt:i4>
      </vt:variant>
      <vt:variant>
        <vt:lpwstr>https://www.jimmunol.org/lookup/external-ref?access_num=10.1146/annurev.immunol.19.1.423&amp;link_type=DOI</vt:lpwstr>
      </vt:variant>
      <vt:variant>
        <vt:lpwstr/>
      </vt:variant>
      <vt:variant>
        <vt:i4>3145823</vt:i4>
      </vt:variant>
      <vt:variant>
        <vt:i4>1929</vt:i4>
      </vt:variant>
      <vt:variant>
        <vt:i4>0</vt:i4>
      </vt:variant>
      <vt:variant>
        <vt:i4>5</vt:i4>
      </vt:variant>
      <vt:variant>
        <vt:lpwstr>https://www.jimmunol.org/lookup/google-scholar?link_type=googlescholar&amp;gs_type=article&amp;q_txt=Okamura%2C+H.%2C+H.+Tsutsui%2C+T.+Komatsu%2C+M.+Yutsudo%2C+A.+Hakura%2C+T.+Tanimoto%2C+K.+Torigoe%2C+T.+Okura%2C+Y.+Nukada%2C+K.+Hattori%2C+et+al+1995.+Cloning+of+a+new+cytokine+that+induces+IFN-%CE%B3+production+by+T+cells.+Nature+378%3A+88-91.</vt:lpwstr>
      </vt:variant>
      <vt:variant>
        <vt:lpwstr/>
      </vt:variant>
      <vt:variant>
        <vt:i4>7340156</vt:i4>
      </vt:variant>
      <vt:variant>
        <vt:i4>1926</vt:i4>
      </vt:variant>
      <vt:variant>
        <vt:i4>0</vt:i4>
      </vt:variant>
      <vt:variant>
        <vt:i4>5</vt:i4>
      </vt:variant>
      <vt:variant>
        <vt:lpwstr>https://www.jimmunol.org/lookup/external-ref?access_num=7477296&amp;link_type=MED&amp;atom=%2Fjimmunol%2F181%2F4%2F2898.atom</vt:lpwstr>
      </vt:variant>
      <vt:variant>
        <vt:lpwstr/>
      </vt:variant>
      <vt:variant>
        <vt:i4>2883694</vt:i4>
      </vt:variant>
      <vt:variant>
        <vt:i4>1923</vt:i4>
      </vt:variant>
      <vt:variant>
        <vt:i4>0</vt:i4>
      </vt:variant>
      <vt:variant>
        <vt:i4>5</vt:i4>
      </vt:variant>
      <vt:variant>
        <vt:lpwstr>https://www.jimmunol.org/lookup/external-ref?access_num=10.1038/378088a0&amp;link_type=DOI</vt:lpwstr>
      </vt:variant>
      <vt:variant>
        <vt:lpwstr/>
      </vt:variant>
      <vt:variant>
        <vt:i4>4128848</vt:i4>
      </vt:variant>
      <vt:variant>
        <vt:i4>1920</vt:i4>
      </vt:variant>
      <vt:variant>
        <vt:i4>0</vt:i4>
      </vt:variant>
      <vt:variant>
        <vt:i4>5</vt:i4>
      </vt:variant>
      <vt:variant>
        <vt:lpwstr>https://www.jimmunol.org/lookup/google-scholar?link_type=googlescholar&amp;gs_type=article&amp;q_txt=Ohyama%2C+Y.%2C+S.+Nakamura%2C+G.+Matsuzaki%2C+M.+Shinohara%2C+A.+Hiroki%2C+T.+Fujimura%2C+A.+Yamada%2C+K.+Itoh%2C+K.+Nomoto.+1996.+Cytokine+messenger+RNA+expression+in+the+labial+salivary+glands+of+patients+with+Sj%C3%B6gren%E2%80%99s+syndrome.+Arthritis+Rheum.+39%3A+1376-1384.</vt:lpwstr>
      </vt:variant>
      <vt:variant>
        <vt:lpwstr/>
      </vt:variant>
      <vt:variant>
        <vt:i4>8061043</vt:i4>
      </vt:variant>
      <vt:variant>
        <vt:i4>1917</vt:i4>
      </vt:variant>
      <vt:variant>
        <vt:i4>0</vt:i4>
      </vt:variant>
      <vt:variant>
        <vt:i4>5</vt:i4>
      </vt:variant>
      <vt:variant>
        <vt:lpwstr>https://www.jimmunol.org/lookup/external-ref?access_num=8702447&amp;link_type=MED&amp;atom=%2Fjimmunol%2F181%2F4%2F2898.atom</vt:lpwstr>
      </vt:variant>
      <vt:variant>
        <vt:lpwstr/>
      </vt:variant>
      <vt:variant>
        <vt:i4>4980760</vt:i4>
      </vt:variant>
      <vt:variant>
        <vt:i4>1914</vt:i4>
      </vt:variant>
      <vt:variant>
        <vt:i4>0</vt:i4>
      </vt:variant>
      <vt:variant>
        <vt:i4>5</vt:i4>
      </vt:variant>
      <vt:variant>
        <vt:lpwstr>https://www.jimmunol.org/lookup/external-ref?access_num=10.1002/art.1780390816&amp;link_type=DOI</vt:lpwstr>
      </vt:variant>
      <vt:variant>
        <vt:lpwstr/>
      </vt:variant>
      <vt:variant>
        <vt:i4>7602182</vt:i4>
      </vt:variant>
      <vt:variant>
        <vt:i4>1911</vt:i4>
      </vt:variant>
      <vt:variant>
        <vt:i4>0</vt:i4>
      </vt:variant>
      <vt:variant>
        <vt:i4>5</vt:i4>
      </vt:variant>
      <vt:variant>
        <vt:lpwstr>https://www.jimmunol.org/lookup/google-scholar?link_type=googlescholar&amp;gs_type=article&amp;q_txt=Kolkowski%2C+E.+C.%2C+P.+Reth%2C+F.+Pelusa%2C+J.+Bosch%2C+R.+Pujol-Borrell%2C+J.+Coll%2C+D.+Jaraquemada.+1999.+Th1+predominance+and+perforin+expression+in+minor+salivary+glands+from+patients+with+primary+Sj%C3%B6gren%E2%80%99s+syndrome.+J.+Autoimmun.+13%3A+155-162.</vt:lpwstr>
      </vt:variant>
      <vt:variant>
        <vt:lpwstr/>
      </vt:variant>
      <vt:variant>
        <vt:i4>5701632</vt:i4>
      </vt:variant>
      <vt:variant>
        <vt:i4>1908</vt:i4>
      </vt:variant>
      <vt:variant>
        <vt:i4>0</vt:i4>
      </vt:variant>
      <vt:variant>
        <vt:i4>5</vt:i4>
      </vt:variant>
      <vt:variant>
        <vt:lpwstr>https://www.jimmunol.org/lookup/external-ref?access_num=10441181&amp;link_type=MED&amp;atom=%2Fjimmunol%2F181%2F4%2F2898.atom</vt:lpwstr>
      </vt:variant>
      <vt:variant>
        <vt:lpwstr/>
      </vt:variant>
      <vt:variant>
        <vt:i4>1572875</vt:i4>
      </vt:variant>
      <vt:variant>
        <vt:i4>1905</vt:i4>
      </vt:variant>
      <vt:variant>
        <vt:i4>0</vt:i4>
      </vt:variant>
      <vt:variant>
        <vt:i4>5</vt:i4>
      </vt:variant>
      <vt:variant>
        <vt:lpwstr>https://www.jimmunol.org/lookup/external-ref?access_num=10.1006/jaut.1999.0289&amp;link_type=DOI</vt:lpwstr>
      </vt:variant>
      <vt:variant>
        <vt:lpwstr/>
      </vt:variant>
      <vt:variant>
        <vt:i4>8323077</vt:i4>
      </vt:variant>
      <vt:variant>
        <vt:i4>1902</vt:i4>
      </vt:variant>
      <vt:variant>
        <vt:i4>0</vt:i4>
      </vt:variant>
      <vt:variant>
        <vt:i4>5</vt:i4>
      </vt:variant>
      <vt:variant>
        <vt:lpwstr>https://www.jimmunol.org/lookup/google-scholar?link_type=googlescholar&amp;gs_type=article&amp;q_txt=Fox%2C+R.+I.%2C+H.+I.+Kang%2C+D.+Ando%2C+J.+Abrams%2C+E.+Pisa.+1994.+Cytokine+mRNA+expression+in+salivary+gland+biopsies+of+Sj%C3%B6gren%E2%80%99s+syndrome.+J.+Immunol.+152%3A+5532-5539.</vt:lpwstr>
      </vt:variant>
      <vt:variant>
        <vt:lpwstr/>
      </vt:variant>
      <vt:variant>
        <vt:i4>7077989</vt:i4>
      </vt:variant>
      <vt:variant>
        <vt:i4>1899</vt:i4>
      </vt:variant>
      <vt:variant>
        <vt:i4>0</vt:i4>
      </vt:variant>
      <vt:variant>
        <vt:i4>5</vt:i4>
      </vt:variant>
      <vt:variant>
        <vt:lpwstr>https://www.jimmunol.org/lookup/ijlink/YTozOntzOjQ6InBhdGgiO3M6MTQ6Ii9sb29rdXAvaWpsaW5rIjtzOjU6InF1ZXJ5IjthOjQ6e3M6ODoibGlua1R5cGUiO3M6NDoiQUJTVCI7czoxMToiam91cm5hbENvZGUiO3M6ODoiamltbXVub2wiO3M6NToicmVzaWQiO3M6MTE6IjE1Mi8xMS81NTMyIjtzOjQ6ImF0b20iO3M6MjU6Ii9qaW1tdW5vbC8xODEvNC8yODk4LmF0b20iO31zOjg6ImZyYWdtZW50IjtzOjA6IiI7fQ==</vt:lpwstr>
      </vt:variant>
      <vt:variant>
        <vt:lpwstr/>
      </vt:variant>
      <vt:variant>
        <vt:i4>6291534</vt:i4>
      </vt:variant>
      <vt:variant>
        <vt:i4>1896</vt:i4>
      </vt:variant>
      <vt:variant>
        <vt:i4>0</vt:i4>
      </vt:variant>
      <vt:variant>
        <vt:i4>5</vt:i4>
      </vt:variant>
      <vt:variant>
        <vt:lpwstr>https://www.jimmunol.org/lookup/google-scholar?link_type=googlescholar&amp;gs_type=article&amp;q_txt=Bettelli%2C+E.%2C+Y.+Carrier%2C+W.+Gao%2C+T.+Korn%2C+T.+B.+Strom%2C+M.+Oukka%2C+H.+L.+Weiner%2C+V.+K.+Kuchroo.+2006.+Reciprocal+developmental+pathways+for+the+generation+of+pathogenic+effector+TH17+and+regulatory+T+cells.+Nature+441%3A+235-238.</vt:lpwstr>
      </vt:variant>
      <vt:variant>
        <vt:lpwstr/>
      </vt:variant>
      <vt:variant>
        <vt:i4>5308416</vt:i4>
      </vt:variant>
      <vt:variant>
        <vt:i4>1893</vt:i4>
      </vt:variant>
      <vt:variant>
        <vt:i4>0</vt:i4>
      </vt:variant>
      <vt:variant>
        <vt:i4>5</vt:i4>
      </vt:variant>
      <vt:variant>
        <vt:lpwstr>https://www.jimmunol.org/lookup/external-ref?access_num=16648838&amp;link_type=MED&amp;atom=%2Fjimmunol%2F181%2F4%2F2898.atom</vt:lpwstr>
      </vt:variant>
      <vt:variant>
        <vt:lpwstr/>
      </vt:variant>
      <vt:variant>
        <vt:i4>7143479</vt:i4>
      </vt:variant>
      <vt:variant>
        <vt:i4>1890</vt:i4>
      </vt:variant>
      <vt:variant>
        <vt:i4>0</vt:i4>
      </vt:variant>
      <vt:variant>
        <vt:i4>5</vt:i4>
      </vt:variant>
      <vt:variant>
        <vt:lpwstr>https://www.jimmunol.org/lookup/external-ref?access_num=10.1038/nature04753&amp;link_type=DOI</vt:lpwstr>
      </vt:variant>
      <vt:variant>
        <vt:lpwstr/>
      </vt:variant>
      <vt:variant>
        <vt:i4>5636206</vt:i4>
      </vt:variant>
      <vt:variant>
        <vt:i4>1887</vt:i4>
      </vt:variant>
      <vt:variant>
        <vt:i4>0</vt:i4>
      </vt:variant>
      <vt:variant>
        <vt:i4>5</vt:i4>
      </vt:variant>
      <vt:variant>
        <vt:lpwstr>https://www.jimmunol.org/lookup/google-scholar?link_type=googlescholar&amp;gs_type=article&amp;q_txt=Ishihara%2C+K.%2C+T.+Hirano.+2002.+IL-6+in+autoimmune+disease+and+chronic+inflammatory+proliferative+disease.+Cytokine+Growth+Factor+Rev.+13%3A+357-368.</vt:lpwstr>
      </vt:variant>
      <vt:variant>
        <vt:lpwstr/>
      </vt:variant>
      <vt:variant>
        <vt:i4>6225931</vt:i4>
      </vt:variant>
      <vt:variant>
        <vt:i4>1884</vt:i4>
      </vt:variant>
      <vt:variant>
        <vt:i4>0</vt:i4>
      </vt:variant>
      <vt:variant>
        <vt:i4>5</vt:i4>
      </vt:variant>
      <vt:variant>
        <vt:lpwstr>https://www.jimmunol.org/lookup/external-ref?access_num=12220549&amp;link_type=MED&amp;atom=%2Fjimmunol%2F181%2F4%2F2898.atom</vt:lpwstr>
      </vt:variant>
      <vt:variant>
        <vt:lpwstr/>
      </vt:variant>
      <vt:variant>
        <vt:i4>15</vt:i4>
      </vt:variant>
      <vt:variant>
        <vt:i4>1881</vt:i4>
      </vt:variant>
      <vt:variant>
        <vt:i4>0</vt:i4>
      </vt:variant>
      <vt:variant>
        <vt:i4>5</vt:i4>
      </vt:variant>
      <vt:variant>
        <vt:lpwstr>https://www.jimmunol.org/lookup/external-ref?access_num=10.1016/S1359-6101(02)00027-8&amp;link_type=DOI</vt:lpwstr>
      </vt:variant>
      <vt:variant>
        <vt:lpwstr/>
      </vt:variant>
      <vt:variant>
        <vt:i4>1179740</vt:i4>
      </vt:variant>
      <vt:variant>
        <vt:i4>1878</vt:i4>
      </vt:variant>
      <vt:variant>
        <vt:i4>0</vt:i4>
      </vt:variant>
      <vt:variant>
        <vt:i4>5</vt:i4>
      </vt:variant>
      <vt:variant>
        <vt:lpwstr>https://doi.org/10.1177/1535370218774539</vt:lpwstr>
      </vt:variant>
      <vt:variant>
        <vt:lpwstr/>
      </vt:variant>
      <vt:variant>
        <vt:i4>3211368</vt:i4>
      </vt:variant>
      <vt:variant>
        <vt:i4>1875</vt:i4>
      </vt:variant>
      <vt:variant>
        <vt:i4>0</vt:i4>
      </vt:variant>
      <vt:variant>
        <vt:i4>5</vt:i4>
      </vt:variant>
      <vt:variant>
        <vt:lpwstr>https://doi.org/10.1016/j.imlet.2015.02.008</vt:lpwstr>
      </vt:variant>
      <vt:variant>
        <vt:lpwstr/>
      </vt:variant>
      <vt:variant>
        <vt:i4>7340114</vt:i4>
      </vt:variant>
      <vt:variant>
        <vt:i4>1872</vt:i4>
      </vt:variant>
      <vt:variant>
        <vt:i4>0</vt:i4>
      </vt:variant>
      <vt:variant>
        <vt:i4>5</vt:i4>
      </vt:variant>
      <vt:variant>
        <vt:lpwstr>https://www.jimmunol.org/lookup/google-scholar?link_type=googlescholar&amp;gs_type=article&amp;q_txt=Wilson%2C+N.+J.%2C+K.+Boniface%2C+J.+R.+Chan%2C+B.+S.+McKenzie%2C+W.+M.+Blumenschein%2C+J.+D.+Mattson%2C+B.+Basham%2C+K.+Smith%2C+T.+Chen%2C+F.+Morel%2C+et+al+2007.+Development%2C+cytokine+profile+and+function+of+human+interleukin+17-producing+helper+T+cells.+Nat.+Immunol.+8%3A+950-957.</vt:lpwstr>
      </vt:variant>
      <vt:variant>
        <vt:lpwstr/>
      </vt:variant>
      <vt:variant>
        <vt:i4>5701641</vt:i4>
      </vt:variant>
      <vt:variant>
        <vt:i4>1869</vt:i4>
      </vt:variant>
      <vt:variant>
        <vt:i4>0</vt:i4>
      </vt:variant>
      <vt:variant>
        <vt:i4>5</vt:i4>
      </vt:variant>
      <vt:variant>
        <vt:lpwstr>https://www.jimmunol.org/lookup/external-ref?access_num=17676044&amp;link_type=MED&amp;atom=%2Fjimmunol%2F181%2F4%2F2898.atom</vt:lpwstr>
      </vt:variant>
      <vt:variant>
        <vt:lpwstr/>
      </vt:variant>
      <vt:variant>
        <vt:i4>4784218</vt:i4>
      </vt:variant>
      <vt:variant>
        <vt:i4>1866</vt:i4>
      </vt:variant>
      <vt:variant>
        <vt:i4>0</vt:i4>
      </vt:variant>
      <vt:variant>
        <vt:i4>5</vt:i4>
      </vt:variant>
      <vt:variant>
        <vt:lpwstr>https://www.jimmunol.org/lookup/external-ref?access_num=10.1038/ni1497&amp;link_type=DOI</vt:lpwstr>
      </vt:variant>
      <vt:variant>
        <vt:lpwstr/>
      </vt:variant>
      <vt:variant>
        <vt:i4>2818144</vt:i4>
      </vt:variant>
      <vt:variant>
        <vt:i4>1863</vt:i4>
      </vt:variant>
      <vt:variant>
        <vt:i4>0</vt:i4>
      </vt:variant>
      <vt:variant>
        <vt:i4>5</vt:i4>
      </vt:variant>
      <vt:variant>
        <vt:lpwstr>https://doi.org/10.4049/jimmunol.181.4.2898</vt:lpwstr>
      </vt:variant>
      <vt:variant>
        <vt:lpwstr/>
      </vt:variant>
      <vt:variant>
        <vt:i4>6160457</vt:i4>
      </vt:variant>
      <vt:variant>
        <vt:i4>1860</vt:i4>
      </vt:variant>
      <vt:variant>
        <vt:i4>0</vt:i4>
      </vt:variant>
      <vt:variant>
        <vt:i4>5</vt:i4>
      </vt:variant>
      <vt:variant>
        <vt:lpwstr>http://scholar.google.com/scholar_lookup?hl=en&amp;volume=34&amp;publication_year=2015&amp;pages=318-331&amp;journal=Int.+Rev.+Immunol.&amp;author=Y.+Liang&amp;author=H.+F.+Pan&amp;author=D.+Q.+Ye&amp;title=Tc17+cells+in+immunity+and+systemic+autoimmunity</vt:lpwstr>
      </vt:variant>
      <vt:variant>
        <vt:lpwstr/>
      </vt:variant>
      <vt:variant>
        <vt:i4>196608</vt:i4>
      </vt:variant>
      <vt:variant>
        <vt:i4>1857</vt:i4>
      </vt:variant>
      <vt:variant>
        <vt:i4>0</vt:i4>
      </vt:variant>
      <vt:variant>
        <vt:i4>5</vt:i4>
      </vt:variant>
      <vt:variant>
        <vt:lpwstr>https://onlinelibrary.wiley.com/servlet/linkout?suffix=null&amp;dbid=128&amp;doi=10.1002%2Feji.202048627&amp;key=000359814000004</vt:lpwstr>
      </vt:variant>
      <vt:variant>
        <vt:lpwstr/>
      </vt:variant>
      <vt:variant>
        <vt:i4>3604541</vt:i4>
      </vt:variant>
      <vt:variant>
        <vt:i4>1854</vt:i4>
      </vt:variant>
      <vt:variant>
        <vt:i4>0</vt:i4>
      </vt:variant>
      <vt:variant>
        <vt:i4>5</vt:i4>
      </vt:variant>
      <vt:variant>
        <vt:lpwstr>https://onlinelibrary.wiley.com/servlet/linkout?suffix=null&amp;dbid=8&amp;doi=10.1002%2Feji.202048627&amp;key=25259411</vt:lpwstr>
      </vt:variant>
      <vt:variant>
        <vt:lpwstr/>
      </vt:variant>
      <vt:variant>
        <vt:i4>2031681</vt:i4>
      </vt:variant>
      <vt:variant>
        <vt:i4>1851</vt:i4>
      </vt:variant>
      <vt:variant>
        <vt:i4>0</vt:i4>
      </vt:variant>
      <vt:variant>
        <vt:i4>5</vt:i4>
      </vt:variant>
      <vt:variant>
        <vt:lpwstr>https://onlinelibrary.wiley.com/servlet/linkout?suffix=null&amp;dbid=32&amp;doi=10.1002%2Feji.202048627&amp;key=1%3ACAS%3A528%3ADC%252BC2MXhtFOlsbnN</vt:lpwstr>
      </vt:variant>
      <vt:variant>
        <vt:lpwstr/>
      </vt:variant>
      <vt:variant>
        <vt:i4>6291515</vt:i4>
      </vt:variant>
      <vt:variant>
        <vt:i4>1848</vt:i4>
      </vt:variant>
      <vt:variant>
        <vt:i4>0</vt:i4>
      </vt:variant>
      <vt:variant>
        <vt:i4>5</vt:i4>
      </vt:variant>
      <vt:variant>
        <vt:lpwstr>https://onlinelibrary.wiley.com/servlet/linkout?suffix=null&amp;dbid=16&amp;doi=10.1002%2Feji.202048627&amp;key=10.3109%2F08830185.2014.954698</vt:lpwstr>
      </vt:variant>
      <vt:variant>
        <vt:lpwstr/>
      </vt:variant>
      <vt:variant>
        <vt:i4>6488098</vt:i4>
      </vt:variant>
      <vt:variant>
        <vt:i4>1845</vt:i4>
      </vt:variant>
      <vt:variant>
        <vt:i4>0</vt:i4>
      </vt:variant>
      <vt:variant>
        <vt:i4>5</vt:i4>
      </vt:variant>
      <vt:variant>
        <vt:lpwstr>http://scholar.google.com/scholar_lookup?hl=en&amp;volume=363&amp;publication_year=2019&amp;journal=Science&amp;author=O.+J.+Harrison&amp;author=J.+L.+Linehan&amp;author=H.+Y.+Shih&amp;author=N.+Bouladoux&amp;author=S.+J.+Han&amp;author=M.+Smelkinson&amp;author=S.+K.+Sen&amp;title=Commensal%E2%80%90specific+T%C2%A0cell+plasticity+promotes+rapid+tissue+adaptation+to+injury</vt:lpwstr>
      </vt:variant>
      <vt:variant>
        <vt:lpwstr/>
      </vt:variant>
      <vt:variant>
        <vt:i4>917510</vt:i4>
      </vt:variant>
      <vt:variant>
        <vt:i4>1842</vt:i4>
      </vt:variant>
      <vt:variant>
        <vt:i4>0</vt:i4>
      </vt:variant>
      <vt:variant>
        <vt:i4>5</vt:i4>
      </vt:variant>
      <vt:variant>
        <vt:lpwstr>https://onlinelibrary.wiley.com/servlet/linkout?suffix=null&amp;dbid=128&amp;doi=10.1002%2Feji.202048627&amp;key=000455315800053</vt:lpwstr>
      </vt:variant>
      <vt:variant>
        <vt:lpwstr/>
      </vt:variant>
      <vt:variant>
        <vt:i4>6094876</vt:i4>
      </vt:variant>
      <vt:variant>
        <vt:i4>1839</vt:i4>
      </vt:variant>
      <vt:variant>
        <vt:i4>0</vt:i4>
      </vt:variant>
      <vt:variant>
        <vt:i4>5</vt:i4>
      </vt:variant>
      <vt:variant>
        <vt:lpwstr>https://onlinelibrary.wiley.com/servlet/linkout?suffix=null&amp;dbid=16&amp;doi=10.1002%2Feji.202048627&amp;key=10.1126%2Fscience.aat6280</vt:lpwstr>
      </vt:variant>
      <vt:variant>
        <vt:lpwstr/>
      </vt:variant>
      <vt:variant>
        <vt:i4>3473515</vt:i4>
      </vt:variant>
      <vt:variant>
        <vt:i4>1836</vt:i4>
      </vt:variant>
      <vt:variant>
        <vt:i4>0</vt:i4>
      </vt:variant>
      <vt:variant>
        <vt:i4>5</vt:i4>
      </vt:variant>
      <vt:variant>
        <vt:lpwstr>https://doi.org/10.1126/science.aat6280</vt:lpwstr>
      </vt:variant>
      <vt:variant>
        <vt:lpwstr/>
      </vt:variant>
      <vt:variant>
        <vt:i4>1703988</vt:i4>
      </vt:variant>
      <vt:variant>
        <vt:i4>1833</vt:i4>
      </vt:variant>
      <vt:variant>
        <vt:i4>0</vt:i4>
      </vt:variant>
      <vt:variant>
        <vt:i4>5</vt:i4>
      </vt:variant>
      <vt:variant>
        <vt:lpwstr>https://www.jimmunol.org/lookup/google-scholar?link_type=googlescholar&amp;gs_type=article&amp;q_txt=Kolls%2C+J.+K.%2C+A.+Lind%C3%A9n.+2004.+Interleukin-17+family+members+and+inflammation.+Immunity+21%3A+467-476.</vt:lpwstr>
      </vt:variant>
      <vt:variant>
        <vt:lpwstr/>
      </vt:variant>
      <vt:variant>
        <vt:i4>6094862</vt:i4>
      </vt:variant>
      <vt:variant>
        <vt:i4>1830</vt:i4>
      </vt:variant>
      <vt:variant>
        <vt:i4>0</vt:i4>
      </vt:variant>
      <vt:variant>
        <vt:i4>5</vt:i4>
      </vt:variant>
      <vt:variant>
        <vt:lpwstr>https://www.jimmunol.org/lookup/external-ref?access_num=15485625&amp;link_type=MED&amp;atom=%2Fjimmunol%2F181%2F4%2F2898.atom</vt:lpwstr>
      </vt:variant>
      <vt:variant>
        <vt:lpwstr/>
      </vt:variant>
      <vt:variant>
        <vt:i4>6422583</vt:i4>
      </vt:variant>
      <vt:variant>
        <vt:i4>1827</vt:i4>
      </vt:variant>
      <vt:variant>
        <vt:i4>0</vt:i4>
      </vt:variant>
      <vt:variant>
        <vt:i4>5</vt:i4>
      </vt:variant>
      <vt:variant>
        <vt:lpwstr>https://www.jimmunol.org/lookup/external-ref?access_num=10.1016/j.immuni.2004.08.018&amp;link_type=DOI</vt:lpwstr>
      </vt:variant>
      <vt:variant>
        <vt:lpwstr/>
      </vt:variant>
      <vt:variant>
        <vt:i4>7602202</vt:i4>
      </vt:variant>
      <vt:variant>
        <vt:i4>1824</vt:i4>
      </vt:variant>
      <vt:variant>
        <vt:i4>0</vt:i4>
      </vt:variant>
      <vt:variant>
        <vt:i4>5</vt:i4>
      </vt:variant>
      <vt:variant>
        <vt:lpwstr>https://www.jimmunol.org/lookup/google-scholar?link_type=googlescholar&amp;gs_type=article&amp;q_txt=Moseley%2C+T.+A.%2C+D.+R.+Haudenschild%2C+L.+Rose%2C+A.+H.+Reddi.+2003.+Interleukin-17+family+and+IL-17+receptors.+Cytokine+Growth+Factor+Rev.+14%3A+155-174.</vt:lpwstr>
      </vt:variant>
      <vt:variant>
        <vt:lpwstr/>
      </vt:variant>
      <vt:variant>
        <vt:i4>5242888</vt:i4>
      </vt:variant>
      <vt:variant>
        <vt:i4>1821</vt:i4>
      </vt:variant>
      <vt:variant>
        <vt:i4>0</vt:i4>
      </vt:variant>
      <vt:variant>
        <vt:i4>5</vt:i4>
      </vt:variant>
      <vt:variant>
        <vt:lpwstr>https://www.jimmunol.org/lookup/external-ref?access_num=12651226&amp;link_type=MED&amp;atom=%2Fjimmunol%2F181%2F4%2F2898.atom</vt:lpwstr>
      </vt:variant>
      <vt:variant>
        <vt:lpwstr/>
      </vt:variant>
      <vt:variant>
        <vt:i4>131082</vt:i4>
      </vt:variant>
      <vt:variant>
        <vt:i4>1818</vt:i4>
      </vt:variant>
      <vt:variant>
        <vt:i4>0</vt:i4>
      </vt:variant>
      <vt:variant>
        <vt:i4>5</vt:i4>
      </vt:variant>
      <vt:variant>
        <vt:lpwstr>https://www.jimmunol.org/lookup/external-ref?access_num=10.1016/S1359-6101(03)00002-9&amp;link_type=DOI</vt:lpwstr>
      </vt:variant>
      <vt:variant>
        <vt:lpwstr/>
      </vt:variant>
      <vt:variant>
        <vt:i4>8126524</vt:i4>
      </vt:variant>
      <vt:variant>
        <vt:i4>1815</vt:i4>
      </vt:variant>
      <vt:variant>
        <vt:i4>0</vt:i4>
      </vt:variant>
      <vt:variant>
        <vt:i4>5</vt:i4>
      </vt:variant>
      <vt:variant>
        <vt:lpwstr>https://www.jimmunol.org/lookup/ijlink/YTozOntzOjQ6InBhdGgiO3M6MTQ6Ii9sb29rdXAvaWpsaW5rIjtzOjU6InF1ZXJ5IjthOjQ6e3M6ODoibGlua1R5cGUiO3M6NDoiQUJTVCI7czoxMToiam91cm5hbENvZGUiO3M6NToiamxldWIiO3M6NToicmVzaWQiO3M6NjoiNzEvMS8xIjtzOjQ6ImF0b20iO3M6MjU6Ii9qaW1tdW5vbC8xODEvNC8yODk4LmF0b20iO31zOjg6ImZyYWdtZW50IjtzOjA6IiI7fQ==</vt:lpwstr>
      </vt:variant>
      <vt:variant>
        <vt:lpwstr/>
      </vt:variant>
      <vt:variant>
        <vt:i4>2424844</vt:i4>
      </vt:variant>
      <vt:variant>
        <vt:i4>1812</vt:i4>
      </vt:variant>
      <vt:variant>
        <vt:i4>0</vt:i4>
      </vt:variant>
      <vt:variant>
        <vt:i4>5</vt:i4>
      </vt:variant>
      <vt:variant>
        <vt:lpwstr>https://www.jimmunol.org/lookup/google-scholar?link_type=googlescholar&amp;gs_type=article&amp;q_txt=Laurence%2C+A.%2C+C.+M.+Tato%2C+T.+S.+Davidson%2C+Y.+Kanno%2C+Z.+Chen%2C+Z.+Yao%2C+R.+B.+Blank%2C+F.+Meylan%2C+R.+Siegel%2C+L.+Hennighausen%2C+et+al+2007.+Interleukin-2+signaling+via+STAT5+constrains+T+helper+17+cell+generation.+Immunity+26%3A+371-381.</vt:lpwstr>
      </vt:variant>
      <vt:variant>
        <vt:lpwstr/>
      </vt:variant>
      <vt:variant>
        <vt:i4>5308429</vt:i4>
      </vt:variant>
      <vt:variant>
        <vt:i4>1809</vt:i4>
      </vt:variant>
      <vt:variant>
        <vt:i4>0</vt:i4>
      </vt:variant>
      <vt:variant>
        <vt:i4>5</vt:i4>
      </vt:variant>
      <vt:variant>
        <vt:lpwstr>https://www.jimmunol.org/lookup/external-ref?access_num=17363300&amp;link_type=MED&amp;atom=%2Fjimmunol%2F181%2F4%2F2898.atom</vt:lpwstr>
      </vt:variant>
      <vt:variant>
        <vt:lpwstr/>
      </vt:variant>
      <vt:variant>
        <vt:i4>6881333</vt:i4>
      </vt:variant>
      <vt:variant>
        <vt:i4>1806</vt:i4>
      </vt:variant>
      <vt:variant>
        <vt:i4>0</vt:i4>
      </vt:variant>
      <vt:variant>
        <vt:i4>5</vt:i4>
      </vt:variant>
      <vt:variant>
        <vt:lpwstr>https://www.jimmunol.org/lookup/external-ref?access_num=10.1016/j.immuni.2007.02.009&amp;link_type=DOI</vt:lpwstr>
      </vt:variant>
      <vt:variant>
        <vt:lpwstr/>
      </vt:variant>
      <vt:variant>
        <vt:i4>6291534</vt:i4>
      </vt:variant>
      <vt:variant>
        <vt:i4>1803</vt:i4>
      </vt:variant>
      <vt:variant>
        <vt:i4>0</vt:i4>
      </vt:variant>
      <vt:variant>
        <vt:i4>5</vt:i4>
      </vt:variant>
      <vt:variant>
        <vt:lpwstr>https://www.jimmunol.org/lookup/google-scholar?link_type=googlescholar&amp;gs_type=article&amp;q_txt=Bettelli%2C+E.%2C+Y.+Carrier%2C+W.+Gao%2C+T.+Korn%2C+T.+B.+Strom%2C+M.+Oukka%2C+H.+L.+Weiner%2C+V.+K.+Kuchroo.+2006.+Reciprocal+developmental+pathways+for+the+generation+of+pathogenic+effector+TH17+and+regulatory+T+cells.+Nature+441%3A+235-238.</vt:lpwstr>
      </vt:variant>
      <vt:variant>
        <vt:lpwstr/>
      </vt:variant>
      <vt:variant>
        <vt:i4>5308416</vt:i4>
      </vt:variant>
      <vt:variant>
        <vt:i4>1800</vt:i4>
      </vt:variant>
      <vt:variant>
        <vt:i4>0</vt:i4>
      </vt:variant>
      <vt:variant>
        <vt:i4>5</vt:i4>
      </vt:variant>
      <vt:variant>
        <vt:lpwstr>https://www.jimmunol.org/lookup/external-ref?access_num=16648838&amp;link_type=MED&amp;atom=%2Fjimmunol%2F181%2F4%2F2898.atom</vt:lpwstr>
      </vt:variant>
      <vt:variant>
        <vt:lpwstr/>
      </vt:variant>
      <vt:variant>
        <vt:i4>7143479</vt:i4>
      </vt:variant>
      <vt:variant>
        <vt:i4>1797</vt:i4>
      </vt:variant>
      <vt:variant>
        <vt:i4>0</vt:i4>
      </vt:variant>
      <vt:variant>
        <vt:i4>5</vt:i4>
      </vt:variant>
      <vt:variant>
        <vt:lpwstr>https://www.jimmunol.org/lookup/external-ref?access_num=10.1038/nature04753&amp;link_type=DOI</vt:lpwstr>
      </vt:variant>
      <vt:variant>
        <vt:lpwstr/>
      </vt:variant>
      <vt:variant>
        <vt:i4>2687044</vt:i4>
      </vt:variant>
      <vt:variant>
        <vt:i4>1794</vt:i4>
      </vt:variant>
      <vt:variant>
        <vt:i4>0</vt:i4>
      </vt:variant>
      <vt:variant>
        <vt:i4>5</vt:i4>
      </vt:variant>
      <vt:variant>
        <vt:lpwstr>https://www.jimmunol.org/lookup/google-scholar?link_type=googlescholar&amp;gs_type=article&amp;q_txt=Veldhoen%2C+M.%2C+R.+J.+Hocking%2C+C.+J.+Atkins%2C+R.+M.+Locksley%2C+B.+Stockinger.+2006.+TGF%CE%B2+in+the+context+of+an+inflammatory+cytokine+milieu+supports+de+novo+differentiation+of+IL-17-producing+T+cells.+Immunity+24%3A+179-189.</vt:lpwstr>
      </vt:variant>
      <vt:variant>
        <vt:lpwstr/>
      </vt:variant>
      <vt:variant>
        <vt:i4>5898249</vt:i4>
      </vt:variant>
      <vt:variant>
        <vt:i4>1791</vt:i4>
      </vt:variant>
      <vt:variant>
        <vt:i4>0</vt:i4>
      </vt:variant>
      <vt:variant>
        <vt:i4>5</vt:i4>
      </vt:variant>
      <vt:variant>
        <vt:lpwstr>https://www.jimmunol.org/lookup/external-ref?access_num=16473830&amp;link_type=MED&amp;atom=%2Fjimmunol%2F181%2F4%2F2898.atom</vt:lpwstr>
      </vt:variant>
      <vt:variant>
        <vt:lpwstr/>
      </vt:variant>
      <vt:variant>
        <vt:i4>6422580</vt:i4>
      </vt:variant>
      <vt:variant>
        <vt:i4>1788</vt:i4>
      </vt:variant>
      <vt:variant>
        <vt:i4>0</vt:i4>
      </vt:variant>
      <vt:variant>
        <vt:i4>5</vt:i4>
      </vt:variant>
      <vt:variant>
        <vt:lpwstr>https://www.jimmunol.org/lookup/external-ref?access_num=10.1016/j.immuni.2006.01.001&amp;link_type=DOI</vt:lpwstr>
      </vt:variant>
      <vt:variant>
        <vt:lpwstr/>
      </vt:variant>
      <vt:variant>
        <vt:i4>2228225</vt:i4>
      </vt:variant>
      <vt:variant>
        <vt:i4>1785</vt:i4>
      </vt:variant>
      <vt:variant>
        <vt:i4>0</vt:i4>
      </vt:variant>
      <vt:variant>
        <vt:i4>5</vt:i4>
      </vt:variant>
      <vt:variant>
        <vt:lpwstr>https://www.jimmunol.org/lookup/google-scholar?link_type=googlescholar&amp;gs_type=article&amp;q_txt=Mangan%2C+P.+R.%2C+L.+E.+Harrington%2C+D.+B.+O%27Quinn%2C+W.+S.+Helms%2C+D.+C.+Bullard%2C+C.+O.+Elson%2C+R.+D.+Hatton%2C+S.+M.+Wahl%2C+T.+R.+Schoeb%2C+C.+T.+Weaver.+2006.+Transforming+growth+factor-%CE%B2+induces+development+of+the+TH17+lineage.+Nature+441%3A+231-234.</vt:lpwstr>
      </vt:variant>
      <vt:variant>
        <vt:lpwstr/>
      </vt:variant>
      <vt:variant>
        <vt:i4>6160384</vt:i4>
      </vt:variant>
      <vt:variant>
        <vt:i4>1782</vt:i4>
      </vt:variant>
      <vt:variant>
        <vt:i4>0</vt:i4>
      </vt:variant>
      <vt:variant>
        <vt:i4>5</vt:i4>
      </vt:variant>
      <vt:variant>
        <vt:lpwstr>https://www.jimmunol.org/lookup/external-ref?access_num=16648837&amp;link_type=MED&amp;atom=%2Fjimmunol%2F181%2F4%2F2898.atom</vt:lpwstr>
      </vt:variant>
      <vt:variant>
        <vt:lpwstr/>
      </vt:variant>
      <vt:variant>
        <vt:i4>7143472</vt:i4>
      </vt:variant>
      <vt:variant>
        <vt:i4>1779</vt:i4>
      </vt:variant>
      <vt:variant>
        <vt:i4>0</vt:i4>
      </vt:variant>
      <vt:variant>
        <vt:i4>5</vt:i4>
      </vt:variant>
      <vt:variant>
        <vt:lpwstr>https://www.jimmunol.org/lookup/external-ref?access_num=10.1038/nature04754&amp;link_type=DOI</vt:lpwstr>
      </vt:variant>
      <vt:variant>
        <vt:lpwstr/>
      </vt:variant>
      <vt:variant>
        <vt:i4>7929932</vt:i4>
      </vt:variant>
      <vt:variant>
        <vt:i4>1776</vt:i4>
      </vt:variant>
      <vt:variant>
        <vt:i4>0</vt:i4>
      </vt:variant>
      <vt:variant>
        <vt:i4>5</vt:i4>
      </vt:variant>
      <vt:variant>
        <vt:lpwstr>https://www.jimmunol.org/lookup/google-scholar?link_type=googlescholar&amp;gs_type=article&amp;q_txt=Park%2C+H.%2C+Z.+Li%2C+X.+O.+Yang%2C+S.+H.+Chang%2C+R.+Nurieva%2C+Y.+H.+Wang%2C+Y.+Wang%2C+L.+Hood%2C+Z.+Zhu%2C+Q.+Tian%2C+C.+Dong.+2005.+A+distinct+lineage+of+CD4+T+cells+regulates+tissue+inflammation+by+producing+interleukin+17.+Nat.+Immunol.+6%3A+1133-1141.</vt:lpwstr>
      </vt:variant>
      <vt:variant>
        <vt:lpwstr/>
      </vt:variant>
      <vt:variant>
        <vt:i4>6094857</vt:i4>
      </vt:variant>
      <vt:variant>
        <vt:i4>1773</vt:i4>
      </vt:variant>
      <vt:variant>
        <vt:i4>0</vt:i4>
      </vt:variant>
      <vt:variant>
        <vt:i4>5</vt:i4>
      </vt:variant>
      <vt:variant>
        <vt:lpwstr>https://www.jimmunol.org/lookup/external-ref?access_num=16200068&amp;link_type=MED&amp;atom=%2Fjimmunol%2F181%2F4%2F2898.atom</vt:lpwstr>
      </vt:variant>
      <vt:variant>
        <vt:lpwstr/>
      </vt:variant>
      <vt:variant>
        <vt:i4>4784213</vt:i4>
      </vt:variant>
      <vt:variant>
        <vt:i4>1770</vt:i4>
      </vt:variant>
      <vt:variant>
        <vt:i4>0</vt:i4>
      </vt:variant>
      <vt:variant>
        <vt:i4>5</vt:i4>
      </vt:variant>
      <vt:variant>
        <vt:lpwstr>https://www.jimmunol.org/lookup/external-ref?access_num=10.1038/ni1261&amp;link_type=DOI</vt:lpwstr>
      </vt:variant>
      <vt:variant>
        <vt:lpwstr/>
      </vt:variant>
      <vt:variant>
        <vt:i4>8257618</vt:i4>
      </vt:variant>
      <vt:variant>
        <vt:i4>1767</vt:i4>
      </vt:variant>
      <vt:variant>
        <vt:i4>0</vt:i4>
      </vt:variant>
      <vt:variant>
        <vt:i4>5</vt:i4>
      </vt:variant>
      <vt:variant>
        <vt:lpwstr>https://www.jimmunol.org/lookup/google-scholar?link_type=googlescholar&amp;gs_type=article&amp;q_txt=Harrington%2C+L.+E.%2C+R.+D.+Hatton%2C+P.+R.+Mangan%2C+H.+Turner%2C+T.+L.+Murphy%2C+K.+M.+Murphy%2C+C.+T.+Weaver.+2005.+Interleukin+17-producing+CD4%2B+effector+T+cells+develop+via+a+lineage+distinct+from+the+T+helper+type+1+and+2+lineages.+Nat.+Immunol.+6%3A+1123-1132.</vt:lpwstr>
      </vt:variant>
      <vt:variant>
        <vt:lpwstr/>
      </vt:variant>
      <vt:variant>
        <vt:i4>5570568</vt:i4>
      </vt:variant>
      <vt:variant>
        <vt:i4>1764</vt:i4>
      </vt:variant>
      <vt:variant>
        <vt:i4>0</vt:i4>
      </vt:variant>
      <vt:variant>
        <vt:i4>5</vt:i4>
      </vt:variant>
      <vt:variant>
        <vt:lpwstr>https://www.jimmunol.org/lookup/external-ref?access_num=16200070&amp;link_type=MED&amp;atom=%2Fjimmunol%2F181%2F4%2F2898.atom</vt:lpwstr>
      </vt:variant>
      <vt:variant>
        <vt:lpwstr/>
      </vt:variant>
      <vt:variant>
        <vt:i4>4980822</vt:i4>
      </vt:variant>
      <vt:variant>
        <vt:i4>1761</vt:i4>
      </vt:variant>
      <vt:variant>
        <vt:i4>0</vt:i4>
      </vt:variant>
      <vt:variant>
        <vt:i4>5</vt:i4>
      </vt:variant>
      <vt:variant>
        <vt:lpwstr>https://www.jimmunol.org/lookup/external-ref?access_num=10.1038/ni1254&amp;link_type=DOI</vt:lpwstr>
      </vt:variant>
      <vt:variant>
        <vt:lpwstr/>
      </vt:variant>
      <vt:variant>
        <vt:i4>524319</vt:i4>
      </vt:variant>
      <vt:variant>
        <vt:i4>1758</vt:i4>
      </vt:variant>
      <vt:variant>
        <vt:i4>0</vt:i4>
      </vt:variant>
      <vt:variant>
        <vt:i4>5</vt:i4>
      </vt:variant>
      <vt:variant>
        <vt:lpwstr>https://doi.org/10.1186/s12943-017-0721-9</vt:lpwstr>
      </vt:variant>
      <vt:variant>
        <vt:lpwstr/>
      </vt:variant>
      <vt:variant>
        <vt:i4>6029327</vt:i4>
      </vt:variant>
      <vt:variant>
        <vt:i4>1755</vt:i4>
      </vt:variant>
      <vt:variant>
        <vt:i4>0</vt:i4>
      </vt:variant>
      <vt:variant>
        <vt:i4>5</vt:i4>
      </vt:variant>
      <vt:variant>
        <vt:lpwstr>https://dx.doi.org/10.1371%2Fjournal.pone.0143009</vt:lpwstr>
      </vt:variant>
      <vt:variant>
        <vt:lpwstr/>
      </vt:variant>
      <vt:variant>
        <vt:i4>917572</vt:i4>
      </vt:variant>
      <vt:variant>
        <vt:i4>1752</vt:i4>
      </vt:variant>
      <vt:variant>
        <vt:i4>0</vt:i4>
      </vt:variant>
      <vt:variant>
        <vt:i4>5</vt:i4>
      </vt:variant>
      <vt:variant>
        <vt:lpwstr>https://doi.org/10.1373/clinchem.2008.116939</vt:lpwstr>
      </vt:variant>
      <vt:variant>
        <vt:lpwstr/>
      </vt:variant>
      <vt:variant>
        <vt:i4>3604516</vt:i4>
      </vt:variant>
      <vt:variant>
        <vt:i4>1749</vt:i4>
      </vt:variant>
      <vt:variant>
        <vt:i4>0</vt:i4>
      </vt:variant>
      <vt:variant>
        <vt:i4>5</vt:i4>
      </vt:variant>
      <vt:variant>
        <vt:lpwstr>https://dx.doi.org/10.4137%2FBIC.S25375</vt:lpwstr>
      </vt:variant>
      <vt:variant>
        <vt:lpwstr/>
      </vt:variant>
      <vt:variant>
        <vt:i4>3211366</vt:i4>
      </vt:variant>
      <vt:variant>
        <vt:i4>1746</vt:i4>
      </vt:variant>
      <vt:variant>
        <vt:i4>0</vt:i4>
      </vt:variant>
      <vt:variant>
        <vt:i4>5</vt:i4>
      </vt:variant>
      <vt:variant>
        <vt:lpwstr>https://dx.doi.org/10.1155%2F2014%2F158786</vt:lpwstr>
      </vt:variant>
      <vt:variant>
        <vt:lpwstr/>
      </vt:variant>
      <vt:variant>
        <vt:i4>4980737</vt:i4>
      </vt:variant>
      <vt:variant>
        <vt:i4>1743</vt:i4>
      </vt:variant>
      <vt:variant>
        <vt:i4>0</vt:i4>
      </vt:variant>
      <vt:variant>
        <vt:i4>5</vt:i4>
      </vt:variant>
      <vt:variant>
        <vt:lpwstr>https://scholar.google.com/scholar_lookup?journal=J+Immunol&amp;title=Dysregulation+of+inflammatory+responses+by+chronic+circadian+disruption&amp;author=O+Castanon-Cervantes&amp;author=M+Wu&amp;author=JC+Ehlen&amp;volume=185&amp;issue=10&amp;publication_year=2010&amp;pages=5796-5805&amp;pmid=20944004&amp;</vt:lpwstr>
      </vt:variant>
      <vt:variant>
        <vt:lpwstr/>
      </vt:variant>
      <vt:variant>
        <vt:i4>4980737</vt:i4>
      </vt:variant>
      <vt:variant>
        <vt:i4>1740</vt:i4>
      </vt:variant>
      <vt:variant>
        <vt:i4>0</vt:i4>
      </vt:variant>
      <vt:variant>
        <vt:i4>5</vt:i4>
      </vt:variant>
      <vt:variant>
        <vt:lpwstr>https://scholar.google.com/scholar_lookup?journal=J+Immunol&amp;title=Dysregulation+of+inflammatory+responses+by+chronic+circadian+disruption&amp;author=O+Castanon-Cervantes&amp;author=M+Wu&amp;author=JC+Ehlen&amp;volume=185&amp;issue=10&amp;publication_year=2010&amp;pages=5796-5805&amp;pmid=20944004&amp;</vt:lpwstr>
      </vt:variant>
      <vt:variant>
        <vt:lpwstr/>
      </vt:variant>
      <vt:variant>
        <vt:i4>917588</vt:i4>
      </vt:variant>
      <vt:variant>
        <vt:i4>1737</vt:i4>
      </vt:variant>
      <vt:variant>
        <vt:i4>0</vt:i4>
      </vt:variant>
      <vt:variant>
        <vt:i4>5</vt:i4>
      </vt:variant>
      <vt:variant>
        <vt:lpwstr>https://www.ncbi.nlm.nih.gov/pubmed/20944004</vt:lpwstr>
      </vt:variant>
      <vt:variant>
        <vt:lpwstr/>
      </vt:variant>
      <vt:variant>
        <vt:i4>2293806</vt:i4>
      </vt:variant>
      <vt:variant>
        <vt:i4>1734</vt:i4>
      </vt:variant>
      <vt:variant>
        <vt:i4>0</vt:i4>
      </vt:variant>
      <vt:variant>
        <vt:i4>5</vt:i4>
      </vt:variant>
      <vt:variant>
        <vt:lpwstr>https://www.ncbi.nlm.nih.gov/pmc/articles/PMC2974025/?report=reader</vt:lpwstr>
      </vt:variant>
      <vt:variant>
        <vt:lpwstr/>
      </vt:variant>
      <vt:variant>
        <vt:i4>720905</vt:i4>
      </vt:variant>
      <vt:variant>
        <vt:i4>1731</vt:i4>
      </vt:variant>
      <vt:variant>
        <vt:i4>0</vt:i4>
      </vt:variant>
      <vt:variant>
        <vt:i4>5</vt:i4>
      </vt:variant>
      <vt:variant>
        <vt:lpwstr>https://scholar.google.com/scholar_lookup?journal=Clin+Transl+Med&amp;title=A+review+of+research+on+salivary+biomarkers+for+oral+cancer+detection&amp;author=Y-SL+Cheng&amp;author=T+Rees&amp;author=J+Wright&amp;volume=3&amp;publication_year=2014&amp;pages=3-3&amp;pmid=24564868&amp;</vt:lpwstr>
      </vt:variant>
      <vt:variant>
        <vt:lpwstr/>
      </vt:variant>
      <vt:variant>
        <vt:i4>786526</vt:i4>
      </vt:variant>
      <vt:variant>
        <vt:i4>1728</vt:i4>
      </vt:variant>
      <vt:variant>
        <vt:i4>0</vt:i4>
      </vt:variant>
      <vt:variant>
        <vt:i4>5</vt:i4>
      </vt:variant>
      <vt:variant>
        <vt:lpwstr>https://www.ncbi.nlm.nih.gov/pubmed/24564868</vt:lpwstr>
      </vt:variant>
      <vt:variant>
        <vt:lpwstr/>
      </vt:variant>
      <vt:variant>
        <vt:i4>3014701</vt:i4>
      </vt:variant>
      <vt:variant>
        <vt:i4>1725</vt:i4>
      </vt:variant>
      <vt:variant>
        <vt:i4>0</vt:i4>
      </vt:variant>
      <vt:variant>
        <vt:i4>5</vt:i4>
      </vt:variant>
      <vt:variant>
        <vt:lpwstr>https://www.ncbi.nlm.nih.gov/pmc/articles/PMC3945802/?report=reader</vt:lpwstr>
      </vt:variant>
      <vt:variant>
        <vt:lpwstr/>
      </vt:variant>
      <vt:variant>
        <vt:i4>2293771</vt:i4>
      </vt:variant>
      <vt:variant>
        <vt:i4>1722</vt:i4>
      </vt:variant>
      <vt:variant>
        <vt:i4>0</vt:i4>
      </vt:variant>
      <vt:variant>
        <vt:i4>5</vt:i4>
      </vt:variant>
      <vt:variant>
        <vt:lpwstr>https://scholar.google.com/scholar_lookup?journal=Arch+Otolaryngol+Head+Neck+Surg&amp;title=Interleukin+6+and+interleukin+8+as+potential+biomarkers+for+oral+cavity+and+oropharyngeal+squamous+cell+carcinoma&amp;author=MA+St+John&amp;author=Y+Li&amp;author=X+Zhou&amp;volume=130&amp;issue=8&amp;publication_year=2004&amp;pages=929-935&amp;pmid=15313862&amp;</vt:lpwstr>
      </vt:variant>
      <vt:variant>
        <vt:lpwstr/>
      </vt:variant>
      <vt:variant>
        <vt:i4>92</vt:i4>
      </vt:variant>
      <vt:variant>
        <vt:i4>1719</vt:i4>
      </vt:variant>
      <vt:variant>
        <vt:i4>0</vt:i4>
      </vt:variant>
      <vt:variant>
        <vt:i4>5</vt:i4>
      </vt:variant>
      <vt:variant>
        <vt:lpwstr>https://www.ncbi.nlm.nih.gov/pubmed/15313862</vt:lpwstr>
      </vt:variant>
      <vt:variant>
        <vt:lpwstr/>
      </vt:variant>
      <vt:variant>
        <vt:i4>2162799</vt:i4>
      </vt:variant>
      <vt:variant>
        <vt:i4>1716</vt:i4>
      </vt:variant>
      <vt:variant>
        <vt:i4>0</vt:i4>
      </vt:variant>
      <vt:variant>
        <vt:i4>5</vt:i4>
      </vt:variant>
      <vt:variant>
        <vt:lpwstr>https://scholar.google.com/scholar_lookup?journal=Indian+J+Clin+Biochem&amp;title=A+review+on+salivary+genomics+and+proteomics+biomarkers+in+oral+cancer&amp;author=FD+Shah&amp;author=R+Begum&amp;author=BN+Vajaria&amp;volume=26&amp;issue=4&amp;publication_year=2011&amp;pages=326-334&amp;pmid=23024467&amp;</vt:lpwstr>
      </vt:variant>
      <vt:variant>
        <vt:lpwstr/>
      </vt:variant>
      <vt:variant>
        <vt:i4>786523</vt:i4>
      </vt:variant>
      <vt:variant>
        <vt:i4>1713</vt:i4>
      </vt:variant>
      <vt:variant>
        <vt:i4>0</vt:i4>
      </vt:variant>
      <vt:variant>
        <vt:i4>5</vt:i4>
      </vt:variant>
      <vt:variant>
        <vt:lpwstr>https://www.ncbi.nlm.nih.gov/pubmed/23024467</vt:lpwstr>
      </vt:variant>
      <vt:variant>
        <vt:lpwstr/>
      </vt:variant>
      <vt:variant>
        <vt:i4>2228256</vt:i4>
      </vt:variant>
      <vt:variant>
        <vt:i4>1710</vt:i4>
      </vt:variant>
      <vt:variant>
        <vt:i4>0</vt:i4>
      </vt:variant>
      <vt:variant>
        <vt:i4>5</vt:i4>
      </vt:variant>
      <vt:variant>
        <vt:lpwstr>https://www.ncbi.nlm.nih.gov/pmc/articles/PMC3210231/?report=reader</vt:lpwstr>
      </vt:variant>
      <vt:variant>
        <vt:lpwstr/>
      </vt:variant>
      <vt:variant>
        <vt:i4>1114126</vt:i4>
      </vt:variant>
      <vt:variant>
        <vt:i4>1707</vt:i4>
      </vt:variant>
      <vt:variant>
        <vt:i4>0</vt:i4>
      </vt:variant>
      <vt:variant>
        <vt:i4>5</vt:i4>
      </vt:variant>
      <vt:variant>
        <vt:lpwstr>https://scholar.google.com/scholar_lookup?journal=Cancer+Metastasis+Rev&amp;title=Why+not+treat+human+cancer+with+interleukin-1+blockade?&amp;author=CA+Dinarello&amp;volume=29&amp;issue=2&amp;publication_year=2010&amp;pages=317-329&amp;pmid=20422276&amp;</vt:lpwstr>
      </vt:variant>
      <vt:variant>
        <vt:lpwstr/>
      </vt:variant>
      <vt:variant>
        <vt:i4>524376</vt:i4>
      </vt:variant>
      <vt:variant>
        <vt:i4>1704</vt:i4>
      </vt:variant>
      <vt:variant>
        <vt:i4>0</vt:i4>
      </vt:variant>
      <vt:variant>
        <vt:i4>5</vt:i4>
      </vt:variant>
      <vt:variant>
        <vt:lpwstr>https://www.ncbi.nlm.nih.gov/pubmed/20422276</vt:lpwstr>
      </vt:variant>
      <vt:variant>
        <vt:lpwstr/>
      </vt:variant>
      <vt:variant>
        <vt:i4>2228271</vt:i4>
      </vt:variant>
      <vt:variant>
        <vt:i4>1701</vt:i4>
      </vt:variant>
      <vt:variant>
        <vt:i4>0</vt:i4>
      </vt:variant>
      <vt:variant>
        <vt:i4>5</vt:i4>
      </vt:variant>
      <vt:variant>
        <vt:lpwstr>https://www.ncbi.nlm.nih.gov/pmc/articles/PMC2865633/?report=reader</vt:lpwstr>
      </vt:variant>
      <vt:variant>
        <vt:lpwstr/>
      </vt:variant>
      <vt:variant>
        <vt:i4>4063339</vt:i4>
      </vt:variant>
      <vt:variant>
        <vt:i4>1698</vt:i4>
      </vt:variant>
      <vt:variant>
        <vt:i4>0</vt:i4>
      </vt:variant>
      <vt:variant>
        <vt:i4>5</vt:i4>
      </vt:variant>
      <vt:variant>
        <vt:lpwstr>https://doi.org/10.1073/pnas.1815016116</vt:lpwstr>
      </vt:variant>
      <vt:variant>
        <vt:lpwstr/>
      </vt:variant>
      <vt:variant>
        <vt:i4>655405</vt:i4>
      </vt:variant>
      <vt:variant>
        <vt:i4>1695</vt:i4>
      </vt:variant>
      <vt:variant>
        <vt:i4>0</vt:i4>
      </vt:variant>
      <vt:variant>
        <vt:i4>5</vt:i4>
      </vt:variant>
      <vt:variant>
        <vt:lpwstr>https://pubmed.ncbi.nlm.nih.gov/?term=Demehri+S&amp;cauthor_id=30696763</vt:lpwstr>
      </vt:variant>
      <vt:variant>
        <vt:lpwstr/>
      </vt:variant>
      <vt:variant>
        <vt:i4>7340056</vt:i4>
      </vt:variant>
      <vt:variant>
        <vt:i4>1692</vt:i4>
      </vt:variant>
      <vt:variant>
        <vt:i4>0</vt:i4>
      </vt:variant>
      <vt:variant>
        <vt:i4>5</vt:i4>
      </vt:variant>
      <vt:variant>
        <vt:lpwstr>https://pubmed.ncbi.nlm.nih.gov/?term=Mino-Kenudson+M&amp;cauthor_id=30696763</vt:lpwstr>
      </vt:variant>
      <vt:variant>
        <vt:lpwstr/>
      </vt:variant>
      <vt:variant>
        <vt:i4>6160425</vt:i4>
      </vt:variant>
      <vt:variant>
        <vt:i4>1689</vt:i4>
      </vt:variant>
      <vt:variant>
        <vt:i4>0</vt:i4>
      </vt:variant>
      <vt:variant>
        <vt:i4>5</vt:i4>
      </vt:variant>
      <vt:variant>
        <vt:lpwstr>https://pubmed.ncbi.nlm.nih.gov/?term=Lee+RT&amp;cauthor_id=30696763</vt:lpwstr>
      </vt:variant>
      <vt:variant>
        <vt:lpwstr/>
      </vt:variant>
      <vt:variant>
        <vt:i4>1441851</vt:i4>
      </vt:variant>
      <vt:variant>
        <vt:i4>1686</vt:i4>
      </vt:variant>
      <vt:variant>
        <vt:i4>0</vt:i4>
      </vt:variant>
      <vt:variant>
        <vt:i4>5</vt:i4>
      </vt:variant>
      <vt:variant>
        <vt:lpwstr>https://pubmed.ncbi.nlm.nih.gov/?term=Colonna+M&amp;cauthor_id=30696763</vt:lpwstr>
      </vt:variant>
      <vt:variant>
        <vt:lpwstr/>
      </vt:variant>
      <vt:variant>
        <vt:i4>7471189</vt:i4>
      </vt:variant>
      <vt:variant>
        <vt:i4>1683</vt:i4>
      </vt:variant>
      <vt:variant>
        <vt:i4>0</vt:i4>
      </vt:variant>
      <vt:variant>
        <vt:i4>5</vt:i4>
      </vt:variant>
      <vt:variant>
        <vt:lpwstr>https://pubmed.ncbi.nlm.nih.gov/?term=Lopez+E&amp;cauthor_id=30696763</vt:lpwstr>
      </vt:variant>
      <vt:variant>
        <vt:lpwstr/>
      </vt:variant>
      <vt:variant>
        <vt:i4>7929877</vt:i4>
      </vt:variant>
      <vt:variant>
        <vt:i4>1680</vt:i4>
      </vt:variant>
      <vt:variant>
        <vt:i4>0</vt:i4>
      </vt:variant>
      <vt:variant>
        <vt:i4>5</vt:i4>
      </vt:variant>
      <vt:variant>
        <vt:lpwstr>https://pubmed.ncbi.nlm.nih.gov/?term=Li+T&amp;cauthor_id=30696763</vt:lpwstr>
      </vt:variant>
      <vt:variant>
        <vt:lpwstr/>
      </vt:variant>
      <vt:variant>
        <vt:i4>4194360</vt:i4>
      </vt:variant>
      <vt:variant>
        <vt:i4>1677</vt:i4>
      </vt:variant>
      <vt:variant>
        <vt:i4>0</vt:i4>
      </vt:variant>
      <vt:variant>
        <vt:i4>5</vt:i4>
      </vt:variant>
      <vt:variant>
        <vt:lpwstr>https://pubmed.ncbi.nlm.nih.gov/?term=Ngo+KH&amp;cauthor_id=30696763</vt:lpwstr>
      </vt:variant>
      <vt:variant>
        <vt:lpwstr/>
      </vt:variant>
      <vt:variant>
        <vt:i4>3342359</vt:i4>
      </vt:variant>
      <vt:variant>
        <vt:i4>1674</vt:i4>
      </vt:variant>
      <vt:variant>
        <vt:i4>0</vt:i4>
      </vt:variant>
      <vt:variant>
        <vt:i4>5</vt:i4>
      </vt:variant>
      <vt:variant>
        <vt:lpwstr>https://pubmed.ncbi.nlm.nih.gov/?term=Park+JH&amp;cauthor_id=30696763</vt:lpwstr>
      </vt:variant>
      <vt:variant>
        <vt:lpwstr/>
      </vt:variant>
      <vt:variant>
        <vt:i4>655474</vt:i4>
      </vt:variant>
      <vt:variant>
        <vt:i4>1671</vt:i4>
      </vt:variant>
      <vt:variant>
        <vt:i4>0</vt:i4>
      </vt:variant>
      <vt:variant>
        <vt:i4>5</vt:i4>
      </vt:variant>
      <vt:variant>
        <vt:lpwstr>https://pubmed.ncbi.nlm.nih.gov/?term=Zaalberg+A&amp;cauthor_id=30696763</vt:lpwstr>
      </vt:variant>
      <vt:variant>
        <vt:lpwstr/>
      </vt:variant>
      <vt:variant>
        <vt:i4>7274573</vt:i4>
      </vt:variant>
      <vt:variant>
        <vt:i4>1668</vt:i4>
      </vt:variant>
      <vt:variant>
        <vt:i4>0</vt:i4>
      </vt:variant>
      <vt:variant>
        <vt:i4>5</vt:i4>
      </vt:variant>
      <vt:variant>
        <vt:lpwstr>https://pubmed.ncbi.nlm.nih.gov/?term=Moradi+Tuchayi+S&amp;cauthor_id=30696763</vt:lpwstr>
      </vt:variant>
      <vt:variant>
        <vt:lpwstr/>
      </vt:variant>
      <vt:variant>
        <vt:i4>3670110</vt:i4>
      </vt:variant>
      <vt:variant>
        <vt:i4>1665</vt:i4>
      </vt:variant>
      <vt:variant>
        <vt:i4>0</vt:i4>
      </vt:variant>
      <vt:variant>
        <vt:i4>5</vt:i4>
      </vt:variant>
      <vt:variant>
        <vt:lpwstr>https://pubmed.ncbi.nlm.nih.gov/?term=Ameri+AH&amp;cauthor_id=30696763</vt:lpwstr>
      </vt:variant>
      <vt:variant>
        <vt:lpwstr/>
      </vt:variant>
      <vt:variant>
        <vt:i4>3014767</vt:i4>
      </vt:variant>
      <vt:variant>
        <vt:i4>1662</vt:i4>
      </vt:variant>
      <vt:variant>
        <vt:i4>0</vt:i4>
      </vt:variant>
      <vt:variant>
        <vt:i4>5</vt:i4>
      </vt:variant>
      <vt:variant>
        <vt:lpwstr>https://doi.org/10.1172%2FJCI35721</vt:lpwstr>
      </vt:variant>
      <vt:variant>
        <vt:lpwstr/>
      </vt:variant>
      <vt:variant>
        <vt:i4>1966151</vt:i4>
      </vt:variant>
      <vt:variant>
        <vt:i4>1659</vt:i4>
      </vt:variant>
      <vt:variant>
        <vt:i4>0</vt:i4>
      </vt:variant>
      <vt:variant>
        <vt:i4>5</vt:i4>
      </vt:variant>
      <vt:variant>
        <vt:lpwstr>https://www.ncbi.nlm.nih.gov/pmc/articles/PMC3007128/</vt:lpwstr>
      </vt:variant>
      <vt:variant>
        <vt:lpwstr/>
      </vt:variant>
      <vt:variant>
        <vt:i4>5898258</vt:i4>
      </vt:variant>
      <vt:variant>
        <vt:i4>1656</vt:i4>
      </vt:variant>
      <vt:variant>
        <vt:i4>0</vt:i4>
      </vt:variant>
      <vt:variant>
        <vt:i4>5</vt:i4>
      </vt:variant>
      <vt:variant>
        <vt:lpwstr>https://doi.org/10.1016/j.hoc.2018.12.004</vt:lpwstr>
      </vt:variant>
      <vt:variant>
        <vt:lpwstr/>
      </vt:variant>
      <vt:variant>
        <vt:i4>327781</vt:i4>
      </vt:variant>
      <vt:variant>
        <vt:i4>1653</vt:i4>
      </vt:variant>
      <vt:variant>
        <vt:i4>0</vt:i4>
      </vt:variant>
      <vt:variant>
        <vt:i4>5</vt:i4>
      </vt:variant>
      <vt:variant>
        <vt:lpwstr>https://pubmed.ncbi.nlm.nih.gov/?term=Margolin+K&amp;cauthor_id=30832999</vt:lpwstr>
      </vt:variant>
      <vt:variant>
        <vt:lpwstr/>
      </vt:variant>
      <vt:variant>
        <vt:i4>1900634</vt:i4>
      </vt:variant>
      <vt:variant>
        <vt:i4>1650</vt:i4>
      </vt:variant>
      <vt:variant>
        <vt:i4>0</vt:i4>
      </vt:variant>
      <vt:variant>
        <vt:i4>5</vt:i4>
      </vt:variant>
      <vt:variant>
        <vt:lpwstr>https://scholar.google.com/scholar_lookup?journal=Annu+Rev+Immunol&amp;title=Insights+into+cytokine-receptor+interactions+from+cytokine+engineering&amp;author=JB+Spangler&amp;author=I+Moraga&amp;author=JL+Mendoza&amp;author=KC+Garcia&amp;volume=33&amp;publication_year=2015&amp;pages=139-167&amp;pmid=25493332&amp;</vt:lpwstr>
      </vt:variant>
      <vt:variant>
        <vt:lpwstr/>
      </vt:variant>
      <vt:variant>
        <vt:i4>458753</vt:i4>
      </vt:variant>
      <vt:variant>
        <vt:i4>1647</vt:i4>
      </vt:variant>
      <vt:variant>
        <vt:i4>0</vt:i4>
      </vt:variant>
      <vt:variant>
        <vt:i4>5</vt:i4>
      </vt:variant>
      <vt:variant>
        <vt:lpwstr>https://pubmed.ncbi.nlm.nih.gov/25493332</vt:lpwstr>
      </vt:variant>
      <vt:variant>
        <vt:lpwstr/>
      </vt:variant>
      <vt:variant>
        <vt:i4>1114186</vt:i4>
      </vt:variant>
      <vt:variant>
        <vt:i4>1644</vt:i4>
      </vt:variant>
      <vt:variant>
        <vt:i4>0</vt:i4>
      </vt:variant>
      <vt:variant>
        <vt:i4>5</vt:i4>
      </vt:variant>
      <vt:variant>
        <vt:lpwstr>https://www.ncbi.nlm.nih.gov/pmc/articles/PMC4445396/</vt:lpwstr>
      </vt:variant>
      <vt:variant>
        <vt:lpwstr/>
      </vt:variant>
      <vt:variant>
        <vt:i4>3473437</vt:i4>
      </vt:variant>
      <vt:variant>
        <vt:i4>1641</vt:i4>
      </vt:variant>
      <vt:variant>
        <vt:i4>0</vt:i4>
      </vt:variant>
      <vt:variant>
        <vt:i4>5</vt:i4>
      </vt:variant>
      <vt:variant>
        <vt:lpwstr>https://scholar.google.com/scholar_lookup?journal=Nature&amp;title=Exploiting+a+natural+conformational+switch+to+engineer+an+interleukin-2+%E2%80%98superkine%E2%80%99&amp;author=AM+Levin&amp;author=DL+Bates&amp;author=AM+Ring&amp;author=C+Krieg&amp;author=JT+Lin&amp;volume=484&amp;issue=7395&amp;publication_year=2012&amp;pages=529-533&amp;pmid=22446627&amp;</vt:lpwstr>
      </vt:variant>
      <vt:variant>
        <vt:lpwstr/>
      </vt:variant>
      <vt:variant>
        <vt:i4>851973</vt:i4>
      </vt:variant>
      <vt:variant>
        <vt:i4>1638</vt:i4>
      </vt:variant>
      <vt:variant>
        <vt:i4>0</vt:i4>
      </vt:variant>
      <vt:variant>
        <vt:i4>5</vt:i4>
      </vt:variant>
      <vt:variant>
        <vt:lpwstr>https://pubmed.ncbi.nlm.nih.gov/22446627</vt:lpwstr>
      </vt:variant>
      <vt:variant>
        <vt:lpwstr/>
      </vt:variant>
      <vt:variant>
        <vt:i4>1835086</vt:i4>
      </vt:variant>
      <vt:variant>
        <vt:i4>1635</vt:i4>
      </vt:variant>
      <vt:variant>
        <vt:i4>0</vt:i4>
      </vt:variant>
      <vt:variant>
        <vt:i4>5</vt:i4>
      </vt:variant>
      <vt:variant>
        <vt:lpwstr>https://www.ncbi.nlm.nih.gov/pmc/articles/PMC3338870/</vt:lpwstr>
      </vt:variant>
      <vt:variant>
        <vt:lpwstr/>
      </vt:variant>
      <vt:variant>
        <vt:i4>7405678</vt:i4>
      </vt:variant>
      <vt:variant>
        <vt:i4>1632</vt:i4>
      </vt:variant>
      <vt:variant>
        <vt:i4>0</vt:i4>
      </vt:variant>
      <vt:variant>
        <vt:i4>5</vt:i4>
      </vt:variant>
      <vt:variant>
        <vt:lpwstr>https://scholar.google.com/scholar_lookup?journal=Nat+Rev+Drug+Discov&amp;title=Antibody+targeted+drugs+as+cancer+therapeutics&amp;author=D+Schrama&amp;author=RA+Reisfeld&amp;author=JC+Becker&amp;volume=5&amp;issue=2&amp;publication_year=2006&amp;pages=147-159&amp;pmid=16424916&amp;</vt:lpwstr>
      </vt:variant>
      <vt:variant>
        <vt:lpwstr/>
      </vt:variant>
      <vt:variant>
        <vt:i4>65543</vt:i4>
      </vt:variant>
      <vt:variant>
        <vt:i4>1629</vt:i4>
      </vt:variant>
      <vt:variant>
        <vt:i4>0</vt:i4>
      </vt:variant>
      <vt:variant>
        <vt:i4>5</vt:i4>
      </vt:variant>
      <vt:variant>
        <vt:lpwstr>https://pubmed.ncbi.nlm.nih.gov/16424916</vt:lpwstr>
      </vt:variant>
      <vt:variant>
        <vt:lpwstr/>
      </vt:variant>
      <vt:variant>
        <vt:i4>8257555</vt:i4>
      </vt:variant>
      <vt:variant>
        <vt:i4>1626</vt:i4>
      </vt:variant>
      <vt:variant>
        <vt:i4>0</vt:i4>
      </vt:variant>
      <vt:variant>
        <vt:i4>5</vt:i4>
      </vt:variant>
      <vt:variant>
        <vt:lpwstr>https://scholar.google.com/scholar_lookup?journal=Science&amp;title=Selective+stimulation+of+T+cell+subsets+with+antibody-cytokine+immune+complexes&amp;author=O+Boyman&amp;author=M+Kovar&amp;author=MP+Rubinstein&amp;author=CD+Surh&amp;author=J+Sprent&amp;volume=311&amp;issue=5769&amp;publication_year=2006&amp;pages=924-1927&amp;</vt:lpwstr>
      </vt:variant>
      <vt:variant>
        <vt:lpwstr/>
      </vt:variant>
      <vt:variant>
        <vt:i4>196611</vt:i4>
      </vt:variant>
      <vt:variant>
        <vt:i4>1623</vt:i4>
      </vt:variant>
      <vt:variant>
        <vt:i4>0</vt:i4>
      </vt:variant>
      <vt:variant>
        <vt:i4>5</vt:i4>
      </vt:variant>
      <vt:variant>
        <vt:lpwstr>https://pubmed.ncbi.nlm.nih.gov/16484453</vt:lpwstr>
      </vt:variant>
      <vt:variant>
        <vt:lpwstr/>
      </vt:variant>
      <vt:variant>
        <vt:i4>6619250</vt:i4>
      </vt:variant>
      <vt:variant>
        <vt:i4>1620</vt:i4>
      </vt:variant>
      <vt:variant>
        <vt:i4>0</vt:i4>
      </vt:variant>
      <vt:variant>
        <vt:i4>5</vt:i4>
      </vt:variant>
      <vt:variant>
        <vt:lpwstr>https://scholar.google.com/scholar_lookup?journal=Nat+Rev+Cancer&amp;title=Improving+the+efficacy+of+antibody-based+cancer+therapies&amp;author=P+Carter&amp;volume=1&amp;issue=2&amp;publication_year=2001&amp;pages=118-129&amp;pmid=11905803&amp;</vt:lpwstr>
      </vt:variant>
      <vt:variant>
        <vt:lpwstr/>
      </vt:variant>
      <vt:variant>
        <vt:i4>10</vt:i4>
      </vt:variant>
      <vt:variant>
        <vt:i4>1617</vt:i4>
      </vt:variant>
      <vt:variant>
        <vt:i4>0</vt:i4>
      </vt:variant>
      <vt:variant>
        <vt:i4>5</vt:i4>
      </vt:variant>
      <vt:variant>
        <vt:lpwstr>https://pubmed.ncbi.nlm.nih.gov/11905803</vt:lpwstr>
      </vt:variant>
      <vt:variant>
        <vt:lpwstr/>
      </vt:variant>
      <vt:variant>
        <vt:i4>983053</vt:i4>
      </vt:variant>
      <vt:variant>
        <vt:i4>1614</vt:i4>
      </vt:variant>
      <vt:variant>
        <vt:i4>0</vt:i4>
      </vt:variant>
      <vt:variant>
        <vt:i4>5</vt:i4>
      </vt:variant>
      <vt:variant>
        <vt:lpwstr>https://scholar.google.com/scholar_lookup?journal=Annu+Rev+Immunol&amp;title=Disorders+of+the+JAK/STAT+pathway+in+T+cell+lymphoma+pathogenesis:+implications+for+immunotherapy&amp;author=TA+Waldmann&amp;author=J+Chen&amp;volume=35&amp;publication_year=2017&amp;pages=533-550&amp;pmid=28182501&amp;</vt:lpwstr>
      </vt:variant>
      <vt:variant>
        <vt:lpwstr/>
      </vt:variant>
      <vt:variant>
        <vt:i4>917510</vt:i4>
      </vt:variant>
      <vt:variant>
        <vt:i4>1611</vt:i4>
      </vt:variant>
      <vt:variant>
        <vt:i4>0</vt:i4>
      </vt:variant>
      <vt:variant>
        <vt:i4>5</vt:i4>
      </vt:variant>
      <vt:variant>
        <vt:lpwstr>https://pubmed.ncbi.nlm.nih.gov/28182501</vt:lpwstr>
      </vt:variant>
      <vt:variant>
        <vt:lpwstr/>
      </vt:variant>
      <vt:variant>
        <vt:i4>1441863</vt:i4>
      </vt:variant>
      <vt:variant>
        <vt:i4>1608</vt:i4>
      </vt:variant>
      <vt:variant>
        <vt:i4>0</vt:i4>
      </vt:variant>
      <vt:variant>
        <vt:i4>5</vt:i4>
      </vt:variant>
      <vt:variant>
        <vt:lpwstr>https://www.ncbi.nlm.nih.gov/pmc/articles/PMC7974381/</vt:lpwstr>
      </vt:variant>
      <vt:variant>
        <vt:lpwstr/>
      </vt:variant>
      <vt:variant>
        <vt:i4>7405620</vt:i4>
      </vt:variant>
      <vt:variant>
        <vt:i4>1605</vt:i4>
      </vt:variant>
      <vt:variant>
        <vt:i4>0</vt:i4>
      </vt:variant>
      <vt:variant>
        <vt:i4>5</vt:i4>
      </vt:variant>
      <vt:variant>
        <vt:lpwstr>https://scholar.google.com/scholar_lookup?journal=Semin+Oncol&amp;title=Anticancer+cytokines:+biology+and+clinical+effects+of+interferon-%CE%B12,+interleukin+(IL)-2,+IL-15,+IL-21+and+IL-12&amp;author=T+Floros&amp;author=AA+Tarhini&amp;volume=42&amp;issue=4&amp;publication_year=2015&amp;pages=539-548&amp;pmid=26320059&amp;</vt:lpwstr>
      </vt:variant>
      <vt:variant>
        <vt:lpwstr/>
      </vt:variant>
      <vt:variant>
        <vt:i4>458755</vt:i4>
      </vt:variant>
      <vt:variant>
        <vt:i4>1602</vt:i4>
      </vt:variant>
      <vt:variant>
        <vt:i4>0</vt:i4>
      </vt:variant>
      <vt:variant>
        <vt:i4>5</vt:i4>
      </vt:variant>
      <vt:variant>
        <vt:lpwstr>https://pubmed.ncbi.nlm.nih.gov/26320059</vt:lpwstr>
      </vt:variant>
      <vt:variant>
        <vt:lpwstr/>
      </vt:variant>
      <vt:variant>
        <vt:i4>1769537</vt:i4>
      </vt:variant>
      <vt:variant>
        <vt:i4>1599</vt:i4>
      </vt:variant>
      <vt:variant>
        <vt:i4>0</vt:i4>
      </vt:variant>
      <vt:variant>
        <vt:i4>5</vt:i4>
      </vt:variant>
      <vt:variant>
        <vt:lpwstr>https://www.ncbi.nlm.nih.gov/pmc/articles/PMC4557618/</vt:lpwstr>
      </vt:variant>
      <vt:variant>
        <vt:lpwstr/>
      </vt:variant>
      <vt:variant>
        <vt:i4>5308507</vt:i4>
      </vt:variant>
      <vt:variant>
        <vt:i4>1596</vt:i4>
      </vt:variant>
      <vt:variant>
        <vt:i4>0</vt:i4>
      </vt:variant>
      <vt:variant>
        <vt:i4>5</vt:i4>
      </vt:variant>
      <vt:variant>
        <vt:lpwstr>https://scholar.google.com/scholar_lookup?journal=Oncotarget&amp;title=Cytokine+treatment+in+cancer+immunotherapy&amp;author=M+Ardolino&amp;author=J+Hsu&amp;author=DH+Raulet&amp;volume=6&amp;issue=23&amp;publication_year=2015&amp;pages=19346-19347&amp;pmid=26305981&amp;</vt:lpwstr>
      </vt:variant>
      <vt:variant>
        <vt:lpwstr/>
      </vt:variant>
      <vt:variant>
        <vt:i4>262155</vt:i4>
      </vt:variant>
      <vt:variant>
        <vt:i4>1593</vt:i4>
      </vt:variant>
      <vt:variant>
        <vt:i4>0</vt:i4>
      </vt:variant>
      <vt:variant>
        <vt:i4>5</vt:i4>
      </vt:variant>
      <vt:variant>
        <vt:lpwstr>https://pubmed.ncbi.nlm.nih.gov/26305981</vt:lpwstr>
      </vt:variant>
      <vt:variant>
        <vt:lpwstr/>
      </vt:variant>
      <vt:variant>
        <vt:i4>1048651</vt:i4>
      </vt:variant>
      <vt:variant>
        <vt:i4>1590</vt:i4>
      </vt:variant>
      <vt:variant>
        <vt:i4>0</vt:i4>
      </vt:variant>
      <vt:variant>
        <vt:i4>5</vt:i4>
      </vt:variant>
      <vt:variant>
        <vt:lpwstr>https://www.ncbi.nlm.nih.gov/pmc/articles/PMC4637281/</vt:lpwstr>
      </vt:variant>
      <vt:variant>
        <vt:lpwstr/>
      </vt:variant>
      <vt:variant>
        <vt:i4>6488185</vt:i4>
      </vt:variant>
      <vt:variant>
        <vt:i4>1587</vt:i4>
      </vt:variant>
      <vt:variant>
        <vt:i4>0</vt:i4>
      </vt:variant>
      <vt:variant>
        <vt:i4>5</vt:i4>
      </vt:variant>
      <vt:variant>
        <vt:lpwstr>https://scholar.google.com/scholar_lookup?journal=Cytokine+Growth+Factor+Rev&amp;title=The+IL-2+cytokine+family+in+cancer+immunotherapy&amp;author=GC+Sim&amp;author=L+Radvanyi&amp;volume=25&amp;issue=4&amp;publication_year=2014&amp;pages=377-390&amp;pmid=25200249&amp;</vt:lpwstr>
      </vt:variant>
      <vt:variant>
        <vt:lpwstr/>
      </vt:variant>
      <vt:variant>
        <vt:i4>262147</vt:i4>
      </vt:variant>
      <vt:variant>
        <vt:i4>1584</vt:i4>
      </vt:variant>
      <vt:variant>
        <vt:i4>0</vt:i4>
      </vt:variant>
      <vt:variant>
        <vt:i4>5</vt:i4>
      </vt:variant>
      <vt:variant>
        <vt:lpwstr>https://pubmed.ncbi.nlm.nih.gov/25200249</vt:lpwstr>
      </vt:variant>
      <vt:variant>
        <vt:lpwstr/>
      </vt:variant>
      <vt:variant>
        <vt:i4>6357107</vt:i4>
      </vt:variant>
      <vt:variant>
        <vt:i4>1581</vt:i4>
      </vt:variant>
      <vt:variant>
        <vt:i4>0</vt:i4>
      </vt:variant>
      <vt:variant>
        <vt:i4>5</vt:i4>
      </vt:variant>
      <vt:variant>
        <vt:lpwstr>https://scholar.google.com/scholar_lookup?journal=Immunotherapy&amp;title=Immunomodulatory+cytokines+as+therapeutic+agents+for+melanoma&amp;author=C+Nicholas&amp;author=GB+Lesinski&amp;volume=3&amp;issue=5&amp;publication_year=2011&amp;pages=673-690&amp;pmid=21554095&amp;</vt:lpwstr>
      </vt:variant>
      <vt:variant>
        <vt:lpwstr/>
      </vt:variant>
      <vt:variant>
        <vt:i4>720909</vt:i4>
      </vt:variant>
      <vt:variant>
        <vt:i4>1578</vt:i4>
      </vt:variant>
      <vt:variant>
        <vt:i4>0</vt:i4>
      </vt:variant>
      <vt:variant>
        <vt:i4>5</vt:i4>
      </vt:variant>
      <vt:variant>
        <vt:lpwstr>https://pubmed.ncbi.nlm.nih.gov/21554095</vt:lpwstr>
      </vt:variant>
      <vt:variant>
        <vt:lpwstr/>
      </vt:variant>
      <vt:variant>
        <vt:i4>1310784</vt:i4>
      </vt:variant>
      <vt:variant>
        <vt:i4>1575</vt:i4>
      </vt:variant>
      <vt:variant>
        <vt:i4>0</vt:i4>
      </vt:variant>
      <vt:variant>
        <vt:i4>5</vt:i4>
      </vt:variant>
      <vt:variant>
        <vt:lpwstr>https://www.ncbi.nlm.nih.gov/pmc/articles/PMC3733464/</vt:lpwstr>
      </vt:variant>
      <vt:variant>
        <vt:lpwstr/>
      </vt:variant>
      <vt:variant>
        <vt:i4>4390929</vt:i4>
      </vt:variant>
      <vt:variant>
        <vt:i4>1572</vt:i4>
      </vt:variant>
      <vt:variant>
        <vt:i4>0</vt:i4>
      </vt:variant>
      <vt:variant>
        <vt:i4>5</vt:i4>
      </vt:variant>
      <vt:variant>
        <vt:lpwstr>https://scholar.google.com/scholar_lookup?journal=Cancers&amp;title=Cytokines+in+cancer+immunotherapy&amp;author=S+Lee&amp;author=K+Margolin&amp;volume=3&amp;issue=4&amp;publication_year=2011&amp;pages=3856-3893&amp;pmid=24213115&amp;</vt:lpwstr>
      </vt:variant>
      <vt:variant>
        <vt:lpwstr/>
      </vt:variant>
      <vt:variant>
        <vt:i4>720901</vt:i4>
      </vt:variant>
      <vt:variant>
        <vt:i4>1569</vt:i4>
      </vt:variant>
      <vt:variant>
        <vt:i4>0</vt:i4>
      </vt:variant>
      <vt:variant>
        <vt:i4>5</vt:i4>
      </vt:variant>
      <vt:variant>
        <vt:lpwstr>https://pubmed.ncbi.nlm.nih.gov/24213115</vt:lpwstr>
      </vt:variant>
      <vt:variant>
        <vt:lpwstr/>
      </vt:variant>
      <vt:variant>
        <vt:i4>1376326</vt:i4>
      </vt:variant>
      <vt:variant>
        <vt:i4>1566</vt:i4>
      </vt:variant>
      <vt:variant>
        <vt:i4>0</vt:i4>
      </vt:variant>
      <vt:variant>
        <vt:i4>5</vt:i4>
      </vt:variant>
      <vt:variant>
        <vt:lpwstr>https://www.ncbi.nlm.nih.gov/pmc/articles/PMC3763400/</vt:lpwstr>
      </vt:variant>
      <vt:variant>
        <vt:lpwstr/>
      </vt:variant>
      <vt:variant>
        <vt:i4>786443</vt:i4>
      </vt:variant>
      <vt:variant>
        <vt:i4>1563</vt:i4>
      </vt:variant>
      <vt:variant>
        <vt:i4>0</vt:i4>
      </vt:variant>
      <vt:variant>
        <vt:i4>5</vt:i4>
      </vt:variant>
      <vt:variant>
        <vt:lpwstr>https://scholar.google.com/scholar_lookup?journal=Nat+Rev+Cancer&amp;title=Cytokines+in+cancer+pathogenesis+and+cancer+therapy&amp;author=G+Dranoff&amp;volume=4&amp;issue=1&amp;publication_year=2004&amp;pages=11-22&amp;pmid=14708024&amp;</vt:lpwstr>
      </vt:variant>
      <vt:variant>
        <vt:lpwstr/>
      </vt:variant>
      <vt:variant>
        <vt:i4>655371</vt:i4>
      </vt:variant>
      <vt:variant>
        <vt:i4>1560</vt:i4>
      </vt:variant>
      <vt:variant>
        <vt:i4>0</vt:i4>
      </vt:variant>
      <vt:variant>
        <vt:i4>5</vt:i4>
      </vt:variant>
      <vt:variant>
        <vt:lpwstr>https://pubmed.ncbi.nlm.nih.gov/14708024</vt:lpwstr>
      </vt:variant>
      <vt:variant>
        <vt:lpwstr/>
      </vt:variant>
      <vt:variant>
        <vt:i4>6094918</vt:i4>
      </vt:variant>
      <vt:variant>
        <vt:i4>1557</vt:i4>
      </vt:variant>
      <vt:variant>
        <vt:i4>0</vt:i4>
      </vt:variant>
      <vt:variant>
        <vt:i4>5</vt:i4>
      </vt:variant>
      <vt:variant>
        <vt:lpwstr>https://scholar.google.com/scholar_lookup?journal=Nat+Rev+Immunol&amp;title=New+insights+into+the+regulation+of+T+cells+by+gamma(c)+family+cytokines&amp;author=Y+Rochman&amp;author=R+Spolski&amp;author=WJ+Leonard&amp;volume=9&amp;issue=7&amp;publication_year=2009&amp;pages=480-490&amp;pmid=19543225&amp;</vt:lpwstr>
      </vt:variant>
      <vt:variant>
        <vt:lpwstr/>
      </vt:variant>
      <vt:variant>
        <vt:i4>2</vt:i4>
      </vt:variant>
      <vt:variant>
        <vt:i4>1554</vt:i4>
      </vt:variant>
      <vt:variant>
        <vt:i4>0</vt:i4>
      </vt:variant>
      <vt:variant>
        <vt:i4>5</vt:i4>
      </vt:variant>
      <vt:variant>
        <vt:lpwstr>https://pubmed.ncbi.nlm.nih.gov/19543225</vt:lpwstr>
      </vt:variant>
      <vt:variant>
        <vt:lpwstr/>
      </vt:variant>
      <vt:variant>
        <vt:i4>1704013</vt:i4>
      </vt:variant>
      <vt:variant>
        <vt:i4>1551</vt:i4>
      </vt:variant>
      <vt:variant>
        <vt:i4>0</vt:i4>
      </vt:variant>
      <vt:variant>
        <vt:i4>5</vt:i4>
      </vt:variant>
      <vt:variant>
        <vt:lpwstr>https://www.ncbi.nlm.nih.gov/pmc/articles/PMC2814538/</vt:lpwstr>
      </vt:variant>
      <vt:variant>
        <vt:lpwstr/>
      </vt:variant>
      <vt:variant>
        <vt:i4>2162775</vt:i4>
      </vt:variant>
      <vt:variant>
        <vt:i4>1548</vt:i4>
      </vt:variant>
      <vt:variant>
        <vt:i4>0</vt:i4>
      </vt:variant>
      <vt:variant>
        <vt:i4>5</vt:i4>
      </vt:variant>
      <vt:variant>
        <vt:lpwstr>https://scholar.google.com/scholar_lookup?journal=Immunity&amp;title=Out-of-sequence+Signal+3+paralyzes+primary+CD4(+)+T-cell-dependent+immunity&amp;author=GD+Sckisel&amp;author=MN+Bouchlaka&amp;author=AM+Monjazeb&amp;author=M+Crittenden&amp;author=BD+Curti&amp;volume=43&amp;issue=2&amp;publication_year=2015&amp;pages=240-250&amp;pmid=26231116&amp;</vt:lpwstr>
      </vt:variant>
      <vt:variant>
        <vt:lpwstr/>
      </vt:variant>
      <vt:variant>
        <vt:i4>524295</vt:i4>
      </vt:variant>
      <vt:variant>
        <vt:i4>1545</vt:i4>
      </vt:variant>
      <vt:variant>
        <vt:i4>0</vt:i4>
      </vt:variant>
      <vt:variant>
        <vt:i4>5</vt:i4>
      </vt:variant>
      <vt:variant>
        <vt:lpwstr>https://pubmed.ncbi.nlm.nih.gov/26231116</vt:lpwstr>
      </vt:variant>
      <vt:variant>
        <vt:lpwstr/>
      </vt:variant>
      <vt:variant>
        <vt:i4>1638477</vt:i4>
      </vt:variant>
      <vt:variant>
        <vt:i4>1542</vt:i4>
      </vt:variant>
      <vt:variant>
        <vt:i4>0</vt:i4>
      </vt:variant>
      <vt:variant>
        <vt:i4>5</vt:i4>
      </vt:variant>
      <vt:variant>
        <vt:lpwstr>https://www.ncbi.nlm.nih.gov/pmc/articles/PMC4770886/</vt:lpwstr>
      </vt:variant>
      <vt:variant>
        <vt:lpwstr/>
      </vt:variant>
      <vt:variant>
        <vt:i4>4784195</vt:i4>
      </vt:variant>
      <vt:variant>
        <vt:i4>1539</vt:i4>
      </vt:variant>
      <vt:variant>
        <vt:i4>0</vt:i4>
      </vt:variant>
      <vt:variant>
        <vt:i4>5</vt:i4>
      </vt:variant>
      <vt:variant>
        <vt:lpwstr>https://doi.org/10.1080/2162402x.2015.1063772</vt:lpwstr>
      </vt:variant>
      <vt:variant>
        <vt:lpwstr/>
      </vt:variant>
      <vt:variant>
        <vt:i4>786522</vt:i4>
      </vt:variant>
      <vt:variant>
        <vt:i4>1536</vt:i4>
      </vt:variant>
      <vt:variant>
        <vt:i4>0</vt:i4>
      </vt:variant>
      <vt:variant>
        <vt:i4>5</vt:i4>
      </vt:variant>
      <vt:variant>
        <vt:lpwstr>https://scholar.google.com/scholar_lookup?journal=Med+Oncol&amp;title=IL-33+acts+as+a+foe+to+MIA+PaCa-2+pancreatic+cancer&amp;author=Y+Fang&amp;author=L+Zhao&amp;author=H+Xiao&amp;author=KM+Cook&amp;author=Q+Bai&amp;volume=34&amp;publication_year=2017&amp;pages=23&amp;pmid=28058630&amp;doi=10.1007/s12032-016-0880-3&amp;</vt:lpwstr>
      </vt:variant>
      <vt:variant>
        <vt:lpwstr/>
      </vt:variant>
      <vt:variant>
        <vt:i4>7274532</vt:i4>
      </vt:variant>
      <vt:variant>
        <vt:i4>1533</vt:i4>
      </vt:variant>
      <vt:variant>
        <vt:i4>0</vt:i4>
      </vt:variant>
      <vt:variant>
        <vt:i4>5</vt:i4>
      </vt:variant>
      <vt:variant>
        <vt:lpwstr>https://doi.org/10.1007%2Fs12032-016-0880-3</vt:lpwstr>
      </vt:variant>
      <vt:variant>
        <vt:lpwstr/>
      </vt:variant>
      <vt:variant>
        <vt:i4>65550</vt:i4>
      </vt:variant>
      <vt:variant>
        <vt:i4>1530</vt:i4>
      </vt:variant>
      <vt:variant>
        <vt:i4>0</vt:i4>
      </vt:variant>
      <vt:variant>
        <vt:i4>5</vt:i4>
      </vt:variant>
      <vt:variant>
        <vt:lpwstr>https://pubmed.ncbi.nlm.nih.gov/28058630</vt:lpwstr>
      </vt:variant>
      <vt:variant>
        <vt:lpwstr/>
      </vt:variant>
      <vt:variant>
        <vt:i4>3997787</vt:i4>
      </vt:variant>
      <vt:variant>
        <vt:i4>1527</vt:i4>
      </vt:variant>
      <vt:variant>
        <vt:i4>0</vt:i4>
      </vt:variant>
      <vt:variant>
        <vt:i4>5</vt:i4>
      </vt:variant>
      <vt:variant>
        <vt:lpwstr>https://scholar.google.com/scholar_lookup?journal=Mol+Hum+Reprod&amp;title=IL-33+enhances+proliferation+and+invasiveness+of+decidual+stromal+cells+by+up-regulation+of+CCL2/CCR2+via+NF-kappaB+and+ERK1/2+signaling&amp;author=WT+Hu&amp;author=MQ+Li&amp;author=W+Liu&amp;author=LP+Jin&amp;author=DJ+Li&amp;volume=20&amp;publication_year=2014&amp;pages=358-372&amp;pmid=24344240&amp;doi=10.1093/molehr/gat094&amp;</vt:lpwstr>
      </vt:variant>
      <vt:variant>
        <vt:lpwstr/>
      </vt:variant>
      <vt:variant>
        <vt:i4>1441808</vt:i4>
      </vt:variant>
      <vt:variant>
        <vt:i4>1524</vt:i4>
      </vt:variant>
      <vt:variant>
        <vt:i4>0</vt:i4>
      </vt:variant>
      <vt:variant>
        <vt:i4>5</vt:i4>
      </vt:variant>
      <vt:variant>
        <vt:lpwstr>https://doi.org/10.1093%2Fmolehr%2Fgat094</vt:lpwstr>
      </vt:variant>
      <vt:variant>
        <vt:lpwstr/>
      </vt:variant>
      <vt:variant>
        <vt:i4>524294</vt:i4>
      </vt:variant>
      <vt:variant>
        <vt:i4>1521</vt:i4>
      </vt:variant>
      <vt:variant>
        <vt:i4>0</vt:i4>
      </vt:variant>
      <vt:variant>
        <vt:i4>5</vt:i4>
      </vt:variant>
      <vt:variant>
        <vt:lpwstr>https://pubmed.ncbi.nlm.nih.gov/24344240</vt:lpwstr>
      </vt:variant>
      <vt:variant>
        <vt:lpwstr/>
      </vt:variant>
      <vt:variant>
        <vt:i4>589848</vt:i4>
      </vt:variant>
      <vt:variant>
        <vt:i4>1518</vt:i4>
      </vt:variant>
      <vt:variant>
        <vt:i4>0</vt:i4>
      </vt:variant>
      <vt:variant>
        <vt:i4>5</vt:i4>
      </vt:variant>
      <vt:variant>
        <vt:lpwstr>https://doi.org/10.3389/fendo.2019.00026</vt:lpwstr>
      </vt:variant>
      <vt:variant>
        <vt:lpwstr/>
      </vt:variant>
      <vt:variant>
        <vt:i4>6357099</vt:i4>
      </vt:variant>
      <vt:variant>
        <vt:i4>1515</vt:i4>
      </vt:variant>
      <vt:variant>
        <vt:i4>0</vt:i4>
      </vt:variant>
      <vt:variant>
        <vt:i4>5</vt:i4>
      </vt:variant>
      <vt:variant>
        <vt:lpwstr>https://scholar.google.com/scholar_lookup?journal=Front+Immunol&amp;title=The+role+of+IL-33-dependent+inflammation+in+the+tumor+microenvironment&amp;author=MH+Wasmer&amp;author=P+Krebs&amp;volume=7&amp;publication_year=2016&amp;pages=682&amp;pmid=28119694&amp;</vt:lpwstr>
      </vt:variant>
      <vt:variant>
        <vt:lpwstr/>
      </vt:variant>
      <vt:variant>
        <vt:i4>65540</vt:i4>
      </vt:variant>
      <vt:variant>
        <vt:i4>1512</vt:i4>
      </vt:variant>
      <vt:variant>
        <vt:i4>0</vt:i4>
      </vt:variant>
      <vt:variant>
        <vt:i4>5</vt:i4>
      </vt:variant>
      <vt:variant>
        <vt:lpwstr>https://pubmed.ncbi.nlm.nih.gov/28119694</vt:lpwstr>
      </vt:variant>
      <vt:variant>
        <vt:lpwstr/>
      </vt:variant>
      <vt:variant>
        <vt:i4>1048643</vt:i4>
      </vt:variant>
      <vt:variant>
        <vt:i4>1509</vt:i4>
      </vt:variant>
      <vt:variant>
        <vt:i4>0</vt:i4>
      </vt:variant>
      <vt:variant>
        <vt:i4>5</vt:i4>
      </vt:variant>
      <vt:variant>
        <vt:lpwstr>https://www.ncbi.nlm.nih.gov/pmc/articles/PMC5220330/</vt:lpwstr>
      </vt:variant>
      <vt:variant>
        <vt:lpwstr/>
      </vt:variant>
      <vt:variant>
        <vt:i4>1376283</vt:i4>
      </vt:variant>
      <vt:variant>
        <vt:i4>1506</vt:i4>
      </vt:variant>
      <vt:variant>
        <vt:i4>0</vt:i4>
      </vt:variant>
      <vt:variant>
        <vt:i4>5</vt:i4>
      </vt:variant>
      <vt:variant>
        <vt:lpwstr>https://doi.org/10.1134/s0026898419050069</vt:lpwstr>
      </vt:variant>
      <vt:variant>
        <vt:lpwstr/>
      </vt:variant>
      <vt:variant>
        <vt:i4>327770</vt:i4>
      </vt:variant>
      <vt:variant>
        <vt:i4>1503</vt:i4>
      </vt:variant>
      <vt:variant>
        <vt:i4>0</vt:i4>
      </vt:variant>
      <vt:variant>
        <vt:i4>5</vt:i4>
      </vt:variant>
      <vt:variant>
        <vt:lpwstr>https://doi.org/10.3390/ijms20205226</vt:lpwstr>
      </vt:variant>
      <vt:variant>
        <vt:lpwstr/>
      </vt:variant>
      <vt:variant>
        <vt:i4>4128813</vt:i4>
      </vt:variant>
      <vt:variant>
        <vt:i4>1500</vt:i4>
      </vt:variant>
      <vt:variant>
        <vt:i4>0</vt:i4>
      </vt:variant>
      <vt:variant>
        <vt:i4>5</vt:i4>
      </vt:variant>
      <vt:variant>
        <vt:lpwstr>https://scholar.google.com/scholar_lookup?journal=Cell&amp;title=Natural+killer+cells+control+tumor+growth+by+sensing+a+growth+factor&amp;author=AD+Banow&amp;author=MA+Edeling&amp;author=V+Trifonov&amp;author=J+Luo&amp;author=P+Goyal&amp;volume=172&amp;issue=3&amp;publication_year=2018&amp;pages=534-48.e19&amp;pmid=29275861&amp;</vt:lpwstr>
      </vt:variant>
      <vt:variant>
        <vt:lpwstr/>
      </vt:variant>
      <vt:variant>
        <vt:i4>589912</vt:i4>
      </vt:variant>
      <vt:variant>
        <vt:i4>1497</vt:i4>
      </vt:variant>
      <vt:variant>
        <vt:i4>0</vt:i4>
      </vt:variant>
      <vt:variant>
        <vt:i4>5</vt:i4>
      </vt:variant>
      <vt:variant>
        <vt:lpwstr>https://www.ncbi.nlm.nih.gov/pubmed/29275861</vt:lpwstr>
      </vt:variant>
      <vt:variant>
        <vt:lpwstr/>
      </vt:variant>
      <vt:variant>
        <vt:i4>2621473</vt:i4>
      </vt:variant>
      <vt:variant>
        <vt:i4>1494</vt:i4>
      </vt:variant>
      <vt:variant>
        <vt:i4>0</vt:i4>
      </vt:variant>
      <vt:variant>
        <vt:i4>5</vt:i4>
      </vt:variant>
      <vt:variant>
        <vt:lpwstr>https://www.ncbi.nlm.nih.gov/pmc/articles/PMC6684025/?report=reader</vt:lpwstr>
      </vt:variant>
      <vt:variant>
        <vt:lpwstr/>
      </vt:variant>
      <vt:variant>
        <vt:i4>7077940</vt:i4>
      </vt:variant>
      <vt:variant>
        <vt:i4>1491</vt:i4>
      </vt:variant>
      <vt:variant>
        <vt:i4>0</vt:i4>
      </vt:variant>
      <vt:variant>
        <vt:i4>5</vt:i4>
      </vt:variant>
      <vt:variant>
        <vt:lpwstr>https://scholar.google.com/scholar_lookup?journal=J+Exper+Med&amp;title=Differential+tumor+surveillance+by+natural+killer+(NK)+and+NKT+cells&amp;author=MT+Smyth&amp;author=KY+Thia&amp;author=SE+Street&amp;author=E+Cretney&amp;author=JA+Trapani&amp;volume=191&amp;issue=4&amp;publication_year=2000&amp;pages=661-8&amp;pmid=10684858&amp;</vt:lpwstr>
      </vt:variant>
      <vt:variant>
        <vt:lpwstr/>
      </vt:variant>
      <vt:variant>
        <vt:i4>393309</vt:i4>
      </vt:variant>
      <vt:variant>
        <vt:i4>1488</vt:i4>
      </vt:variant>
      <vt:variant>
        <vt:i4>0</vt:i4>
      </vt:variant>
      <vt:variant>
        <vt:i4>5</vt:i4>
      </vt:variant>
      <vt:variant>
        <vt:lpwstr>https://www.ncbi.nlm.nih.gov/pubmed/10684858</vt:lpwstr>
      </vt:variant>
      <vt:variant>
        <vt:lpwstr/>
      </vt:variant>
      <vt:variant>
        <vt:i4>2097185</vt:i4>
      </vt:variant>
      <vt:variant>
        <vt:i4>1485</vt:i4>
      </vt:variant>
      <vt:variant>
        <vt:i4>0</vt:i4>
      </vt:variant>
      <vt:variant>
        <vt:i4>5</vt:i4>
      </vt:variant>
      <vt:variant>
        <vt:lpwstr>https://www.ncbi.nlm.nih.gov/pmc/articles/PMC2195840/?report=reader</vt:lpwstr>
      </vt:variant>
      <vt:variant>
        <vt:lpwstr/>
      </vt:variant>
      <vt:variant>
        <vt:i4>1245262</vt:i4>
      </vt:variant>
      <vt:variant>
        <vt:i4>1482</vt:i4>
      </vt:variant>
      <vt:variant>
        <vt:i4>0</vt:i4>
      </vt:variant>
      <vt:variant>
        <vt:i4>5</vt:i4>
      </vt:variant>
      <vt:variant>
        <vt:lpwstr>https://scholar.google.com/scholar_lookup?journal=Nature&amp;title=T-helper-1-cell+cytokines+drive+cancer+into+senescence&amp;author=H+Braumuller&amp;author=T+Wieder&amp;author=E+Brenner&amp;author=S+Assmann&amp;author=M+Hahn&amp;volume=494&amp;issue=7437&amp;publication_year=2013&amp;pages=361-5&amp;pmid=23376950&amp;</vt:lpwstr>
      </vt:variant>
      <vt:variant>
        <vt:lpwstr/>
      </vt:variant>
      <vt:variant>
        <vt:i4>196697</vt:i4>
      </vt:variant>
      <vt:variant>
        <vt:i4>1479</vt:i4>
      </vt:variant>
      <vt:variant>
        <vt:i4>0</vt:i4>
      </vt:variant>
      <vt:variant>
        <vt:i4>5</vt:i4>
      </vt:variant>
      <vt:variant>
        <vt:lpwstr>https://www.ncbi.nlm.nih.gov/pubmed/23376950</vt:lpwstr>
      </vt:variant>
      <vt:variant>
        <vt:lpwstr/>
      </vt:variant>
      <vt:variant>
        <vt:i4>3473451</vt:i4>
      </vt:variant>
      <vt:variant>
        <vt:i4>1476</vt:i4>
      </vt:variant>
      <vt:variant>
        <vt:i4>0</vt:i4>
      </vt:variant>
      <vt:variant>
        <vt:i4>5</vt:i4>
      </vt:variant>
      <vt:variant>
        <vt:lpwstr>https://doi.org/10.1016/j.cyto.2012.06.286</vt:lpwstr>
      </vt:variant>
      <vt:variant>
        <vt:lpwstr/>
      </vt:variant>
      <vt:variant>
        <vt:i4>524291</vt:i4>
      </vt:variant>
      <vt:variant>
        <vt:i4>1473</vt:i4>
      </vt:variant>
      <vt:variant>
        <vt:i4>0</vt:i4>
      </vt:variant>
      <vt:variant>
        <vt:i4>5</vt:i4>
      </vt:variant>
      <vt:variant>
        <vt:lpwstr>https://doi.org/10.1186%2Fs12967-020-02661-w</vt:lpwstr>
      </vt:variant>
      <vt:variant>
        <vt:lpwstr/>
      </vt:variant>
      <vt:variant>
        <vt:i4>1114182</vt:i4>
      </vt:variant>
      <vt:variant>
        <vt:i4>1470</vt:i4>
      </vt:variant>
      <vt:variant>
        <vt:i4>0</vt:i4>
      </vt:variant>
      <vt:variant>
        <vt:i4>5</vt:i4>
      </vt:variant>
      <vt:variant>
        <vt:lpwstr>https://www.ncbi.nlm.nih.gov/pmc/articles/PMC7733302/</vt:lpwstr>
      </vt:variant>
      <vt:variant>
        <vt:lpwstr/>
      </vt:variant>
      <vt:variant>
        <vt:i4>1769551</vt:i4>
      </vt:variant>
      <vt:variant>
        <vt:i4>1467</vt:i4>
      </vt:variant>
      <vt:variant>
        <vt:i4>0</vt:i4>
      </vt:variant>
      <vt:variant>
        <vt:i4>5</vt:i4>
      </vt:variant>
      <vt:variant>
        <vt:lpwstr>https://pubmed.ncbi.nlm.nih.gov/?term=Wu%20C%5BAuthor%5D</vt:lpwstr>
      </vt:variant>
      <vt:variant>
        <vt:lpwstr/>
      </vt:variant>
      <vt:variant>
        <vt:i4>589906</vt:i4>
      </vt:variant>
      <vt:variant>
        <vt:i4>1464</vt:i4>
      </vt:variant>
      <vt:variant>
        <vt:i4>0</vt:i4>
      </vt:variant>
      <vt:variant>
        <vt:i4>5</vt:i4>
      </vt:variant>
      <vt:variant>
        <vt:lpwstr>https://pubmed.ncbi.nlm.nih.gov/?term=Ji%20M%5BAuthor%5D</vt:lpwstr>
      </vt:variant>
      <vt:variant>
        <vt:lpwstr/>
      </vt:variant>
      <vt:variant>
        <vt:i4>1179727</vt:i4>
      </vt:variant>
      <vt:variant>
        <vt:i4>1461</vt:i4>
      </vt:variant>
      <vt:variant>
        <vt:i4>0</vt:i4>
      </vt:variant>
      <vt:variant>
        <vt:i4>5</vt:i4>
      </vt:variant>
      <vt:variant>
        <vt:lpwstr>https://pubmed.ncbi.nlm.nih.gov/?term=Wu%20J%5BAuthor%5D</vt:lpwstr>
      </vt:variant>
      <vt:variant>
        <vt:lpwstr/>
      </vt:variant>
      <vt:variant>
        <vt:i4>8126497</vt:i4>
      </vt:variant>
      <vt:variant>
        <vt:i4>1458</vt:i4>
      </vt:variant>
      <vt:variant>
        <vt:i4>0</vt:i4>
      </vt:variant>
      <vt:variant>
        <vt:i4>5</vt:i4>
      </vt:variant>
      <vt:variant>
        <vt:lpwstr>https://pubmed.ncbi.nlm.nih.gov/?term=Wang%20W%5BAuthor%5D</vt:lpwstr>
      </vt:variant>
      <vt:variant>
        <vt:lpwstr/>
      </vt:variant>
      <vt:variant>
        <vt:i4>6553660</vt:i4>
      </vt:variant>
      <vt:variant>
        <vt:i4>1455</vt:i4>
      </vt:variant>
      <vt:variant>
        <vt:i4>0</vt:i4>
      </vt:variant>
      <vt:variant>
        <vt:i4>5</vt:i4>
      </vt:variant>
      <vt:variant>
        <vt:lpwstr>https://doi.org/10.1038/ncomms11385</vt:lpwstr>
      </vt:variant>
      <vt:variant>
        <vt:lpwstr/>
      </vt:variant>
      <vt:variant>
        <vt:i4>3276842</vt:i4>
      </vt:variant>
      <vt:variant>
        <vt:i4>1452</vt:i4>
      </vt:variant>
      <vt:variant>
        <vt:i4>0</vt:i4>
      </vt:variant>
      <vt:variant>
        <vt:i4>5</vt:i4>
      </vt:variant>
      <vt:variant>
        <vt:lpwstr>https://doi.org/10.1016/j.cyto.2018.03.036</vt:lpwstr>
      </vt:variant>
      <vt:variant>
        <vt:lpwstr/>
      </vt:variant>
      <vt:variant>
        <vt:i4>1179729</vt:i4>
      </vt:variant>
      <vt:variant>
        <vt:i4>1449</vt:i4>
      </vt:variant>
      <vt:variant>
        <vt:i4>0</vt:i4>
      </vt:variant>
      <vt:variant>
        <vt:i4>5</vt:i4>
      </vt:variant>
      <vt:variant>
        <vt:lpwstr>https://doi.org/10.4049/jimmunol.1401344</vt:lpwstr>
      </vt:variant>
      <vt:variant>
        <vt:lpwstr/>
      </vt:variant>
      <vt:variant>
        <vt:i4>2621539</vt:i4>
      </vt:variant>
      <vt:variant>
        <vt:i4>1446</vt:i4>
      </vt:variant>
      <vt:variant>
        <vt:i4>0</vt:i4>
      </vt:variant>
      <vt:variant>
        <vt:i4>5</vt:i4>
      </vt:variant>
      <vt:variant>
        <vt:lpwstr>https://doi.org/10.1172/jci.insight.136073</vt:lpwstr>
      </vt:variant>
      <vt:variant>
        <vt:lpwstr/>
      </vt:variant>
      <vt:variant>
        <vt:i4>4653072</vt:i4>
      </vt:variant>
      <vt:variant>
        <vt:i4>1443</vt:i4>
      </vt:variant>
      <vt:variant>
        <vt:i4>0</vt:i4>
      </vt:variant>
      <vt:variant>
        <vt:i4>5</vt:i4>
      </vt:variant>
      <vt:variant>
        <vt:lpwstr>https://doi.org/10.1002/mc.22491</vt:lpwstr>
      </vt:variant>
      <vt:variant>
        <vt:lpwstr/>
      </vt:variant>
      <vt:variant>
        <vt:i4>5963855</vt:i4>
      </vt:variant>
      <vt:variant>
        <vt:i4>1440</vt:i4>
      </vt:variant>
      <vt:variant>
        <vt:i4>0</vt:i4>
      </vt:variant>
      <vt:variant>
        <vt:i4>5</vt:i4>
      </vt:variant>
      <vt:variant>
        <vt:lpwstr>https://doi.org/10.1016/j.biopha.2020.110232</vt:lpwstr>
      </vt:variant>
      <vt:variant>
        <vt:lpwstr/>
      </vt:variant>
      <vt:variant>
        <vt:i4>2424941</vt:i4>
      </vt:variant>
      <vt:variant>
        <vt:i4>1437</vt:i4>
      </vt:variant>
      <vt:variant>
        <vt:i4>0</vt:i4>
      </vt:variant>
      <vt:variant>
        <vt:i4>5</vt:i4>
      </vt:variant>
      <vt:variant>
        <vt:lpwstr>https://doi.org/10.1158%2F0008-5472.CAN-16-1602</vt:lpwstr>
      </vt:variant>
      <vt:variant>
        <vt:lpwstr/>
      </vt:variant>
      <vt:variant>
        <vt:i4>7536692</vt:i4>
      </vt:variant>
      <vt:variant>
        <vt:i4>1434</vt:i4>
      </vt:variant>
      <vt:variant>
        <vt:i4>0</vt:i4>
      </vt:variant>
      <vt:variant>
        <vt:i4>5</vt:i4>
      </vt:variant>
      <vt:variant>
        <vt:lpwstr>https://scholar.google.com/scholar_lookup?journal=Biochem+Biophys+Res+Commun&amp;title=IL-33/ST2+pathway+contributes+to+metastasis+of+human+colorectal+cancer&amp;author=X+Liu&amp;author=L+Zhu&amp;author=X+Lu&amp;author=H+Bian&amp;author=X+Wu&amp;volume=453&amp;publication_year=2014&amp;pages=486-492&amp;pmid=25280997&amp;doi=10.1016/j.bbrc.2014.09.106&amp;</vt:lpwstr>
      </vt:variant>
      <vt:variant>
        <vt:lpwstr/>
      </vt:variant>
      <vt:variant>
        <vt:i4>4325392</vt:i4>
      </vt:variant>
      <vt:variant>
        <vt:i4>1431</vt:i4>
      </vt:variant>
      <vt:variant>
        <vt:i4>0</vt:i4>
      </vt:variant>
      <vt:variant>
        <vt:i4>5</vt:i4>
      </vt:variant>
      <vt:variant>
        <vt:lpwstr>https://doi.org/10.1016%2Fj.bbrc.2014.09.106</vt:lpwstr>
      </vt:variant>
      <vt:variant>
        <vt:lpwstr/>
      </vt:variant>
      <vt:variant>
        <vt:i4>589838</vt:i4>
      </vt:variant>
      <vt:variant>
        <vt:i4>1428</vt:i4>
      </vt:variant>
      <vt:variant>
        <vt:i4>0</vt:i4>
      </vt:variant>
      <vt:variant>
        <vt:i4>5</vt:i4>
      </vt:variant>
      <vt:variant>
        <vt:lpwstr>https://pubmed.ncbi.nlm.nih.gov/25280997</vt:lpwstr>
      </vt:variant>
      <vt:variant>
        <vt:lpwstr/>
      </vt:variant>
      <vt:variant>
        <vt:i4>4325440</vt:i4>
      </vt:variant>
      <vt:variant>
        <vt:i4>1425</vt:i4>
      </vt:variant>
      <vt:variant>
        <vt:i4>0</vt:i4>
      </vt:variant>
      <vt:variant>
        <vt:i4>5</vt:i4>
      </vt:variant>
      <vt:variant>
        <vt:lpwstr>https://dx.doi.org/10.3390%2Fijms19092676</vt:lpwstr>
      </vt:variant>
      <vt:variant>
        <vt:lpwstr/>
      </vt:variant>
      <vt:variant>
        <vt:i4>5963779</vt:i4>
      </vt:variant>
      <vt:variant>
        <vt:i4>1422</vt:i4>
      </vt:variant>
      <vt:variant>
        <vt:i4>0</vt:i4>
      </vt:variant>
      <vt:variant>
        <vt:i4>5</vt:i4>
      </vt:variant>
      <vt:variant>
        <vt:lpwstr>https://doi.org/10.3899/jrheum.100184</vt:lpwstr>
      </vt:variant>
      <vt:variant>
        <vt:lpwstr/>
      </vt:variant>
      <vt:variant>
        <vt:i4>6029402</vt:i4>
      </vt:variant>
      <vt:variant>
        <vt:i4>1419</vt:i4>
      </vt:variant>
      <vt:variant>
        <vt:i4>0</vt:i4>
      </vt:variant>
      <vt:variant>
        <vt:i4>5</vt:i4>
      </vt:variant>
      <vt:variant>
        <vt:lpwstr>https://doi.org/10.1111/ced.12670</vt:lpwstr>
      </vt:variant>
      <vt:variant>
        <vt:lpwstr/>
      </vt:variant>
      <vt:variant>
        <vt:i4>4587521</vt:i4>
      </vt:variant>
      <vt:variant>
        <vt:i4>1416</vt:i4>
      </vt:variant>
      <vt:variant>
        <vt:i4>0</vt:i4>
      </vt:variant>
      <vt:variant>
        <vt:i4>5</vt:i4>
      </vt:variant>
      <vt:variant>
        <vt:lpwstr>https://doi.org/10.1038%2Fs41598-020-71848-4</vt:lpwstr>
      </vt:variant>
      <vt:variant>
        <vt:lpwstr/>
      </vt:variant>
      <vt:variant>
        <vt:i4>1900608</vt:i4>
      </vt:variant>
      <vt:variant>
        <vt:i4>1413</vt:i4>
      </vt:variant>
      <vt:variant>
        <vt:i4>0</vt:i4>
      </vt:variant>
      <vt:variant>
        <vt:i4>5</vt:i4>
      </vt:variant>
      <vt:variant>
        <vt:lpwstr>https://www.ncbi.nlm.nih.gov/pmc/articles/PMC7495433/</vt:lpwstr>
      </vt:variant>
      <vt:variant>
        <vt:lpwstr/>
      </vt:variant>
      <vt:variant>
        <vt:i4>7995447</vt:i4>
      </vt:variant>
      <vt:variant>
        <vt:i4>1410</vt:i4>
      </vt:variant>
      <vt:variant>
        <vt:i4>0</vt:i4>
      </vt:variant>
      <vt:variant>
        <vt:i4>5</vt:i4>
      </vt:variant>
      <vt:variant>
        <vt:lpwstr>https://pubmed.ncbi.nlm.nih.gov/?term=Kudo%20M%5BAuthor%5D</vt:lpwstr>
      </vt:variant>
      <vt:variant>
        <vt:lpwstr/>
      </vt:variant>
      <vt:variant>
        <vt:i4>3342458</vt:i4>
      </vt:variant>
      <vt:variant>
        <vt:i4>1407</vt:i4>
      </vt:variant>
      <vt:variant>
        <vt:i4>0</vt:i4>
      </vt:variant>
      <vt:variant>
        <vt:i4>5</vt:i4>
      </vt:variant>
      <vt:variant>
        <vt:lpwstr>https://pubmed.ncbi.nlm.nih.gov/?term=Chiba%20Y%5BAuthor%5D</vt:lpwstr>
      </vt:variant>
      <vt:variant>
        <vt:lpwstr/>
      </vt:variant>
      <vt:variant>
        <vt:i4>6553634</vt:i4>
      </vt:variant>
      <vt:variant>
        <vt:i4>1404</vt:i4>
      </vt:variant>
      <vt:variant>
        <vt:i4>0</vt:i4>
      </vt:variant>
      <vt:variant>
        <vt:i4>5</vt:i4>
      </vt:variant>
      <vt:variant>
        <vt:lpwstr>https://pubmed.ncbi.nlm.nih.gov/?term=Takenaka%20M%5BAuthor%5D</vt:lpwstr>
      </vt:variant>
      <vt:variant>
        <vt:lpwstr/>
      </vt:variant>
      <vt:variant>
        <vt:i4>3735672</vt:i4>
      </vt:variant>
      <vt:variant>
        <vt:i4>1401</vt:i4>
      </vt:variant>
      <vt:variant>
        <vt:i4>0</vt:i4>
      </vt:variant>
      <vt:variant>
        <vt:i4>5</vt:i4>
      </vt:variant>
      <vt:variant>
        <vt:lpwstr>https://pubmed.ncbi.nlm.nih.gov/?term=Yamao%20K%5BAuthor%5D</vt:lpwstr>
      </vt:variant>
      <vt:variant>
        <vt:lpwstr/>
      </vt:variant>
      <vt:variant>
        <vt:i4>2228351</vt:i4>
      </vt:variant>
      <vt:variant>
        <vt:i4>1398</vt:i4>
      </vt:variant>
      <vt:variant>
        <vt:i4>0</vt:i4>
      </vt:variant>
      <vt:variant>
        <vt:i4>5</vt:i4>
      </vt:variant>
      <vt:variant>
        <vt:lpwstr>https://pubmed.ncbi.nlm.nih.gov/?term=Yoshikawa%20T%5BAuthor%5D</vt:lpwstr>
      </vt:variant>
      <vt:variant>
        <vt:lpwstr/>
      </vt:variant>
      <vt:variant>
        <vt:i4>3997808</vt:i4>
      </vt:variant>
      <vt:variant>
        <vt:i4>1395</vt:i4>
      </vt:variant>
      <vt:variant>
        <vt:i4>0</vt:i4>
      </vt:variant>
      <vt:variant>
        <vt:i4>5</vt:i4>
      </vt:variant>
      <vt:variant>
        <vt:lpwstr>https://pubmed.ncbi.nlm.nih.gov/?term=Sekai%20I%5BAuthor%5D</vt:lpwstr>
      </vt:variant>
      <vt:variant>
        <vt:lpwstr/>
      </vt:variant>
      <vt:variant>
        <vt:i4>1310799</vt:i4>
      </vt:variant>
      <vt:variant>
        <vt:i4>1392</vt:i4>
      </vt:variant>
      <vt:variant>
        <vt:i4>0</vt:i4>
      </vt:variant>
      <vt:variant>
        <vt:i4>5</vt:i4>
      </vt:variant>
      <vt:variant>
        <vt:lpwstr>https://pubmed.ncbi.nlm.nih.gov/?term=Otsuka%20Y%5BAuthor%5D</vt:lpwstr>
      </vt:variant>
      <vt:variant>
        <vt:lpwstr/>
      </vt:variant>
      <vt:variant>
        <vt:i4>3735653</vt:i4>
      </vt:variant>
      <vt:variant>
        <vt:i4>1389</vt:i4>
      </vt:variant>
      <vt:variant>
        <vt:i4>0</vt:i4>
      </vt:variant>
      <vt:variant>
        <vt:i4>5</vt:i4>
      </vt:variant>
      <vt:variant>
        <vt:lpwstr>https://pubmed.ncbi.nlm.nih.gov/?term=Nakai%20A%5BAuthor%5D</vt:lpwstr>
      </vt:variant>
      <vt:variant>
        <vt:lpwstr/>
      </vt:variant>
      <vt:variant>
        <vt:i4>2097268</vt:i4>
      </vt:variant>
      <vt:variant>
        <vt:i4>1386</vt:i4>
      </vt:variant>
      <vt:variant>
        <vt:i4>0</vt:i4>
      </vt:variant>
      <vt:variant>
        <vt:i4>5</vt:i4>
      </vt:variant>
      <vt:variant>
        <vt:lpwstr>https://pubmed.ncbi.nlm.nih.gov/?term=Omoto%20S%5BAuthor%5D</vt:lpwstr>
      </vt:variant>
      <vt:variant>
        <vt:lpwstr/>
      </vt:variant>
      <vt:variant>
        <vt:i4>458826</vt:i4>
      </vt:variant>
      <vt:variant>
        <vt:i4>1383</vt:i4>
      </vt:variant>
      <vt:variant>
        <vt:i4>0</vt:i4>
      </vt:variant>
      <vt:variant>
        <vt:i4>5</vt:i4>
      </vt:variant>
      <vt:variant>
        <vt:lpwstr>https://pubmed.ncbi.nlm.nih.gov/?term=Kamata%20K%5BAuthor%5D</vt:lpwstr>
      </vt:variant>
      <vt:variant>
        <vt:lpwstr/>
      </vt:variant>
      <vt:variant>
        <vt:i4>7077922</vt:i4>
      </vt:variant>
      <vt:variant>
        <vt:i4>1380</vt:i4>
      </vt:variant>
      <vt:variant>
        <vt:i4>0</vt:i4>
      </vt:variant>
      <vt:variant>
        <vt:i4>5</vt:i4>
      </vt:variant>
      <vt:variant>
        <vt:lpwstr>https://pubmed.ncbi.nlm.nih.gov/?term=Hara%20A%5BAuthor%5D</vt:lpwstr>
      </vt:variant>
      <vt:variant>
        <vt:lpwstr/>
      </vt:variant>
      <vt:variant>
        <vt:i4>8192055</vt:i4>
      </vt:variant>
      <vt:variant>
        <vt:i4>1377</vt:i4>
      </vt:variant>
      <vt:variant>
        <vt:i4>0</vt:i4>
      </vt:variant>
      <vt:variant>
        <vt:i4>5</vt:i4>
      </vt:variant>
      <vt:variant>
        <vt:lpwstr>https://pubmed.ncbi.nlm.nih.gov/?term=Watanabe%20T%5BAuthor%5D</vt:lpwstr>
      </vt:variant>
      <vt:variant>
        <vt:lpwstr/>
      </vt:variant>
      <vt:variant>
        <vt:i4>983132</vt:i4>
      </vt:variant>
      <vt:variant>
        <vt:i4>1374</vt:i4>
      </vt:variant>
      <vt:variant>
        <vt:i4>0</vt:i4>
      </vt:variant>
      <vt:variant>
        <vt:i4>5</vt:i4>
      </vt:variant>
      <vt:variant>
        <vt:lpwstr>https://pubmed.ncbi.nlm.nih.gov/?term=Minaga%20K%5BAuthor%5D</vt:lpwstr>
      </vt:variant>
      <vt:variant>
        <vt:lpwstr/>
      </vt:variant>
      <vt:variant>
        <vt:i4>1114176</vt:i4>
      </vt:variant>
      <vt:variant>
        <vt:i4>1371</vt:i4>
      </vt:variant>
      <vt:variant>
        <vt:i4>0</vt:i4>
      </vt:variant>
      <vt:variant>
        <vt:i4>5</vt:i4>
      </vt:variant>
      <vt:variant>
        <vt:lpwstr>https://doi.org/10.1002/term.3091</vt:lpwstr>
      </vt:variant>
      <vt:variant>
        <vt:lpwstr/>
      </vt:variant>
      <vt:variant>
        <vt:i4>7209061</vt:i4>
      </vt:variant>
      <vt:variant>
        <vt:i4>1368</vt:i4>
      </vt:variant>
      <vt:variant>
        <vt:i4>0</vt:i4>
      </vt:variant>
      <vt:variant>
        <vt:i4>5</vt:i4>
      </vt:variant>
      <vt:variant>
        <vt:lpwstr>https://doi.org/10.12659/msm.907540  IL-33</vt:lpwstr>
      </vt:variant>
      <vt:variant>
        <vt:lpwstr/>
      </vt:variant>
      <vt:variant>
        <vt:i4>458820</vt:i4>
      </vt:variant>
      <vt:variant>
        <vt:i4>1365</vt:i4>
      </vt:variant>
      <vt:variant>
        <vt:i4>0</vt:i4>
      </vt:variant>
      <vt:variant>
        <vt:i4>5</vt:i4>
      </vt:variant>
      <vt:variant>
        <vt:lpwstr>https://doi.org/10.2500/ajra.2009.23.3303</vt:lpwstr>
      </vt:variant>
      <vt:variant>
        <vt:lpwstr/>
      </vt:variant>
      <vt:variant>
        <vt:i4>4325448</vt:i4>
      </vt:variant>
      <vt:variant>
        <vt:i4>1362</vt:i4>
      </vt:variant>
      <vt:variant>
        <vt:i4>0</vt:i4>
      </vt:variant>
      <vt:variant>
        <vt:i4>5</vt:i4>
      </vt:variant>
      <vt:variant>
        <vt:lpwstr>https://doi.org/10.1371/journal.ppat.1003918</vt:lpwstr>
      </vt:variant>
      <vt:variant>
        <vt:lpwstr/>
      </vt:variant>
      <vt:variant>
        <vt:i4>1179740</vt:i4>
      </vt:variant>
      <vt:variant>
        <vt:i4>1359</vt:i4>
      </vt:variant>
      <vt:variant>
        <vt:i4>0</vt:i4>
      </vt:variant>
      <vt:variant>
        <vt:i4>5</vt:i4>
      </vt:variant>
      <vt:variant>
        <vt:lpwstr>https://doi.org/10.4049/jimmunol.1602186</vt:lpwstr>
      </vt:variant>
      <vt:variant>
        <vt:lpwstr/>
      </vt:variant>
      <vt:variant>
        <vt:i4>5832734</vt:i4>
      </vt:variant>
      <vt:variant>
        <vt:i4>1356</vt:i4>
      </vt:variant>
      <vt:variant>
        <vt:i4>0</vt:i4>
      </vt:variant>
      <vt:variant>
        <vt:i4>5</vt:i4>
      </vt:variant>
      <vt:variant>
        <vt:lpwstr>https://doi.org/10.4110/in.2016.16.3.159</vt:lpwstr>
      </vt:variant>
      <vt:variant>
        <vt:lpwstr/>
      </vt:variant>
      <vt:variant>
        <vt:i4>7864362</vt:i4>
      </vt:variant>
      <vt:variant>
        <vt:i4>1353</vt:i4>
      </vt:variant>
      <vt:variant>
        <vt:i4>0</vt:i4>
      </vt:variant>
      <vt:variant>
        <vt:i4>5</vt:i4>
      </vt:variant>
      <vt:variant>
        <vt:lpwstr>https://doi.org/10.1031/ni.2131</vt:lpwstr>
      </vt:variant>
      <vt:variant>
        <vt:lpwstr/>
      </vt:variant>
      <vt:variant>
        <vt:i4>7078008</vt:i4>
      </vt:variant>
      <vt:variant>
        <vt:i4>1350</vt:i4>
      </vt:variant>
      <vt:variant>
        <vt:i4>0</vt:i4>
      </vt:variant>
      <vt:variant>
        <vt:i4>5</vt:i4>
      </vt:variant>
      <vt:variant>
        <vt:lpwstr>https://doi.org/10.1126/science.1215418</vt:lpwstr>
      </vt:variant>
      <vt:variant>
        <vt:lpwstr/>
      </vt:variant>
      <vt:variant>
        <vt:i4>5</vt:i4>
      </vt:variant>
      <vt:variant>
        <vt:i4>1347</vt:i4>
      </vt:variant>
      <vt:variant>
        <vt:i4>0</vt:i4>
      </vt:variant>
      <vt:variant>
        <vt:i4>5</vt:i4>
      </vt:variant>
      <vt:variant>
        <vt:lpwstr>https://doi.org/10.3389/fimmu.2018.00962</vt:lpwstr>
      </vt:variant>
      <vt:variant>
        <vt:lpwstr/>
      </vt:variant>
      <vt:variant>
        <vt:i4>2031641</vt:i4>
      </vt:variant>
      <vt:variant>
        <vt:i4>1344</vt:i4>
      </vt:variant>
      <vt:variant>
        <vt:i4>0</vt:i4>
      </vt:variant>
      <vt:variant>
        <vt:i4>5</vt:i4>
      </vt:variant>
      <vt:variant>
        <vt:lpwstr>https://www.ncbi.nlm.nih.gov/pmc/articles/PMC7180392/</vt:lpwstr>
      </vt:variant>
      <vt:variant>
        <vt:lpwstr>B114</vt:lpwstr>
      </vt:variant>
      <vt:variant>
        <vt:i4>1900616</vt:i4>
      </vt:variant>
      <vt:variant>
        <vt:i4>1341</vt:i4>
      </vt:variant>
      <vt:variant>
        <vt:i4>0</vt:i4>
      </vt:variant>
      <vt:variant>
        <vt:i4>5</vt:i4>
      </vt:variant>
      <vt:variant>
        <vt:lpwstr>https://doi.org/10.1038/srep46897</vt:lpwstr>
      </vt:variant>
      <vt:variant>
        <vt:lpwstr/>
      </vt:variant>
      <vt:variant>
        <vt:i4>196611</vt:i4>
      </vt:variant>
      <vt:variant>
        <vt:i4>1338</vt:i4>
      </vt:variant>
      <vt:variant>
        <vt:i4>0</vt:i4>
      </vt:variant>
      <vt:variant>
        <vt:i4>5</vt:i4>
      </vt:variant>
      <vt:variant>
        <vt:lpwstr>https://pubmed.ncbi.nlm.nih.gov/28401938</vt:lpwstr>
      </vt:variant>
      <vt:variant>
        <vt:lpwstr/>
      </vt:variant>
      <vt:variant>
        <vt:i4>1441866</vt:i4>
      </vt:variant>
      <vt:variant>
        <vt:i4>1335</vt:i4>
      </vt:variant>
      <vt:variant>
        <vt:i4>0</vt:i4>
      </vt:variant>
      <vt:variant>
        <vt:i4>5</vt:i4>
      </vt:variant>
      <vt:variant>
        <vt:lpwstr>https://www.ncbi.nlm.nih.gov/pmc/articles/PMC5638662/</vt:lpwstr>
      </vt:variant>
      <vt:variant>
        <vt:lpwstr/>
      </vt:variant>
      <vt:variant>
        <vt:i4>4980744</vt:i4>
      </vt:variant>
      <vt:variant>
        <vt:i4>1332</vt:i4>
      </vt:variant>
      <vt:variant>
        <vt:i4>0</vt:i4>
      </vt:variant>
      <vt:variant>
        <vt:i4>5</vt:i4>
      </vt:variant>
      <vt:variant>
        <vt:lpwstr>https://scholar.google.com/scholar_lookup?journal=J+Exp+Med&amp;title=IL-33+reduces+the+development+of+atherosclerosis&amp;author=AM+Miller&amp;author=D+Xu&amp;author=DL+Asquith&amp;author=L+Denby&amp;author=Y+Li&amp;volume=205&amp;publication_year=2008&amp;pages=339-346&amp;pmid=18268038&amp;doi=10.1084/jem.20071868&amp;</vt:lpwstr>
      </vt:variant>
      <vt:variant>
        <vt:lpwstr/>
      </vt:variant>
      <vt:variant>
        <vt:i4>3866734</vt:i4>
      </vt:variant>
      <vt:variant>
        <vt:i4>1329</vt:i4>
      </vt:variant>
      <vt:variant>
        <vt:i4>0</vt:i4>
      </vt:variant>
      <vt:variant>
        <vt:i4>5</vt:i4>
      </vt:variant>
      <vt:variant>
        <vt:lpwstr>https://doi.org/10.1084%2Fjem.20071868</vt:lpwstr>
      </vt:variant>
      <vt:variant>
        <vt:lpwstr/>
      </vt:variant>
      <vt:variant>
        <vt:i4>786447</vt:i4>
      </vt:variant>
      <vt:variant>
        <vt:i4>1326</vt:i4>
      </vt:variant>
      <vt:variant>
        <vt:i4>0</vt:i4>
      </vt:variant>
      <vt:variant>
        <vt:i4>5</vt:i4>
      </vt:variant>
      <vt:variant>
        <vt:lpwstr>https://pubmed.ncbi.nlm.nih.gov/18268038</vt:lpwstr>
      </vt:variant>
      <vt:variant>
        <vt:lpwstr/>
      </vt:variant>
      <vt:variant>
        <vt:i4>1507393</vt:i4>
      </vt:variant>
      <vt:variant>
        <vt:i4>1323</vt:i4>
      </vt:variant>
      <vt:variant>
        <vt:i4>0</vt:i4>
      </vt:variant>
      <vt:variant>
        <vt:i4>5</vt:i4>
      </vt:variant>
      <vt:variant>
        <vt:lpwstr>https://www.ncbi.nlm.nih.gov/pmc/articles/PMC2271006/</vt:lpwstr>
      </vt:variant>
      <vt:variant>
        <vt:lpwstr/>
      </vt:variant>
      <vt:variant>
        <vt:i4>7012449</vt:i4>
      </vt:variant>
      <vt:variant>
        <vt:i4>1320</vt:i4>
      </vt:variant>
      <vt:variant>
        <vt:i4>0</vt:i4>
      </vt:variant>
      <vt:variant>
        <vt:i4>5</vt:i4>
      </vt:variant>
      <vt:variant>
        <vt:lpwstr>https://doi.org/10.3390%2Fijms21124297</vt:lpwstr>
      </vt:variant>
      <vt:variant>
        <vt:lpwstr/>
      </vt:variant>
      <vt:variant>
        <vt:i4>1638465</vt:i4>
      </vt:variant>
      <vt:variant>
        <vt:i4>1317</vt:i4>
      </vt:variant>
      <vt:variant>
        <vt:i4>0</vt:i4>
      </vt:variant>
      <vt:variant>
        <vt:i4>5</vt:i4>
      </vt:variant>
      <vt:variant>
        <vt:lpwstr>https://www.ncbi.nlm.nih.gov/pmc/articles/PMC7352728/</vt:lpwstr>
      </vt:variant>
      <vt:variant>
        <vt:lpwstr/>
      </vt:variant>
      <vt:variant>
        <vt:i4>5963797</vt:i4>
      </vt:variant>
      <vt:variant>
        <vt:i4>1314</vt:i4>
      </vt:variant>
      <vt:variant>
        <vt:i4>0</vt:i4>
      </vt:variant>
      <vt:variant>
        <vt:i4>5</vt:i4>
      </vt:variant>
      <vt:variant>
        <vt:lpwstr>https://pubmed.ncbi.nlm.nih.gov/?term=Ronconi%20G%5BAuthor%5D</vt:lpwstr>
      </vt:variant>
      <vt:variant>
        <vt:lpwstr/>
      </vt:variant>
      <vt:variant>
        <vt:i4>458767</vt:i4>
      </vt:variant>
      <vt:variant>
        <vt:i4>1311</vt:i4>
      </vt:variant>
      <vt:variant>
        <vt:i4>0</vt:i4>
      </vt:variant>
      <vt:variant>
        <vt:i4>5</vt:i4>
      </vt:variant>
      <vt:variant>
        <vt:lpwstr>https://pubmed.ncbi.nlm.nih.gov/?term=Di%20Emidio%20P%5BAuthor%5D</vt:lpwstr>
      </vt:variant>
      <vt:variant>
        <vt:lpwstr/>
      </vt:variant>
      <vt:variant>
        <vt:i4>1966161</vt:i4>
      </vt:variant>
      <vt:variant>
        <vt:i4>1308</vt:i4>
      </vt:variant>
      <vt:variant>
        <vt:i4>0</vt:i4>
      </vt:variant>
      <vt:variant>
        <vt:i4>5</vt:i4>
      </vt:variant>
      <vt:variant>
        <vt:lpwstr>https://pubmed.ncbi.nlm.nih.gov/?term=Younes%20A%5BAuthor%5D</vt:lpwstr>
      </vt:variant>
      <vt:variant>
        <vt:lpwstr/>
      </vt:variant>
      <vt:variant>
        <vt:i4>65606</vt:i4>
      </vt:variant>
      <vt:variant>
        <vt:i4>1305</vt:i4>
      </vt:variant>
      <vt:variant>
        <vt:i4>0</vt:i4>
      </vt:variant>
      <vt:variant>
        <vt:i4>5</vt:i4>
      </vt:variant>
      <vt:variant>
        <vt:lpwstr>https://pubmed.ncbi.nlm.nih.gov/?term=Frydas%20I%5BAuthor%5D</vt:lpwstr>
      </vt:variant>
      <vt:variant>
        <vt:lpwstr/>
      </vt:variant>
      <vt:variant>
        <vt:i4>1572935</vt:i4>
      </vt:variant>
      <vt:variant>
        <vt:i4>1302</vt:i4>
      </vt:variant>
      <vt:variant>
        <vt:i4>0</vt:i4>
      </vt:variant>
      <vt:variant>
        <vt:i4>5</vt:i4>
      </vt:variant>
      <vt:variant>
        <vt:lpwstr>https://pubmed.ncbi.nlm.nih.gov/?term=Kritas%20SK%5BAuthor%5D</vt:lpwstr>
      </vt:variant>
      <vt:variant>
        <vt:lpwstr/>
      </vt:variant>
      <vt:variant>
        <vt:i4>6488121</vt:i4>
      </vt:variant>
      <vt:variant>
        <vt:i4>1299</vt:i4>
      </vt:variant>
      <vt:variant>
        <vt:i4>0</vt:i4>
      </vt:variant>
      <vt:variant>
        <vt:i4>5</vt:i4>
      </vt:variant>
      <vt:variant>
        <vt:lpwstr>https://pubmed.ncbi.nlm.nih.gov/?term=Ross%20R%5BAuthor%5D</vt:lpwstr>
      </vt:variant>
      <vt:variant>
        <vt:lpwstr/>
      </vt:variant>
      <vt:variant>
        <vt:i4>8323107</vt:i4>
      </vt:variant>
      <vt:variant>
        <vt:i4>1296</vt:i4>
      </vt:variant>
      <vt:variant>
        <vt:i4>0</vt:i4>
      </vt:variant>
      <vt:variant>
        <vt:i4>5</vt:i4>
      </vt:variant>
      <vt:variant>
        <vt:lpwstr>https://pubmed.ncbi.nlm.nih.gov/?term=Gallenga%20CE%5BAuthor%5D</vt:lpwstr>
      </vt:variant>
      <vt:variant>
        <vt:lpwstr/>
      </vt:variant>
      <vt:variant>
        <vt:i4>6225951</vt:i4>
      </vt:variant>
      <vt:variant>
        <vt:i4>1293</vt:i4>
      </vt:variant>
      <vt:variant>
        <vt:i4>0</vt:i4>
      </vt:variant>
      <vt:variant>
        <vt:i4>5</vt:i4>
      </vt:variant>
      <vt:variant>
        <vt:lpwstr>https://pubmed.ncbi.nlm.nih.gov/?term=Caraffa%20A%5BAuthor%5D</vt:lpwstr>
      </vt:variant>
      <vt:variant>
        <vt:lpwstr/>
      </vt:variant>
      <vt:variant>
        <vt:i4>4718608</vt:i4>
      </vt:variant>
      <vt:variant>
        <vt:i4>1290</vt:i4>
      </vt:variant>
      <vt:variant>
        <vt:i4>0</vt:i4>
      </vt:variant>
      <vt:variant>
        <vt:i4>5</vt:i4>
      </vt:variant>
      <vt:variant>
        <vt:lpwstr>https://pubmed.ncbi.nlm.nih.gov/?term=Stellin%20L%5BAuthor%5D</vt:lpwstr>
      </vt:variant>
      <vt:variant>
        <vt:lpwstr/>
      </vt:variant>
      <vt:variant>
        <vt:i4>2228348</vt:i4>
      </vt:variant>
      <vt:variant>
        <vt:i4>1287</vt:i4>
      </vt:variant>
      <vt:variant>
        <vt:i4>0</vt:i4>
      </vt:variant>
      <vt:variant>
        <vt:i4>5</vt:i4>
      </vt:variant>
      <vt:variant>
        <vt:lpwstr>https://pubmed.ncbi.nlm.nih.gov/?term=Conti%20P%5BAuthor%5D</vt:lpwstr>
      </vt:variant>
      <vt:variant>
        <vt:lpwstr/>
      </vt:variant>
      <vt:variant>
        <vt:i4>5242884</vt:i4>
      </vt:variant>
      <vt:variant>
        <vt:i4>1284</vt:i4>
      </vt:variant>
      <vt:variant>
        <vt:i4>0</vt:i4>
      </vt:variant>
      <vt:variant>
        <vt:i4>5</vt:i4>
      </vt:variant>
      <vt:variant>
        <vt:lpwstr>https://doi.org/10.3899/jrheum.140234</vt:lpwstr>
      </vt:variant>
      <vt:variant>
        <vt:lpwstr/>
      </vt:variant>
      <vt:variant>
        <vt:i4>7471200</vt:i4>
      </vt:variant>
      <vt:variant>
        <vt:i4>1281</vt:i4>
      </vt:variant>
      <vt:variant>
        <vt:i4>0</vt:i4>
      </vt:variant>
      <vt:variant>
        <vt:i4>5</vt:i4>
      </vt:variant>
      <vt:variant>
        <vt:lpwstr>https://doi.org/10.1177%2F0300060519854630</vt:lpwstr>
      </vt:variant>
      <vt:variant>
        <vt:lpwstr/>
      </vt:variant>
      <vt:variant>
        <vt:i4>1769540</vt:i4>
      </vt:variant>
      <vt:variant>
        <vt:i4>1278</vt:i4>
      </vt:variant>
      <vt:variant>
        <vt:i4>0</vt:i4>
      </vt:variant>
      <vt:variant>
        <vt:i4>5</vt:i4>
      </vt:variant>
      <vt:variant>
        <vt:lpwstr>https://www.ncbi.nlm.nih.gov/pmc/articles/PMC6683938/</vt:lpwstr>
      </vt:variant>
      <vt:variant>
        <vt:lpwstr/>
      </vt:variant>
      <vt:variant>
        <vt:i4>4980740</vt:i4>
      </vt:variant>
      <vt:variant>
        <vt:i4>1275</vt:i4>
      </vt:variant>
      <vt:variant>
        <vt:i4>0</vt:i4>
      </vt:variant>
      <vt:variant>
        <vt:i4>5</vt:i4>
      </vt:variant>
      <vt:variant>
        <vt:lpwstr>https://pubmed.ncbi.nlm.nih.gov/?term=Sun%20Q%5BAuthor%5D</vt:lpwstr>
      </vt:variant>
      <vt:variant>
        <vt:lpwstr/>
      </vt:variant>
      <vt:variant>
        <vt:i4>5308446</vt:i4>
      </vt:variant>
      <vt:variant>
        <vt:i4>1272</vt:i4>
      </vt:variant>
      <vt:variant>
        <vt:i4>0</vt:i4>
      </vt:variant>
      <vt:variant>
        <vt:i4>5</vt:i4>
      </vt:variant>
      <vt:variant>
        <vt:lpwstr>https://pubmed.ncbi.nlm.nih.gov/?term=Zhu%20Y%5BAuthor%5D</vt:lpwstr>
      </vt:variant>
      <vt:variant>
        <vt:lpwstr/>
      </vt:variant>
      <vt:variant>
        <vt:i4>196610</vt:i4>
      </vt:variant>
      <vt:variant>
        <vt:i4>1269</vt:i4>
      </vt:variant>
      <vt:variant>
        <vt:i4>0</vt:i4>
      </vt:variant>
      <vt:variant>
        <vt:i4>5</vt:i4>
      </vt:variant>
      <vt:variant>
        <vt:lpwstr>https://doi.org/10.1038%2Fs41598-019-54615-y</vt:lpwstr>
      </vt:variant>
      <vt:variant>
        <vt:lpwstr/>
      </vt:variant>
      <vt:variant>
        <vt:i4>2031681</vt:i4>
      </vt:variant>
      <vt:variant>
        <vt:i4>1266</vt:i4>
      </vt:variant>
      <vt:variant>
        <vt:i4>0</vt:i4>
      </vt:variant>
      <vt:variant>
        <vt:i4>5</vt:i4>
      </vt:variant>
      <vt:variant>
        <vt:lpwstr>https://www.ncbi.nlm.nih.gov/pmc/articles/PMC6889227/</vt:lpwstr>
      </vt:variant>
      <vt:variant>
        <vt:lpwstr/>
      </vt:variant>
      <vt:variant>
        <vt:i4>1179737</vt:i4>
      </vt:variant>
      <vt:variant>
        <vt:i4>1263</vt:i4>
      </vt:variant>
      <vt:variant>
        <vt:i4>0</vt:i4>
      </vt:variant>
      <vt:variant>
        <vt:i4>5</vt:i4>
      </vt:variant>
      <vt:variant>
        <vt:lpwstr>https://pubmed.ncbi.nlm.nih.gov/?term=Heller%20D%5BAuthor%5D</vt:lpwstr>
      </vt:variant>
      <vt:variant>
        <vt:lpwstr/>
      </vt:variant>
      <vt:variant>
        <vt:i4>4980745</vt:i4>
      </vt:variant>
      <vt:variant>
        <vt:i4>1260</vt:i4>
      </vt:variant>
      <vt:variant>
        <vt:i4>0</vt:i4>
      </vt:variant>
      <vt:variant>
        <vt:i4>5</vt:i4>
      </vt:variant>
      <vt:variant>
        <vt:lpwstr>https://pubmed.ncbi.nlm.nih.gov/?term=Rocha%20FA%5BAuthor%5D</vt:lpwstr>
      </vt:variant>
      <vt:variant>
        <vt:lpwstr/>
      </vt:variant>
      <vt:variant>
        <vt:i4>3145846</vt:i4>
      </vt:variant>
      <vt:variant>
        <vt:i4>1257</vt:i4>
      </vt:variant>
      <vt:variant>
        <vt:i4>0</vt:i4>
      </vt:variant>
      <vt:variant>
        <vt:i4>5</vt:i4>
      </vt:variant>
      <vt:variant>
        <vt:lpwstr>https://pubmed.ncbi.nlm.nih.gov/?term=Martins%20LA%5BAuthor%5D</vt:lpwstr>
      </vt:variant>
      <vt:variant>
        <vt:lpwstr/>
      </vt:variant>
      <vt:variant>
        <vt:i4>5636111</vt:i4>
      </vt:variant>
      <vt:variant>
        <vt:i4>1254</vt:i4>
      </vt:variant>
      <vt:variant>
        <vt:i4>0</vt:i4>
      </vt:variant>
      <vt:variant>
        <vt:i4>5</vt:i4>
      </vt:variant>
      <vt:variant>
        <vt:lpwstr>https://pubmed.ncbi.nlm.nih.gov/?term=Pasqualin%20Dd%5BAuthor%5D</vt:lpwstr>
      </vt:variant>
      <vt:variant>
        <vt:lpwstr/>
      </vt:variant>
      <vt:variant>
        <vt:i4>5373975</vt:i4>
      </vt:variant>
      <vt:variant>
        <vt:i4>1251</vt:i4>
      </vt:variant>
      <vt:variant>
        <vt:i4>0</vt:i4>
      </vt:variant>
      <vt:variant>
        <vt:i4>5</vt:i4>
      </vt:variant>
      <vt:variant>
        <vt:lpwstr>https://pubmed.ncbi.nlm.nih.gov/?term=Ramos%20DV%5BAuthor%5D</vt:lpwstr>
      </vt:variant>
      <vt:variant>
        <vt:lpwstr/>
      </vt:variant>
      <vt:variant>
        <vt:i4>5177359</vt:i4>
      </vt:variant>
      <vt:variant>
        <vt:i4>1248</vt:i4>
      </vt:variant>
      <vt:variant>
        <vt:i4>0</vt:i4>
      </vt:variant>
      <vt:variant>
        <vt:i4>5</vt:i4>
      </vt:variant>
      <vt:variant>
        <vt:lpwstr>https://pubmed.ncbi.nlm.nih.gov/?term=Louren%C3%A7o%20TG%5BAuthor%5D</vt:lpwstr>
      </vt:variant>
      <vt:variant>
        <vt:lpwstr/>
      </vt:variant>
      <vt:variant>
        <vt:i4>65540</vt:i4>
      </vt:variant>
      <vt:variant>
        <vt:i4>1245</vt:i4>
      </vt:variant>
      <vt:variant>
        <vt:i4>0</vt:i4>
      </vt:variant>
      <vt:variant>
        <vt:i4>5</vt:i4>
      </vt:variant>
      <vt:variant>
        <vt:lpwstr>https://pubmed.ncbi.nlm.nih.gov/?term=Do%20Nascimento%20S%5BAuthor%5D</vt:lpwstr>
      </vt:variant>
      <vt:variant>
        <vt:lpwstr/>
      </vt:variant>
      <vt:variant>
        <vt:i4>2228345</vt:i4>
      </vt:variant>
      <vt:variant>
        <vt:i4>1242</vt:i4>
      </vt:variant>
      <vt:variant>
        <vt:i4>0</vt:i4>
      </vt:variant>
      <vt:variant>
        <vt:i4>5</vt:i4>
      </vt:variant>
      <vt:variant>
        <vt:lpwstr>https://pubmed.ncbi.nlm.nih.gov/?term=Cavalieri%20D%5BAuthor%5D</vt:lpwstr>
      </vt:variant>
      <vt:variant>
        <vt:lpwstr/>
      </vt:variant>
      <vt:variant>
        <vt:i4>6750257</vt:i4>
      </vt:variant>
      <vt:variant>
        <vt:i4>1239</vt:i4>
      </vt:variant>
      <vt:variant>
        <vt:i4>0</vt:i4>
      </vt:variant>
      <vt:variant>
        <vt:i4>5</vt:i4>
      </vt:variant>
      <vt:variant>
        <vt:lpwstr>https://pubmed.ncbi.nlm.nih.gov/?term=Carvalho%20MF%5BAuthor%5D</vt:lpwstr>
      </vt:variant>
      <vt:variant>
        <vt:lpwstr/>
      </vt:variant>
      <vt:variant>
        <vt:i4>7471216</vt:i4>
      </vt:variant>
      <vt:variant>
        <vt:i4>1236</vt:i4>
      </vt:variant>
      <vt:variant>
        <vt:i4>0</vt:i4>
      </vt:variant>
      <vt:variant>
        <vt:i4>5</vt:i4>
      </vt:variant>
      <vt:variant>
        <vt:lpwstr>https://doi.org/10.4103%2Fjisp.jisp_217_19</vt:lpwstr>
      </vt:variant>
      <vt:variant>
        <vt:lpwstr/>
      </vt:variant>
      <vt:variant>
        <vt:i4>2031687</vt:i4>
      </vt:variant>
      <vt:variant>
        <vt:i4>1233</vt:i4>
      </vt:variant>
      <vt:variant>
        <vt:i4>0</vt:i4>
      </vt:variant>
      <vt:variant>
        <vt:i4>5</vt:i4>
      </vt:variant>
      <vt:variant>
        <vt:lpwstr>https://www.ncbi.nlm.nih.gov/pmc/articles/PMC6737856/</vt:lpwstr>
      </vt:variant>
      <vt:variant>
        <vt:lpwstr/>
      </vt:variant>
      <vt:variant>
        <vt:i4>6029318</vt:i4>
      </vt:variant>
      <vt:variant>
        <vt:i4>1230</vt:i4>
      </vt:variant>
      <vt:variant>
        <vt:i4>0</vt:i4>
      </vt:variant>
      <vt:variant>
        <vt:i4>5</vt:i4>
      </vt:variant>
      <vt:variant>
        <vt:lpwstr>https://pubmed.ncbi.nlm.nih.gov/?term=Sen%20S%5BAuthor%5D</vt:lpwstr>
      </vt:variant>
      <vt:variant>
        <vt:lpwstr/>
      </vt:variant>
      <vt:variant>
        <vt:i4>4456450</vt:i4>
      </vt:variant>
      <vt:variant>
        <vt:i4>1227</vt:i4>
      </vt:variant>
      <vt:variant>
        <vt:i4>0</vt:i4>
      </vt:variant>
      <vt:variant>
        <vt:i4>5</vt:i4>
      </vt:variant>
      <vt:variant>
        <vt:lpwstr>https://pubmed.ncbi.nlm.nih.gov/?term=Purushottam%20M%5BAuthor%5D</vt:lpwstr>
      </vt:variant>
      <vt:variant>
        <vt:lpwstr/>
      </vt:variant>
      <vt:variant>
        <vt:i4>4849677</vt:i4>
      </vt:variant>
      <vt:variant>
        <vt:i4>1224</vt:i4>
      </vt:variant>
      <vt:variant>
        <vt:i4>0</vt:i4>
      </vt:variant>
      <vt:variant>
        <vt:i4>5</vt:i4>
      </vt:variant>
      <vt:variant>
        <vt:lpwstr>https://pubmed.ncbi.nlm.nih.gov/?term=Pradeep%20A%5BAuthor%5D</vt:lpwstr>
      </vt:variant>
      <vt:variant>
        <vt:lpwstr/>
      </vt:variant>
      <vt:variant>
        <vt:i4>2818144</vt:i4>
      </vt:variant>
      <vt:variant>
        <vt:i4>1221</vt:i4>
      </vt:variant>
      <vt:variant>
        <vt:i4>0</vt:i4>
      </vt:variant>
      <vt:variant>
        <vt:i4>5</vt:i4>
      </vt:variant>
      <vt:variant>
        <vt:lpwstr>https://pubmed.ncbi.nlm.nih.gov/?term=Ballambettu%20SP%5BAuthor%5D</vt:lpwstr>
      </vt:variant>
      <vt:variant>
        <vt:lpwstr/>
      </vt:variant>
      <vt:variant>
        <vt:i4>7078008</vt:i4>
      </vt:variant>
      <vt:variant>
        <vt:i4>1218</vt:i4>
      </vt:variant>
      <vt:variant>
        <vt:i4>0</vt:i4>
      </vt:variant>
      <vt:variant>
        <vt:i4>5</vt:i4>
      </vt:variant>
      <vt:variant>
        <vt:lpwstr>https://doi.org/10.1126/science.1215418</vt:lpwstr>
      </vt:variant>
      <vt:variant>
        <vt:lpwstr/>
      </vt:variant>
      <vt:variant>
        <vt:i4>3211294</vt:i4>
      </vt:variant>
      <vt:variant>
        <vt:i4>1215</vt:i4>
      </vt:variant>
      <vt:variant>
        <vt:i4>0</vt:i4>
      </vt:variant>
      <vt:variant>
        <vt:i4>5</vt:i4>
      </vt:variant>
      <vt:variant>
        <vt:lpwstr>https://scholar.google.com/scholar_lookup?journal=Biochem+Biophys+Res+Commun&amp;title=Interleukin-33/ST2+signaling+promotes+production+of+interleukin-6+and+interleukin-8+in+systemic+inflammation+in+cigarette+smoke-induced+chronic+obstructive+pulmonary+disease+mice&amp;author=H+Wu&amp;author=S+Yang&amp;author=X+Wu&amp;author=J+Zhao&amp;author=Q+Ning&amp;volume=450&amp;publication_year=2014&amp;pages=110-116&amp;pmid=24866242&amp;doi=10.1016/j.bbrc.2014.05.073&amp;</vt:lpwstr>
      </vt:variant>
      <vt:variant>
        <vt:lpwstr/>
      </vt:variant>
      <vt:variant>
        <vt:i4>4849687</vt:i4>
      </vt:variant>
      <vt:variant>
        <vt:i4>1212</vt:i4>
      </vt:variant>
      <vt:variant>
        <vt:i4>0</vt:i4>
      </vt:variant>
      <vt:variant>
        <vt:i4>5</vt:i4>
      </vt:variant>
      <vt:variant>
        <vt:lpwstr>https://doi.org/10.1016%2Fj.bbrc.2014.05.073</vt:lpwstr>
      </vt:variant>
      <vt:variant>
        <vt:lpwstr/>
      </vt:variant>
      <vt:variant>
        <vt:i4>524303</vt:i4>
      </vt:variant>
      <vt:variant>
        <vt:i4>1209</vt:i4>
      </vt:variant>
      <vt:variant>
        <vt:i4>0</vt:i4>
      </vt:variant>
      <vt:variant>
        <vt:i4>5</vt:i4>
      </vt:variant>
      <vt:variant>
        <vt:lpwstr>https://pubmed.ncbi.nlm.nih.gov/24866242</vt:lpwstr>
      </vt:variant>
      <vt:variant>
        <vt:lpwstr/>
      </vt:variant>
      <vt:variant>
        <vt:i4>4521989</vt:i4>
      </vt:variant>
      <vt:variant>
        <vt:i4>1206</vt:i4>
      </vt:variant>
      <vt:variant>
        <vt:i4>0</vt:i4>
      </vt:variant>
      <vt:variant>
        <vt:i4>5</vt:i4>
      </vt:variant>
      <vt:variant>
        <vt:lpwstr>https://scholar.google.com/scholar_lookup?journal=Biochem+Cell+Biol&amp;title=Interleukin-33+promotes+inflammatory+cytokine+production+in+chronic+airway+inflammation&amp;author=J+Shang&amp;author=J+Zhao&amp;author=X+Wu&amp;author=Y+Xu&amp;author=J+Xie&amp;volume=93&amp;publication_year=2015&amp;pages=359-366&amp;pmid=26158865&amp;doi=10.1139/bcb-2014-0163&amp;</vt:lpwstr>
      </vt:variant>
      <vt:variant>
        <vt:lpwstr/>
      </vt:variant>
      <vt:variant>
        <vt:i4>3145855</vt:i4>
      </vt:variant>
      <vt:variant>
        <vt:i4>1203</vt:i4>
      </vt:variant>
      <vt:variant>
        <vt:i4>0</vt:i4>
      </vt:variant>
      <vt:variant>
        <vt:i4>5</vt:i4>
      </vt:variant>
      <vt:variant>
        <vt:lpwstr>https://doi.org/10.1139%2Fbcb-2014-0163</vt:lpwstr>
      </vt:variant>
      <vt:variant>
        <vt:lpwstr/>
      </vt:variant>
      <vt:variant>
        <vt:i4>262154</vt:i4>
      </vt:variant>
      <vt:variant>
        <vt:i4>1200</vt:i4>
      </vt:variant>
      <vt:variant>
        <vt:i4>0</vt:i4>
      </vt:variant>
      <vt:variant>
        <vt:i4>5</vt:i4>
      </vt:variant>
      <vt:variant>
        <vt:lpwstr>https://pubmed.ncbi.nlm.nih.gov/26158865</vt:lpwstr>
      </vt:variant>
      <vt:variant>
        <vt:lpwstr/>
      </vt:variant>
      <vt:variant>
        <vt:i4>6094866</vt:i4>
      </vt:variant>
      <vt:variant>
        <vt:i4>1197</vt:i4>
      </vt:variant>
      <vt:variant>
        <vt:i4>0</vt:i4>
      </vt:variant>
      <vt:variant>
        <vt:i4>5</vt:i4>
      </vt:variant>
      <vt:variant>
        <vt:lpwstr>https://scholar.google.com/scholar_lookup?journal=Front.+Immunol.&amp;title=IL33:+roles+in+allergic+inflammation+and+therapeutic+perspectives&amp;author=B.+C.+L.+Chan&amp;author=C.+W.+K.+Lam&amp;author=L.+S.+Tam&amp;author=C.+K.+Wong&amp;volume=10&amp;publication_year=2019&amp;pages=364&amp;pmid=30886621&amp;doi=10.3389/fimmu.2019.00364&amp;</vt:lpwstr>
      </vt:variant>
      <vt:variant>
        <vt:lpwstr/>
      </vt:variant>
      <vt:variant>
        <vt:i4>6357047</vt:i4>
      </vt:variant>
      <vt:variant>
        <vt:i4>1194</vt:i4>
      </vt:variant>
      <vt:variant>
        <vt:i4>0</vt:i4>
      </vt:variant>
      <vt:variant>
        <vt:i4>5</vt:i4>
      </vt:variant>
      <vt:variant>
        <vt:lpwstr>https://doi.org/10.3389%2Ffimmu.2019.00364</vt:lpwstr>
      </vt:variant>
      <vt:variant>
        <vt:lpwstr/>
      </vt:variant>
      <vt:variant>
        <vt:i4>327688</vt:i4>
      </vt:variant>
      <vt:variant>
        <vt:i4>1191</vt:i4>
      </vt:variant>
      <vt:variant>
        <vt:i4>0</vt:i4>
      </vt:variant>
      <vt:variant>
        <vt:i4>5</vt:i4>
      </vt:variant>
      <vt:variant>
        <vt:lpwstr>https://pubmed.ncbi.nlm.nih.gov/30886621</vt:lpwstr>
      </vt:variant>
      <vt:variant>
        <vt:lpwstr/>
      </vt:variant>
      <vt:variant>
        <vt:i4>1507403</vt:i4>
      </vt:variant>
      <vt:variant>
        <vt:i4>1188</vt:i4>
      </vt:variant>
      <vt:variant>
        <vt:i4>0</vt:i4>
      </vt:variant>
      <vt:variant>
        <vt:i4>5</vt:i4>
      </vt:variant>
      <vt:variant>
        <vt:lpwstr>https://www.ncbi.nlm.nih.gov/pmc/articles/PMC6409346/</vt:lpwstr>
      </vt:variant>
      <vt:variant>
        <vt:lpwstr/>
      </vt:variant>
      <vt:variant>
        <vt:i4>2555988</vt:i4>
      </vt:variant>
      <vt:variant>
        <vt:i4>1185</vt:i4>
      </vt:variant>
      <vt:variant>
        <vt:i4>0</vt:i4>
      </vt:variant>
      <vt:variant>
        <vt:i4>5</vt:i4>
      </vt:variant>
      <vt:variant>
        <vt:lpwstr>https://scholar.google.com/scholar_lookup?journal=Sci.+Rep.&amp;title=Interleukin+33+exacerbates+antigen+driven+airway+hyperresponsiveness,+inflammation+and+remodeling+in+a+mouse+model+of+asthma&amp;author=L.+C.+Sjoberg&amp;author=A.+Z.+Nilsson&amp;author=Y.+Lei&amp;author=J.+A.+Gregory&amp;author=M.+Adner&amp;volume=7&amp;publication_year=2017&amp;pages=4219&amp;pmid=28652606&amp;doi=10.1038/s41598-017-03674-0&amp;</vt:lpwstr>
      </vt:variant>
      <vt:variant>
        <vt:lpwstr/>
      </vt:variant>
      <vt:variant>
        <vt:i4>4194307</vt:i4>
      </vt:variant>
      <vt:variant>
        <vt:i4>1182</vt:i4>
      </vt:variant>
      <vt:variant>
        <vt:i4>0</vt:i4>
      </vt:variant>
      <vt:variant>
        <vt:i4>5</vt:i4>
      </vt:variant>
      <vt:variant>
        <vt:lpwstr>https://doi.org/10.1038%2Fs41598-017-03674-0</vt:lpwstr>
      </vt:variant>
      <vt:variant>
        <vt:lpwstr/>
      </vt:variant>
      <vt:variant>
        <vt:i4>458753</vt:i4>
      </vt:variant>
      <vt:variant>
        <vt:i4>1179</vt:i4>
      </vt:variant>
      <vt:variant>
        <vt:i4>0</vt:i4>
      </vt:variant>
      <vt:variant>
        <vt:i4>5</vt:i4>
      </vt:variant>
      <vt:variant>
        <vt:lpwstr>https://pubmed.ncbi.nlm.nih.gov/28652606</vt:lpwstr>
      </vt:variant>
      <vt:variant>
        <vt:lpwstr/>
      </vt:variant>
      <vt:variant>
        <vt:i4>1966147</vt:i4>
      </vt:variant>
      <vt:variant>
        <vt:i4>1176</vt:i4>
      </vt:variant>
      <vt:variant>
        <vt:i4>0</vt:i4>
      </vt:variant>
      <vt:variant>
        <vt:i4>5</vt:i4>
      </vt:variant>
      <vt:variant>
        <vt:lpwstr>https://www.ncbi.nlm.nih.gov/pmc/articles/PMC5484710/</vt:lpwstr>
      </vt:variant>
      <vt:variant>
        <vt:lpwstr/>
      </vt:variant>
      <vt:variant>
        <vt:i4>6946833</vt:i4>
      </vt:variant>
      <vt:variant>
        <vt:i4>1173</vt:i4>
      </vt:variant>
      <vt:variant>
        <vt:i4>0</vt:i4>
      </vt:variant>
      <vt:variant>
        <vt:i4>5</vt:i4>
      </vt:variant>
      <vt:variant>
        <vt:lpwstr>https://scholar.google.com/scholar_lookup?journal=J.+Immunol.&amp;title=IL-33-responsive+lineage-+CD25++CD44(hi)+lymphoid+cells+mediate+innate+type+2+immunity+and+allergic+inflammation+in+the+lungs&amp;author=K.+R.+Bartemes&amp;author=K.+Iijima&amp;author=T.+Kobayashi&amp;author=G.+M.+Kephart&amp;author=A.+N.+McKenzie&amp;volume=188&amp;publication_year=2012&amp;pages=1503-1513&amp;pmid=22198948&amp;doi=10.4049/jimmunol.1102832&amp;</vt:lpwstr>
      </vt:variant>
      <vt:variant>
        <vt:lpwstr/>
      </vt:variant>
      <vt:variant>
        <vt:i4>7536738</vt:i4>
      </vt:variant>
      <vt:variant>
        <vt:i4>1170</vt:i4>
      </vt:variant>
      <vt:variant>
        <vt:i4>0</vt:i4>
      </vt:variant>
      <vt:variant>
        <vt:i4>5</vt:i4>
      </vt:variant>
      <vt:variant>
        <vt:lpwstr>https://doi.org/10.4049%2Fjimmunol.1102832</vt:lpwstr>
      </vt:variant>
      <vt:variant>
        <vt:lpwstr/>
      </vt:variant>
      <vt:variant>
        <vt:i4>8</vt:i4>
      </vt:variant>
      <vt:variant>
        <vt:i4>1167</vt:i4>
      </vt:variant>
      <vt:variant>
        <vt:i4>0</vt:i4>
      </vt:variant>
      <vt:variant>
        <vt:i4>5</vt:i4>
      </vt:variant>
      <vt:variant>
        <vt:lpwstr>https://pubmed.ncbi.nlm.nih.gov/22198948</vt:lpwstr>
      </vt:variant>
      <vt:variant>
        <vt:lpwstr/>
      </vt:variant>
      <vt:variant>
        <vt:i4>1966149</vt:i4>
      </vt:variant>
      <vt:variant>
        <vt:i4>1164</vt:i4>
      </vt:variant>
      <vt:variant>
        <vt:i4>0</vt:i4>
      </vt:variant>
      <vt:variant>
        <vt:i4>5</vt:i4>
      </vt:variant>
      <vt:variant>
        <vt:lpwstr>https://www.ncbi.nlm.nih.gov/pmc/articles/PMC3262877/</vt:lpwstr>
      </vt:variant>
      <vt:variant>
        <vt:lpwstr/>
      </vt:variant>
      <vt:variant>
        <vt:i4>6750290</vt:i4>
      </vt:variant>
      <vt:variant>
        <vt:i4>1161</vt:i4>
      </vt:variant>
      <vt:variant>
        <vt:i4>0</vt:i4>
      </vt:variant>
      <vt:variant>
        <vt:i4>5</vt:i4>
      </vt:variant>
      <vt:variant>
        <vt:lpwstr>https://scholar.google.com/scholar_lookup?journal=Int.+Immunol.&amp;title=Endogenous+IL-33+enhances+Th2+cytokine+production+and+T-cell+responses+during+allergic+airway+inflammation&amp;author=J.+Louten&amp;author=A.+L.+Rankin&amp;author=Y.+Li&amp;author=E.+E.+Murphy&amp;author=M.+Beaumont&amp;volume=23&amp;publication_year=2011&amp;pages=307-315&amp;pmid=21422152&amp;doi=10.1093/intimm/dxr006&amp;</vt:lpwstr>
      </vt:variant>
      <vt:variant>
        <vt:lpwstr/>
      </vt:variant>
      <vt:variant>
        <vt:i4>524304</vt:i4>
      </vt:variant>
      <vt:variant>
        <vt:i4>1158</vt:i4>
      </vt:variant>
      <vt:variant>
        <vt:i4>0</vt:i4>
      </vt:variant>
      <vt:variant>
        <vt:i4>5</vt:i4>
      </vt:variant>
      <vt:variant>
        <vt:lpwstr>https://doi.org/10.1093%2Fintimm%2Fdxr006</vt:lpwstr>
      </vt:variant>
      <vt:variant>
        <vt:lpwstr/>
      </vt:variant>
      <vt:variant>
        <vt:i4>655366</vt:i4>
      </vt:variant>
      <vt:variant>
        <vt:i4>1155</vt:i4>
      </vt:variant>
      <vt:variant>
        <vt:i4>0</vt:i4>
      </vt:variant>
      <vt:variant>
        <vt:i4>5</vt:i4>
      </vt:variant>
      <vt:variant>
        <vt:lpwstr>https://pubmed.ncbi.nlm.nih.gov/21422152</vt:lpwstr>
      </vt:variant>
      <vt:variant>
        <vt:lpwstr/>
      </vt:variant>
      <vt:variant>
        <vt:i4>6684688</vt:i4>
      </vt:variant>
      <vt:variant>
        <vt:i4>1152</vt:i4>
      </vt:variant>
      <vt:variant>
        <vt:i4>0</vt:i4>
      </vt:variant>
      <vt:variant>
        <vt:i4>5</vt:i4>
      </vt:variant>
      <vt:variant>
        <vt:lpwstr>https://scholar.google.com/scholar_lookup?journal=Int+J+Biochem+Cell+Biol&amp;title=The+anti-atherogenic+cytokine+interleukin-33+inhibits+the+expression+of+a+disintegrin+and+metalloproteinase+with+thrombospondin+motifs-1,+%E2%88%924+and+%E2%88%925+in+human+macrophages:+requirement+of+extracellular+signal-regulated+kinase,+c-Jun+N-terminal+kinase+and+phosphoinositide+3-kinase+signaling+pathways&amp;author=TG+Ashlin&amp;author=ML+Buckley&amp;author=RC+Salter&amp;author=JL+Johnson&amp;author=AP+Kwan&amp;volume=46&amp;publication_year=2014&amp;pages=113-123&amp;pmid=24275094&amp;doi=10.1016/j.biocel.2013.11.008&amp;</vt:lpwstr>
      </vt:variant>
      <vt:variant>
        <vt:lpwstr/>
      </vt:variant>
      <vt:variant>
        <vt:i4>2228334</vt:i4>
      </vt:variant>
      <vt:variant>
        <vt:i4>1149</vt:i4>
      </vt:variant>
      <vt:variant>
        <vt:i4>0</vt:i4>
      </vt:variant>
      <vt:variant>
        <vt:i4>5</vt:i4>
      </vt:variant>
      <vt:variant>
        <vt:lpwstr>https://doi.org/10.1016%2Fj.biocel.2013.11.008</vt:lpwstr>
      </vt:variant>
      <vt:variant>
        <vt:lpwstr/>
      </vt:variant>
      <vt:variant>
        <vt:i4>851979</vt:i4>
      </vt:variant>
      <vt:variant>
        <vt:i4>1146</vt:i4>
      </vt:variant>
      <vt:variant>
        <vt:i4>0</vt:i4>
      </vt:variant>
      <vt:variant>
        <vt:i4>5</vt:i4>
      </vt:variant>
      <vt:variant>
        <vt:lpwstr>https://pubmed.ncbi.nlm.nih.gov/24275094</vt:lpwstr>
      </vt:variant>
      <vt:variant>
        <vt:lpwstr/>
      </vt:variant>
      <vt:variant>
        <vt:i4>1704010</vt:i4>
      </vt:variant>
      <vt:variant>
        <vt:i4>1143</vt:i4>
      </vt:variant>
      <vt:variant>
        <vt:i4>0</vt:i4>
      </vt:variant>
      <vt:variant>
        <vt:i4>5</vt:i4>
      </vt:variant>
      <vt:variant>
        <vt:lpwstr>https://www.ncbi.nlm.nih.gov/pmc/articles/PMC3928996/</vt:lpwstr>
      </vt:variant>
      <vt:variant>
        <vt:lpwstr/>
      </vt:variant>
      <vt:variant>
        <vt:i4>4653082</vt:i4>
      </vt:variant>
      <vt:variant>
        <vt:i4>1140</vt:i4>
      </vt:variant>
      <vt:variant>
        <vt:i4>0</vt:i4>
      </vt:variant>
      <vt:variant>
        <vt:i4>5</vt:i4>
      </vt:variant>
      <vt:variant>
        <vt:lpwstr>https://doi.org/10.1161/circresaha.110.218867</vt:lpwstr>
      </vt:variant>
      <vt:variant>
        <vt:lpwstr/>
      </vt:variant>
      <vt:variant>
        <vt:i4>2490372</vt:i4>
      </vt:variant>
      <vt:variant>
        <vt:i4>1137</vt:i4>
      </vt:variant>
      <vt:variant>
        <vt:i4>0</vt:i4>
      </vt:variant>
      <vt:variant>
        <vt:i4>5</vt:i4>
      </vt:variant>
      <vt:variant>
        <vt:lpwstr>https://pubmed.ncbi.nlm.nih.gov/?term=Liew+FY&amp;cauthor_id=20634488</vt:lpwstr>
      </vt:variant>
      <vt:variant>
        <vt:lpwstr/>
      </vt:variant>
      <vt:variant>
        <vt:i4>4653103</vt:i4>
      </vt:variant>
      <vt:variant>
        <vt:i4>1134</vt:i4>
      </vt:variant>
      <vt:variant>
        <vt:i4>0</vt:i4>
      </vt:variant>
      <vt:variant>
        <vt:i4>5</vt:i4>
      </vt:variant>
      <vt:variant>
        <vt:lpwstr>https://pubmed.ncbi.nlm.nih.gov/?term=McInnes+IB&amp;cauthor_id=20634488</vt:lpwstr>
      </vt:variant>
      <vt:variant>
        <vt:lpwstr/>
      </vt:variant>
      <vt:variant>
        <vt:i4>7274514</vt:i4>
      </vt:variant>
      <vt:variant>
        <vt:i4>1131</vt:i4>
      </vt:variant>
      <vt:variant>
        <vt:i4>0</vt:i4>
      </vt:variant>
      <vt:variant>
        <vt:i4>5</vt:i4>
      </vt:variant>
      <vt:variant>
        <vt:lpwstr>https://pubmed.ncbi.nlm.nih.gov/?term=Sattar+N&amp;cauthor_id=20634488</vt:lpwstr>
      </vt:variant>
      <vt:variant>
        <vt:lpwstr/>
      </vt:variant>
      <vt:variant>
        <vt:i4>7798796</vt:i4>
      </vt:variant>
      <vt:variant>
        <vt:i4>1128</vt:i4>
      </vt:variant>
      <vt:variant>
        <vt:i4>0</vt:i4>
      </vt:variant>
      <vt:variant>
        <vt:i4>5</vt:i4>
      </vt:variant>
      <vt:variant>
        <vt:lpwstr>https://pubmed.ncbi.nlm.nih.gov/?term=Xu+D&amp;cauthor_id=20634488</vt:lpwstr>
      </vt:variant>
      <vt:variant>
        <vt:lpwstr/>
      </vt:variant>
      <vt:variant>
        <vt:i4>2490395</vt:i4>
      </vt:variant>
      <vt:variant>
        <vt:i4>1125</vt:i4>
      </vt:variant>
      <vt:variant>
        <vt:i4>0</vt:i4>
      </vt:variant>
      <vt:variant>
        <vt:i4>5</vt:i4>
      </vt:variant>
      <vt:variant>
        <vt:lpwstr>https://pubmed.ncbi.nlm.nih.gov/?term=McKenzie+AN&amp;cauthor_id=20634488</vt:lpwstr>
      </vt:variant>
      <vt:variant>
        <vt:lpwstr/>
      </vt:variant>
      <vt:variant>
        <vt:i4>5767288</vt:i4>
      </vt:variant>
      <vt:variant>
        <vt:i4>1122</vt:i4>
      </vt:variant>
      <vt:variant>
        <vt:i4>0</vt:i4>
      </vt:variant>
      <vt:variant>
        <vt:i4>5</vt:i4>
      </vt:variant>
      <vt:variant>
        <vt:lpwstr>https://pubmed.ncbi.nlm.nih.gov/?term=Holmes+WM&amp;cauthor_id=20634488</vt:lpwstr>
      </vt:variant>
      <vt:variant>
        <vt:lpwstr/>
      </vt:variant>
      <vt:variant>
        <vt:i4>2359309</vt:i4>
      </vt:variant>
      <vt:variant>
        <vt:i4>1119</vt:i4>
      </vt:variant>
      <vt:variant>
        <vt:i4>0</vt:i4>
      </vt:variant>
      <vt:variant>
        <vt:i4>5</vt:i4>
      </vt:variant>
      <vt:variant>
        <vt:lpwstr>https://pubmed.ncbi.nlm.nih.gov/?term=Anderson+LA&amp;cauthor_id=20634488</vt:lpwstr>
      </vt:variant>
      <vt:variant>
        <vt:lpwstr/>
      </vt:variant>
      <vt:variant>
        <vt:i4>5898358</vt:i4>
      </vt:variant>
      <vt:variant>
        <vt:i4>1116</vt:i4>
      </vt:variant>
      <vt:variant>
        <vt:i4>0</vt:i4>
      </vt:variant>
      <vt:variant>
        <vt:i4>5</vt:i4>
      </vt:variant>
      <vt:variant>
        <vt:lpwstr>https://pubmed.ncbi.nlm.nih.gov/?term=Hueber+AJ&amp;cauthor_id=20634488</vt:lpwstr>
      </vt:variant>
      <vt:variant>
        <vt:lpwstr/>
      </vt:variant>
      <vt:variant>
        <vt:i4>5439530</vt:i4>
      </vt:variant>
      <vt:variant>
        <vt:i4>1113</vt:i4>
      </vt:variant>
      <vt:variant>
        <vt:i4>0</vt:i4>
      </vt:variant>
      <vt:variant>
        <vt:i4>5</vt:i4>
      </vt:variant>
      <vt:variant>
        <vt:lpwstr>https://pubmed.ncbi.nlm.nih.gov/?term=Asquith+DL&amp;cauthor_id=20634488</vt:lpwstr>
      </vt:variant>
      <vt:variant>
        <vt:lpwstr/>
      </vt:variant>
      <vt:variant>
        <vt:i4>1114205</vt:i4>
      </vt:variant>
      <vt:variant>
        <vt:i4>1110</vt:i4>
      </vt:variant>
      <vt:variant>
        <vt:i4>0</vt:i4>
      </vt:variant>
      <vt:variant>
        <vt:i4>5</vt:i4>
      </vt:variant>
      <vt:variant>
        <vt:lpwstr>https://doi.org/10.1126/</vt:lpwstr>
      </vt:variant>
      <vt:variant>
        <vt:lpwstr/>
      </vt:variant>
      <vt:variant>
        <vt:i4>1245200</vt:i4>
      </vt:variant>
      <vt:variant>
        <vt:i4>1107</vt:i4>
      </vt:variant>
      <vt:variant>
        <vt:i4>0</vt:i4>
      </vt:variant>
      <vt:variant>
        <vt:i4>5</vt:i4>
      </vt:variant>
      <vt:variant>
        <vt:lpwstr>http://scholar.google.com/scholar_lookup?hl=en&amp;volume=12&amp;publication_year=2011&amp;pages=1055-1062&amp;journal=Nat+Immunol&amp;author=JM+Mjosberg&amp;author=S+Trifari&amp;author=NK+Crellin&amp;title=Human+IL%E2%80%9025%E2%80%90+and+IL%E2%80%9033%E2%80%90responsive+type+2+innate+lymphoid+cells+are+defined+by+expression+of+CRTH2+and+CD161</vt:lpwstr>
      </vt:variant>
      <vt:variant>
        <vt:lpwstr/>
      </vt:variant>
      <vt:variant>
        <vt:i4>1835008</vt:i4>
      </vt:variant>
      <vt:variant>
        <vt:i4>1104</vt:i4>
      </vt:variant>
      <vt:variant>
        <vt:i4>0</vt:i4>
      </vt:variant>
      <vt:variant>
        <vt:i4>5</vt:i4>
      </vt:variant>
      <vt:variant>
        <vt:lpwstr>https://onlinelibrary.wiley.com/servlet/linkout?suffix=null&amp;dbid=128&amp;doi=10.1111%2Fimr.12619&amp;key=000296500100010</vt:lpwstr>
      </vt:variant>
      <vt:variant>
        <vt:lpwstr/>
      </vt:variant>
      <vt:variant>
        <vt:i4>2752567</vt:i4>
      </vt:variant>
      <vt:variant>
        <vt:i4>1101</vt:i4>
      </vt:variant>
      <vt:variant>
        <vt:i4>0</vt:i4>
      </vt:variant>
      <vt:variant>
        <vt:i4>5</vt:i4>
      </vt:variant>
      <vt:variant>
        <vt:lpwstr>https://onlinelibrary.wiley.com/servlet/linkout?suffix=null&amp;dbid=8&amp;doi=10.1111%2Fimr.12619&amp;key=21909091</vt:lpwstr>
      </vt:variant>
      <vt:variant>
        <vt:lpwstr/>
      </vt:variant>
      <vt:variant>
        <vt:i4>1048665</vt:i4>
      </vt:variant>
      <vt:variant>
        <vt:i4>1098</vt:i4>
      </vt:variant>
      <vt:variant>
        <vt:i4>0</vt:i4>
      </vt:variant>
      <vt:variant>
        <vt:i4>5</vt:i4>
      </vt:variant>
      <vt:variant>
        <vt:lpwstr>https://onlinelibrary.wiley.com/servlet/linkout?suffix=null&amp;dbid=32&amp;doi=10.1111%2Fimr.12619&amp;key=1%3ACAS%3A528%3ADC%252BC3MXhtFGntbfL</vt:lpwstr>
      </vt:variant>
      <vt:variant>
        <vt:lpwstr/>
      </vt:variant>
      <vt:variant>
        <vt:i4>1835082</vt:i4>
      </vt:variant>
      <vt:variant>
        <vt:i4>1095</vt:i4>
      </vt:variant>
      <vt:variant>
        <vt:i4>0</vt:i4>
      </vt:variant>
      <vt:variant>
        <vt:i4>5</vt:i4>
      </vt:variant>
      <vt:variant>
        <vt:lpwstr>https://onlinelibrary.wiley.com/servlet/linkout?suffix=null&amp;dbid=16&amp;doi=10.1111%2Fimr.12619&amp;key=10.1038%2Fni.2104</vt:lpwstr>
      </vt:variant>
      <vt:variant>
        <vt:lpwstr/>
      </vt:variant>
      <vt:variant>
        <vt:i4>6881326</vt:i4>
      </vt:variant>
      <vt:variant>
        <vt:i4>1092</vt:i4>
      </vt:variant>
      <vt:variant>
        <vt:i4>0</vt:i4>
      </vt:variant>
      <vt:variant>
        <vt:i4>5</vt:i4>
      </vt:variant>
      <vt:variant>
        <vt:lpwstr>http://scholar.google.com/scholar_lookup?hl=en&amp;volume=107&amp;publication_year=2010&amp;pages=11489-11494&amp;journal=Proc+Natl+Acad+Sci+USA&amp;author=AE+Price&amp;author=HE+Liang&amp;author=BM+Sullivan&amp;title=Systemically+dispersed+innate+IL%E2%80%9013%E2%80%90expressing+cells+in+type+2+immunity</vt:lpwstr>
      </vt:variant>
      <vt:variant>
        <vt:lpwstr/>
      </vt:variant>
      <vt:variant>
        <vt:i4>1966092</vt:i4>
      </vt:variant>
      <vt:variant>
        <vt:i4>1089</vt:i4>
      </vt:variant>
      <vt:variant>
        <vt:i4>0</vt:i4>
      </vt:variant>
      <vt:variant>
        <vt:i4>5</vt:i4>
      </vt:variant>
      <vt:variant>
        <vt:lpwstr>https://onlinelibrary.wiley.com/servlet/linkout?suffix=null&amp;dbid=128&amp;doi=10.1111%2Fimr.12619&amp;key=000279058000061</vt:lpwstr>
      </vt:variant>
      <vt:variant>
        <vt:lpwstr/>
      </vt:variant>
      <vt:variant>
        <vt:i4>2097200</vt:i4>
      </vt:variant>
      <vt:variant>
        <vt:i4>1086</vt:i4>
      </vt:variant>
      <vt:variant>
        <vt:i4>0</vt:i4>
      </vt:variant>
      <vt:variant>
        <vt:i4>5</vt:i4>
      </vt:variant>
      <vt:variant>
        <vt:lpwstr>https://onlinelibrary.wiley.com/servlet/linkout?suffix=null&amp;dbid=8&amp;doi=10.1111%2Fimr.12619&amp;key=20534524</vt:lpwstr>
      </vt:variant>
      <vt:variant>
        <vt:lpwstr/>
      </vt:variant>
      <vt:variant>
        <vt:i4>4194394</vt:i4>
      </vt:variant>
      <vt:variant>
        <vt:i4>1083</vt:i4>
      </vt:variant>
      <vt:variant>
        <vt:i4>0</vt:i4>
      </vt:variant>
      <vt:variant>
        <vt:i4>5</vt:i4>
      </vt:variant>
      <vt:variant>
        <vt:lpwstr>https://onlinelibrary.wiley.com/servlet/linkout?suffix=null&amp;dbid=32&amp;doi=10.1111%2Fimr.12619&amp;key=1%3ACAS%3A528%3ADC%252BC3cXot1ahurc%253D</vt:lpwstr>
      </vt:variant>
      <vt:variant>
        <vt:lpwstr/>
      </vt:variant>
      <vt:variant>
        <vt:i4>6160389</vt:i4>
      </vt:variant>
      <vt:variant>
        <vt:i4>1080</vt:i4>
      </vt:variant>
      <vt:variant>
        <vt:i4>0</vt:i4>
      </vt:variant>
      <vt:variant>
        <vt:i4>5</vt:i4>
      </vt:variant>
      <vt:variant>
        <vt:lpwstr>https://onlinelibrary.wiley.com/servlet/linkout?suffix=null&amp;dbid=16&amp;doi=10.1111%2Fimr.12619&amp;key=10.1073%2Fpnas.1003988107</vt:lpwstr>
      </vt:variant>
      <vt:variant>
        <vt:lpwstr/>
      </vt:variant>
      <vt:variant>
        <vt:i4>4325458</vt:i4>
      </vt:variant>
      <vt:variant>
        <vt:i4>1077</vt:i4>
      </vt:variant>
      <vt:variant>
        <vt:i4>0</vt:i4>
      </vt:variant>
      <vt:variant>
        <vt:i4>5</vt:i4>
      </vt:variant>
      <vt:variant>
        <vt:lpwstr>http://scholar.google.com/scholar_lookup?hl=en&amp;volume=464&amp;publication_year=2010&amp;pages=1367-1370&amp;journal=Nature&amp;author=DR+Neill&amp;author=SH+Wong&amp;author=A+Bellosi&amp;title=Nuocytes+represent+a+new+innate+effector+leukocyte+that+mediates+type%E2%80%902+immunity</vt:lpwstr>
      </vt:variant>
      <vt:variant>
        <vt:lpwstr/>
      </vt:variant>
      <vt:variant>
        <vt:i4>2031616</vt:i4>
      </vt:variant>
      <vt:variant>
        <vt:i4>1074</vt:i4>
      </vt:variant>
      <vt:variant>
        <vt:i4>0</vt:i4>
      </vt:variant>
      <vt:variant>
        <vt:i4>5</vt:i4>
      </vt:variant>
      <vt:variant>
        <vt:lpwstr>https://onlinelibrary.wiley.com/servlet/linkout?suffix=null&amp;dbid=128&amp;doi=10.1111%2Fimr.12619&amp;key=000277149000050</vt:lpwstr>
      </vt:variant>
      <vt:variant>
        <vt:lpwstr/>
      </vt:variant>
      <vt:variant>
        <vt:i4>2097203</vt:i4>
      </vt:variant>
      <vt:variant>
        <vt:i4>1071</vt:i4>
      </vt:variant>
      <vt:variant>
        <vt:i4>0</vt:i4>
      </vt:variant>
      <vt:variant>
        <vt:i4>5</vt:i4>
      </vt:variant>
      <vt:variant>
        <vt:lpwstr>https://onlinelibrary.wiley.com/servlet/linkout?suffix=null&amp;dbid=8&amp;doi=10.1111%2Fimr.12619&amp;key=20200518</vt:lpwstr>
      </vt:variant>
      <vt:variant>
        <vt:lpwstr/>
      </vt:variant>
      <vt:variant>
        <vt:i4>13</vt:i4>
      </vt:variant>
      <vt:variant>
        <vt:i4>1068</vt:i4>
      </vt:variant>
      <vt:variant>
        <vt:i4>0</vt:i4>
      </vt:variant>
      <vt:variant>
        <vt:i4>5</vt:i4>
      </vt:variant>
      <vt:variant>
        <vt:lpwstr>https://onlinelibrary.wiley.com/servlet/linkout?suffix=null&amp;dbid=32&amp;doi=10.1111%2Fimr.12619&amp;key=1%3ACAS%3A528%3ADC%252BC3cXivVCiur4%253D</vt:lpwstr>
      </vt:variant>
      <vt:variant>
        <vt:lpwstr/>
      </vt:variant>
      <vt:variant>
        <vt:i4>917594</vt:i4>
      </vt:variant>
      <vt:variant>
        <vt:i4>1065</vt:i4>
      </vt:variant>
      <vt:variant>
        <vt:i4>0</vt:i4>
      </vt:variant>
      <vt:variant>
        <vt:i4>5</vt:i4>
      </vt:variant>
      <vt:variant>
        <vt:lpwstr>https://onlinelibrary.wiley.com/servlet/linkout?suffix=null&amp;dbid=16&amp;doi=10.1111%2Fimr.12619&amp;key=10.1038%2Fnature08900</vt:lpwstr>
      </vt:variant>
      <vt:variant>
        <vt:lpwstr/>
      </vt:variant>
      <vt:variant>
        <vt:i4>2359343</vt:i4>
      </vt:variant>
      <vt:variant>
        <vt:i4>1062</vt:i4>
      </vt:variant>
      <vt:variant>
        <vt:i4>0</vt:i4>
      </vt:variant>
      <vt:variant>
        <vt:i4>5</vt:i4>
      </vt:variant>
      <vt:variant>
        <vt:lpwstr>http://scholar.google.com/scholar_lookup?hl=en&amp;volume=463&amp;publication_year=2010&amp;pages=540-544&amp;journal=Nature&amp;author=K+Moro&amp;author=T+Yamada&amp;author=M+Tanabe&amp;title=Innate+production+of+T%28H%292+cytokines+by+adipose+tissue%E2%80%90associated+c%E2%80%90Kit%28%2B%29Sca%E2%80%901%28%2B%29+lymphoid+cells</vt:lpwstr>
      </vt:variant>
      <vt:variant>
        <vt:lpwstr/>
      </vt:variant>
      <vt:variant>
        <vt:i4>1966089</vt:i4>
      </vt:variant>
      <vt:variant>
        <vt:i4>1059</vt:i4>
      </vt:variant>
      <vt:variant>
        <vt:i4>0</vt:i4>
      </vt:variant>
      <vt:variant>
        <vt:i4>5</vt:i4>
      </vt:variant>
      <vt:variant>
        <vt:lpwstr>https://onlinelibrary.wiley.com/servlet/linkout?suffix=null&amp;dbid=128&amp;doi=10.1111%2Fimr.12619&amp;key=000273981100051</vt:lpwstr>
      </vt:variant>
      <vt:variant>
        <vt:lpwstr/>
      </vt:variant>
      <vt:variant>
        <vt:i4>2293810</vt:i4>
      </vt:variant>
      <vt:variant>
        <vt:i4>1056</vt:i4>
      </vt:variant>
      <vt:variant>
        <vt:i4>0</vt:i4>
      </vt:variant>
      <vt:variant>
        <vt:i4>5</vt:i4>
      </vt:variant>
      <vt:variant>
        <vt:lpwstr>https://onlinelibrary.wiley.com/servlet/linkout?suffix=null&amp;dbid=8&amp;doi=10.1111%2Fimr.12619&amp;key=20023630</vt:lpwstr>
      </vt:variant>
      <vt:variant>
        <vt:lpwstr/>
      </vt:variant>
      <vt:variant>
        <vt:i4>1835024</vt:i4>
      </vt:variant>
      <vt:variant>
        <vt:i4>1053</vt:i4>
      </vt:variant>
      <vt:variant>
        <vt:i4>0</vt:i4>
      </vt:variant>
      <vt:variant>
        <vt:i4>5</vt:i4>
      </vt:variant>
      <vt:variant>
        <vt:lpwstr>https://onlinelibrary.wiley.com/servlet/linkout?suffix=null&amp;dbid=32&amp;doi=10.1111%2Fimr.12619&amp;key=1%3ACAS%3A528%3ADC%252BD1MXhsFyhsL3O</vt:lpwstr>
      </vt:variant>
      <vt:variant>
        <vt:lpwstr/>
      </vt:variant>
      <vt:variant>
        <vt:i4>852053</vt:i4>
      </vt:variant>
      <vt:variant>
        <vt:i4>1050</vt:i4>
      </vt:variant>
      <vt:variant>
        <vt:i4>0</vt:i4>
      </vt:variant>
      <vt:variant>
        <vt:i4>5</vt:i4>
      </vt:variant>
      <vt:variant>
        <vt:lpwstr>https://onlinelibrary.wiley.com/servlet/linkout?suffix=null&amp;dbid=16&amp;doi=10.1111%2Fimr.12619&amp;key=10.1038%2Fnature08636</vt:lpwstr>
      </vt:variant>
      <vt:variant>
        <vt:lpwstr/>
      </vt:variant>
      <vt:variant>
        <vt:i4>4194368</vt:i4>
      </vt:variant>
      <vt:variant>
        <vt:i4>1047</vt:i4>
      </vt:variant>
      <vt:variant>
        <vt:i4>0</vt:i4>
      </vt:variant>
      <vt:variant>
        <vt:i4>5</vt:i4>
      </vt:variant>
      <vt:variant>
        <vt:lpwstr>http://scholar.google.com/scholar_lookup?hl=en&amp;volume=16&amp;publication_year=2016&amp;pages=676-689&amp;journal=Nat+Rev+Immunol&amp;author=FY+Liew&amp;author=JP+Girard&amp;author=HR+Turnquist&amp;title=Interleukin%E2%80%9033+in+health+and+disease</vt:lpwstr>
      </vt:variant>
      <vt:variant>
        <vt:lpwstr/>
      </vt:variant>
      <vt:variant>
        <vt:i4>1048583</vt:i4>
      </vt:variant>
      <vt:variant>
        <vt:i4>1044</vt:i4>
      </vt:variant>
      <vt:variant>
        <vt:i4>0</vt:i4>
      </vt:variant>
      <vt:variant>
        <vt:i4>5</vt:i4>
      </vt:variant>
      <vt:variant>
        <vt:lpwstr>https://onlinelibrary.wiley.com/servlet/linkout?suffix=null&amp;dbid=128&amp;doi=10.1111%2Fimr.12619&amp;key=000387131400008</vt:lpwstr>
      </vt:variant>
      <vt:variant>
        <vt:lpwstr/>
      </vt:variant>
      <vt:variant>
        <vt:i4>2555955</vt:i4>
      </vt:variant>
      <vt:variant>
        <vt:i4>1041</vt:i4>
      </vt:variant>
      <vt:variant>
        <vt:i4>0</vt:i4>
      </vt:variant>
      <vt:variant>
        <vt:i4>5</vt:i4>
      </vt:variant>
      <vt:variant>
        <vt:lpwstr>https://onlinelibrary.wiley.com/servlet/linkout?suffix=null&amp;dbid=8&amp;doi=10.1111%2Fimr.12619&amp;key=27640624</vt:lpwstr>
      </vt:variant>
      <vt:variant>
        <vt:lpwstr/>
      </vt:variant>
      <vt:variant>
        <vt:i4>5111889</vt:i4>
      </vt:variant>
      <vt:variant>
        <vt:i4>1038</vt:i4>
      </vt:variant>
      <vt:variant>
        <vt:i4>0</vt:i4>
      </vt:variant>
      <vt:variant>
        <vt:i4>5</vt:i4>
      </vt:variant>
      <vt:variant>
        <vt:lpwstr>https://onlinelibrary.wiley.com/servlet/linkout?suffix=null&amp;dbid=32&amp;doi=10.1111%2Fimr.12619&amp;key=1%3ACAS%3A528%3ADC%252BC28XhsFamtLnJ</vt:lpwstr>
      </vt:variant>
      <vt:variant>
        <vt:lpwstr/>
      </vt:variant>
      <vt:variant>
        <vt:i4>1310737</vt:i4>
      </vt:variant>
      <vt:variant>
        <vt:i4>1035</vt:i4>
      </vt:variant>
      <vt:variant>
        <vt:i4>0</vt:i4>
      </vt:variant>
      <vt:variant>
        <vt:i4>5</vt:i4>
      </vt:variant>
      <vt:variant>
        <vt:lpwstr>https://onlinelibrary.wiley.com/servlet/linkout?suffix=null&amp;dbid=16&amp;doi=10.1111%2Fimr.12619&amp;key=10.1038%2Fnri.2016.95</vt:lpwstr>
      </vt:variant>
      <vt:variant>
        <vt:lpwstr/>
      </vt:variant>
      <vt:variant>
        <vt:i4>589835</vt:i4>
      </vt:variant>
      <vt:variant>
        <vt:i4>1032</vt:i4>
      </vt:variant>
      <vt:variant>
        <vt:i4>0</vt:i4>
      </vt:variant>
      <vt:variant>
        <vt:i4>5</vt:i4>
      </vt:variant>
      <vt:variant>
        <vt:lpwstr>http://scholar.google.com/scholar_lookup?hl=en&amp;volume=42&amp;publication_year=2015&amp;pages=1005-1019&amp;journal=Immunity&amp;author=AB+Molofsky&amp;author=AK+Savage&amp;author=RM+Locksley&amp;title=Interleukin%E2%80%9033+in+tissue+homeostasis%2C+injury%2C+and+inflammation</vt:lpwstr>
      </vt:variant>
      <vt:variant>
        <vt:lpwstr/>
      </vt:variant>
      <vt:variant>
        <vt:i4>1835023</vt:i4>
      </vt:variant>
      <vt:variant>
        <vt:i4>1029</vt:i4>
      </vt:variant>
      <vt:variant>
        <vt:i4>0</vt:i4>
      </vt:variant>
      <vt:variant>
        <vt:i4>5</vt:i4>
      </vt:variant>
      <vt:variant>
        <vt:lpwstr>https://onlinelibrary.wiley.com/servlet/linkout?suffix=null&amp;dbid=128&amp;doi=10.1111%2Fimr.12619&amp;key=000356362800008</vt:lpwstr>
      </vt:variant>
      <vt:variant>
        <vt:lpwstr/>
      </vt:variant>
      <vt:variant>
        <vt:i4>2424888</vt:i4>
      </vt:variant>
      <vt:variant>
        <vt:i4>1026</vt:i4>
      </vt:variant>
      <vt:variant>
        <vt:i4>0</vt:i4>
      </vt:variant>
      <vt:variant>
        <vt:i4>5</vt:i4>
      </vt:variant>
      <vt:variant>
        <vt:lpwstr>https://onlinelibrary.wiley.com/servlet/linkout?suffix=null&amp;dbid=8&amp;doi=10.1111%2Fimr.12619&amp;key=26084021</vt:lpwstr>
      </vt:variant>
      <vt:variant>
        <vt:lpwstr/>
      </vt:variant>
      <vt:variant>
        <vt:i4>852063</vt:i4>
      </vt:variant>
      <vt:variant>
        <vt:i4>1023</vt:i4>
      </vt:variant>
      <vt:variant>
        <vt:i4>0</vt:i4>
      </vt:variant>
      <vt:variant>
        <vt:i4>5</vt:i4>
      </vt:variant>
      <vt:variant>
        <vt:lpwstr>https://onlinelibrary.wiley.com/servlet/linkout?suffix=null&amp;dbid=32&amp;doi=10.1111%2Fimr.12619&amp;key=1%3ACAS%3A528%3ADC%252BC2MXhtF2rsb3M</vt:lpwstr>
      </vt:variant>
      <vt:variant>
        <vt:lpwstr/>
      </vt:variant>
      <vt:variant>
        <vt:i4>3604528</vt:i4>
      </vt:variant>
      <vt:variant>
        <vt:i4>1020</vt:i4>
      </vt:variant>
      <vt:variant>
        <vt:i4>0</vt:i4>
      </vt:variant>
      <vt:variant>
        <vt:i4>5</vt:i4>
      </vt:variant>
      <vt:variant>
        <vt:lpwstr>https://onlinelibrary.wiley.com/servlet/linkout?suffix=null&amp;dbid=16&amp;doi=10.1111%2Fimr.12619&amp;key=10.1016%2Fj.immuni.2015.06.006</vt:lpwstr>
      </vt:variant>
      <vt:variant>
        <vt:lpwstr/>
      </vt:variant>
      <vt:variant>
        <vt:i4>7209008</vt:i4>
      </vt:variant>
      <vt:variant>
        <vt:i4>1017</vt:i4>
      </vt:variant>
      <vt:variant>
        <vt:i4>0</vt:i4>
      </vt:variant>
      <vt:variant>
        <vt:i4>5</vt:i4>
      </vt:variant>
      <vt:variant>
        <vt:lpwstr>http://scholar.google.com/scholar_lookup?hl=en&amp;volume=31C&amp;publication_year=2014&amp;pages=31-37&amp;journal=Curr+Opin+Immunol&amp;author=C+Cayrol&amp;author=JP+Girard&amp;title=IL%E2%80%9033%3A+An+alarmin+cytokine+with+crucial+roles+in+innate+immunity%2C+inflammation+and+allergy</vt:lpwstr>
      </vt:variant>
      <vt:variant>
        <vt:lpwstr/>
      </vt:variant>
      <vt:variant>
        <vt:i4>1310721</vt:i4>
      </vt:variant>
      <vt:variant>
        <vt:i4>1014</vt:i4>
      </vt:variant>
      <vt:variant>
        <vt:i4>0</vt:i4>
      </vt:variant>
      <vt:variant>
        <vt:i4>5</vt:i4>
      </vt:variant>
      <vt:variant>
        <vt:lpwstr>https://onlinelibrary.wiley.com/servlet/linkout?suffix=null&amp;dbid=128&amp;doi=10.1111%2Fimr.12619&amp;key=000347136200007</vt:lpwstr>
      </vt:variant>
      <vt:variant>
        <vt:lpwstr/>
      </vt:variant>
      <vt:variant>
        <vt:i4>4980808</vt:i4>
      </vt:variant>
      <vt:variant>
        <vt:i4>1011</vt:i4>
      </vt:variant>
      <vt:variant>
        <vt:i4>0</vt:i4>
      </vt:variant>
      <vt:variant>
        <vt:i4>5</vt:i4>
      </vt:variant>
      <vt:variant>
        <vt:lpwstr>https://onlinelibrary.wiley.com/servlet/linkout?suffix=null&amp;dbid=32&amp;doi=10.1111%2Fimr.12619&amp;key=1%3ACAS%3A528%3ADC%252BC2cXhs1WjsbfM</vt:lpwstr>
      </vt:variant>
      <vt:variant>
        <vt:lpwstr/>
      </vt:variant>
      <vt:variant>
        <vt:i4>3145841</vt:i4>
      </vt:variant>
      <vt:variant>
        <vt:i4>1008</vt:i4>
      </vt:variant>
      <vt:variant>
        <vt:i4>0</vt:i4>
      </vt:variant>
      <vt:variant>
        <vt:i4>5</vt:i4>
      </vt:variant>
      <vt:variant>
        <vt:lpwstr>https://onlinelibrary.wiley.com/servlet/linkout?suffix=null&amp;dbid=16&amp;doi=10.1111%2Fimr.12619&amp;key=10.1016%2Fj.coi.2014.09.004</vt:lpwstr>
      </vt:variant>
      <vt:variant>
        <vt:lpwstr/>
      </vt:variant>
      <vt:variant>
        <vt:i4>4980821</vt:i4>
      </vt:variant>
      <vt:variant>
        <vt:i4>1005</vt:i4>
      </vt:variant>
      <vt:variant>
        <vt:i4>0</vt:i4>
      </vt:variant>
      <vt:variant>
        <vt:i4>5</vt:i4>
      </vt:variant>
      <vt:variant>
        <vt:lpwstr>http://scholar.google.com/scholar_lookup?hl=en&amp;volume=62&amp;publication_year=2013&amp;pages=1714-1723&amp;journal=Gut&amp;author=MA+Sedhom&amp;author=M+Pichery&amp;author=JR+Murdoch&amp;title=Neutralisation+of+the+interleukin%E2%80%9033%2FST2+pathway+ameliorates+experimental+colitis+through+enhancement+of+mucosal+healing+in+mice</vt:lpwstr>
      </vt:variant>
      <vt:variant>
        <vt:lpwstr/>
      </vt:variant>
      <vt:variant>
        <vt:i4>1376260</vt:i4>
      </vt:variant>
      <vt:variant>
        <vt:i4>1002</vt:i4>
      </vt:variant>
      <vt:variant>
        <vt:i4>0</vt:i4>
      </vt:variant>
      <vt:variant>
        <vt:i4>5</vt:i4>
      </vt:variant>
      <vt:variant>
        <vt:lpwstr>https://onlinelibrary.wiley.com/servlet/linkout?suffix=null&amp;dbid=128&amp;doi=10.1111%2Fimr.12619&amp;key=000326877200008</vt:lpwstr>
      </vt:variant>
      <vt:variant>
        <vt:lpwstr/>
      </vt:variant>
      <vt:variant>
        <vt:i4>2687034</vt:i4>
      </vt:variant>
      <vt:variant>
        <vt:i4>999</vt:i4>
      </vt:variant>
      <vt:variant>
        <vt:i4>0</vt:i4>
      </vt:variant>
      <vt:variant>
        <vt:i4>5</vt:i4>
      </vt:variant>
      <vt:variant>
        <vt:lpwstr>https://onlinelibrary.wiley.com/servlet/linkout?suffix=null&amp;dbid=8&amp;doi=10.1111%2Fimr.12619&amp;key=23172891</vt:lpwstr>
      </vt:variant>
      <vt:variant>
        <vt:lpwstr/>
      </vt:variant>
      <vt:variant>
        <vt:i4>5963861</vt:i4>
      </vt:variant>
      <vt:variant>
        <vt:i4>996</vt:i4>
      </vt:variant>
      <vt:variant>
        <vt:i4>0</vt:i4>
      </vt:variant>
      <vt:variant>
        <vt:i4>5</vt:i4>
      </vt:variant>
      <vt:variant>
        <vt:lpwstr>https://onlinelibrary.wiley.com/servlet/linkout?suffix=null&amp;dbid=32&amp;doi=10.1111%2Fimr.12619&amp;key=1%3ACAS%3A528%3ADC%252BC3sXhvFymt7%252FO</vt:lpwstr>
      </vt:variant>
      <vt:variant>
        <vt:lpwstr/>
      </vt:variant>
      <vt:variant>
        <vt:i4>1572959</vt:i4>
      </vt:variant>
      <vt:variant>
        <vt:i4>993</vt:i4>
      </vt:variant>
      <vt:variant>
        <vt:i4>0</vt:i4>
      </vt:variant>
      <vt:variant>
        <vt:i4>5</vt:i4>
      </vt:variant>
      <vt:variant>
        <vt:lpwstr>https://onlinelibrary.wiley.com/servlet/linkout?suffix=null&amp;dbid=16&amp;doi=10.1111%2Fimr.12619&amp;key=10.1136%2Fgutjnl-2011-301785</vt:lpwstr>
      </vt:variant>
      <vt:variant>
        <vt:lpwstr/>
      </vt:variant>
      <vt:variant>
        <vt:i4>5439562</vt:i4>
      </vt:variant>
      <vt:variant>
        <vt:i4>990</vt:i4>
      </vt:variant>
      <vt:variant>
        <vt:i4>0</vt:i4>
      </vt:variant>
      <vt:variant>
        <vt:i4>5</vt:i4>
      </vt:variant>
      <vt:variant>
        <vt:lpwstr>http://scholar.google.com/scholar_lookup?hl=en&amp;volume=15&amp;publication_year=2016&amp;pages=1743-1756&amp;journal=Cell+Rep&amp;author=M+Mahapatro&amp;author=S+Foersch&amp;author=M+Hefele&amp;title=Programming+of+intestinal+epithelial+differentiation+by+IL%E2%80%9033+derived+from+pericryptal+fibroblasts+in+response+to+systemic+infection</vt:lpwstr>
      </vt:variant>
      <vt:variant>
        <vt:lpwstr/>
      </vt:variant>
      <vt:variant>
        <vt:i4>1310720</vt:i4>
      </vt:variant>
      <vt:variant>
        <vt:i4>987</vt:i4>
      </vt:variant>
      <vt:variant>
        <vt:i4>0</vt:i4>
      </vt:variant>
      <vt:variant>
        <vt:i4>5</vt:i4>
      </vt:variant>
      <vt:variant>
        <vt:lpwstr>https://onlinelibrary.wiley.com/servlet/linkout?suffix=null&amp;dbid=128&amp;doi=10.1111%2Fimr.12619&amp;key=000376654500011</vt:lpwstr>
      </vt:variant>
      <vt:variant>
        <vt:lpwstr/>
      </vt:variant>
      <vt:variant>
        <vt:i4>2228273</vt:i4>
      </vt:variant>
      <vt:variant>
        <vt:i4>984</vt:i4>
      </vt:variant>
      <vt:variant>
        <vt:i4>0</vt:i4>
      </vt:variant>
      <vt:variant>
        <vt:i4>5</vt:i4>
      </vt:variant>
      <vt:variant>
        <vt:lpwstr>https://onlinelibrary.wiley.com/servlet/linkout?suffix=null&amp;dbid=8&amp;doi=10.1111%2Fimr.12619&amp;key=27184849</vt:lpwstr>
      </vt:variant>
      <vt:variant>
        <vt:lpwstr/>
      </vt:variant>
      <vt:variant>
        <vt:i4>6160410</vt:i4>
      </vt:variant>
      <vt:variant>
        <vt:i4>981</vt:i4>
      </vt:variant>
      <vt:variant>
        <vt:i4>0</vt:i4>
      </vt:variant>
      <vt:variant>
        <vt:i4>5</vt:i4>
      </vt:variant>
      <vt:variant>
        <vt:lpwstr>https://onlinelibrary.wiley.com/servlet/linkout?suffix=null&amp;dbid=32&amp;doi=10.1111%2Fimr.12619&amp;key=1%3ACAS%3A528%3ADC%252BC28XnvV2kurs%253D</vt:lpwstr>
      </vt:variant>
      <vt:variant>
        <vt:lpwstr/>
      </vt:variant>
      <vt:variant>
        <vt:i4>2883639</vt:i4>
      </vt:variant>
      <vt:variant>
        <vt:i4>978</vt:i4>
      </vt:variant>
      <vt:variant>
        <vt:i4>0</vt:i4>
      </vt:variant>
      <vt:variant>
        <vt:i4>5</vt:i4>
      </vt:variant>
      <vt:variant>
        <vt:lpwstr>https://onlinelibrary.wiley.com/servlet/linkout?suffix=null&amp;dbid=16&amp;doi=10.1111%2Fimr.12619&amp;key=10.1016%2Fj.celrep.2016.04.049</vt:lpwstr>
      </vt:variant>
      <vt:variant>
        <vt:lpwstr/>
      </vt:variant>
      <vt:variant>
        <vt:i4>3801130</vt:i4>
      </vt:variant>
      <vt:variant>
        <vt:i4>975</vt:i4>
      </vt:variant>
      <vt:variant>
        <vt:i4>0</vt:i4>
      </vt:variant>
      <vt:variant>
        <vt:i4>5</vt:i4>
      </vt:variant>
      <vt:variant>
        <vt:lpwstr>http://scholar.google.com/scholar_lookup?hl=en&amp;volume=112&amp;publication_year=2015&amp;pages=E2487-E2496&amp;journal=Proc+Natl+Acad+Sci+USA&amp;author=RL+Maywald&amp;author=SK+Doerner&amp;author=L+Pastorelli&amp;title=IL%E2%80%9033+activates+tumor+stroma+to+promote+intestinal+polyposis</vt:lpwstr>
      </vt:variant>
      <vt:variant>
        <vt:lpwstr/>
      </vt:variant>
      <vt:variant>
        <vt:i4>1179661</vt:i4>
      </vt:variant>
      <vt:variant>
        <vt:i4>972</vt:i4>
      </vt:variant>
      <vt:variant>
        <vt:i4>0</vt:i4>
      </vt:variant>
      <vt:variant>
        <vt:i4>5</vt:i4>
      </vt:variant>
      <vt:variant>
        <vt:lpwstr>https://onlinelibrary.wiley.com/servlet/linkout?suffix=null&amp;dbid=128&amp;doi=10.1111%2Fimr.12619&amp;key=000354390600014</vt:lpwstr>
      </vt:variant>
      <vt:variant>
        <vt:lpwstr/>
      </vt:variant>
      <vt:variant>
        <vt:i4>2424881</vt:i4>
      </vt:variant>
      <vt:variant>
        <vt:i4>969</vt:i4>
      </vt:variant>
      <vt:variant>
        <vt:i4>0</vt:i4>
      </vt:variant>
      <vt:variant>
        <vt:i4>5</vt:i4>
      </vt:variant>
      <vt:variant>
        <vt:lpwstr>https://onlinelibrary.wiley.com/servlet/linkout?suffix=null&amp;dbid=8&amp;doi=10.1111%2Fimr.12619&amp;key=25918379</vt:lpwstr>
      </vt:variant>
      <vt:variant>
        <vt:lpwstr/>
      </vt:variant>
      <vt:variant>
        <vt:i4>1638480</vt:i4>
      </vt:variant>
      <vt:variant>
        <vt:i4>966</vt:i4>
      </vt:variant>
      <vt:variant>
        <vt:i4>0</vt:i4>
      </vt:variant>
      <vt:variant>
        <vt:i4>5</vt:i4>
      </vt:variant>
      <vt:variant>
        <vt:lpwstr>https://onlinelibrary.wiley.com/servlet/linkout?suffix=null&amp;dbid=32&amp;doi=10.1111%2Fimr.12619&amp;key=1%3ACAS%3A528%3ADC%252BC2MXntFCitrk%253D</vt:lpwstr>
      </vt:variant>
      <vt:variant>
        <vt:lpwstr/>
      </vt:variant>
      <vt:variant>
        <vt:i4>6094860</vt:i4>
      </vt:variant>
      <vt:variant>
        <vt:i4>963</vt:i4>
      </vt:variant>
      <vt:variant>
        <vt:i4>0</vt:i4>
      </vt:variant>
      <vt:variant>
        <vt:i4>5</vt:i4>
      </vt:variant>
      <vt:variant>
        <vt:lpwstr>https://onlinelibrary.wiley.com/servlet/linkout?suffix=null&amp;dbid=16&amp;doi=10.1111%2Fimr.12619&amp;key=10.1073%2Fpnas.1422445112</vt:lpwstr>
      </vt:variant>
      <vt:variant>
        <vt:lpwstr/>
      </vt:variant>
      <vt:variant>
        <vt:i4>6160456</vt:i4>
      </vt:variant>
      <vt:variant>
        <vt:i4>960</vt:i4>
      </vt:variant>
      <vt:variant>
        <vt:i4>0</vt:i4>
      </vt:variant>
      <vt:variant>
        <vt:i4>5</vt:i4>
      </vt:variant>
      <vt:variant>
        <vt:lpwstr>http://scholar.google.com/scholar_lookup?hl=en&amp;volume=21&amp;publication_year=2015&amp;pages=543-557&amp;journal=Cell+Metab&amp;author=D+Kolodin&amp;author=N+Panhuys&amp;author=C+Li&amp;title=Antigen%E2%80%90+and+cytokine%E2%80%90driven+accumulation+of+regulatory+T+cells+in+visceral+adipose+tissue+of+lean+mice</vt:lpwstr>
      </vt:variant>
      <vt:variant>
        <vt:lpwstr/>
      </vt:variant>
      <vt:variant>
        <vt:i4>1048588</vt:i4>
      </vt:variant>
      <vt:variant>
        <vt:i4>957</vt:i4>
      </vt:variant>
      <vt:variant>
        <vt:i4>0</vt:i4>
      </vt:variant>
      <vt:variant>
        <vt:i4>5</vt:i4>
      </vt:variant>
      <vt:variant>
        <vt:lpwstr>https://onlinelibrary.wiley.com/servlet/linkout?suffix=null&amp;dbid=128&amp;doi=10.1111%2Fimr.12619&amp;key=000352500800010</vt:lpwstr>
      </vt:variant>
      <vt:variant>
        <vt:lpwstr/>
      </vt:variant>
      <vt:variant>
        <vt:i4>2883639</vt:i4>
      </vt:variant>
      <vt:variant>
        <vt:i4>954</vt:i4>
      </vt:variant>
      <vt:variant>
        <vt:i4>0</vt:i4>
      </vt:variant>
      <vt:variant>
        <vt:i4>5</vt:i4>
      </vt:variant>
      <vt:variant>
        <vt:lpwstr>https://onlinelibrary.wiley.com/servlet/linkout?suffix=null&amp;dbid=8&amp;doi=10.1111%2Fimr.12619&amp;key=25863247</vt:lpwstr>
      </vt:variant>
      <vt:variant>
        <vt:lpwstr/>
      </vt:variant>
      <vt:variant>
        <vt:i4>5636096</vt:i4>
      </vt:variant>
      <vt:variant>
        <vt:i4>951</vt:i4>
      </vt:variant>
      <vt:variant>
        <vt:i4>0</vt:i4>
      </vt:variant>
      <vt:variant>
        <vt:i4>5</vt:i4>
      </vt:variant>
      <vt:variant>
        <vt:lpwstr>https://onlinelibrary.wiley.com/servlet/linkout?suffix=null&amp;dbid=32&amp;doi=10.1111%2Fimr.12619&amp;key=1%3ACAS%3A528%3ADC%252BC2MXlsVKqt74%253D</vt:lpwstr>
      </vt:variant>
      <vt:variant>
        <vt:lpwstr/>
      </vt:variant>
      <vt:variant>
        <vt:i4>5832796</vt:i4>
      </vt:variant>
      <vt:variant>
        <vt:i4>948</vt:i4>
      </vt:variant>
      <vt:variant>
        <vt:i4>0</vt:i4>
      </vt:variant>
      <vt:variant>
        <vt:i4>5</vt:i4>
      </vt:variant>
      <vt:variant>
        <vt:lpwstr>https://onlinelibrary.wiley.com/servlet/linkout?suffix=null&amp;dbid=16&amp;doi=10.1111%2Fimr.12619&amp;key=10.1016%2Fj.cmet.2015.03.005</vt:lpwstr>
      </vt:variant>
      <vt:variant>
        <vt:lpwstr/>
      </vt:variant>
      <vt:variant>
        <vt:i4>3932204</vt:i4>
      </vt:variant>
      <vt:variant>
        <vt:i4>945</vt:i4>
      </vt:variant>
      <vt:variant>
        <vt:i4>0</vt:i4>
      </vt:variant>
      <vt:variant>
        <vt:i4>5</vt:i4>
      </vt:variant>
      <vt:variant>
        <vt:lpwstr>http://scholar.google.com/scholar_lookup?hl=en&amp;volume=135&amp;publication_year=2015&amp;pages=1771-1780&amp;journal=J+Invest+Dermatol&amp;author=O+Sundnes&amp;author=W+Pietka&amp;author=T+Loos&amp;title=Epidermal+expression+and+regulation+of+interleukin%E2%80%9033+during+homeostasis+and+inflammation%3A+Strong+species+differences</vt:lpwstr>
      </vt:variant>
      <vt:variant>
        <vt:lpwstr/>
      </vt:variant>
      <vt:variant>
        <vt:i4>851992</vt:i4>
      </vt:variant>
      <vt:variant>
        <vt:i4>942</vt:i4>
      </vt:variant>
      <vt:variant>
        <vt:i4>0</vt:i4>
      </vt:variant>
      <vt:variant>
        <vt:i4>5</vt:i4>
      </vt:variant>
      <vt:variant>
        <vt:lpwstr>https://onlinelibrary.wiley.com/servlet/linkout?suffix=null&amp;dbid=16&amp;doi=10.1111%2Fimr.12619&amp;key=10.1038%2Fjid.2015.85</vt:lpwstr>
      </vt:variant>
      <vt:variant>
        <vt:lpwstr/>
      </vt:variant>
      <vt:variant>
        <vt:i4>7667746</vt:i4>
      </vt:variant>
      <vt:variant>
        <vt:i4>939</vt:i4>
      </vt:variant>
      <vt:variant>
        <vt:i4>0</vt:i4>
      </vt:variant>
      <vt:variant>
        <vt:i4>5</vt:i4>
      </vt:variant>
      <vt:variant>
        <vt:lpwstr>http://scholar.google.com/scholar_lookup?hl=en&amp;volume=7&amp;publication_year=2012&amp;pages=e52252&amp;journal=PLoS+ONE&amp;author=MS+Salker&amp;author=J+Nautiyal&amp;author=JH+Steel&amp;title=Disordered+IL%E2%80%9033%2FST2+activation+in+decidualizing+stromal+cells+prolongs+uterine+receptivity+in+women+with+recurrent+pregnancy+loss</vt:lpwstr>
      </vt:variant>
      <vt:variant>
        <vt:lpwstr/>
      </vt:variant>
      <vt:variant>
        <vt:i4>1376261</vt:i4>
      </vt:variant>
      <vt:variant>
        <vt:i4>936</vt:i4>
      </vt:variant>
      <vt:variant>
        <vt:i4>0</vt:i4>
      </vt:variant>
      <vt:variant>
        <vt:i4>5</vt:i4>
      </vt:variant>
      <vt:variant>
        <vt:lpwstr>https://onlinelibrary.wiley.com/servlet/linkout?suffix=null&amp;dbid=128&amp;doi=10.1111%2Fimr.12619&amp;key=000312829100035</vt:lpwstr>
      </vt:variant>
      <vt:variant>
        <vt:lpwstr/>
      </vt:variant>
      <vt:variant>
        <vt:i4>2228275</vt:i4>
      </vt:variant>
      <vt:variant>
        <vt:i4>933</vt:i4>
      </vt:variant>
      <vt:variant>
        <vt:i4>0</vt:i4>
      </vt:variant>
      <vt:variant>
        <vt:i4>5</vt:i4>
      </vt:variant>
      <vt:variant>
        <vt:lpwstr>https://onlinelibrary.wiley.com/servlet/linkout?suffix=null&amp;dbid=8&amp;doi=10.1111%2Fimr.12619&amp;key=23300625</vt:lpwstr>
      </vt:variant>
      <vt:variant>
        <vt:lpwstr/>
      </vt:variant>
      <vt:variant>
        <vt:i4>1507400</vt:i4>
      </vt:variant>
      <vt:variant>
        <vt:i4>930</vt:i4>
      </vt:variant>
      <vt:variant>
        <vt:i4>0</vt:i4>
      </vt:variant>
      <vt:variant>
        <vt:i4>5</vt:i4>
      </vt:variant>
      <vt:variant>
        <vt:lpwstr>https://onlinelibrary.wiley.com/servlet/linkout?suffix=null&amp;dbid=32&amp;doi=10.1111%2Fimr.12619&amp;key=1%3ACAS%3A528%3ADC%252BC3sXmvFGhtA%253D%253D</vt:lpwstr>
      </vt:variant>
      <vt:variant>
        <vt:lpwstr/>
      </vt:variant>
      <vt:variant>
        <vt:i4>3014699</vt:i4>
      </vt:variant>
      <vt:variant>
        <vt:i4>927</vt:i4>
      </vt:variant>
      <vt:variant>
        <vt:i4>0</vt:i4>
      </vt:variant>
      <vt:variant>
        <vt:i4>5</vt:i4>
      </vt:variant>
      <vt:variant>
        <vt:lpwstr>https://onlinelibrary.wiley.com/servlet/linkout?suffix=null&amp;dbid=16&amp;doi=10.1111%2Fimr.12619&amp;key=10.1371%2Fjournal.pone.0052252</vt:lpwstr>
      </vt:variant>
      <vt:variant>
        <vt:lpwstr/>
      </vt:variant>
      <vt:variant>
        <vt:i4>2162784</vt:i4>
      </vt:variant>
      <vt:variant>
        <vt:i4>924</vt:i4>
      </vt:variant>
      <vt:variant>
        <vt:i4>0</vt:i4>
      </vt:variant>
      <vt:variant>
        <vt:i4>5</vt:i4>
      </vt:variant>
      <vt:variant>
        <vt:lpwstr>http://scholar.google.com/scholar_lookup?hl=en&amp;volume=130&amp;publication_year=2012&amp;pages=e11&amp;journal=J+Allergy+Clin+Immunol&amp;issue=184%E2%80%9394&amp;author=Y+Haenuki&amp;author=K+Matsushita&amp;author=S+Futatsugi%E2%80%90Yumikura&amp;title=A+critical+role+of+IL%E2%80%9033+in+experimental+allergic+rhinitis</vt:lpwstr>
      </vt:variant>
      <vt:variant>
        <vt:lpwstr/>
      </vt:variant>
      <vt:variant>
        <vt:i4>2621495</vt:i4>
      </vt:variant>
      <vt:variant>
        <vt:i4>921</vt:i4>
      </vt:variant>
      <vt:variant>
        <vt:i4>0</vt:i4>
      </vt:variant>
      <vt:variant>
        <vt:i4>5</vt:i4>
      </vt:variant>
      <vt:variant>
        <vt:lpwstr>http://scholar.google.com/scholar_lookup?hl=en&amp;volume=188&amp;publication_year=2012&amp;pages=3488-3495&amp;journal=J+Immunol&amp;author=M+Pichery&amp;author=E+Mirey&amp;author=P+Mercier&amp;title=Endogenous+IL%E2%80%9033+is+highly+expressed+in+mouse+epithelial+barrier+tissues%2C+lymphoid+organs%2C+brain%2C+embryos%2C+and+inflamed+tissues.+In+situ+analysis+using+a+novel+Il%E2%80%9033%E2%80%90LacZ+gene+trap+reporter+strain</vt:lpwstr>
      </vt:variant>
      <vt:variant>
        <vt:lpwstr/>
      </vt:variant>
      <vt:variant>
        <vt:i4>1245189</vt:i4>
      </vt:variant>
      <vt:variant>
        <vt:i4>918</vt:i4>
      </vt:variant>
      <vt:variant>
        <vt:i4>0</vt:i4>
      </vt:variant>
      <vt:variant>
        <vt:i4>5</vt:i4>
      </vt:variant>
      <vt:variant>
        <vt:lpwstr>https://onlinelibrary.wiley.com/servlet/linkout?suffix=null&amp;dbid=128&amp;doi=10.1111%2Fimr.12619&amp;key=000302150300062</vt:lpwstr>
      </vt:variant>
      <vt:variant>
        <vt:lpwstr/>
      </vt:variant>
      <vt:variant>
        <vt:i4>2621488</vt:i4>
      </vt:variant>
      <vt:variant>
        <vt:i4>915</vt:i4>
      </vt:variant>
      <vt:variant>
        <vt:i4>0</vt:i4>
      </vt:variant>
      <vt:variant>
        <vt:i4>5</vt:i4>
      </vt:variant>
      <vt:variant>
        <vt:lpwstr>https://onlinelibrary.wiley.com/servlet/linkout?suffix=null&amp;dbid=8&amp;doi=10.1111%2Fimr.12619&amp;key=22371395</vt:lpwstr>
      </vt:variant>
      <vt:variant>
        <vt:lpwstr/>
      </vt:variant>
      <vt:variant>
        <vt:i4>4325466</vt:i4>
      </vt:variant>
      <vt:variant>
        <vt:i4>912</vt:i4>
      </vt:variant>
      <vt:variant>
        <vt:i4>0</vt:i4>
      </vt:variant>
      <vt:variant>
        <vt:i4>5</vt:i4>
      </vt:variant>
      <vt:variant>
        <vt:lpwstr>https://onlinelibrary.wiley.com/servlet/linkout?suffix=null&amp;dbid=32&amp;doi=10.1111%2Fimr.12619&amp;key=1%3ACAS%3A528%3ADC%252BC38XksVOltLk%253D</vt:lpwstr>
      </vt:variant>
      <vt:variant>
        <vt:lpwstr/>
      </vt:variant>
      <vt:variant>
        <vt:i4>8126526</vt:i4>
      </vt:variant>
      <vt:variant>
        <vt:i4>909</vt:i4>
      </vt:variant>
      <vt:variant>
        <vt:i4>0</vt:i4>
      </vt:variant>
      <vt:variant>
        <vt:i4>5</vt:i4>
      </vt:variant>
      <vt:variant>
        <vt:lpwstr>https://onlinelibrary.wiley.com/servlet/linkout?suffix=null&amp;dbid=16&amp;doi=10.1111%2Fimr.12619&amp;key=10.4049%2Fjimmunol.1101977</vt:lpwstr>
      </vt:variant>
      <vt:variant>
        <vt:lpwstr/>
      </vt:variant>
      <vt:variant>
        <vt:i4>3932267</vt:i4>
      </vt:variant>
      <vt:variant>
        <vt:i4>906</vt:i4>
      </vt:variant>
      <vt:variant>
        <vt:i4>0</vt:i4>
      </vt:variant>
      <vt:variant>
        <vt:i4>5</vt:i4>
      </vt:variant>
      <vt:variant>
        <vt:lpwstr>http://scholar.google.com/scholar_lookup?hl=en&amp;volume=3&amp;publication_year=2008&amp;pages=e3331&amp;journal=PLoS+ONE&amp;author=C+Moussion&amp;author=N+Ortega&amp;author=JP+Girard&amp;title=The+IL%E2%80%901%E2%80%90like+cytokine+IL%E2%80%9033+is+constitutively+expressed+in+the+nucleus+of+endothelial+cells+and+epithelial+cells+in+vivo%3A+A+novel+%E2%80%98alarmin%E2%80%99%3F</vt:lpwstr>
      </vt:variant>
      <vt:variant>
        <vt:lpwstr/>
      </vt:variant>
      <vt:variant>
        <vt:i4>1441799</vt:i4>
      </vt:variant>
      <vt:variant>
        <vt:i4>903</vt:i4>
      </vt:variant>
      <vt:variant>
        <vt:i4>0</vt:i4>
      </vt:variant>
      <vt:variant>
        <vt:i4>5</vt:i4>
      </vt:variant>
      <vt:variant>
        <vt:lpwstr>https://onlinelibrary.wiley.com/servlet/linkout?suffix=null&amp;dbid=128&amp;doi=10.1111%2Fimr.12619&amp;key=000265113500002</vt:lpwstr>
      </vt:variant>
      <vt:variant>
        <vt:lpwstr/>
      </vt:variant>
      <vt:variant>
        <vt:i4>2883640</vt:i4>
      </vt:variant>
      <vt:variant>
        <vt:i4>900</vt:i4>
      </vt:variant>
      <vt:variant>
        <vt:i4>0</vt:i4>
      </vt:variant>
      <vt:variant>
        <vt:i4>5</vt:i4>
      </vt:variant>
      <vt:variant>
        <vt:lpwstr>https://onlinelibrary.wiley.com/servlet/linkout?suffix=null&amp;dbid=8&amp;doi=10.1111%2Fimr.12619&amp;key=18836528</vt:lpwstr>
      </vt:variant>
      <vt:variant>
        <vt:lpwstr/>
      </vt:variant>
      <vt:variant>
        <vt:i4>5570633</vt:i4>
      </vt:variant>
      <vt:variant>
        <vt:i4>897</vt:i4>
      </vt:variant>
      <vt:variant>
        <vt:i4>0</vt:i4>
      </vt:variant>
      <vt:variant>
        <vt:i4>5</vt:i4>
      </vt:variant>
      <vt:variant>
        <vt:lpwstr>https://onlinelibrary.wiley.com/servlet/linkout?suffix=null&amp;dbid=32&amp;doi=10.1111%2Fimr.12619&amp;key=1%3ACAS%3A528%3ADC%252BD1cXht1ygtrjN</vt:lpwstr>
      </vt:variant>
      <vt:variant>
        <vt:lpwstr/>
      </vt:variant>
      <vt:variant>
        <vt:i4>2687020</vt:i4>
      </vt:variant>
      <vt:variant>
        <vt:i4>894</vt:i4>
      </vt:variant>
      <vt:variant>
        <vt:i4>0</vt:i4>
      </vt:variant>
      <vt:variant>
        <vt:i4>5</vt:i4>
      </vt:variant>
      <vt:variant>
        <vt:lpwstr>https://onlinelibrary.wiley.com/servlet/linkout?suffix=null&amp;dbid=16&amp;doi=10.1111%2Fimr.12619&amp;key=10.1371%2Fjournal.pone.0003331</vt:lpwstr>
      </vt:variant>
      <vt:variant>
        <vt:lpwstr/>
      </vt:variant>
      <vt:variant>
        <vt:i4>589848</vt:i4>
      </vt:variant>
      <vt:variant>
        <vt:i4>891</vt:i4>
      </vt:variant>
      <vt:variant>
        <vt:i4>0</vt:i4>
      </vt:variant>
      <vt:variant>
        <vt:i4>5</vt:i4>
      </vt:variant>
      <vt:variant>
        <vt:lpwstr>https://doi.org/10.3389/fendo.2019.00026</vt:lpwstr>
      </vt:variant>
      <vt:variant>
        <vt:lpwstr/>
      </vt:variant>
      <vt:variant>
        <vt:i4>6684688</vt:i4>
      </vt:variant>
      <vt:variant>
        <vt:i4>888</vt:i4>
      </vt:variant>
      <vt:variant>
        <vt:i4>0</vt:i4>
      </vt:variant>
      <vt:variant>
        <vt:i4>5</vt:i4>
      </vt:variant>
      <vt:variant>
        <vt:lpwstr>https://scholar.google.com/scholar_lookup?journal=Int+J+Biochem+Cell+Biol&amp;title=The+anti-atherogenic+cytokine+interleukin-33+inhibits+the+expression+of+a+disintegrin+and+metalloproteinase+with+thrombospondin+motifs-1,+%E2%88%924+and+%E2%88%925+in+human+macrophages:+requirement+of+extracellular+signal-regulated+kinase,+c-Jun+N-terminal+kinase+and+phosphoinositide+3-kinase+signaling+pathways&amp;author=TG+Ashlin&amp;author=ML+Buckley&amp;author=RC+Salter&amp;author=JL+Johnson&amp;author=AP+Kwan&amp;volume=46&amp;publication_year=2014&amp;pages=113-123&amp;pmid=24275094&amp;doi=10.1016/j.biocel.2013.11.008&amp;</vt:lpwstr>
      </vt:variant>
      <vt:variant>
        <vt:lpwstr/>
      </vt:variant>
      <vt:variant>
        <vt:i4>2228334</vt:i4>
      </vt:variant>
      <vt:variant>
        <vt:i4>885</vt:i4>
      </vt:variant>
      <vt:variant>
        <vt:i4>0</vt:i4>
      </vt:variant>
      <vt:variant>
        <vt:i4>5</vt:i4>
      </vt:variant>
      <vt:variant>
        <vt:lpwstr>https://doi.org/10.1016%2Fj.biocel.2013.11.008</vt:lpwstr>
      </vt:variant>
      <vt:variant>
        <vt:lpwstr/>
      </vt:variant>
      <vt:variant>
        <vt:i4>851979</vt:i4>
      </vt:variant>
      <vt:variant>
        <vt:i4>882</vt:i4>
      </vt:variant>
      <vt:variant>
        <vt:i4>0</vt:i4>
      </vt:variant>
      <vt:variant>
        <vt:i4>5</vt:i4>
      </vt:variant>
      <vt:variant>
        <vt:lpwstr>https://pubmed.ncbi.nlm.nih.gov/24275094</vt:lpwstr>
      </vt:variant>
      <vt:variant>
        <vt:lpwstr/>
      </vt:variant>
      <vt:variant>
        <vt:i4>1704010</vt:i4>
      </vt:variant>
      <vt:variant>
        <vt:i4>879</vt:i4>
      </vt:variant>
      <vt:variant>
        <vt:i4>0</vt:i4>
      </vt:variant>
      <vt:variant>
        <vt:i4>5</vt:i4>
      </vt:variant>
      <vt:variant>
        <vt:lpwstr>https://www.ncbi.nlm.nih.gov/pmc/articles/PMC3928996/</vt:lpwstr>
      </vt:variant>
      <vt:variant>
        <vt:lpwstr/>
      </vt:variant>
      <vt:variant>
        <vt:i4>3801172</vt:i4>
      </vt:variant>
      <vt:variant>
        <vt:i4>876</vt:i4>
      </vt:variant>
      <vt:variant>
        <vt:i4>0</vt:i4>
      </vt:variant>
      <vt:variant>
        <vt:i4>5</vt:i4>
      </vt:variant>
      <vt:variant>
        <vt:lpwstr>https://scholar.google.com/scholar_lookup?journal=Arterioscler+Thromb+Vasc+Biol&amp;title=Interleukin-33+induces+expression+of+adhesion+molecules+and+inflammatory+activation+in+human+endothelial+cells+and+in+human+atherosclerotic+plaques&amp;author=S+Demyanets&amp;author=V+Konya&amp;author=SP+Kastl&amp;author=C+Kaun&amp;author=S+Rauscher&amp;volume=31&amp;publication_year=2011&amp;pages=2080-2089&amp;pmid=21737781&amp;doi=10.1161/ATVBAHA.111.231431&amp;</vt:lpwstr>
      </vt:variant>
      <vt:variant>
        <vt:lpwstr/>
      </vt:variant>
      <vt:variant>
        <vt:i4>79</vt:i4>
      </vt:variant>
      <vt:variant>
        <vt:i4>873</vt:i4>
      </vt:variant>
      <vt:variant>
        <vt:i4>0</vt:i4>
      </vt:variant>
      <vt:variant>
        <vt:i4>5</vt:i4>
      </vt:variant>
      <vt:variant>
        <vt:lpwstr>https://doi.org/10.1161%2FATVBAHA.111.231431</vt:lpwstr>
      </vt:variant>
      <vt:variant>
        <vt:lpwstr/>
      </vt:variant>
      <vt:variant>
        <vt:i4>917517</vt:i4>
      </vt:variant>
      <vt:variant>
        <vt:i4>870</vt:i4>
      </vt:variant>
      <vt:variant>
        <vt:i4>0</vt:i4>
      </vt:variant>
      <vt:variant>
        <vt:i4>5</vt:i4>
      </vt:variant>
      <vt:variant>
        <vt:lpwstr>https://pubmed.ncbi.nlm.nih.gov/21737781</vt:lpwstr>
      </vt:variant>
      <vt:variant>
        <vt:lpwstr/>
      </vt:variant>
      <vt:variant>
        <vt:i4>3276902</vt:i4>
      </vt:variant>
      <vt:variant>
        <vt:i4>867</vt:i4>
      </vt:variant>
      <vt:variant>
        <vt:i4>0</vt:i4>
      </vt:variant>
      <vt:variant>
        <vt:i4>5</vt:i4>
      </vt:variant>
      <vt:variant>
        <vt:lpwstr>https://scholar.google.com/scholar_lookup?journal=Cytokine&amp;title=Effects+of+interleukin-33+on+cardiac+fibroblast+gene+expression+and+activity&amp;author=J+Zhu&amp;author=W+Carver&amp;volume=58&amp;publication_year=2012&amp;pages=368-379&amp;pmid=22445500&amp;doi=10.1016/j.cyto.2012.02.008&amp;</vt:lpwstr>
      </vt:variant>
      <vt:variant>
        <vt:lpwstr/>
      </vt:variant>
      <vt:variant>
        <vt:i4>5308433</vt:i4>
      </vt:variant>
      <vt:variant>
        <vt:i4>864</vt:i4>
      </vt:variant>
      <vt:variant>
        <vt:i4>0</vt:i4>
      </vt:variant>
      <vt:variant>
        <vt:i4>5</vt:i4>
      </vt:variant>
      <vt:variant>
        <vt:lpwstr>https://doi.org/10.1016%2Fj.cyto.2012.02.008</vt:lpwstr>
      </vt:variant>
      <vt:variant>
        <vt:lpwstr/>
      </vt:variant>
      <vt:variant>
        <vt:i4>589828</vt:i4>
      </vt:variant>
      <vt:variant>
        <vt:i4>861</vt:i4>
      </vt:variant>
      <vt:variant>
        <vt:i4>0</vt:i4>
      </vt:variant>
      <vt:variant>
        <vt:i4>5</vt:i4>
      </vt:variant>
      <vt:variant>
        <vt:lpwstr>https://pubmed.ncbi.nlm.nih.gov/22445500</vt:lpwstr>
      </vt:variant>
      <vt:variant>
        <vt:lpwstr/>
      </vt:variant>
      <vt:variant>
        <vt:i4>1179717</vt:i4>
      </vt:variant>
      <vt:variant>
        <vt:i4>858</vt:i4>
      </vt:variant>
      <vt:variant>
        <vt:i4>0</vt:i4>
      </vt:variant>
      <vt:variant>
        <vt:i4>5</vt:i4>
      </vt:variant>
      <vt:variant>
        <vt:lpwstr>https://www.ncbi.nlm.nih.gov/pmc/articles/PMC4060276/</vt:lpwstr>
      </vt:variant>
      <vt:variant>
        <vt:lpwstr/>
      </vt:variant>
      <vt:variant>
        <vt:i4>7077922</vt:i4>
      </vt:variant>
      <vt:variant>
        <vt:i4>855</vt:i4>
      </vt:variant>
      <vt:variant>
        <vt:i4>0</vt:i4>
      </vt:variant>
      <vt:variant>
        <vt:i4>5</vt:i4>
      </vt:variant>
      <vt:variant>
        <vt:lpwstr>https://scholar.google.com/scholar_lookup?journal=Proteomics&amp;title=Quantitative+phosphoproteomic+analysis+of+IL-33-mediated+signaling&amp;author=SM+Pinto&amp;author=RS+Nirujogi&amp;author=PL+Rojas&amp;author=AH+Patil&amp;author=SS+Manda&amp;volume=15&amp;publication_year=2015&amp;pages=532-544&amp;pmid=25367039&amp;doi=10.1002/pmic.201400303&amp;</vt:lpwstr>
      </vt:variant>
      <vt:variant>
        <vt:lpwstr/>
      </vt:variant>
      <vt:variant>
        <vt:i4>4325465</vt:i4>
      </vt:variant>
      <vt:variant>
        <vt:i4>852</vt:i4>
      </vt:variant>
      <vt:variant>
        <vt:i4>0</vt:i4>
      </vt:variant>
      <vt:variant>
        <vt:i4>5</vt:i4>
      </vt:variant>
      <vt:variant>
        <vt:lpwstr>https://doi.org/10.1002%2Fpmic.201400303</vt:lpwstr>
      </vt:variant>
      <vt:variant>
        <vt:lpwstr/>
      </vt:variant>
      <vt:variant>
        <vt:i4>2</vt:i4>
      </vt:variant>
      <vt:variant>
        <vt:i4>849</vt:i4>
      </vt:variant>
      <vt:variant>
        <vt:i4>0</vt:i4>
      </vt:variant>
      <vt:variant>
        <vt:i4>5</vt:i4>
      </vt:variant>
      <vt:variant>
        <vt:lpwstr>https://pubmed.ncbi.nlm.nih.gov/25367039</vt:lpwstr>
      </vt:variant>
      <vt:variant>
        <vt:lpwstr/>
      </vt:variant>
      <vt:variant>
        <vt:i4>1179722</vt:i4>
      </vt:variant>
      <vt:variant>
        <vt:i4>846</vt:i4>
      </vt:variant>
      <vt:variant>
        <vt:i4>0</vt:i4>
      </vt:variant>
      <vt:variant>
        <vt:i4>5</vt:i4>
      </vt:variant>
      <vt:variant>
        <vt:lpwstr>https://www.ncbi.nlm.nih.gov/pmc/articles/PMC4528959/</vt:lpwstr>
      </vt:variant>
      <vt:variant>
        <vt:lpwstr/>
      </vt:variant>
      <vt:variant>
        <vt:i4>2359368</vt:i4>
      </vt:variant>
      <vt:variant>
        <vt:i4>843</vt:i4>
      </vt:variant>
      <vt:variant>
        <vt:i4>0</vt:i4>
      </vt:variant>
      <vt:variant>
        <vt:i4>5</vt:i4>
      </vt:variant>
      <vt:variant>
        <vt:lpwstr>https://scholar.google.com/scholar_lookup?journal=Oncogene&amp;title=Interleukin-33/ST2+axis+promotes+epithelial+cell+transformation+and+breast+tumorigenesis+via+upregulation+of+COT+activity&amp;author=JY+Kim&amp;author=SC+Lim&amp;author=G+Kim&amp;author=HJ+Yun&amp;author=SG+Ahn&amp;volume=34&amp;publication_year=2015&amp;pages=4928-4938&amp;pmid=25531326&amp;doi=10.1038/onc.2014.418&amp;</vt:lpwstr>
      </vt:variant>
      <vt:variant>
        <vt:lpwstr/>
      </vt:variant>
      <vt:variant>
        <vt:i4>3407984</vt:i4>
      </vt:variant>
      <vt:variant>
        <vt:i4>840</vt:i4>
      </vt:variant>
      <vt:variant>
        <vt:i4>0</vt:i4>
      </vt:variant>
      <vt:variant>
        <vt:i4>5</vt:i4>
      </vt:variant>
      <vt:variant>
        <vt:lpwstr>https://doi.org/10.1038%2Fonc.2014.418</vt:lpwstr>
      </vt:variant>
      <vt:variant>
        <vt:lpwstr/>
      </vt:variant>
      <vt:variant>
        <vt:i4>589827</vt:i4>
      </vt:variant>
      <vt:variant>
        <vt:i4>837</vt:i4>
      </vt:variant>
      <vt:variant>
        <vt:i4>0</vt:i4>
      </vt:variant>
      <vt:variant>
        <vt:i4>5</vt:i4>
      </vt:variant>
      <vt:variant>
        <vt:lpwstr>https://pubmed.ncbi.nlm.nih.gov/25531326</vt:lpwstr>
      </vt:variant>
      <vt:variant>
        <vt:lpwstr/>
      </vt:variant>
      <vt:variant>
        <vt:i4>7864377</vt:i4>
      </vt:variant>
      <vt:variant>
        <vt:i4>834</vt:i4>
      </vt:variant>
      <vt:variant>
        <vt:i4>0</vt:i4>
      </vt:variant>
      <vt:variant>
        <vt:i4>5</vt:i4>
      </vt:variant>
      <vt:variant>
        <vt:lpwstr>https://scholar.google.com/scholar_lookup?journal=Blood&amp;title=The+receptor+tyrosine+kinase+c-kit+controls+IL-33+receptor+signaling+in+mast+cells&amp;author=S+Drube&amp;author=S+Heink&amp;author=S+Walter&amp;author=T+Lohn&amp;author=M+Grusser&amp;volume=115&amp;publication_year=2010&amp;pages=3899-3906&amp;pmid=20200353&amp;doi=10.1182/blood-2009-10-247411&amp;</vt:lpwstr>
      </vt:variant>
      <vt:variant>
        <vt:lpwstr/>
      </vt:variant>
      <vt:variant>
        <vt:i4>8192041</vt:i4>
      </vt:variant>
      <vt:variant>
        <vt:i4>831</vt:i4>
      </vt:variant>
      <vt:variant>
        <vt:i4>0</vt:i4>
      </vt:variant>
      <vt:variant>
        <vt:i4>5</vt:i4>
      </vt:variant>
      <vt:variant>
        <vt:lpwstr>https://doi.org/10.1182%2Fblood-2009-10-247411</vt:lpwstr>
      </vt:variant>
      <vt:variant>
        <vt:lpwstr/>
      </vt:variant>
      <vt:variant>
        <vt:i4>655362</vt:i4>
      </vt:variant>
      <vt:variant>
        <vt:i4>828</vt:i4>
      </vt:variant>
      <vt:variant>
        <vt:i4>0</vt:i4>
      </vt:variant>
      <vt:variant>
        <vt:i4>5</vt:i4>
      </vt:variant>
      <vt:variant>
        <vt:lpwstr>https://pubmed.ncbi.nlm.nih.gov/20200353</vt:lpwstr>
      </vt:variant>
      <vt:variant>
        <vt:lpwstr/>
      </vt:variant>
      <vt:variant>
        <vt:i4>6815746</vt:i4>
      </vt:variant>
      <vt:variant>
        <vt:i4>825</vt:i4>
      </vt:variant>
      <vt:variant>
        <vt:i4>0</vt:i4>
      </vt:variant>
      <vt:variant>
        <vt:i4>5</vt:i4>
      </vt:variant>
      <vt:variant>
        <vt:lpwstr>https://scholar.google.com/scholar_lookup?journal=Cell+Signal&amp;title=JAK2+is+an+important+signal+transducer+in+IL-33-induced+NF-kappaB+activation&amp;author=M+Funakoshi-Tago&amp;author=K+Tago&amp;author=Y+Sato&amp;author=S+Tominaga&amp;author=T+Kasahara&amp;volume=23&amp;publication_year=2011&amp;pages=363-370&amp;pmid=20940045&amp;doi=10.1016/j.cellsig.2010.10.006&amp;</vt:lpwstr>
      </vt:variant>
      <vt:variant>
        <vt:lpwstr/>
      </vt:variant>
      <vt:variant>
        <vt:i4>3211314</vt:i4>
      </vt:variant>
      <vt:variant>
        <vt:i4>822</vt:i4>
      </vt:variant>
      <vt:variant>
        <vt:i4>0</vt:i4>
      </vt:variant>
      <vt:variant>
        <vt:i4>5</vt:i4>
      </vt:variant>
      <vt:variant>
        <vt:lpwstr>https://doi.org/10.1016%2Fj.cellsig.2010.10.006</vt:lpwstr>
      </vt:variant>
      <vt:variant>
        <vt:lpwstr/>
      </vt:variant>
      <vt:variant>
        <vt:i4>720904</vt:i4>
      </vt:variant>
      <vt:variant>
        <vt:i4>819</vt:i4>
      </vt:variant>
      <vt:variant>
        <vt:i4>0</vt:i4>
      </vt:variant>
      <vt:variant>
        <vt:i4>5</vt:i4>
      </vt:variant>
      <vt:variant>
        <vt:lpwstr>https://pubmed.ncbi.nlm.nih.gov/20940045</vt:lpwstr>
      </vt:variant>
      <vt:variant>
        <vt:lpwstr/>
      </vt:variant>
      <vt:variant>
        <vt:i4>3539027</vt:i4>
      </vt:variant>
      <vt:variant>
        <vt:i4>816</vt:i4>
      </vt:variant>
      <vt:variant>
        <vt:i4>0</vt:i4>
      </vt:variant>
      <vt:variant>
        <vt:i4>5</vt:i4>
      </vt:variant>
      <vt:variant>
        <vt:lpwstr>https://scholar.google.com/scholar_lookup?journal=J+Bone+Miner+Res&amp;title=Interleukin-33+is+expressed+in+differentiated+osteoblasts+and+blocks+osteoclast+formation+from+bone+marrow+precursor+cells&amp;author=J+Schulze&amp;author=T+Bickert&amp;author=FT+Beil&amp;author=MM+Zaiss&amp;author=J+Albers&amp;volume=26&amp;publication_year=2011&amp;pages=704-717&amp;pmid=20939024&amp;doi=10.1002/jbmr.269&amp;</vt:lpwstr>
      </vt:variant>
      <vt:variant>
        <vt:lpwstr/>
      </vt:variant>
      <vt:variant>
        <vt:i4>6553717</vt:i4>
      </vt:variant>
      <vt:variant>
        <vt:i4>813</vt:i4>
      </vt:variant>
      <vt:variant>
        <vt:i4>0</vt:i4>
      </vt:variant>
      <vt:variant>
        <vt:i4>5</vt:i4>
      </vt:variant>
      <vt:variant>
        <vt:lpwstr>https://doi.org/10.1002%2Fjbmr.269</vt:lpwstr>
      </vt:variant>
      <vt:variant>
        <vt:lpwstr/>
      </vt:variant>
      <vt:variant>
        <vt:i4>851975</vt:i4>
      </vt:variant>
      <vt:variant>
        <vt:i4>810</vt:i4>
      </vt:variant>
      <vt:variant>
        <vt:i4>0</vt:i4>
      </vt:variant>
      <vt:variant>
        <vt:i4>5</vt:i4>
      </vt:variant>
      <vt:variant>
        <vt:lpwstr>https://pubmed.ncbi.nlm.nih.gov/20939024</vt:lpwstr>
      </vt:variant>
      <vt:variant>
        <vt:lpwstr/>
      </vt:variant>
      <vt:variant>
        <vt:i4>4063293</vt:i4>
      </vt:variant>
      <vt:variant>
        <vt:i4>807</vt:i4>
      </vt:variant>
      <vt:variant>
        <vt:i4>0</vt:i4>
      </vt:variant>
      <vt:variant>
        <vt:i4>5</vt:i4>
      </vt:variant>
      <vt:variant>
        <vt:lpwstr>https://scholar.google.com/scholar_lookup?journal=Am+J+Pathol&amp;title=Osteoprotective+effects+of+IL-33/ST2+link+to+osteoclast+apoptosis&amp;author=IL+Lima&amp;author=S+Macari&amp;author=MF+Madeira&amp;author=LF+Rodrigues&amp;author=PM+Colavite&amp;volume=185&amp;publication_year=2015&amp;pages=3338-3348&amp;pmid=26598236&amp;doi=10.1016/j.ajpath.2015.08.013&amp;</vt:lpwstr>
      </vt:variant>
      <vt:variant>
        <vt:lpwstr/>
      </vt:variant>
      <vt:variant>
        <vt:i4>2424933</vt:i4>
      </vt:variant>
      <vt:variant>
        <vt:i4>804</vt:i4>
      </vt:variant>
      <vt:variant>
        <vt:i4>0</vt:i4>
      </vt:variant>
      <vt:variant>
        <vt:i4>5</vt:i4>
      </vt:variant>
      <vt:variant>
        <vt:lpwstr>https://doi.org/10.1016%2Fj.ajpath.2015.08.013</vt:lpwstr>
      </vt:variant>
      <vt:variant>
        <vt:lpwstr/>
      </vt:variant>
      <vt:variant>
        <vt:i4>65547</vt:i4>
      </vt:variant>
      <vt:variant>
        <vt:i4>801</vt:i4>
      </vt:variant>
      <vt:variant>
        <vt:i4>0</vt:i4>
      </vt:variant>
      <vt:variant>
        <vt:i4>5</vt:i4>
      </vt:variant>
      <vt:variant>
        <vt:lpwstr>https://pubmed.ncbi.nlm.nih.gov/26598236</vt:lpwstr>
      </vt:variant>
      <vt:variant>
        <vt:lpwstr/>
      </vt:variant>
      <vt:variant>
        <vt:i4>3604549</vt:i4>
      </vt:variant>
      <vt:variant>
        <vt:i4>798</vt:i4>
      </vt:variant>
      <vt:variant>
        <vt:i4>0</vt:i4>
      </vt:variant>
      <vt:variant>
        <vt:i4>5</vt:i4>
      </vt:variant>
      <vt:variant>
        <vt:lpwstr>https://scholar.google.com/scholar_lookup?journal=Cell+Mol+Life+Sci&amp;title=Interleukin-33+stimulates+formation+of+functional+osteoclasts+from+human+CD14(+)+monocytes&amp;author=SH+Mun&amp;author=NY+Ko&amp;author=HS+Kim&amp;author=JW+Kim&amp;author=K+Kim+do&amp;volume=67&amp;publication_year=2010&amp;pages=3883-3892&amp;pmid=20532808&amp;doi=10.1007/s00018-010-0410-y&amp;</vt:lpwstr>
      </vt:variant>
      <vt:variant>
        <vt:lpwstr/>
      </vt:variant>
      <vt:variant>
        <vt:i4>7012392</vt:i4>
      </vt:variant>
      <vt:variant>
        <vt:i4>795</vt:i4>
      </vt:variant>
      <vt:variant>
        <vt:i4>0</vt:i4>
      </vt:variant>
      <vt:variant>
        <vt:i4>5</vt:i4>
      </vt:variant>
      <vt:variant>
        <vt:lpwstr>https://doi.org/10.1007%2Fs00018-010-0410-y</vt:lpwstr>
      </vt:variant>
      <vt:variant>
        <vt:lpwstr/>
      </vt:variant>
      <vt:variant>
        <vt:i4>589826</vt:i4>
      </vt:variant>
      <vt:variant>
        <vt:i4>792</vt:i4>
      </vt:variant>
      <vt:variant>
        <vt:i4>0</vt:i4>
      </vt:variant>
      <vt:variant>
        <vt:i4>5</vt:i4>
      </vt:variant>
      <vt:variant>
        <vt:lpwstr>https://pubmed.ncbi.nlm.nih.gov/20532808</vt:lpwstr>
      </vt:variant>
      <vt:variant>
        <vt:lpwstr/>
      </vt:variant>
      <vt:variant>
        <vt:i4>1966157</vt:i4>
      </vt:variant>
      <vt:variant>
        <vt:i4>789</vt:i4>
      </vt:variant>
      <vt:variant>
        <vt:i4>0</vt:i4>
      </vt:variant>
      <vt:variant>
        <vt:i4>5</vt:i4>
      </vt:variant>
      <vt:variant>
        <vt:lpwstr>https://www.ncbi.nlm.nih.gov/pmc/articles/PMC3399252/</vt:lpwstr>
      </vt:variant>
      <vt:variant>
        <vt:lpwstr/>
      </vt:variant>
      <vt:variant>
        <vt:i4>2359307</vt:i4>
      </vt:variant>
      <vt:variant>
        <vt:i4>786</vt:i4>
      </vt:variant>
      <vt:variant>
        <vt:i4>0</vt:i4>
      </vt:variant>
      <vt:variant>
        <vt:i4>5</vt:i4>
      </vt:variant>
      <vt:variant>
        <vt:lpwstr>https://scholar.google.com/scholar_lookup?journal=Blood&amp;title=Interleukin-33+induces+angiogenesis+and+vascular+permeability+through+ST2/TRAF6-mediated+endothelial+nitric+oxide+production&amp;author=YS+Choi&amp;author=HJ+Choi&amp;author=JK+Min&amp;author=BJ+Pyun&amp;author=YS+Maeng&amp;volume=114&amp;publication_year=2009&amp;pages=3117-3126&amp;pmid=19661270&amp;doi=10.1182/blood-2009-02-203372&amp;</vt:lpwstr>
      </vt:variant>
      <vt:variant>
        <vt:lpwstr/>
      </vt:variant>
      <vt:variant>
        <vt:i4>8126505</vt:i4>
      </vt:variant>
      <vt:variant>
        <vt:i4>783</vt:i4>
      </vt:variant>
      <vt:variant>
        <vt:i4>0</vt:i4>
      </vt:variant>
      <vt:variant>
        <vt:i4>5</vt:i4>
      </vt:variant>
      <vt:variant>
        <vt:lpwstr>https://doi.org/10.1182%2Fblood-2009-02-203372</vt:lpwstr>
      </vt:variant>
      <vt:variant>
        <vt:lpwstr/>
      </vt:variant>
      <vt:variant>
        <vt:i4>458758</vt:i4>
      </vt:variant>
      <vt:variant>
        <vt:i4>780</vt:i4>
      </vt:variant>
      <vt:variant>
        <vt:i4>0</vt:i4>
      </vt:variant>
      <vt:variant>
        <vt:i4>5</vt:i4>
      </vt:variant>
      <vt:variant>
        <vt:lpwstr>https://pubmed.ncbi.nlm.nih.gov/19661270</vt:lpwstr>
      </vt:variant>
      <vt:variant>
        <vt:lpwstr/>
      </vt:variant>
      <vt:variant>
        <vt:i4>3342408</vt:i4>
      </vt:variant>
      <vt:variant>
        <vt:i4>777</vt:i4>
      </vt:variant>
      <vt:variant>
        <vt:i4>0</vt:i4>
      </vt:variant>
      <vt:variant>
        <vt:i4>5</vt:i4>
      </vt:variant>
      <vt:variant>
        <vt:lpwstr>https://scholar.google.com/scholar_lookup?journal=J+Immunol&amp;title=MK2/3+are+pivotal+for+IL-33-induced+and+mast+cell-dependent+leukocyte+recruitment+and+the+resulting+skin+inflammation&amp;author=S+Drube&amp;author=F+Kraft&amp;author=J+Dudeck&amp;author=AL+Muller&amp;author=F+Weber&amp;volume=197&amp;publication_year=2016&amp;pages=3662-3668&amp;pmid=27694493&amp;doi=10.4049/jimmunol.1600658&amp;</vt:lpwstr>
      </vt:variant>
      <vt:variant>
        <vt:lpwstr/>
      </vt:variant>
      <vt:variant>
        <vt:i4>7798881</vt:i4>
      </vt:variant>
      <vt:variant>
        <vt:i4>774</vt:i4>
      </vt:variant>
      <vt:variant>
        <vt:i4>0</vt:i4>
      </vt:variant>
      <vt:variant>
        <vt:i4>5</vt:i4>
      </vt:variant>
      <vt:variant>
        <vt:lpwstr>https://doi.org/10.4049%2Fjimmunol.1600658</vt:lpwstr>
      </vt:variant>
      <vt:variant>
        <vt:lpwstr/>
      </vt:variant>
      <vt:variant>
        <vt:i4>196622</vt:i4>
      </vt:variant>
      <vt:variant>
        <vt:i4>771</vt:i4>
      </vt:variant>
      <vt:variant>
        <vt:i4>0</vt:i4>
      </vt:variant>
      <vt:variant>
        <vt:i4>5</vt:i4>
      </vt:variant>
      <vt:variant>
        <vt:lpwstr>https://pubmed.ncbi.nlm.nih.gov/27694493</vt:lpwstr>
      </vt:variant>
      <vt:variant>
        <vt:lpwstr/>
      </vt:variant>
      <vt:variant>
        <vt:i4>7667816</vt:i4>
      </vt:variant>
      <vt:variant>
        <vt:i4>768</vt:i4>
      </vt:variant>
      <vt:variant>
        <vt:i4>0</vt:i4>
      </vt:variant>
      <vt:variant>
        <vt:i4>5</vt:i4>
      </vt:variant>
      <vt:variant>
        <vt:lpwstr>https://scholar.google.com/scholar_lookup?journal=Cell+Signal&amp;title=TRAF6+is+a+critical+signal+transducer+in+IL-33+signaling+pathway&amp;author=M+Funakoshi-Tago&amp;author=K+Tago&amp;author=M+Hayakawa&amp;author=S+Tominaga&amp;author=T+Ohshio&amp;volume=20&amp;publication_year=2008&amp;pages=1679-1686&amp;pmid=18603409&amp;doi=10.1016/j.cellsig.2008.05.013&amp;</vt:lpwstr>
      </vt:variant>
      <vt:variant>
        <vt:lpwstr/>
      </vt:variant>
      <vt:variant>
        <vt:i4>3735606</vt:i4>
      </vt:variant>
      <vt:variant>
        <vt:i4>765</vt:i4>
      </vt:variant>
      <vt:variant>
        <vt:i4>0</vt:i4>
      </vt:variant>
      <vt:variant>
        <vt:i4>5</vt:i4>
      </vt:variant>
      <vt:variant>
        <vt:lpwstr>https://doi.org/10.1016%2Fj.cellsig.2008.05.013</vt:lpwstr>
      </vt:variant>
      <vt:variant>
        <vt:lpwstr/>
      </vt:variant>
      <vt:variant>
        <vt:i4>983043</vt:i4>
      </vt:variant>
      <vt:variant>
        <vt:i4>762</vt:i4>
      </vt:variant>
      <vt:variant>
        <vt:i4>0</vt:i4>
      </vt:variant>
      <vt:variant>
        <vt:i4>5</vt:i4>
      </vt:variant>
      <vt:variant>
        <vt:lpwstr>https://pubmed.ncbi.nlm.nih.gov/18603409</vt:lpwstr>
      </vt:variant>
      <vt:variant>
        <vt:lpwstr/>
      </vt:variant>
      <vt:variant>
        <vt:i4>7471223</vt:i4>
      </vt:variant>
      <vt:variant>
        <vt:i4>759</vt:i4>
      </vt:variant>
      <vt:variant>
        <vt:i4>0</vt:i4>
      </vt:variant>
      <vt:variant>
        <vt:i4>5</vt:i4>
      </vt:variant>
      <vt:variant>
        <vt:lpwstr>https://scholar.google.com/scholar_lookup?journal=Biochem+Biophys+Res+Commun&amp;title=Tissue+distribution+and+subcellular+localization+of+a+variant+form+of+the+human+ST2+gene+product,+ST2V&amp;author=K+Tago&amp;volume=285&amp;publication_year=2001&amp;pages=1377-1383&amp;pmid=11478810&amp;</vt:lpwstr>
      </vt:variant>
      <vt:variant>
        <vt:lpwstr/>
      </vt:variant>
      <vt:variant>
        <vt:i4>87</vt:i4>
      </vt:variant>
      <vt:variant>
        <vt:i4>756</vt:i4>
      </vt:variant>
      <vt:variant>
        <vt:i4>0</vt:i4>
      </vt:variant>
      <vt:variant>
        <vt:i4>5</vt:i4>
      </vt:variant>
      <vt:variant>
        <vt:lpwstr>https://www.ncbi.nlm.nih.gov/pubmed/11478810</vt:lpwstr>
      </vt:variant>
      <vt:variant>
        <vt:lpwstr/>
      </vt:variant>
      <vt:variant>
        <vt:i4>7995476</vt:i4>
      </vt:variant>
      <vt:variant>
        <vt:i4>753</vt:i4>
      </vt:variant>
      <vt:variant>
        <vt:i4>0</vt:i4>
      </vt:variant>
      <vt:variant>
        <vt:i4>5</vt:i4>
      </vt:variant>
      <vt:variant>
        <vt:lpwstr>https://scholar.google.com/scholar_lookup?journal=Biochem+Biophys+Res+Commun&amp;title=Expression+of+ST2,+an+interleukin-1+receptor+homologue,+is+induced+by+proinflammatory+stimuli&amp;author=S+Kumar&amp;author=MN+Tzimas&amp;author=DE+Griswold&amp;author=PR+Young&amp;volume=235&amp;publication_year=1997&amp;pages=474-478&amp;pmid=9207179&amp;</vt:lpwstr>
      </vt:variant>
      <vt:variant>
        <vt:lpwstr/>
      </vt:variant>
      <vt:variant>
        <vt:i4>3932259</vt:i4>
      </vt:variant>
      <vt:variant>
        <vt:i4>750</vt:i4>
      </vt:variant>
      <vt:variant>
        <vt:i4>0</vt:i4>
      </vt:variant>
      <vt:variant>
        <vt:i4>5</vt:i4>
      </vt:variant>
      <vt:variant>
        <vt:lpwstr>https://www.ncbi.nlm.nih.gov/pubmed/9207179</vt:lpwstr>
      </vt:variant>
      <vt:variant>
        <vt:lpwstr/>
      </vt:variant>
      <vt:variant>
        <vt:i4>72</vt:i4>
      </vt:variant>
      <vt:variant>
        <vt:i4>747</vt:i4>
      </vt:variant>
      <vt:variant>
        <vt:i4>0</vt:i4>
      </vt:variant>
      <vt:variant>
        <vt:i4>5</vt:i4>
      </vt:variant>
      <vt:variant>
        <vt:lpwstr>https://scholar.google.com/scholar_lookup?journal=Dev+Biol&amp;title=Secreted+and+membrane-bound+isoforms+of+T1,+an+orphan+receptor+related+to+IL-1-binding+proteins,+are+differently+expressed+in+vivo&amp;author=U+Rossler&amp;volume=168&amp;publication_year=1995&amp;pages=86-97&amp;pmid=7883081&amp;</vt:lpwstr>
      </vt:variant>
      <vt:variant>
        <vt:lpwstr/>
      </vt:variant>
      <vt:variant>
        <vt:i4>3997796</vt:i4>
      </vt:variant>
      <vt:variant>
        <vt:i4>744</vt:i4>
      </vt:variant>
      <vt:variant>
        <vt:i4>0</vt:i4>
      </vt:variant>
      <vt:variant>
        <vt:i4>5</vt:i4>
      </vt:variant>
      <vt:variant>
        <vt:lpwstr>https://www.ncbi.nlm.nih.gov/pubmed/7883081</vt:lpwstr>
      </vt:variant>
      <vt:variant>
        <vt:lpwstr/>
      </vt:variant>
      <vt:variant>
        <vt:i4>1572875</vt:i4>
      </vt:variant>
      <vt:variant>
        <vt:i4>741</vt:i4>
      </vt:variant>
      <vt:variant>
        <vt:i4>0</vt:i4>
      </vt:variant>
      <vt:variant>
        <vt:i4>5</vt:i4>
      </vt:variant>
      <vt:variant>
        <vt:lpwstr>https://scholar.google.com/scholar_lookup?journal=Biochem+Biophys+Res+Commun&amp;title=Presence+and+expression+of+a+novel+variant+form+of+ST2+gene+product+in+human+leukemic+cell+line+UT-7/GM&amp;author=S+Tominaga&amp;volume=264&amp;publication_year=1999&amp;pages=14-18&amp;pmid=10527832&amp;</vt:lpwstr>
      </vt:variant>
      <vt:variant>
        <vt:lpwstr/>
      </vt:variant>
      <vt:variant>
        <vt:i4>393307</vt:i4>
      </vt:variant>
      <vt:variant>
        <vt:i4>738</vt:i4>
      </vt:variant>
      <vt:variant>
        <vt:i4>0</vt:i4>
      </vt:variant>
      <vt:variant>
        <vt:i4>5</vt:i4>
      </vt:variant>
      <vt:variant>
        <vt:lpwstr>https://www.ncbi.nlm.nih.gov/pubmed/10527832</vt:lpwstr>
      </vt:variant>
      <vt:variant>
        <vt:lpwstr/>
      </vt:variant>
      <vt:variant>
        <vt:i4>2228233</vt:i4>
      </vt:variant>
      <vt:variant>
        <vt:i4>735</vt:i4>
      </vt:variant>
      <vt:variant>
        <vt:i4>0</vt:i4>
      </vt:variant>
      <vt:variant>
        <vt:i4>5</vt:i4>
      </vt:variant>
      <vt:variant>
        <vt:lpwstr>https://scholar.google.com/scholar_lookup?journal=J+Biol+Chem&amp;title=Transcription+of+the+interleukin-1+receptor-related+T1+gene+is+initiated+at+different+promoters+in+mast+cells+and+fibroblasts&amp;author=T+Gachter&amp;author=AK+Werenskiold&amp;author=R+Klemenz&amp;volume=271&amp;publication_year=1996&amp;pages=124-129&amp;pmid=8550546&amp;</vt:lpwstr>
      </vt:variant>
      <vt:variant>
        <vt:lpwstr/>
      </vt:variant>
      <vt:variant>
        <vt:i4>4128867</vt:i4>
      </vt:variant>
      <vt:variant>
        <vt:i4>732</vt:i4>
      </vt:variant>
      <vt:variant>
        <vt:i4>0</vt:i4>
      </vt:variant>
      <vt:variant>
        <vt:i4>5</vt:i4>
      </vt:variant>
      <vt:variant>
        <vt:lpwstr>https://www.ncbi.nlm.nih.gov/pubmed/8550546</vt:lpwstr>
      </vt:variant>
      <vt:variant>
        <vt:lpwstr/>
      </vt:variant>
      <vt:variant>
        <vt:i4>7143466</vt:i4>
      </vt:variant>
      <vt:variant>
        <vt:i4>729</vt:i4>
      </vt:variant>
      <vt:variant>
        <vt:i4>0</vt:i4>
      </vt:variant>
      <vt:variant>
        <vt:i4>5</vt:i4>
      </vt:variant>
      <vt:variant>
        <vt:lpwstr>https://scholar.google.com/scholar_lookup?journal=Cell+Growth+Differ&amp;title=Role+of+cell+type-specific+promoters+in+the+developmental+regulation+of+T1,+an+interleukin+1+receptor+homologue&amp;author=E+Thomassen&amp;volume=6&amp;publication_year=1995&amp;pages=179-184&amp;pmid=7756176&amp;</vt:lpwstr>
      </vt:variant>
      <vt:variant>
        <vt:lpwstr/>
      </vt:variant>
      <vt:variant>
        <vt:i4>3670120</vt:i4>
      </vt:variant>
      <vt:variant>
        <vt:i4>726</vt:i4>
      </vt:variant>
      <vt:variant>
        <vt:i4>0</vt:i4>
      </vt:variant>
      <vt:variant>
        <vt:i4>5</vt:i4>
      </vt:variant>
      <vt:variant>
        <vt:lpwstr>https://www.ncbi.nlm.nih.gov/pubmed/7756176</vt:lpwstr>
      </vt:variant>
      <vt:variant>
        <vt:lpwstr/>
      </vt:variant>
      <vt:variant>
        <vt:i4>7209026</vt:i4>
      </vt:variant>
      <vt:variant>
        <vt:i4>723</vt:i4>
      </vt:variant>
      <vt:variant>
        <vt:i4>0</vt:i4>
      </vt:variant>
      <vt:variant>
        <vt:i4>5</vt:i4>
      </vt:variant>
      <vt:variant>
        <vt:lpwstr>https://scholar.google.com/scholar_lookup?journal=EMBO+J&amp;title=Alternative+promoter+usage+of+the+Fos-responsive+gene+Fit-1+generates+mRNA+isoforms+coding+for+either+secreted+or+membrane-bound+proteins+related+to+the+IL-1+receptor&amp;author=G+Bergers&amp;author=A+Reikerstorfer&amp;author=S+Braselmann&amp;author=P+Graninger&amp;author=M+Busslinger&amp;volume=13&amp;publication_year=1994&amp;pages=1176-1188&amp;pmid=8131748&amp;</vt:lpwstr>
      </vt:variant>
      <vt:variant>
        <vt:lpwstr/>
      </vt:variant>
      <vt:variant>
        <vt:i4>3801191</vt:i4>
      </vt:variant>
      <vt:variant>
        <vt:i4>720</vt:i4>
      </vt:variant>
      <vt:variant>
        <vt:i4>0</vt:i4>
      </vt:variant>
      <vt:variant>
        <vt:i4>5</vt:i4>
      </vt:variant>
      <vt:variant>
        <vt:lpwstr>https://www.ncbi.nlm.nih.gov/pubmed/8131748</vt:lpwstr>
      </vt:variant>
      <vt:variant>
        <vt:lpwstr/>
      </vt:variant>
      <vt:variant>
        <vt:i4>3145842</vt:i4>
      </vt:variant>
      <vt:variant>
        <vt:i4>717</vt:i4>
      </vt:variant>
      <vt:variant>
        <vt:i4>0</vt:i4>
      </vt:variant>
      <vt:variant>
        <vt:i4>5</vt:i4>
      </vt:variant>
      <vt:variant>
        <vt:lpwstr>https://www.ncbi.nlm.nih.gov/pmc/articles/PMC394927/?report=reader</vt:lpwstr>
      </vt:variant>
      <vt:variant>
        <vt:lpwstr/>
      </vt:variant>
      <vt:variant>
        <vt:i4>3276814</vt:i4>
      </vt:variant>
      <vt:variant>
        <vt:i4>714</vt:i4>
      </vt:variant>
      <vt:variant>
        <vt:i4>0</vt:i4>
      </vt:variant>
      <vt:variant>
        <vt:i4>5</vt:i4>
      </vt:variant>
      <vt:variant>
        <vt:lpwstr>https://scholar.google.com/scholar_lookup?journal=Eur+J+Biochem&amp;title=Different+promoter+usage+and+multiple+transcription+initiation+sites+of+the+interleukin-1+receptor-related+human+ST2+gene+in+UT-7+and+TM12+cells&amp;author=H+Iwahana&amp;volume=264&amp;publication_year=1999&amp;pages=397-406&amp;pmid=10491084&amp;</vt:lpwstr>
      </vt:variant>
      <vt:variant>
        <vt:lpwstr/>
      </vt:variant>
      <vt:variant>
        <vt:i4>196695</vt:i4>
      </vt:variant>
      <vt:variant>
        <vt:i4>711</vt:i4>
      </vt:variant>
      <vt:variant>
        <vt:i4>0</vt:i4>
      </vt:variant>
      <vt:variant>
        <vt:i4>5</vt:i4>
      </vt:variant>
      <vt:variant>
        <vt:lpwstr>https://www.ncbi.nlm.nih.gov/pubmed/10491084</vt:lpwstr>
      </vt:variant>
      <vt:variant>
        <vt:lpwstr/>
      </vt:variant>
      <vt:variant>
        <vt:i4>1441812</vt:i4>
      </vt:variant>
      <vt:variant>
        <vt:i4>708</vt:i4>
      </vt:variant>
      <vt:variant>
        <vt:i4>0</vt:i4>
      </vt:variant>
      <vt:variant>
        <vt:i4>5</vt:i4>
      </vt:variant>
      <vt:variant>
        <vt:lpwstr>http://scholar.google.com/scholar_lookup?hl=en&amp;volume=91&amp;publication_year=2012&amp;pages=119-125&amp;journal=J+Leukoc+Biol&amp;author=D+Talabot%E2%80%90Ayer&amp;author=N+Calo&amp;author=S+Vigne&amp;author=C+Lamacchia&amp;author=C+Gabay&amp;author=G+Palmer&amp;title=The+mouse+interleukin+%28Il%2933+gene+is+expressed+in+a+cell+type%E2%80%90+and+stimulus%E2%80%90dependent+manner+from+two+alternative+promoters</vt:lpwstr>
      </vt:variant>
      <vt:variant>
        <vt:lpwstr/>
      </vt:variant>
      <vt:variant>
        <vt:i4>1245198</vt:i4>
      </vt:variant>
      <vt:variant>
        <vt:i4>705</vt:i4>
      </vt:variant>
      <vt:variant>
        <vt:i4>0</vt:i4>
      </vt:variant>
      <vt:variant>
        <vt:i4>5</vt:i4>
      </vt:variant>
      <vt:variant>
        <vt:lpwstr>https://onlinelibrary.wiley.com/servlet/linkout?suffix=null&amp;dbid=128&amp;doi=10.1111%2Fimr.12619&amp;key=000299168600013</vt:lpwstr>
      </vt:variant>
      <vt:variant>
        <vt:lpwstr/>
      </vt:variant>
      <vt:variant>
        <vt:i4>2293815</vt:i4>
      </vt:variant>
      <vt:variant>
        <vt:i4>702</vt:i4>
      </vt:variant>
      <vt:variant>
        <vt:i4>0</vt:i4>
      </vt:variant>
      <vt:variant>
        <vt:i4>5</vt:i4>
      </vt:variant>
      <vt:variant>
        <vt:lpwstr>https://onlinelibrary.wiley.com/servlet/linkout?suffix=null&amp;dbid=8&amp;doi=10.1111%2Fimr.12619&amp;key=22013230</vt:lpwstr>
      </vt:variant>
      <vt:variant>
        <vt:lpwstr/>
      </vt:variant>
      <vt:variant>
        <vt:i4>4587597</vt:i4>
      </vt:variant>
      <vt:variant>
        <vt:i4>699</vt:i4>
      </vt:variant>
      <vt:variant>
        <vt:i4>0</vt:i4>
      </vt:variant>
      <vt:variant>
        <vt:i4>5</vt:i4>
      </vt:variant>
      <vt:variant>
        <vt:lpwstr>https://onlinelibrary.wiley.com/servlet/linkout?suffix=null&amp;dbid=32&amp;doi=10.1111%2Fimr.12619&amp;key=1%3ACAS%3A528%3ADC%252BC38Xmtlanuw%253D%253D</vt:lpwstr>
      </vt:variant>
      <vt:variant>
        <vt:lpwstr/>
      </vt:variant>
      <vt:variant>
        <vt:i4>3866744</vt:i4>
      </vt:variant>
      <vt:variant>
        <vt:i4>696</vt:i4>
      </vt:variant>
      <vt:variant>
        <vt:i4>0</vt:i4>
      </vt:variant>
      <vt:variant>
        <vt:i4>5</vt:i4>
      </vt:variant>
      <vt:variant>
        <vt:lpwstr>https://jlb.onlinelibrary.wiley.com/doi/10.1189/jlb.0811425</vt:lpwstr>
      </vt:variant>
      <vt:variant>
        <vt:lpwstr/>
      </vt:variant>
      <vt:variant>
        <vt:i4>6160415</vt:i4>
      </vt:variant>
      <vt:variant>
        <vt:i4>693</vt:i4>
      </vt:variant>
      <vt:variant>
        <vt:i4>0</vt:i4>
      </vt:variant>
      <vt:variant>
        <vt:i4>5</vt:i4>
      </vt:variant>
      <vt:variant>
        <vt:lpwstr>http://scholar.google.com/scholar_lookup?hl=en&amp;volume=85&amp;publication_year=2017&amp;pages=137-140&amp;journal=J+Dermatol+Sci&amp;author=H+Tsuda&amp;author=M+Komine&amp;author=SI+Tominaga&amp;author=M+Ohtsuki&amp;title=Identification+of+the+promoter+region+of+human+IL%E2%80%9033+responsive+to+induction+by+IFNgamma</vt:lpwstr>
      </vt:variant>
      <vt:variant>
        <vt:lpwstr/>
      </vt:variant>
      <vt:variant>
        <vt:i4>4784217</vt:i4>
      </vt:variant>
      <vt:variant>
        <vt:i4>690</vt:i4>
      </vt:variant>
      <vt:variant>
        <vt:i4>0</vt:i4>
      </vt:variant>
      <vt:variant>
        <vt:i4>5</vt:i4>
      </vt:variant>
      <vt:variant>
        <vt:lpwstr>https://onlinelibrary.wiley.com/servlet/linkout?suffix=null&amp;dbid=16&amp;doi=10.1111%2Fimr.12619&amp;key=10.1016%2Fj.jdermsci.2016.11.002</vt:lpwstr>
      </vt:variant>
      <vt:variant>
        <vt:lpwstr/>
      </vt:variant>
      <vt:variant>
        <vt:i4>4194368</vt:i4>
      </vt:variant>
      <vt:variant>
        <vt:i4>687</vt:i4>
      </vt:variant>
      <vt:variant>
        <vt:i4>0</vt:i4>
      </vt:variant>
      <vt:variant>
        <vt:i4>5</vt:i4>
      </vt:variant>
      <vt:variant>
        <vt:lpwstr>http://scholar.google.com/scholar_lookup?hl=en&amp;volume=16&amp;publication_year=2016&amp;pages=676-689&amp;journal=Nat+Rev+Immunol&amp;author=FY+Liew&amp;author=JP+Girard&amp;author=HR+Turnquist&amp;title=Interleukin%E2%80%9033+in+health+and+disease</vt:lpwstr>
      </vt:variant>
      <vt:variant>
        <vt:lpwstr/>
      </vt:variant>
      <vt:variant>
        <vt:i4>1048583</vt:i4>
      </vt:variant>
      <vt:variant>
        <vt:i4>684</vt:i4>
      </vt:variant>
      <vt:variant>
        <vt:i4>0</vt:i4>
      </vt:variant>
      <vt:variant>
        <vt:i4>5</vt:i4>
      </vt:variant>
      <vt:variant>
        <vt:lpwstr>https://onlinelibrary.wiley.com/servlet/linkout?suffix=null&amp;dbid=128&amp;doi=10.1111%2Fimr.12619&amp;key=000387131400008</vt:lpwstr>
      </vt:variant>
      <vt:variant>
        <vt:lpwstr/>
      </vt:variant>
      <vt:variant>
        <vt:i4>2555955</vt:i4>
      </vt:variant>
      <vt:variant>
        <vt:i4>681</vt:i4>
      </vt:variant>
      <vt:variant>
        <vt:i4>0</vt:i4>
      </vt:variant>
      <vt:variant>
        <vt:i4>5</vt:i4>
      </vt:variant>
      <vt:variant>
        <vt:lpwstr>https://onlinelibrary.wiley.com/servlet/linkout?suffix=null&amp;dbid=8&amp;doi=10.1111%2Fimr.12619&amp;key=27640624</vt:lpwstr>
      </vt:variant>
      <vt:variant>
        <vt:lpwstr/>
      </vt:variant>
      <vt:variant>
        <vt:i4>5111889</vt:i4>
      </vt:variant>
      <vt:variant>
        <vt:i4>678</vt:i4>
      </vt:variant>
      <vt:variant>
        <vt:i4>0</vt:i4>
      </vt:variant>
      <vt:variant>
        <vt:i4>5</vt:i4>
      </vt:variant>
      <vt:variant>
        <vt:lpwstr>https://onlinelibrary.wiley.com/servlet/linkout?suffix=null&amp;dbid=32&amp;doi=10.1111%2Fimr.12619&amp;key=1%3ACAS%3A528%3ADC%252BC28XhsFamtLnJ</vt:lpwstr>
      </vt:variant>
      <vt:variant>
        <vt:lpwstr/>
      </vt:variant>
      <vt:variant>
        <vt:i4>1310737</vt:i4>
      </vt:variant>
      <vt:variant>
        <vt:i4>675</vt:i4>
      </vt:variant>
      <vt:variant>
        <vt:i4>0</vt:i4>
      </vt:variant>
      <vt:variant>
        <vt:i4>5</vt:i4>
      </vt:variant>
      <vt:variant>
        <vt:lpwstr>https://onlinelibrary.wiley.com/servlet/linkout?suffix=null&amp;dbid=16&amp;doi=10.1111%2Fimr.12619&amp;key=10.1038%2Fnri.2016.95</vt:lpwstr>
      </vt:variant>
      <vt:variant>
        <vt:lpwstr/>
      </vt:variant>
      <vt:variant>
        <vt:i4>5111892</vt:i4>
      </vt:variant>
      <vt:variant>
        <vt:i4>672</vt:i4>
      </vt:variant>
      <vt:variant>
        <vt:i4>0</vt:i4>
      </vt:variant>
      <vt:variant>
        <vt:i4>5</vt:i4>
      </vt:variant>
      <vt:variant>
        <vt:lpwstr>https://scholar.google.com/scholar_lookup?journal=Nat+Immunol&amp;title=IL-1+family+nomenclature&amp;author=C+Dinarello&amp;author=W+Arend&amp;author=J+Sims&amp;author=D+Smith&amp;author=H+Blumberg&amp;volume=11&amp;publication_year=2010&amp;pages=973&amp;pmid=20959797&amp;</vt:lpwstr>
      </vt:variant>
      <vt:variant>
        <vt:lpwstr/>
      </vt:variant>
      <vt:variant>
        <vt:i4>720976</vt:i4>
      </vt:variant>
      <vt:variant>
        <vt:i4>669</vt:i4>
      </vt:variant>
      <vt:variant>
        <vt:i4>0</vt:i4>
      </vt:variant>
      <vt:variant>
        <vt:i4>5</vt:i4>
      </vt:variant>
      <vt:variant>
        <vt:lpwstr>https://www.ncbi.nlm.nih.gov/pubmed/20959797</vt:lpwstr>
      </vt:variant>
      <vt:variant>
        <vt:lpwstr/>
      </vt:variant>
      <vt:variant>
        <vt:i4>2424866</vt:i4>
      </vt:variant>
      <vt:variant>
        <vt:i4>666</vt:i4>
      </vt:variant>
      <vt:variant>
        <vt:i4>0</vt:i4>
      </vt:variant>
      <vt:variant>
        <vt:i4>5</vt:i4>
      </vt:variant>
      <vt:variant>
        <vt:lpwstr>https://www.ncbi.nlm.nih.gov/pmc/articles/PMC4174560/?report=reader</vt:lpwstr>
      </vt:variant>
      <vt:variant>
        <vt:lpwstr/>
      </vt:variant>
      <vt:variant>
        <vt:i4>6815862</vt:i4>
      </vt:variant>
      <vt:variant>
        <vt:i4>663</vt:i4>
      </vt:variant>
      <vt:variant>
        <vt:i4>0</vt:i4>
      </vt:variant>
      <vt:variant>
        <vt:i4>5</vt:i4>
      </vt:variant>
      <vt:variant>
        <vt:lpwstr>http://scholar.google.com/scholar_lookup?hl=en&amp;volume=110&amp;publication_year=2013&amp;pages=14918-14923&amp;journal=Proc+Natl+Acad+Sci+U+S+A&amp;author=X+Liu&amp;author=M+Hammel&amp;author=Y+He&amp;title=Structural+insights+into+the+interaction+of+IL%E2%80%9033+with+its+receptors</vt:lpwstr>
      </vt:variant>
      <vt:variant>
        <vt:lpwstr/>
      </vt:variant>
      <vt:variant>
        <vt:i4>1179651</vt:i4>
      </vt:variant>
      <vt:variant>
        <vt:i4>660</vt:i4>
      </vt:variant>
      <vt:variant>
        <vt:i4>0</vt:i4>
      </vt:variant>
      <vt:variant>
        <vt:i4>5</vt:i4>
      </vt:variant>
      <vt:variant>
        <vt:lpwstr>https://onlinelibrary.wiley.com/servlet/linkout?suffix=null&amp;dbid=128&amp;doi=10.1111%2Fimr.12619&amp;key=000324125100034</vt:lpwstr>
      </vt:variant>
      <vt:variant>
        <vt:lpwstr/>
      </vt:variant>
      <vt:variant>
        <vt:i4>2949180</vt:i4>
      </vt:variant>
      <vt:variant>
        <vt:i4>657</vt:i4>
      </vt:variant>
      <vt:variant>
        <vt:i4>0</vt:i4>
      </vt:variant>
      <vt:variant>
        <vt:i4>5</vt:i4>
      </vt:variant>
      <vt:variant>
        <vt:lpwstr>https://onlinelibrary.wiley.com/servlet/linkout?suffix=null&amp;dbid=8&amp;doi=10.1111%2Fimr.12619&amp;key=23980170</vt:lpwstr>
      </vt:variant>
      <vt:variant>
        <vt:lpwstr/>
      </vt:variant>
      <vt:variant>
        <vt:i4>262237</vt:i4>
      </vt:variant>
      <vt:variant>
        <vt:i4>654</vt:i4>
      </vt:variant>
      <vt:variant>
        <vt:i4>0</vt:i4>
      </vt:variant>
      <vt:variant>
        <vt:i4>5</vt:i4>
      </vt:variant>
      <vt:variant>
        <vt:lpwstr>https://onlinelibrary.wiley.com/servlet/linkout?suffix=null&amp;dbid=32&amp;doi=10.1111%2Fimr.12619&amp;key=1%3ACAS%3A528%3ADC%252BC3sXhsFWrsrrJ</vt:lpwstr>
      </vt:variant>
      <vt:variant>
        <vt:lpwstr/>
      </vt:variant>
      <vt:variant>
        <vt:i4>5832704</vt:i4>
      </vt:variant>
      <vt:variant>
        <vt:i4>651</vt:i4>
      </vt:variant>
      <vt:variant>
        <vt:i4>0</vt:i4>
      </vt:variant>
      <vt:variant>
        <vt:i4>5</vt:i4>
      </vt:variant>
      <vt:variant>
        <vt:lpwstr>https://onlinelibrary.wiley.com/servlet/linkout?suffix=null&amp;dbid=16&amp;doi=10.1111%2Fimr.12619&amp;key=10.1073%2Fpnas.1308651110</vt:lpwstr>
      </vt:variant>
      <vt:variant>
        <vt:lpwstr/>
      </vt:variant>
      <vt:variant>
        <vt:i4>4980745</vt:i4>
      </vt:variant>
      <vt:variant>
        <vt:i4>648</vt:i4>
      </vt:variant>
      <vt:variant>
        <vt:i4>0</vt:i4>
      </vt:variant>
      <vt:variant>
        <vt:i4>5</vt:i4>
      </vt:variant>
      <vt:variant>
        <vt:lpwstr>http://scholar.google.com/scholar_lookup?hl=en&amp;volume=17&amp;publication_year=2009&amp;pages=1398-1410&amp;journal=Structure&amp;author=A+Lingel&amp;author=TM+Weiss&amp;author=M+Niebuhr&amp;title=Structure+of+IL%E2%80%9033+and+its+interaction+with+the+ST2+and+IL%E2%80%901RAcP+receptors%E2%80%93insight+into+heterotrimeric+IL%E2%80%901+signaling+complexes</vt:lpwstr>
      </vt:variant>
      <vt:variant>
        <vt:lpwstr/>
      </vt:variant>
      <vt:variant>
        <vt:i4>1376261</vt:i4>
      </vt:variant>
      <vt:variant>
        <vt:i4>645</vt:i4>
      </vt:variant>
      <vt:variant>
        <vt:i4>0</vt:i4>
      </vt:variant>
      <vt:variant>
        <vt:i4>5</vt:i4>
      </vt:variant>
      <vt:variant>
        <vt:lpwstr>https://onlinelibrary.wiley.com/servlet/linkout?suffix=null&amp;dbid=128&amp;doi=10.1111%2Fimr.12619&amp;key=000271047700015</vt:lpwstr>
      </vt:variant>
      <vt:variant>
        <vt:lpwstr/>
      </vt:variant>
      <vt:variant>
        <vt:i4>2949183</vt:i4>
      </vt:variant>
      <vt:variant>
        <vt:i4>642</vt:i4>
      </vt:variant>
      <vt:variant>
        <vt:i4>0</vt:i4>
      </vt:variant>
      <vt:variant>
        <vt:i4>5</vt:i4>
      </vt:variant>
      <vt:variant>
        <vt:lpwstr>https://onlinelibrary.wiley.com/servlet/linkout?suffix=null&amp;dbid=8&amp;doi=10.1111%2Fimr.12619&amp;key=19836339</vt:lpwstr>
      </vt:variant>
      <vt:variant>
        <vt:lpwstr/>
      </vt:variant>
      <vt:variant>
        <vt:i4>1048595</vt:i4>
      </vt:variant>
      <vt:variant>
        <vt:i4>639</vt:i4>
      </vt:variant>
      <vt:variant>
        <vt:i4>0</vt:i4>
      </vt:variant>
      <vt:variant>
        <vt:i4>5</vt:i4>
      </vt:variant>
      <vt:variant>
        <vt:lpwstr>https://onlinelibrary.wiley.com/servlet/linkout?suffix=null&amp;dbid=32&amp;doi=10.1111%2Fimr.12619&amp;key=1%3ACAS%3A528%3ADC%252BD1MXht1yms77J</vt:lpwstr>
      </vt:variant>
      <vt:variant>
        <vt:lpwstr/>
      </vt:variant>
      <vt:variant>
        <vt:i4>2490490</vt:i4>
      </vt:variant>
      <vt:variant>
        <vt:i4>636</vt:i4>
      </vt:variant>
      <vt:variant>
        <vt:i4>0</vt:i4>
      </vt:variant>
      <vt:variant>
        <vt:i4>5</vt:i4>
      </vt:variant>
      <vt:variant>
        <vt:lpwstr>https://onlinelibrary.wiley.com/servlet/linkout?suffix=null&amp;dbid=16&amp;doi=10.1111%2Fimr.12619&amp;key=10.1016%2Fj.str.2009.08.009</vt:lpwstr>
      </vt:variant>
      <vt:variant>
        <vt:lpwstr/>
      </vt:variant>
      <vt:variant>
        <vt:i4>3276896</vt:i4>
      </vt:variant>
      <vt:variant>
        <vt:i4>633</vt:i4>
      </vt:variant>
      <vt:variant>
        <vt:i4>0</vt:i4>
      </vt:variant>
      <vt:variant>
        <vt:i4>5</vt:i4>
      </vt:variant>
      <vt:variant>
        <vt:lpwstr>https://scholar.google.com/scholar_lookup?journal=Cytokine&amp;volume=97&amp;publication_year=2017&amp;pages=86&amp;pmid=28595117&amp;</vt:lpwstr>
      </vt:variant>
      <vt:variant>
        <vt:lpwstr/>
      </vt:variant>
      <vt:variant>
        <vt:i4>851972</vt:i4>
      </vt:variant>
      <vt:variant>
        <vt:i4>630</vt:i4>
      </vt:variant>
      <vt:variant>
        <vt:i4>0</vt:i4>
      </vt:variant>
      <vt:variant>
        <vt:i4>5</vt:i4>
      </vt:variant>
      <vt:variant>
        <vt:lpwstr>https://pubmed.ncbi.nlm.nih.gov/28595117</vt:lpwstr>
      </vt:variant>
      <vt:variant>
        <vt:lpwstr/>
      </vt:variant>
      <vt:variant>
        <vt:i4>5636165</vt:i4>
      </vt:variant>
      <vt:variant>
        <vt:i4>627</vt:i4>
      </vt:variant>
      <vt:variant>
        <vt:i4>0</vt:i4>
      </vt:variant>
      <vt:variant>
        <vt:i4>5</vt:i4>
      </vt:variant>
      <vt:variant>
        <vt:lpwstr>https://scholar.google.com/scholar_lookup?journal=Curr.+Opin.+Clin.+Nutr.+Metab.+Care&amp;volume=13&amp;publication_year=2010&amp;pages=541&amp;pmid=20657280&amp;</vt:lpwstr>
      </vt:variant>
      <vt:variant>
        <vt:lpwstr/>
      </vt:variant>
      <vt:variant>
        <vt:i4>851980</vt:i4>
      </vt:variant>
      <vt:variant>
        <vt:i4>624</vt:i4>
      </vt:variant>
      <vt:variant>
        <vt:i4>0</vt:i4>
      </vt:variant>
      <vt:variant>
        <vt:i4>5</vt:i4>
      </vt:variant>
      <vt:variant>
        <vt:lpwstr>https://pubmed.ncbi.nlm.nih.gov/20657280</vt:lpwstr>
      </vt:variant>
      <vt:variant>
        <vt:lpwstr/>
      </vt:variant>
      <vt:variant>
        <vt:i4>1245260</vt:i4>
      </vt:variant>
      <vt:variant>
        <vt:i4>621</vt:i4>
      </vt:variant>
      <vt:variant>
        <vt:i4>0</vt:i4>
      </vt:variant>
      <vt:variant>
        <vt:i4>5</vt:i4>
      </vt:variant>
      <vt:variant>
        <vt:lpwstr>https://www.ncbi.nlm.nih.gov/pmc/articles/PMC2955626/</vt:lpwstr>
      </vt:variant>
      <vt:variant>
        <vt:lpwstr/>
      </vt:variant>
      <vt:variant>
        <vt:i4>3932283</vt:i4>
      </vt:variant>
      <vt:variant>
        <vt:i4>618</vt:i4>
      </vt:variant>
      <vt:variant>
        <vt:i4>0</vt:i4>
      </vt:variant>
      <vt:variant>
        <vt:i4>5</vt:i4>
      </vt:variant>
      <vt:variant>
        <vt:lpwstr>https://scholar.google.com/scholar_lookup?journal=Osong+Public+Health+Res.+Perspect.&amp;volume=6&amp;publication_year=2015&amp;pages=357&amp;pmid=26835245&amp;</vt:lpwstr>
      </vt:variant>
      <vt:variant>
        <vt:lpwstr/>
      </vt:variant>
      <vt:variant>
        <vt:i4>524300</vt:i4>
      </vt:variant>
      <vt:variant>
        <vt:i4>615</vt:i4>
      </vt:variant>
      <vt:variant>
        <vt:i4>0</vt:i4>
      </vt:variant>
      <vt:variant>
        <vt:i4>5</vt:i4>
      </vt:variant>
      <vt:variant>
        <vt:lpwstr>https://pubmed.ncbi.nlm.nih.gov/26835245</vt:lpwstr>
      </vt:variant>
      <vt:variant>
        <vt:lpwstr/>
      </vt:variant>
      <vt:variant>
        <vt:i4>1507394</vt:i4>
      </vt:variant>
      <vt:variant>
        <vt:i4>612</vt:i4>
      </vt:variant>
      <vt:variant>
        <vt:i4>0</vt:i4>
      </vt:variant>
      <vt:variant>
        <vt:i4>5</vt:i4>
      </vt:variant>
      <vt:variant>
        <vt:lpwstr>https://www.ncbi.nlm.nih.gov/pmc/articles/PMC4700770/</vt:lpwstr>
      </vt:variant>
      <vt:variant>
        <vt:lpwstr/>
      </vt:variant>
      <vt:variant>
        <vt:i4>3801133</vt:i4>
      </vt:variant>
      <vt:variant>
        <vt:i4>609</vt:i4>
      </vt:variant>
      <vt:variant>
        <vt:i4>0</vt:i4>
      </vt:variant>
      <vt:variant>
        <vt:i4>5</vt:i4>
      </vt:variant>
      <vt:variant>
        <vt:lpwstr>https://scholar.google.com/scholar_lookup?journal=Methods&amp;volume=61&amp;publication_year=2013&amp;pages=10&amp;pmid=23603216&amp;</vt:lpwstr>
      </vt:variant>
      <vt:variant>
        <vt:lpwstr/>
      </vt:variant>
      <vt:variant>
        <vt:i4>851969</vt:i4>
      </vt:variant>
      <vt:variant>
        <vt:i4>606</vt:i4>
      </vt:variant>
      <vt:variant>
        <vt:i4>0</vt:i4>
      </vt:variant>
      <vt:variant>
        <vt:i4>5</vt:i4>
      </vt:variant>
      <vt:variant>
        <vt:lpwstr>https://pubmed.ncbi.nlm.nih.gov/23603216</vt:lpwstr>
      </vt:variant>
      <vt:variant>
        <vt:lpwstr/>
      </vt:variant>
      <vt:variant>
        <vt:i4>5767194</vt:i4>
      </vt:variant>
      <vt:variant>
        <vt:i4>603</vt:i4>
      </vt:variant>
      <vt:variant>
        <vt:i4>0</vt:i4>
      </vt:variant>
      <vt:variant>
        <vt:i4>5</vt:i4>
      </vt:variant>
      <vt:variant>
        <vt:lpwstr>https://scholar.google.com/scholar_lookup?journal=Cytokine&amp;volume=125&amp;publication_year=2020&amp;pages=154829&amp;pmid=31472404&amp;</vt:lpwstr>
      </vt:variant>
      <vt:variant>
        <vt:lpwstr/>
      </vt:variant>
      <vt:variant>
        <vt:i4>786434</vt:i4>
      </vt:variant>
      <vt:variant>
        <vt:i4>600</vt:i4>
      </vt:variant>
      <vt:variant>
        <vt:i4>0</vt:i4>
      </vt:variant>
      <vt:variant>
        <vt:i4>5</vt:i4>
      </vt:variant>
      <vt:variant>
        <vt:lpwstr>https://pubmed.ncbi.nlm.nih.gov/31472404</vt:lpwstr>
      </vt:variant>
      <vt:variant>
        <vt:lpwstr/>
      </vt:variant>
      <vt:variant>
        <vt:i4>5898256</vt:i4>
      </vt:variant>
      <vt:variant>
        <vt:i4>597</vt:i4>
      </vt:variant>
      <vt:variant>
        <vt:i4>0</vt:i4>
      </vt:variant>
      <vt:variant>
        <vt:i4>5</vt:i4>
      </vt:variant>
      <vt:variant>
        <vt:lpwstr>https://scholar.google.com/scholar_lookup?journal=Cytokine&amp;volume=123&amp;publication_year=2019&amp;pages=154768&amp;pmid=31276936&amp;</vt:lpwstr>
      </vt:variant>
      <vt:variant>
        <vt:lpwstr/>
      </vt:variant>
      <vt:variant>
        <vt:i4>196611</vt:i4>
      </vt:variant>
      <vt:variant>
        <vt:i4>594</vt:i4>
      </vt:variant>
      <vt:variant>
        <vt:i4>0</vt:i4>
      </vt:variant>
      <vt:variant>
        <vt:i4>5</vt:i4>
      </vt:variant>
      <vt:variant>
        <vt:lpwstr>https://pubmed.ncbi.nlm.nih.gov/31276936</vt:lpwstr>
      </vt:variant>
      <vt:variant>
        <vt:lpwstr/>
      </vt:variant>
      <vt:variant>
        <vt:i4>7798818</vt:i4>
      </vt:variant>
      <vt:variant>
        <vt:i4>591</vt:i4>
      </vt:variant>
      <vt:variant>
        <vt:i4>0</vt:i4>
      </vt:variant>
      <vt:variant>
        <vt:i4>5</vt:i4>
      </vt:variant>
      <vt:variant>
        <vt:lpwstr>https://scholar.google.com/scholar_lookup?journal=Cytokine&amp;volume=113&amp;publication_year=2019&amp;pages=453&amp;pmid=29909979&amp;</vt:lpwstr>
      </vt:variant>
      <vt:variant>
        <vt:lpwstr/>
      </vt:variant>
      <vt:variant>
        <vt:i4>196610</vt:i4>
      </vt:variant>
      <vt:variant>
        <vt:i4>588</vt:i4>
      </vt:variant>
      <vt:variant>
        <vt:i4>0</vt:i4>
      </vt:variant>
      <vt:variant>
        <vt:i4>5</vt:i4>
      </vt:variant>
      <vt:variant>
        <vt:lpwstr>https://pubmed.ncbi.nlm.nih.gov/29909979</vt:lpwstr>
      </vt:variant>
      <vt:variant>
        <vt:lpwstr/>
      </vt:variant>
      <vt:variant>
        <vt:i4>2949234</vt:i4>
      </vt:variant>
      <vt:variant>
        <vt:i4>585</vt:i4>
      </vt:variant>
      <vt:variant>
        <vt:i4>0</vt:i4>
      </vt:variant>
      <vt:variant>
        <vt:i4>5</vt:i4>
      </vt:variant>
      <vt:variant>
        <vt:lpwstr>https://scholar.google.com/scholar_lookup?journal=Arch.+Pathol.+Lab.+Med.&amp;volume=132&amp;publication_year=2009&amp;pages=1802&amp;</vt:lpwstr>
      </vt:variant>
      <vt:variant>
        <vt:lpwstr/>
      </vt:variant>
      <vt:variant>
        <vt:i4>786440</vt:i4>
      </vt:variant>
      <vt:variant>
        <vt:i4>582</vt:i4>
      </vt:variant>
      <vt:variant>
        <vt:i4>0</vt:i4>
      </vt:variant>
      <vt:variant>
        <vt:i4>5</vt:i4>
      </vt:variant>
      <vt:variant>
        <vt:lpwstr>https://pubmed.ncbi.nlm.nih.gov/18976019</vt:lpwstr>
      </vt:variant>
      <vt:variant>
        <vt:lpwstr/>
      </vt:variant>
      <vt:variant>
        <vt:i4>2949234</vt:i4>
      </vt:variant>
      <vt:variant>
        <vt:i4>579</vt:i4>
      </vt:variant>
      <vt:variant>
        <vt:i4>0</vt:i4>
      </vt:variant>
      <vt:variant>
        <vt:i4>5</vt:i4>
      </vt:variant>
      <vt:variant>
        <vt:lpwstr>https://scholar.google.com/scholar_lookup?journal=Arch.+Pathol.+Lab.+Med.&amp;volume=132&amp;publication_year=2009&amp;pages=1802&amp;</vt:lpwstr>
      </vt:variant>
      <vt:variant>
        <vt:lpwstr/>
      </vt:variant>
      <vt:variant>
        <vt:i4>786440</vt:i4>
      </vt:variant>
      <vt:variant>
        <vt:i4>576</vt:i4>
      </vt:variant>
      <vt:variant>
        <vt:i4>0</vt:i4>
      </vt:variant>
      <vt:variant>
        <vt:i4>5</vt:i4>
      </vt:variant>
      <vt:variant>
        <vt:lpwstr>https://pubmed.ncbi.nlm.nih.gov/18976019</vt:lpwstr>
      </vt:variant>
      <vt:variant>
        <vt:lpwstr/>
      </vt:variant>
      <vt:variant>
        <vt:i4>2883699</vt:i4>
      </vt:variant>
      <vt:variant>
        <vt:i4>573</vt:i4>
      </vt:variant>
      <vt:variant>
        <vt:i4>0</vt:i4>
      </vt:variant>
      <vt:variant>
        <vt:i4>5</vt:i4>
      </vt:variant>
      <vt:variant>
        <vt:lpwstr>https://scholar.google.com/scholar_lookup?journal=Immunol.+Res.&amp;volume=58&amp;publication_year=2014&amp;pages=224&amp;pmid=24522699&amp;</vt:lpwstr>
      </vt:variant>
      <vt:variant>
        <vt:lpwstr/>
      </vt:variant>
      <vt:variant>
        <vt:i4>196619</vt:i4>
      </vt:variant>
      <vt:variant>
        <vt:i4>570</vt:i4>
      </vt:variant>
      <vt:variant>
        <vt:i4>0</vt:i4>
      </vt:variant>
      <vt:variant>
        <vt:i4>5</vt:i4>
      </vt:variant>
      <vt:variant>
        <vt:lpwstr>https://pubmed.ncbi.nlm.nih.gov/24522699</vt:lpwstr>
      </vt:variant>
      <vt:variant>
        <vt:lpwstr/>
      </vt:variant>
      <vt:variant>
        <vt:i4>1048650</vt:i4>
      </vt:variant>
      <vt:variant>
        <vt:i4>567</vt:i4>
      </vt:variant>
      <vt:variant>
        <vt:i4>0</vt:i4>
      </vt:variant>
      <vt:variant>
        <vt:i4>5</vt:i4>
      </vt:variant>
      <vt:variant>
        <vt:lpwstr>https://www.ncbi.nlm.nih.gov/pmc/articles/PMC4332596/</vt:lpwstr>
      </vt:variant>
      <vt:variant>
        <vt:lpwstr/>
      </vt:variant>
      <vt:variant>
        <vt:i4>2818147</vt:i4>
      </vt:variant>
      <vt:variant>
        <vt:i4>564</vt:i4>
      </vt:variant>
      <vt:variant>
        <vt:i4>0</vt:i4>
      </vt:variant>
      <vt:variant>
        <vt:i4>5</vt:i4>
      </vt:variant>
      <vt:variant>
        <vt:lpwstr>https://scholar.google.com/scholar_lookup?journal=Cytokine&amp;volume=60&amp;publication_year=2012&amp;pages=438&amp;pmid=22705152&amp;</vt:lpwstr>
      </vt:variant>
      <vt:variant>
        <vt:lpwstr/>
      </vt:variant>
      <vt:variant>
        <vt:i4>720898</vt:i4>
      </vt:variant>
      <vt:variant>
        <vt:i4>561</vt:i4>
      </vt:variant>
      <vt:variant>
        <vt:i4>0</vt:i4>
      </vt:variant>
      <vt:variant>
        <vt:i4>5</vt:i4>
      </vt:variant>
      <vt:variant>
        <vt:lpwstr>https://pubmed.ncbi.nlm.nih.gov/22705152</vt:lpwstr>
      </vt:variant>
      <vt:variant>
        <vt:lpwstr/>
      </vt:variant>
      <vt:variant>
        <vt:i4>1245260</vt:i4>
      </vt:variant>
      <vt:variant>
        <vt:i4>558</vt:i4>
      </vt:variant>
      <vt:variant>
        <vt:i4>0</vt:i4>
      </vt:variant>
      <vt:variant>
        <vt:i4>5</vt:i4>
      </vt:variant>
      <vt:variant>
        <vt:lpwstr>https://www.ncbi.nlm.nih.gov/pmc/articles/PMC3449030/</vt:lpwstr>
      </vt:variant>
      <vt:variant>
        <vt:lpwstr/>
      </vt:variant>
      <vt:variant>
        <vt:i4>786512</vt:i4>
      </vt:variant>
      <vt:variant>
        <vt:i4>555</vt:i4>
      </vt:variant>
      <vt:variant>
        <vt:i4>0</vt:i4>
      </vt:variant>
      <vt:variant>
        <vt:i4>5</vt:i4>
      </vt:variant>
      <vt:variant>
        <vt:lpwstr>https://scholar.google.com/scholar_lookup?journal=Arch.+Pathol.+Lab.+Med.&amp;volume=132&amp;publication_year=2008&amp;pages=1802&amp;pmid=18976019&amp;</vt:lpwstr>
      </vt:variant>
      <vt:variant>
        <vt:lpwstr/>
      </vt:variant>
      <vt:variant>
        <vt:i4>786440</vt:i4>
      </vt:variant>
      <vt:variant>
        <vt:i4>552</vt:i4>
      </vt:variant>
      <vt:variant>
        <vt:i4>0</vt:i4>
      </vt:variant>
      <vt:variant>
        <vt:i4>5</vt:i4>
      </vt:variant>
      <vt:variant>
        <vt:lpwstr>https://pubmed.ncbi.nlm.nih.gov/18976019</vt:lpwstr>
      </vt:variant>
      <vt:variant>
        <vt:lpwstr/>
      </vt:variant>
      <vt:variant>
        <vt:i4>4849680</vt:i4>
      </vt:variant>
      <vt:variant>
        <vt:i4>549</vt:i4>
      </vt:variant>
      <vt:variant>
        <vt:i4>0</vt:i4>
      </vt:variant>
      <vt:variant>
        <vt:i4>5</vt:i4>
      </vt:variant>
      <vt:variant>
        <vt:lpwstr>https://scholar.google.com/scholar_lookup?journal=Clin.+Chem.&amp;volume=50&amp;publication_year=2004&amp;pages=2215&amp;pmid=15502103&amp;</vt:lpwstr>
      </vt:variant>
      <vt:variant>
        <vt:lpwstr/>
      </vt:variant>
      <vt:variant>
        <vt:i4>851969</vt:i4>
      </vt:variant>
      <vt:variant>
        <vt:i4>546</vt:i4>
      </vt:variant>
      <vt:variant>
        <vt:i4>0</vt:i4>
      </vt:variant>
      <vt:variant>
        <vt:i4>5</vt:i4>
      </vt:variant>
      <vt:variant>
        <vt:lpwstr>https://pubmed.ncbi.nlm.nih.gov/15502103</vt:lpwstr>
      </vt:variant>
      <vt:variant>
        <vt:lpwstr/>
      </vt:variant>
      <vt:variant>
        <vt:i4>3604581</vt:i4>
      </vt:variant>
      <vt:variant>
        <vt:i4>543</vt:i4>
      </vt:variant>
      <vt:variant>
        <vt:i4>0</vt:i4>
      </vt:variant>
      <vt:variant>
        <vt:i4>5</vt:i4>
      </vt:variant>
      <vt:variant>
        <vt:lpwstr>https://scholar.google.com/scholar_lookup?journal=Cytokine&amp;volume=84&amp;publication_year=2016&amp;pages=17&amp;pmid=27208752&amp;</vt:lpwstr>
      </vt:variant>
      <vt:variant>
        <vt:lpwstr/>
      </vt:variant>
      <vt:variant>
        <vt:i4>524298</vt:i4>
      </vt:variant>
      <vt:variant>
        <vt:i4>540</vt:i4>
      </vt:variant>
      <vt:variant>
        <vt:i4>0</vt:i4>
      </vt:variant>
      <vt:variant>
        <vt:i4>5</vt:i4>
      </vt:variant>
      <vt:variant>
        <vt:lpwstr>https://pubmed.ncbi.nlm.nih.gov/27208752</vt:lpwstr>
      </vt:variant>
      <vt:variant>
        <vt:lpwstr/>
      </vt:variant>
      <vt:variant>
        <vt:i4>1769545</vt:i4>
      </vt:variant>
      <vt:variant>
        <vt:i4>537</vt:i4>
      </vt:variant>
      <vt:variant>
        <vt:i4>0</vt:i4>
      </vt:variant>
      <vt:variant>
        <vt:i4>5</vt:i4>
      </vt:variant>
      <vt:variant>
        <vt:lpwstr>https://www.ncbi.nlm.nih.gov/pmc/articles/PMC4910822/</vt:lpwstr>
      </vt:variant>
      <vt:variant>
        <vt:lpwstr/>
      </vt:variant>
      <vt:variant>
        <vt:i4>4522075</vt:i4>
      </vt:variant>
      <vt:variant>
        <vt:i4>534</vt:i4>
      </vt:variant>
      <vt:variant>
        <vt:i4>0</vt:i4>
      </vt:variant>
      <vt:variant>
        <vt:i4>5</vt:i4>
      </vt:variant>
      <vt:variant>
        <vt:lpwstr>https://scholar.google.com/scholar_lookup?journal=Clin.+Biochem.&amp;volume=65&amp;publication_year=2019&amp;pages=38&amp;pmid=30633878&amp;</vt:lpwstr>
      </vt:variant>
      <vt:variant>
        <vt:lpwstr/>
      </vt:variant>
      <vt:variant>
        <vt:i4>589830</vt:i4>
      </vt:variant>
      <vt:variant>
        <vt:i4>531</vt:i4>
      </vt:variant>
      <vt:variant>
        <vt:i4>0</vt:i4>
      </vt:variant>
      <vt:variant>
        <vt:i4>5</vt:i4>
      </vt:variant>
      <vt:variant>
        <vt:lpwstr>https://pubmed.ncbi.nlm.nih.gov/30633878</vt:lpwstr>
      </vt:variant>
      <vt:variant>
        <vt:lpwstr/>
      </vt:variant>
      <vt:variant>
        <vt:i4>1900546</vt:i4>
      </vt:variant>
      <vt:variant>
        <vt:i4>528</vt:i4>
      </vt:variant>
      <vt:variant>
        <vt:i4>0</vt:i4>
      </vt:variant>
      <vt:variant>
        <vt:i4>5</vt:i4>
      </vt:variant>
      <vt:variant>
        <vt:lpwstr>https://scholar.google.com/scholar_lookup?journal=Mediators+Inflammation&amp;volume=2014&amp;publication_year=2014&amp;pages=545493&amp;</vt:lpwstr>
      </vt:variant>
      <vt:variant>
        <vt:lpwstr/>
      </vt:variant>
      <vt:variant>
        <vt:i4>393223</vt:i4>
      </vt:variant>
      <vt:variant>
        <vt:i4>525</vt:i4>
      </vt:variant>
      <vt:variant>
        <vt:i4>0</vt:i4>
      </vt:variant>
      <vt:variant>
        <vt:i4>5</vt:i4>
      </vt:variant>
      <vt:variant>
        <vt:lpwstr>https://pubmed.ncbi.nlm.nih.gov/24733962</vt:lpwstr>
      </vt:variant>
      <vt:variant>
        <vt:lpwstr/>
      </vt:variant>
      <vt:variant>
        <vt:i4>1572939</vt:i4>
      </vt:variant>
      <vt:variant>
        <vt:i4>522</vt:i4>
      </vt:variant>
      <vt:variant>
        <vt:i4>0</vt:i4>
      </vt:variant>
      <vt:variant>
        <vt:i4>5</vt:i4>
      </vt:variant>
      <vt:variant>
        <vt:lpwstr>https://www.ncbi.nlm.nih.gov/pmc/articles/PMC3964841/</vt:lpwstr>
      </vt:variant>
      <vt:variant>
        <vt:lpwstr/>
      </vt:variant>
      <vt:variant>
        <vt:i4>2293869</vt:i4>
      </vt:variant>
      <vt:variant>
        <vt:i4>519</vt:i4>
      </vt:variant>
      <vt:variant>
        <vt:i4>0</vt:i4>
      </vt:variant>
      <vt:variant>
        <vt:i4>5</vt:i4>
      </vt:variant>
      <vt:variant>
        <vt:lpwstr>https://scholar.google.com/scholar_lookup?journal=Cytokine&amp;volume=37&amp;publication_year=2007&amp;pages=176&amp;pmid=17449271&amp;</vt:lpwstr>
      </vt:variant>
      <vt:variant>
        <vt:lpwstr/>
      </vt:variant>
      <vt:variant>
        <vt:i4>655372</vt:i4>
      </vt:variant>
      <vt:variant>
        <vt:i4>516</vt:i4>
      </vt:variant>
      <vt:variant>
        <vt:i4>0</vt:i4>
      </vt:variant>
      <vt:variant>
        <vt:i4>5</vt:i4>
      </vt:variant>
      <vt:variant>
        <vt:lpwstr>https://pubmed.ncbi.nlm.nih.gov/17449271</vt:lpwstr>
      </vt:variant>
      <vt:variant>
        <vt:lpwstr/>
      </vt:variant>
      <vt:variant>
        <vt:i4>1179727</vt:i4>
      </vt:variant>
      <vt:variant>
        <vt:i4>513</vt:i4>
      </vt:variant>
      <vt:variant>
        <vt:i4>0</vt:i4>
      </vt:variant>
      <vt:variant>
        <vt:i4>5</vt:i4>
      </vt:variant>
      <vt:variant>
        <vt:lpwstr>https://www.ncbi.nlm.nih.gov/pmc/articles/PMC1945112/</vt:lpwstr>
      </vt:variant>
      <vt:variant>
        <vt:lpwstr/>
      </vt:variant>
      <vt:variant>
        <vt:i4>2359399</vt:i4>
      </vt:variant>
      <vt:variant>
        <vt:i4>510</vt:i4>
      </vt:variant>
      <vt:variant>
        <vt:i4>0</vt:i4>
      </vt:variant>
      <vt:variant>
        <vt:i4>5</vt:i4>
      </vt:variant>
      <vt:variant>
        <vt:lpwstr>https://scholar.google.com/scholar_lookup?journal=Biopreserv.+Biobanking&amp;volume=14&amp;publication_year=2016&amp;pages=51&amp;</vt:lpwstr>
      </vt:variant>
      <vt:variant>
        <vt:lpwstr/>
      </vt:variant>
      <vt:variant>
        <vt:i4>65542</vt:i4>
      </vt:variant>
      <vt:variant>
        <vt:i4>507</vt:i4>
      </vt:variant>
      <vt:variant>
        <vt:i4>0</vt:i4>
      </vt:variant>
      <vt:variant>
        <vt:i4>5</vt:i4>
      </vt:variant>
      <vt:variant>
        <vt:lpwstr>https://pubmed.ncbi.nlm.nih.gov/26808439</vt:lpwstr>
      </vt:variant>
      <vt:variant>
        <vt:lpwstr/>
      </vt:variant>
      <vt:variant>
        <vt:i4>5636165</vt:i4>
      </vt:variant>
      <vt:variant>
        <vt:i4>504</vt:i4>
      </vt:variant>
      <vt:variant>
        <vt:i4>0</vt:i4>
      </vt:variant>
      <vt:variant>
        <vt:i4>5</vt:i4>
      </vt:variant>
      <vt:variant>
        <vt:lpwstr>https://scholar.google.com/scholar_lookup?journal=Curr.+Opin.+Clin.+Nutr.+Metab.+Care&amp;volume=13&amp;publication_year=2010&amp;pages=541&amp;pmid=20657280&amp;</vt:lpwstr>
      </vt:variant>
      <vt:variant>
        <vt:lpwstr/>
      </vt:variant>
      <vt:variant>
        <vt:i4>851980</vt:i4>
      </vt:variant>
      <vt:variant>
        <vt:i4>501</vt:i4>
      </vt:variant>
      <vt:variant>
        <vt:i4>0</vt:i4>
      </vt:variant>
      <vt:variant>
        <vt:i4>5</vt:i4>
      </vt:variant>
      <vt:variant>
        <vt:lpwstr>https://pubmed.ncbi.nlm.nih.gov/20657280</vt:lpwstr>
      </vt:variant>
      <vt:variant>
        <vt:lpwstr/>
      </vt:variant>
      <vt:variant>
        <vt:i4>1245260</vt:i4>
      </vt:variant>
      <vt:variant>
        <vt:i4>498</vt:i4>
      </vt:variant>
      <vt:variant>
        <vt:i4>0</vt:i4>
      </vt:variant>
      <vt:variant>
        <vt:i4>5</vt:i4>
      </vt:variant>
      <vt:variant>
        <vt:lpwstr>https://www.ncbi.nlm.nih.gov/pmc/articles/PMC2955626/</vt:lpwstr>
      </vt:variant>
      <vt:variant>
        <vt:lpwstr/>
      </vt:variant>
      <vt:variant>
        <vt:i4>5373952</vt:i4>
      </vt:variant>
      <vt:variant>
        <vt:i4>495</vt:i4>
      </vt:variant>
      <vt:variant>
        <vt:i4>0</vt:i4>
      </vt:variant>
      <vt:variant>
        <vt:i4>5</vt:i4>
      </vt:variant>
      <vt:variant>
        <vt:lpwstr>https://scholar.google.com/scholar_lookup?journal=Biomarkers&amp;volume=15&amp;publication_year=2010&amp;pages=140&amp;pmid=19848603&amp;</vt:lpwstr>
      </vt:variant>
      <vt:variant>
        <vt:lpwstr/>
      </vt:variant>
      <vt:variant>
        <vt:i4>131078</vt:i4>
      </vt:variant>
      <vt:variant>
        <vt:i4>492</vt:i4>
      </vt:variant>
      <vt:variant>
        <vt:i4>0</vt:i4>
      </vt:variant>
      <vt:variant>
        <vt:i4>5</vt:i4>
      </vt:variant>
      <vt:variant>
        <vt:lpwstr>https://pubmed.ncbi.nlm.nih.gov/19848603</vt:lpwstr>
      </vt:variant>
      <vt:variant>
        <vt:lpwstr/>
      </vt:variant>
      <vt:variant>
        <vt:i4>3407972</vt:i4>
      </vt:variant>
      <vt:variant>
        <vt:i4>489</vt:i4>
      </vt:variant>
      <vt:variant>
        <vt:i4>0</vt:i4>
      </vt:variant>
      <vt:variant>
        <vt:i4>5</vt:i4>
      </vt:variant>
      <vt:variant>
        <vt:lpwstr>https://scholar.google.com/scholar_lookup?journal=Ann.+Clin.+Biochem.&amp;volume=32&amp;publication_year=1995&amp;pages=358&amp;pmid=7486794&amp;</vt:lpwstr>
      </vt:variant>
      <vt:variant>
        <vt:lpwstr/>
      </vt:variant>
      <vt:variant>
        <vt:i4>3211327</vt:i4>
      </vt:variant>
      <vt:variant>
        <vt:i4>486</vt:i4>
      </vt:variant>
      <vt:variant>
        <vt:i4>0</vt:i4>
      </vt:variant>
      <vt:variant>
        <vt:i4>5</vt:i4>
      </vt:variant>
      <vt:variant>
        <vt:lpwstr>https://pubmed.ncbi.nlm.nih.gov/7486794</vt:lpwstr>
      </vt:variant>
      <vt:variant>
        <vt:lpwstr/>
      </vt:variant>
      <vt:variant>
        <vt:i4>3080311</vt:i4>
      </vt:variant>
      <vt:variant>
        <vt:i4>483</vt:i4>
      </vt:variant>
      <vt:variant>
        <vt:i4>0</vt:i4>
      </vt:variant>
      <vt:variant>
        <vt:i4>5</vt:i4>
      </vt:variant>
      <vt:variant>
        <vt:lpwstr>https://scholar.google.com/scholar_lookup?journal=iScience&amp;volume=20&amp;publication_year=2019&amp;pages=137&amp;pmid=31569048&amp;</vt:lpwstr>
      </vt:variant>
      <vt:variant>
        <vt:lpwstr/>
      </vt:variant>
      <vt:variant>
        <vt:i4>327692</vt:i4>
      </vt:variant>
      <vt:variant>
        <vt:i4>480</vt:i4>
      </vt:variant>
      <vt:variant>
        <vt:i4>0</vt:i4>
      </vt:variant>
      <vt:variant>
        <vt:i4>5</vt:i4>
      </vt:variant>
      <vt:variant>
        <vt:lpwstr>https://pubmed.ncbi.nlm.nih.gov/31569048</vt:lpwstr>
      </vt:variant>
      <vt:variant>
        <vt:lpwstr/>
      </vt:variant>
      <vt:variant>
        <vt:i4>1441857</vt:i4>
      </vt:variant>
      <vt:variant>
        <vt:i4>477</vt:i4>
      </vt:variant>
      <vt:variant>
        <vt:i4>0</vt:i4>
      </vt:variant>
      <vt:variant>
        <vt:i4>5</vt:i4>
      </vt:variant>
      <vt:variant>
        <vt:lpwstr>https://www.ncbi.nlm.nih.gov/pmc/articles/PMC6833483/</vt:lpwstr>
      </vt:variant>
      <vt:variant>
        <vt:lpwstr/>
      </vt:variant>
      <vt:variant>
        <vt:i4>7995505</vt:i4>
      </vt:variant>
      <vt:variant>
        <vt:i4>474</vt:i4>
      </vt:variant>
      <vt:variant>
        <vt:i4>0</vt:i4>
      </vt:variant>
      <vt:variant>
        <vt:i4>5</vt:i4>
      </vt:variant>
      <vt:variant>
        <vt:lpwstr>https://scholar.google.com/scholar_lookup?journal=ACS+Sens.&amp;volume=3&amp;publication_year=2018&amp;pages=320&amp;pmid=29308890&amp;</vt:lpwstr>
      </vt:variant>
      <vt:variant>
        <vt:lpwstr/>
      </vt:variant>
      <vt:variant>
        <vt:i4>720903</vt:i4>
      </vt:variant>
      <vt:variant>
        <vt:i4>471</vt:i4>
      </vt:variant>
      <vt:variant>
        <vt:i4>0</vt:i4>
      </vt:variant>
      <vt:variant>
        <vt:i4>5</vt:i4>
      </vt:variant>
      <vt:variant>
        <vt:lpwstr>https://pubmed.ncbi.nlm.nih.gov/29308890</vt:lpwstr>
      </vt:variant>
      <vt:variant>
        <vt:lpwstr/>
      </vt:variant>
      <vt:variant>
        <vt:i4>4325388</vt:i4>
      </vt:variant>
      <vt:variant>
        <vt:i4>468</vt:i4>
      </vt:variant>
      <vt:variant>
        <vt:i4>0</vt:i4>
      </vt:variant>
      <vt:variant>
        <vt:i4>5</vt:i4>
      </vt:variant>
      <vt:variant>
        <vt:lpwstr>https://scholar.google.com/scholar_lookup?journal=Acta+Biomater.&amp;volume=101&amp;publication_year=2020&amp;pages=372&amp;pmid=31622780&amp;</vt:lpwstr>
      </vt:variant>
      <vt:variant>
        <vt:lpwstr/>
      </vt:variant>
      <vt:variant>
        <vt:i4>917512</vt:i4>
      </vt:variant>
      <vt:variant>
        <vt:i4>465</vt:i4>
      </vt:variant>
      <vt:variant>
        <vt:i4>0</vt:i4>
      </vt:variant>
      <vt:variant>
        <vt:i4>5</vt:i4>
      </vt:variant>
      <vt:variant>
        <vt:lpwstr>https://pubmed.ncbi.nlm.nih.gov/31622780</vt:lpwstr>
      </vt:variant>
      <vt:variant>
        <vt:lpwstr/>
      </vt:variant>
      <vt:variant>
        <vt:i4>1507397</vt:i4>
      </vt:variant>
      <vt:variant>
        <vt:i4>462</vt:i4>
      </vt:variant>
      <vt:variant>
        <vt:i4>0</vt:i4>
      </vt:variant>
      <vt:variant>
        <vt:i4>5</vt:i4>
      </vt:variant>
      <vt:variant>
        <vt:lpwstr>https://www.ncbi.nlm.nih.gov/pmc/articles/PMC7370241/</vt:lpwstr>
      </vt:variant>
      <vt:variant>
        <vt:lpwstr/>
      </vt:variant>
      <vt:variant>
        <vt:i4>8257655</vt:i4>
      </vt:variant>
      <vt:variant>
        <vt:i4>459</vt:i4>
      </vt:variant>
      <vt:variant>
        <vt:i4>0</vt:i4>
      </vt:variant>
      <vt:variant>
        <vt:i4>5</vt:i4>
      </vt:variant>
      <vt:variant>
        <vt:lpwstr>https://scholar.google.com/scholar_lookup?journal=ACS+Sens.&amp;volume=2&amp;publication_year=2017&amp;pages=218&amp;pmid=28723139&amp;</vt:lpwstr>
      </vt:variant>
      <vt:variant>
        <vt:lpwstr/>
      </vt:variant>
      <vt:variant>
        <vt:i4>524290</vt:i4>
      </vt:variant>
      <vt:variant>
        <vt:i4>456</vt:i4>
      </vt:variant>
      <vt:variant>
        <vt:i4>0</vt:i4>
      </vt:variant>
      <vt:variant>
        <vt:i4>5</vt:i4>
      </vt:variant>
      <vt:variant>
        <vt:lpwstr>https://pubmed.ncbi.nlm.nih.gov/28723139</vt:lpwstr>
      </vt:variant>
      <vt:variant>
        <vt:lpwstr/>
      </vt:variant>
      <vt:variant>
        <vt:i4>6553701</vt:i4>
      </vt:variant>
      <vt:variant>
        <vt:i4>453</vt:i4>
      </vt:variant>
      <vt:variant>
        <vt:i4>0</vt:i4>
      </vt:variant>
      <vt:variant>
        <vt:i4>5</vt:i4>
      </vt:variant>
      <vt:variant>
        <vt:lpwstr>https://scholar.google.com/scholar_lookup?journal=ACS+Appl.+Bio+Mater.&amp;volume=3&amp;publication_year=2020&amp;pages=539&amp;</vt:lpwstr>
      </vt:variant>
      <vt:variant>
        <vt:lpwstr/>
      </vt:variant>
      <vt:variant>
        <vt:i4>3604587</vt:i4>
      </vt:variant>
      <vt:variant>
        <vt:i4>450</vt:i4>
      </vt:variant>
      <vt:variant>
        <vt:i4>0</vt:i4>
      </vt:variant>
      <vt:variant>
        <vt:i4>5</vt:i4>
      </vt:variant>
      <vt:variant>
        <vt:lpwstr>https://scholar.google.com/scholar_lookup?journal=Nanomedicine&amp;volume=14&amp;publication_year=2019&amp;pages=1191&amp;</vt:lpwstr>
      </vt:variant>
      <vt:variant>
        <vt:lpwstr/>
      </vt:variant>
      <vt:variant>
        <vt:i4>458783</vt:i4>
      </vt:variant>
      <vt:variant>
        <vt:i4>447</vt:i4>
      </vt:variant>
      <vt:variant>
        <vt:i4>0</vt:i4>
      </vt:variant>
      <vt:variant>
        <vt:i4>5</vt:i4>
      </vt:variant>
      <vt:variant>
        <vt:lpwstr>https://scholar.google.com/scholar_lookup?journal=Nanoscale&amp;volume=9&amp;publication_year=2017&amp;pages=4934&amp;pmid=28368062&amp;</vt:lpwstr>
      </vt:variant>
      <vt:variant>
        <vt:lpwstr/>
      </vt:variant>
      <vt:variant>
        <vt:i4>393224</vt:i4>
      </vt:variant>
      <vt:variant>
        <vt:i4>444</vt:i4>
      </vt:variant>
      <vt:variant>
        <vt:i4>0</vt:i4>
      </vt:variant>
      <vt:variant>
        <vt:i4>5</vt:i4>
      </vt:variant>
      <vt:variant>
        <vt:lpwstr>https://pubmed.ncbi.nlm.nih.gov/28368062</vt:lpwstr>
      </vt:variant>
      <vt:variant>
        <vt:lpwstr/>
      </vt:variant>
      <vt:variant>
        <vt:i4>6750307</vt:i4>
      </vt:variant>
      <vt:variant>
        <vt:i4>441</vt:i4>
      </vt:variant>
      <vt:variant>
        <vt:i4>0</vt:i4>
      </vt:variant>
      <vt:variant>
        <vt:i4>5</vt:i4>
      </vt:variant>
      <vt:variant>
        <vt:lpwstr>https://scholar.google.com/scholar_lookup?journal=Mol.+Syst.+Des.+Eng.&amp;volume=4&amp;publication_year=2019&amp;pages=872&amp;</vt:lpwstr>
      </vt:variant>
      <vt:variant>
        <vt:lpwstr/>
      </vt:variant>
      <vt:variant>
        <vt:i4>589915</vt:i4>
      </vt:variant>
      <vt:variant>
        <vt:i4>438</vt:i4>
      </vt:variant>
      <vt:variant>
        <vt:i4>0</vt:i4>
      </vt:variant>
      <vt:variant>
        <vt:i4>5</vt:i4>
      </vt:variant>
      <vt:variant>
        <vt:lpwstr>https://scholar.google.com/scholar_lookup?journal=Microsyst.+Nanoeng.&amp;volume=5&amp;publication_year=2019&amp;pages=35&amp;pmid=31636925&amp;</vt:lpwstr>
      </vt:variant>
      <vt:variant>
        <vt:lpwstr/>
      </vt:variant>
      <vt:variant>
        <vt:i4>262150</vt:i4>
      </vt:variant>
      <vt:variant>
        <vt:i4>435</vt:i4>
      </vt:variant>
      <vt:variant>
        <vt:i4>0</vt:i4>
      </vt:variant>
      <vt:variant>
        <vt:i4>5</vt:i4>
      </vt:variant>
      <vt:variant>
        <vt:lpwstr>https://pubmed.ncbi.nlm.nih.gov/31636925</vt:lpwstr>
      </vt:variant>
      <vt:variant>
        <vt:lpwstr/>
      </vt:variant>
      <vt:variant>
        <vt:i4>1441864</vt:i4>
      </vt:variant>
      <vt:variant>
        <vt:i4>432</vt:i4>
      </vt:variant>
      <vt:variant>
        <vt:i4>0</vt:i4>
      </vt:variant>
      <vt:variant>
        <vt:i4>5</vt:i4>
      </vt:variant>
      <vt:variant>
        <vt:lpwstr>https://www.ncbi.nlm.nih.gov/pmc/articles/PMC6799845/</vt:lpwstr>
      </vt:variant>
      <vt:variant>
        <vt:lpwstr/>
      </vt:variant>
      <vt:variant>
        <vt:i4>2097268</vt:i4>
      </vt:variant>
      <vt:variant>
        <vt:i4>429</vt:i4>
      </vt:variant>
      <vt:variant>
        <vt:i4>0</vt:i4>
      </vt:variant>
      <vt:variant>
        <vt:i4>5</vt:i4>
      </vt:variant>
      <vt:variant>
        <vt:lpwstr>https://scholar.google.com/scholar_lookup?journal=ACS+Appl.+Mater.+Interfaces&amp;volume=9&amp;publication_year=2017&amp;pages=41659&amp;pmid=29119789&amp;</vt:lpwstr>
      </vt:variant>
      <vt:variant>
        <vt:lpwstr/>
      </vt:variant>
      <vt:variant>
        <vt:i4>786437</vt:i4>
      </vt:variant>
      <vt:variant>
        <vt:i4>426</vt:i4>
      </vt:variant>
      <vt:variant>
        <vt:i4>0</vt:i4>
      </vt:variant>
      <vt:variant>
        <vt:i4>5</vt:i4>
      </vt:variant>
      <vt:variant>
        <vt:lpwstr>https://pubmed.ncbi.nlm.nih.gov/29119789</vt:lpwstr>
      </vt:variant>
      <vt:variant>
        <vt:lpwstr/>
      </vt:variant>
      <vt:variant>
        <vt:i4>4980767</vt:i4>
      </vt:variant>
      <vt:variant>
        <vt:i4>423</vt:i4>
      </vt:variant>
      <vt:variant>
        <vt:i4>0</vt:i4>
      </vt:variant>
      <vt:variant>
        <vt:i4>5</vt:i4>
      </vt:variant>
      <vt:variant>
        <vt:lpwstr>https://scholar.google.com/scholar_lookup?journal=Anal.+Chem.&amp;volume=88&amp;publication_year=2016&amp;pages=9614&amp;pmid=27600768&amp;</vt:lpwstr>
      </vt:variant>
      <vt:variant>
        <vt:lpwstr/>
      </vt:variant>
      <vt:variant>
        <vt:i4>131077</vt:i4>
      </vt:variant>
      <vt:variant>
        <vt:i4>420</vt:i4>
      </vt:variant>
      <vt:variant>
        <vt:i4>0</vt:i4>
      </vt:variant>
      <vt:variant>
        <vt:i4>5</vt:i4>
      </vt:variant>
      <vt:variant>
        <vt:lpwstr>https://pubmed.ncbi.nlm.nih.gov/27600768</vt:lpwstr>
      </vt:variant>
      <vt:variant>
        <vt:lpwstr/>
      </vt:variant>
      <vt:variant>
        <vt:i4>5570637</vt:i4>
      </vt:variant>
      <vt:variant>
        <vt:i4>417</vt:i4>
      </vt:variant>
      <vt:variant>
        <vt:i4>0</vt:i4>
      </vt:variant>
      <vt:variant>
        <vt:i4>5</vt:i4>
      </vt:variant>
      <vt:variant>
        <vt:lpwstr>https://scholar.google.com/scholar_lookup?journal=ACS+Sens.&amp;volume=3&amp;publication_year=2018&amp;pages=1553&amp;pmid=30022657&amp;</vt:lpwstr>
      </vt:variant>
      <vt:variant>
        <vt:lpwstr/>
      </vt:variant>
      <vt:variant>
        <vt:i4>589827</vt:i4>
      </vt:variant>
      <vt:variant>
        <vt:i4>414</vt:i4>
      </vt:variant>
      <vt:variant>
        <vt:i4>0</vt:i4>
      </vt:variant>
      <vt:variant>
        <vt:i4>5</vt:i4>
      </vt:variant>
      <vt:variant>
        <vt:lpwstr>https://pubmed.ncbi.nlm.nih.gov/30022657</vt:lpwstr>
      </vt:variant>
      <vt:variant>
        <vt:lpwstr/>
      </vt:variant>
      <vt:variant>
        <vt:i4>6357033</vt:i4>
      </vt:variant>
      <vt:variant>
        <vt:i4>411</vt:i4>
      </vt:variant>
      <vt:variant>
        <vt:i4>0</vt:i4>
      </vt:variant>
      <vt:variant>
        <vt:i4>5</vt:i4>
      </vt:variant>
      <vt:variant>
        <vt:lpwstr>https://scholar.google.com/scholar_lookup?journal=Expert+Rev.+Anti%E2%80%90Infect.+Ther.&amp;volume=10&amp;publication_year=2012&amp;pages=1079&amp;pmid=23199394&amp;</vt:lpwstr>
      </vt:variant>
      <vt:variant>
        <vt:lpwstr/>
      </vt:variant>
      <vt:variant>
        <vt:i4>458756</vt:i4>
      </vt:variant>
      <vt:variant>
        <vt:i4>408</vt:i4>
      </vt:variant>
      <vt:variant>
        <vt:i4>0</vt:i4>
      </vt:variant>
      <vt:variant>
        <vt:i4>5</vt:i4>
      </vt:variant>
      <vt:variant>
        <vt:lpwstr>https://pubmed.ncbi.nlm.nih.gov/23199394</vt:lpwstr>
      </vt:variant>
      <vt:variant>
        <vt:lpwstr/>
      </vt:variant>
      <vt:variant>
        <vt:i4>1507419</vt:i4>
      </vt:variant>
      <vt:variant>
        <vt:i4>405</vt:i4>
      </vt:variant>
      <vt:variant>
        <vt:i4>0</vt:i4>
      </vt:variant>
      <vt:variant>
        <vt:i4>5</vt:i4>
      </vt:variant>
      <vt:variant>
        <vt:lpwstr>https://scholar.google.com/scholar_lookup?journal=TrAC,+Trends+Anal.+Chem.&amp;volume=102&amp;publication_year=2018&amp;pages=379&amp;</vt:lpwstr>
      </vt:variant>
      <vt:variant>
        <vt:lpwstr/>
      </vt:variant>
      <vt:variant>
        <vt:i4>3473510</vt:i4>
      </vt:variant>
      <vt:variant>
        <vt:i4>402</vt:i4>
      </vt:variant>
      <vt:variant>
        <vt:i4>0</vt:i4>
      </vt:variant>
      <vt:variant>
        <vt:i4>5</vt:i4>
      </vt:variant>
      <vt:variant>
        <vt:lpwstr>https://scholar.google.com/scholar_lookup?journal=Sens.+Actuators,+B&amp;volume=251&amp;publication_year=2017&amp;pages=1026&amp;</vt:lpwstr>
      </vt:variant>
      <vt:variant>
        <vt:lpwstr/>
      </vt:variant>
      <vt:variant>
        <vt:i4>65557</vt:i4>
      </vt:variant>
      <vt:variant>
        <vt:i4>399</vt:i4>
      </vt:variant>
      <vt:variant>
        <vt:i4>0</vt:i4>
      </vt:variant>
      <vt:variant>
        <vt:i4>5</vt:i4>
      </vt:variant>
      <vt:variant>
        <vt:lpwstr>https://scholar.google.com/scholar_lookup?journal=ACS+Nano&amp;volume=9&amp;publication_year=2015&amp;pages=4173&amp;pmid=25790830&amp;</vt:lpwstr>
      </vt:variant>
      <vt:variant>
        <vt:lpwstr/>
      </vt:variant>
      <vt:variant>
        <vt:i4>917505</vt:i4>
      </vt:variant>
      <vt:variant>
        <vt:i4>396</vt:i4>
      </vt:variant>
      <vt:variant>
        <vt:i4>0</vt:i4>
      </vt:variant>
      <vt:variant>
        <vt:i4>5</vt:i4>
      </vt:variant>
      <vt:variant>
        <vt:lpwstr>https://pubmed.ncbi.nlm.nih.gov/25790830</vt:lpwstr>
      </vt:variant>
      <vt:variant>
        <vt:lpwstr/>
      </vt:variant>
      <vt:variant>
        <vt:i4>1114178</vt:i4>
      </vt:variant>
      <vt:variant>
        <vt:i4>393</vt:i4>
      </vt:variant>
      <vt:variant>
        <vt:i4>0</vt:i4>
      </vt:variant>
      <vt:variant>
        <vt:i4>5</vt:i4>
      </vt:variant>
      <vt:variant>
        <vt:lpwstr>https://www.ncbi.nlm.nih.gov/pmc/articles/PMC4447431/</vt:lpwstr>
      </vt:variant>
      <vt:variant>
        <vt:lpwstr/>
      </vt:variant>
      <vt:variant>
        <vt:i4>6226004</vt:i4>
      </vt:variant>
      <vt:variant>
        <vt:i4>390</vt:i4>
      </vt:variant>
      <vt:variant>
        <vt:i4>0</vt:i4>
      </vt:variant>
      <vt:variant>
        <vt:i4>5</vt:i4>
      </vt:variant>
      <vt:variant>
        <vt:lpwstr>https://doi.org/10.1002%2Fadvs.202004433</vt:lpwstr>
      </vt:variant>
      <vt:variant>
        <vt:lpwstr/>
      </vt:variant>
      <vt:variant>
        <vt:i4>1769543</vt:i4>
      </vt:variant>
      <vt:variant>
        <vt:i4>387</vt:i4>
      </vt:variant>
      <vt:variant>
        <vt:i4>0</vt:i4>
      </vt:variant>
      <vt:variant>
        <vt:i4>5</vt:i4>
      </vt:variant>
      <vt:variant>
        <vt:lpwstr>https://www.ncbi.nlm.nih.gov/pmc/articles/PMC8336501/</vt:lpwstr>
      </vt:variant>
      <vt:variant>
        <vt:lpwstr/>
      </vt:variant>
      <vt:variant>
        <vt:i4>4849692</vt:i4>
      </vt:variant>
      <vt:variant>
        <vt:i4>384</vt:i4>
      </vt:variant>
      <vt:variant>
        <vt:i4>0</vt:i4>
      </vt:variant>
      <vt:variant>
        <vt:i4>5</vt:i4>
      </vt:variant>
      <vt:variant>
        <vt:lpwstr>https://pubmed.ncbi.nlm.nih.gov/?term=Young%20HA%5BAuthor%5D</vt:lpwstr>
      </vt:variant>
      <vt:variant>
        <vt:lpwstr/>
      </vt:variant>
      <vt:variant>
        <vt:i4>1376343</vt:i4>
      </vt:variant>
      <vt:variant>
        <vt:i4>381</vt:i4>
      </vt:variant>
      <vt:variant>
        <vt:i4>0</vt:i4>
      </vt:variant>
      <vt:variant>
        <vt:i4>5</vt:i4>
      </vt:variant>
      <vt:variant>
        <vt:lpwstr>https://pubmed.ncbi.nlm.nih.gov/?term=George%20J%5BAuthor%5D</vt:lpwstr>
      </vt:variant>
      <vt:variant>
        <vt:lpwstr/>
      </vt:variant>
      <vt:variant>
        <vt:i4>6225934</vt:i4>
      </vt:variant>
      <vt:variant>
        <vt:i4>378</vt:i4>
      </vt:variant>
      <vt:variant>
        <vt:i4>0</vt:i4>
      </vt:variant>
      <vt:variant>
        <vt:i4>5</vt:i4>
      </vt:variant>
      <vt:variant>
        <vt:lpwstr>https://pubmed.ncbi.nlm.nih.gov/?term=Kalantar%E2%80%90Zadeh%20K%5BAuthor%5D</vt:lpwstr>
      </vt:variant>
      <vt:variant>
        <vt:lpwstr/>
      </vt:variant>
      <vt:variant>
        <vt:i4>5308442</vt:i4>
      </vt:variant>
      <vt:variant>
        <vt:i4>375</vt:i4>
      </vt:variant>
      <vt:variant>
        <vt:i4>0</vt:i4>
      </vt:variant>
      <vt:variant>
        <vt:i4>5</vt:i4>
      </vt:variant>
      <vt:variant>
        <vt:lpwstr>https://pubmed.ncbi.nlm.nih.gov/?term=Chu%20D%5BAuthor%5D</vt:lpwstr>
      </vt:variant>
      <vt:variant>
        <vt:lpwstr/>
      </vt:variant>
      <vt:variant>
        <vt:i4>5242898</vt:i4>
      </vt:variant>
      <vt:variant>
        <vt:i4>372</vt:i4>
      </vt:variant>
      <vt:variant>
        <vt:i4>0</vt:i4>
      </vt:variant>
      <vt:variant>
        <vt:i4>5</vt:i4>
      </vt:variant>
      <vt:variant>
        <vt:lpwstr>https://pubmed.ncbi.nlm.nih.gov/?term=Liu%20C%5BAuthor%5D</vt:lpwstr>
      </vt:variant>
      <vt:variant>
        <vt:lpwstr/>
      </vt:variant>
      <vt:variant>
        <vt:i4>524368</vt:i4>
      </vt:variant>
      <vt:variant>
        <vt:i4>369</vt:i4>
      </vt:variant>
      <vt:variant>
        <vt:i4>0</vt:i4>
      </vt:variant>
      <vt:variant>
        <vt:i4>5</vt:i4>
      </vt:variant>
      <vt:variant>
        <vt:lpwstr>https://scholar.google.com/scholar_lookup?journal=Postepy+Dermatol.+Alergol.&amp;volume=31&amp;publication_year=2014&amp;pages=84&amp;pmid=25097473&amp;</vt:lpwstr>
      </vt:variant>
      <vt:variant>
        <vt:lpwstr/>
      </vt:variant>
      <vt:variant>
        <vt:i4>65541</vt:i4>
      </vt:variant>
      <vt:variant>
        <vt:i4>366</vt:i4>
      </vt:variant>
      <vt:variant>
        <vt:i4>0</vt:i4>
      </vt:variant>
      <vt:variant>
        <vt:i4>5</vt:i4>
      </vt:variant>
      <vt:variant>
        <vt:lpwstr>https://pubmed.ncbi.nlm.nih.gov/25097473</vt:lpwstr>
      </vt:variant>
      <vt:variant>
        <vt:lpwstr/>
      </vt:variant>
      <vt:variant>
        <vt:i4>1376325</vt:i4>
      </vt:variant>
      <vt:variant>
        <vt:i4>363</vt:i4>
      </vt:variant>
      <vt:variant>
        <vt:i4>0</vt:i4>
      </vt:variant>
      <vt:variant>
        <vt:i4>5</vt:i4>
      </vt:variant>
      <vt:variant>
        <vt:lpwstr>https://www.ncbi.nlm.nih.gov/pmc/articles/PMC4112246/</vt:lpwstr>
      </vt:variant>
      <vt:variant>
        <vt:lpwstr/>
      </vt:variant>
      <vt:variant>
        <vt:i4>983062</vt:i4>
      </vt:variant>
      <vt:variant>
        <vt:i4>360</vt:i4>
      </vt:variant>
      <vt:variant>
        <vt:i4>0</vt:i4>
      </vt:variant>
      <vt:variant>
        <vt:i4>5</vt:i4>
      </vt:variant>
      <vt:variant>
        <vt:lpwstr>https://scholar.google.com/scholar_lookup?journal=Clin.+Diagn.+Lab.+Immunol.&amp;volume=1&amp;publication_year=1994&amp;pages=257&amp;pmid=7496959&amp;</vt:lpwstr>
      </vt:variant>
      <vt:variant>
        <vt:lpwstr/>
      </vt:variant>
      <vt:variant>
        <vt:i4>3997744</vt:i4>
      </vt:variant>
      <vt:variant>
        <vt:i4>357</vt:i4>
      </vt:variant>
      <vt:variant>
        <vt:i4>0</vt:i4>
      </vt:variant>
      <vt:variant>
        <vt:i4>5</vt:i4>
      </vt:variant>
      <vt:variant>
        <vt:lpwstr>https://pubmed.ncbi.nlm.nih.gov/7496959</vt:lpwstr>
      </vt:variant>
      <vt:variant>
        <vt:lpwstr/>
      </vt:variant>
      <vt:variant>
        <vt:i4>262211</vt:i4>
      </vt:variant>
      <vt:variant>
        <vt:i4>354</vt:i4>
      </vt:variant>
      <vt:variant>
        <vt:i4>0</vt:i4>
      </vt:variant>
      <vt:variant>
        <vt:i4>5</vt:i4>
      </vt:variant>
      <vt:variant>
        <vt:lpwstr>https://www.ncbi.nlm.nih.gov/pmc/articles/PMC368245/</vt:lpwstr>
      </vt:variant>
      <vt:variant>
        <vt:lpwstr/>
      </vt:variant>
      <vt:variant>
        <vt:i4>3473520</vt:i4>
      </vt:variant>
      <vt:variant>
        <vt:i4>351</vt:i4>
      </vt:variant>
      <vt:variant>
        <vt:i4>0</vt:i4>
      </vt:variant>
      <vt:variant>
        <vt:i4>5</vt:i4>
      </vt:variant>
      <vt:variant>
        <vt:lpwstr>https://scholar.google.com/scholar_lookup?journal=Biosens.+Bioelectron.&amp;volume=79&amp;publication_year=2016&amp;pages=810&amp;pmid=26774995&amp;</vt:lpwstr>
      </vt:variant>
      <vt:variant>
        <vt:lpwstr/>
      </vt:variant>
      <vt:variant>
        <vt:i4>458767</vt:i4>
      </vt:variant>
      <vt:variant>
        <vt:i4>348</vt:i4>
      </vt:variant>
      <vt:variant>
        <vt:i4>0</vt:i4>
      </vt:variant>
      <vt:variant>
        <vt:i4>5</vt:i4>
      </vt:variant>
      <vt:variant>
        <vt:lpwstr>https://pubmed.ncbi.nlm.nih.gov/26774995</vt:lpwstr>
      </vt:variant>
      <vt:variant>
        <vt:lpwstr/>
      </vt:variant>
      <vt:variant>
        <vt:i4>5374025</vt:i4>
      </vt:variant>
      <vt:variant>
        <vt:i4>345</vt:i4>
      </vt:variant>
      <vt:variant>
        <vt:i4>0</vt:i4>
      </vt:variant>
      <vt:variant>
        <vt:i4>5</vt:i4>
      </vt:variant>
      <vt:variant>
        <vt:lpwstr>https://scholar.google.com/scholar_lookup?journal=Cytokine+Growth+Factor+Rev.&amp;volume=14&amp;publication_year=2003&amp;pages=511&amp;pmid=14563353&amp;</vt:lpwstr>
      </vt:variant>
      <vt:variant>
        <vt:lpwstr/>
      </vt:variant>
      <vt:variant>
        <vt:i4>524293</vt:i4>
      </vt:variant>
      <vt:variant>
        <vt:i4>342</vt:i4>
      </vt:variant>
      <vt:variant>
        <vt:i4>0</vt:i4>
      </vt:variant>
      <vt:variant>
        <vt:i4>5</vt:i4>
      </vt:variant>
      <vt:variant>
        <vt:lpwstr>https://pubmed.ncbi.nlm.nih.gov/14563353</vt:lpwstr>
      </vt:variant>
      <vt:variant>
        <vt:lpwstr/>
      </vt:variant>
      <vt:variant>
        <vt:i4>6422644</vt:i4>
      </vt:variant>
      <vt:variant>
        <vt:i4>339</vt:i4>
      </vt:variant>
      <vt:variant>
        <vt:i4>0</vt:i4>
      </vt:variant>
      <vt:variant>
        <vt:i4>5</vt:i4>
      </vt:variant>
      <vt:variant>
        <vt:lpwstr>https://scholar.google.com/scholar_lookup?journal=Nat.+Rev.+Immunol.&amp;volume=7&amp;publication_year=2007&amp;pages=429&amp;pmid=17525752&amp;</vt:lpwstr>
      </vt:variant>
      <vt:variant>
        <vt:lpwstr/>
      </vt:variant>
      <vt:variant>
        <vt:i4>655363</vt:i4>
      </vt:variant>
      <vt:variant>
        <vt:i4>336</vt:i4>
      </vt:variant>
      <vt:variant>
        <vt:i4>0</vt:i4>
      </vt:variant>
      <vt:variant>
        <vt:i4>5</vt:i4>
      </vt:variant>
      <vt:variant>
        <vt:lpwstr>https://pubmed.ncbi.nlm.nih.gov/17525752</vt:lpwstr>
      </vt:variant>
      <vt:variant>
        <vt:lpwstr/>
      </vt:variant>
      <vt:variant>
        <vt:i4>5963848</vt:i4>
      </vt:variant>
      <vt:variant>
        <vt:i4>333</vt:i4>
      </vt:variant>
      <vt:variant>
        <vt:i4>0</vt:i4>
      </vt:variant>
      <vt:variant>
        <vt:i4>5</vt:i4>
      </vt:variant>
      <vt:variant>
        <vt:lpwstr>https://scholar.google.com/scholar_lookup?journal=Crit.+Care&amp;volume=11&amp;publication_year=2007&amp;pages=R49&amp;pmid=17448250&amp;</vt:lpwstr>
      </vt:variant>
      <vt:variant>
        <vt:lpwstr/>
      </vt:variant>
      <vt:variant>
        <vt:i4>720911</vt:i4>
      </vt:variant>
      <vt:variant>
        <vt:i4>330</vt:i4>
      </vt:variant>
      <vt:variant>
        <vt:i4>0</vt:i4>
      </vt:variant>
      <vt:variant>
        <vt:i4>5</vt:i4>
      </vt:variant>
      <vt:variant>
        <vt:lpwstr>https://pubmed.ncbi.nlm.nih.gov/17448250</vt:lpwstr>
      </vt:variant>
      <vt:variant>
        <vt:lpwstr/>
      </vt:variant>
      <vt:variant>
        <vt:i4>1704001</vt:i4>
      </vt:variant>
      <vt:variant>
        <vt:i4>327</vt:i4>
      </vt:variant>
      <vt:variant>
        <vt:i4>0</vt:i4>
      </vt:variant>
      <vt:variant>
        <vt:i4>5</vt:i4>
      </vt:variant>
      <vt:variant>
        <vt:lpwstr>https://www.ncbi.nlm.nih.gov/pmc/articles/PMC2206478/</vt:lpwstr>
      </vt:variant>
      <vt:variant>
        <vt:lpwstr/>
      </vt:variant>
      <vt:variant>
        <vt:i4>1441821</vt:i4>
      </vt:variant>
      <vt:variant>
        <vt:i4>324</vt:i4>
      </vt:variant>
      <vt:variant>
        <vt:i4>0</vt:i4>
      </vt:variant>
      <vt:variant>
        <vt:i4>5</vt:i4>
      </vt:variant>
      <vt:variant>
        <vt:lpwstr>https://scholar.google.com/scholar_lookup?journal=Kidney+Int.&amp;volume=80&amp;publication_year=2011&amp;pages=708&amp;pmid=21697814&amp;</vt:lpwstr>
      </vt:variant>
      <vt:variant>
        <vt:lpwstr/>
      </vt:variant>
      <vt:variant>
        <vt:i4>917509</vt:i4>
      </vt:variant>
      <vt:variant>
        <vt:i4>321</vt:i4>
      </vt:variant>
      <vt:variant>
        <vt:i4>0</vt:i4>
      </vt:variant>
      <vt:variant>
        <vt:i4>5</vt:i4>
      </vt:variant>
      <vt:variant>
        <vt:lpwstr>https://pubmed.ncbi.nlm.nih.gov/21697814</vt:lpwstr>
      </vt:variant>
      <vt:variant>
        <vt:lpwstr/>
      </vt:variant>
      <vt:variant>
        <vt:i4>1638400</vt:i4>
      </vt:variant>
      <vt:variant>
        <vt:i4>318</vt:i4>
      </vt:variant>
      <vt:variant>
        <vt:i4>0</vt:i4>
      </vt:variant>
      <vt:variant>
        <vt:i4>5</vt:i4>
      </vt:variant>
      <vt:variant>
        <vt:lpwstr>https://scholar.google.com/scholar_lookup?journal=Blood&amp;volume=114&amp;publication_year=2009&amp;pages=346&amp;pmid=19365081&amp;</vt:lpwstr>
      </vt:variant>
      <vt:variant>
        <vt:lpwstr/>
      </vt:variant>
      <vt:variant>
        <vt:i4>262152</vt:i4>
      </vt:variant>
      <vt:variant>
        <vt:i4>315</vt:i4>
      </vt:variant>
      <vt:variant>
        <vt:i4>0</vt:i4>
      </vt:variant>
      <vt:variant>
        <vt:i4>5</vt:i4>
      </vt:variant>
      <vt:variant>
        <vt:lpwstr>https://pubmed.ncbi.nlm.nih.gov/19365081</vt:lpwstr>
      </vt:variant>
      <vt:variant>
        <vt:lpwstr/>
      </vt:variant>
      <vt:variant>
        <vt:i4>1835073</vt:i4>
      </vt:variant>
      <vt:variant>
        <vt:i4>312</vt:i4>
      </vt:variant>
      <vt:variant>
        <vt:i4>0</vt:i4>
      </vt:variant>
      <vt:variant>
        <vt:i4>5</vt:i4>
      </vt:variant>
      <vt:variant>
        <vt:lpwstr>https://www.ncbi.nlm.nih.gov/pmc/articles/PMC2714209/</vt:lpwstr>
      </vt:variant>
      <vt:variant>
        <vt:lpwstr/>
      </vt:variant>
      <vt:variant>
        <vt:i4>5570643</vt:i4>
      </vt:variant>
      <vt:variant>
        <vt:i4>309</vt:i4>
      </vt:variant>
      <vt:variant>
        <vt:i4>0</vt:i4>
      </vt:variant>
      <vt:variant>
        <vt:i4>5</vt:i4>
      </vt:variant>
      <vt:variant>
        <vt:lpwstr>https://scholar.google.com/scholar_lookup?journal=Am.+J.+Pathol.&amp;volume=165&amp;publication_year=2004&amp;pages=1583&amp;pmid=15509528&amp;</vt:lpwstr>
      </vt:variant>
      <vt:variant>
        <vt:lpwstr/>
      </vt:variant>
      <vt:variant>
        <vt:i4>131080</vt:i4>
      </vt:variant>
      <vt:variant>
        <vt:i4>306</vt:i4>
      </vt:variant>
      <vt:variant>
        <vt:i4>0</vt:i4>
      </vt:variant>
      <vt:variant>
        <vt:i4>5</vt:i4>
      </vt:variant>
      <vt:variant>
        <vt:lpwstr>https://pubmed.ncbi.nlm.nih.gov/15509528</vt:lpwstr>
      </vt:variant>
      <vt:variant>
        <vt:lpwstr/>
      </vt:variant>
      <vt:variant>
        <vt:i4>1310795</vt:i4>
      </vt:variant>
      <vt:variant>
        <vt:i4>303</vt:i4>
      </vt:variant>
      <vt:variant>
        <vt:i4>0</vt:i4>
      </vt:variant>
      <vt:variant>
        <vt:i4>5</vt:i4>
      </vt:variant>
      <vt:variant>
        <vt:lpwstr>https://www.ncbi.nlm.nih.gov/pmc/articles/PMC1618676/</vt:lpwstr>
      </vt:variant>
      <vt:variant>
        <vt:lpwstr/>
      </vt:variant>
      <vt:variant>
        <vt:i4>6422573</vt:i4>
      </vt:variant>
      <vt:variant>
        <vt:i4>300</vt:i4>
      </vt:variant>
      <vt:variant>
        <vt:i4>0</vt:i4>
      </vt:variant>
      <vt:variant>
        <vt:i4>5</vt:i4>
      </vt:variant>
      <vt:variant>
        <vt:lpwstr>https://scholar.google.com/scholar_lookup?journal=Biol.+Psychiatry&amp;volume=67&amp;publication_year=2010&amp;pages=446&amp;pmid=20015486&amp;</vt:lpwstr>
      </vt:variant>
      <vt:variant>
        <vt:lpwstr/>
      </vt:variant>
      <vt:variant>
        <vt:i4>589832</vt:i4>
      </vt:variant>
      <vt:variant>
        <vt:i4>297</vt:i4>
      </vt:variant>
      <vt:variant>
        <vt:i4>0</vt:i4>
      </vt:variant>
      <vt:variant>
        <vt:i4>5</vt:i4>
      </vt:variant>
      <vt:variant>
        <vt:lpwstr>https://pubmed.ncbi.nlm.nih.gov/20015486</vt:lpwstr>
      </vt:variant>
      <vt:variant>
        <vt:lpwstr/>
      </vt:variant>
      <vt:variant>
        <vt:i4>6291507</vt:i4>
      </vt:variant>
      <vt:variant>
        <vt:i4>294</vt:i4>
      </vt:variant>
      <vt:variant>
        <vt:i4>0</vt:i4>
      </vt:variant>
      <vt:variant>
        <vt:i4>5</vt:i4>
      </vt:variant>
      <vt:variant>
        <vt:lpwstr>https://scholar.google.com/scholar_lookup?journal=Cell&amp;volume=134&amp;publication_year=2008&amp;pages=215&amp;pmid=18662538&amp;</vt:lpwstr>
      </vt:variant>
      <vt:variant>
        <vt:lpwstr/>
      </vt:variant>
      <vt:variant>
        <vt:i4>589825</vt:i4>
      </vt:variant>
      <vt:variant>
        <vt:i4>291</vt:i4>
      </vt:variant>
      <vt:variant>
        <vt:i4>0</vt:i4>
      </vt:variant>
      <vt:variant>
        <vt:i4>5</vt:i4>
      </vt:variant>
      <vt:variant>
        <vt:lpwstr>https://pubmed.ncbi.nlm.nih.gov/18662538</vt:lpwstr>
      </vt:variant>
      <vt:variant>
        <vt:lpwstr/>
      </vt:variant>
      <vt:variant>
        <vt:i4>1507394</vt:i4>
      </vt:variant>
      <vt:variant>
        <vt:i4>288</vt:i4>
      </vt:variant>
      <vt:variant>
        <vt:i4>0</vt:i4>
      </vt:variant>
      <vt:variant>
        <vt:i4>5</vt:i4>
      </vt:variant>
      <vt:variant>
        <vt:lpwstr>https://www.ncbi.nlm.nih.gov/pmc/articles/PMC3512574/</vt:lpwstr>
      </vt:variant>
      <vt:variant>
        <vt:lpwstr/>
      </vt:variant>
      <vt:variant>
        <vt:i4>5308499</vt:i4>
      </vt:variant>
      <vt:variant>
        <vt:i4>285</vt:i4>
      </vt:variant>
      <vt:variant>
        <vt:i4>0</vt:i4>
      </vt:variant>
      <vt:variant>
        <vt:i4>5</vt:i4>
      </vt:variant>
      <vt:variant>
        <vt:lpwstr>https://scholar.google.com/scholar_lookup?journal=Atherosclerosis&amp;volume=180&amp;publication_year=2000&amp;pages=11&amp;</vt:lpwstr>
      </vt:variant>
      <vt:variant>
        <vt:lpwstr/>
      </vt:variant>
      <vt:variant>
        <vt:i4>983050</vt:i4>
      </vt:variant>
      <vt:variant>
        <vt:i4>282</vt:i4>
      </vt:variant>
      <vt:variant>
        <vt:i4>0</vt:i4>
      </vt:variant>
      <vt:variant>
        <vt:i4>5</vt:i4>
      </vt:variant>
      <vt:variant>
        <vt:lpwstr>https://pubmed.ncbi.nlm.nih.gov/15823270</vt:lpwstr>
      </vt:variant>
      <vt:variant>
        <vt:lpwstr/>
      </vt:variant>
      <vt:variant>
        <vt:i4>7209073</vt:i4>
      </vt:variant>
      <vt:variant>
        <vt:i4>279</vt:i4>
      </vt:variant>
      <vt:variant>
        <vt:i4>0</vt:i4>
      </vt:variant>
      <vt:variant>
        <vt:i4>5</vt:i4>
      </vt:variant>
      <vt:variant>
        <vt:lpwstr>https://scholar.google.com/scholar_lookup?journal=N.+Engl.+J.+Med.&amp;volume=354&amp;publication_year=2006&amp;pages=697&amp;pmid=16481637&amp;</vt:lpwstr>
      </vt:variant>
      <vt:variant>
        <vt:lpwstr/>
      </vt:variant>
      <vt:variant>
        <vt:i4>327680</vt:i4>
      </vt:variant>
      <vt:variant>
        <vt:i4>276</vt:i4>
      </vt:variant>
      <vt:variant>
        <vt:i4>0</vt:i4>
      </vt:variant>
      <vt:variant>
        <vt:i4>5</vt:i4>
      </vt:variant>
      <vt:variant>
        <vt:lpwstr>https://pubmed.ncbi.nlm.nih.gov/16481637</vt:lpwstr>
      </vt:variant>
      <vt:variant>
        <vt:lpwstr/>
      </vt:variant>
      <vt:variant>
        <vt:i4>7471227</vt:i4>
      </vt:variant>
      <vt:variant>
        <vt:i4>273</vt:i4>
      </vt:variant>
      <vt:variant>
        <vt:i4>0</vt:i4>
      </vt:variant>
      <vt:variant>
        <vt:i4>5</vt:i4>
      </vt:variant>
      <vt:variant>
        <vt:lpwstr>https://scholar.google.com/scholar_lookup?journal=Science&amp;volume=368&amp;publication_year=2020&amp;pages=473&amp;pmid=32303591&amp;</vt:lpwstr>
      </vt:variant>
      <vt:variant>
        <vt:lpwstr/>
      </vt:variant>
      <vt:variant>
        <vt:i4>786445</vt:i4>
      </vt:variant>
      <vt:variant>
        <vt:i4>270</vt:i4>
      </vt:variant>
      <vt:variant>
        <vt:i4>0</vt:i4>
      </vt:variant>
      <vt:variant>
        <vt:i4>5</vt:i4>
      </vt:variant>
      <vt:variant>
        <vt:lpwstr>https://pubmed.ncbi.nlm.nih.gov/32303591</vt:lpwstr>
      </vt:variant>
      <vt:variant>
        <vt:lpwstr/>
      </vt:variant>
      <vt:variant>
        <vt:i4>524378</vt:i4>
      </vt:variant>
      <vt:variant>
        <vt:i4>267</vt:i4>
      </vt:variant>
      <vt:variant>
        <vt:i4>0</vt:i4>
      </vt:variant>
      <vt:variant>
        <vt:i4>5</vt:i4>
      </vt:variant>
      <vt:variant>
        <vt:lpwstr>https://scholar.google.com/scholar_lookup?journal=Lancet&amp;volume=395&amp;publication_year=2020&amp;pages=1033&amp;pmid=32192578&amp;</vt:lpwstr>
      </vt:variant>
      <vt:variant>
        <vt:lpwstr/>
      </vt:variant>
      <vt:variant>
        <vt:i4>786432</vt:i4>
      </vt:variant>
      <vt:variant>
        <vt:i4>264</vt:i4>
      </vt:variant>
      <vt:variant>
        <vt:i4>0</vt:i4>
      </vt:variant>
      <vt:variant>
        <vt:i4>5</vt:i4>
      </vt:variant>
      <vt:variant>
        <vt:lpwstr>https://pubmed.ncbi.nlm.nih.gov/32192578</vt:lpwstr>
      </vt:variant>
      <vt:variant>
        <vt:lpwstr/>
      </vt:variant>
      <vt:variant>
        <vt:i4>1114180</vt:i4>
      </vt:variant>
      <vt:variant>
        <vt:i4>261</vt:i4>
      </vt:variant>
      <vt:variant>
        <vt:i4>0</vt:i4>
      </vt:variant>
      <vt:variant>
        <vt:i4>5</vt:i4>
      </vt:variant>
      <vt:variant>
        <vt:lpwstr>https://www.ncbi.nlm.nih.gov/pmc/articles/PMC7270045/</vt:lpwstr>
      </vt:variant>
      <vt:variant>
        <vt:lpwstr/>
      </vt:variant>
      <vt:variant>
        <vt:i4>3211309</vt:i4>
      </vt:variant>
      <vt:variant>
        <vt:i4>258</vt:i4>
      </vt:variant>
      <vt:variant>
        <vt:i4>0</vt:i4>
      </vt:variant>
      <vt:variant>
        <vt:i4>5</vt:i4>
      </vt:variant>
      <vt:variant>
        <vt:lpwstr>https://scholar.google.com/scholar_lookup?journal=J.+Clin.+Invest.&amp;volume=130&amp;publication_year=2020&amp;pages=2620&amp;pmid=32217835&amp;</vt:lpwstr>
      </vt:variant>
      <vt:variant>
        <vt:lpwstr/>
      </vt:variant>
      <vt:variant>
        <vt:i4>262146</vt:i4>
      </vt:variant>
      <vt:variant>
        <vt:i4>255</vt:i4>
      </vt:variant>
      <vt:variant>
        <vt:i4>0</vt:i4>
      </vt:variant>
      <vt:variant>
        <vt:i4>5</vt:i4>
      </vt:variant>
      <vt:variant>
        <vt:lpwstr>https://pubmed.ncbi.nlm.nih.gov/32217835</vt:lpwstr>
      </vt:variant>
      <vt:variant>
        <vt:lpwstr/>
      </vt:variant>
      <vt:variant>
        <vt:i4>1245258</vt:i4>
      </vt:variant>
      <vt:variant>
        <vt:i4>252</vt:i4>
      </vt:variant>
      <vt:variant>
        <vt:i4>0</vt:i4>
      </vt:variant>
      <vt:variant>
        <vt:i4>5</vt:i4>
      </vt:variant>
      <vt:variant>
        <vt:lpwstr>https://www.ncbi.nlm.nih.gov/pmc/articles/PMC7190990/</vt:lpwstr>
      </vt:variant>
      <vt:variant>
        <vt:lpwstr/>
      </vt:variant>
      <vt:variant>
        <vt:i4>8192047</vt:i4>
      </vt:variant>
      <vt:variant>
        <vt:i4>249</vt:i4>
      </vt:variant>
      <vt:variant>
        <vt:i4>0</vt:i4>
      </vt:variant>
      <vt:variant>
        <vt:i4>5</vt:i4>
      </vt:variant>
      <vt:variant>
        <vt:lpwstr>https://scholar.google.com/scholar_lookup?journal=Immunity&amp;volume=1&amp;publication_year=1994&amp;pages=553&amp;pmid=7600284&amp;</vt:lpwstr>
      </vt:variant>
      <vt:variant>
        <vt:lpwstr/>
      </vt:variant>
      <vt:variant>
        <vt:i4>3407922</vt:i4>
      </vt:variant>
      <vt:variant>
        <vt:i4>246</vt:i4>
      </vt:variant>
      <vt:variant>
        <vt:i4>0</vt:i4>
      </vt:variant>
      <vt:variant>
        <vt:i4>5</vt:i4>
      </vt:variant>
      <vt:variant>
        <vt:lpwstr>https://pubmed.ncbi.nlm.nih.gov/7600284</vt:lpwstr>
      </vt:variant>
      <vt:variant>
        <vt:lpwstr/>
      </vt:variant>
      <vt:variant>
        <vt:i4>196623</vt:i4>
      </vt:variant>
      <vt:variant>
        <vt:i4>243</vt:i4>
      </vt:variant>
      <vt:variant>
        <vt:i4>0</vt:i4>
      </vt:variant>
      <vt:variant>
        <vt:i4>5</vt:i4>
      </vt:variant>
      <vt:variant>
        <vt:lpwstr>https://scholar.google.com/scholar_lookup?journal=Nat.+Rev.+Immunol.&amp;volume=14&amp;publication_year=2014&amp;pages=329&amp;pmid=24751956&amp;</vt:lpwstr>
      </vt:variant>
      <vt:variant>
        <vt:lpwstr/>
      </vt:variant>
      <vt:variant>
        <vt:i4>262150</vt:i4>
      </vt:variant>
      <vt:variant>
        <vt:i4>240</vt:i4>
      </vt:variant>
      <vt:variant>
        <vt:i4>0</vt:i4>
      </vt:variant>
      <vt:variant>
        <vt:i4>5</vt:i4>
      </vt:variant>
      <vt:variant>
        <vt:lpwstr>https://pubmed.ncbi.nlm.nih.gov/24751956</vt:lpwstr>
      </vt:variant>
      <vt:variant>
        <vt:lpwstr/>
      </vt:variant>
      <vt:variant>
        <vt:i4>65602</vt:i4>
      </vt:variant>
      <vt:variant>
        <vt:i4>237</vt:i4>
      </vt:variant>
      <vt:variant>
        <vt:i4>0</vt:i4>
      </vt:variant>
      <vt:variant>
        <vt:i4>5</vt:i4>
      </vt:variant>
      <vt:variant>
        <vt:lpwstr>https://scholar.google.com/scholar_lookup?journal=Annu.+Rev.+Immunol.&amp;volume=20&amp;publication_year=2002&amp;pages=495&amp;pmid=11861611&amp;</vt:lpwstr>
      </vt:variant>
      <vt:variant>
        <vt:lpwstr/>
      </vt:variant>
      <vt:variant>
        <vt:i4>655374</vt:i4>
      </vt:variant>
      <vt:variant>
        <vt:i4>234</vt:i4>
      </vt:variant>
      <vt:variant>
        <vt:i4>0</vt:i4>
      </vt:variant>
      <vt:variant>
        <vt:i4>5</vt:i4>
      </vt:variant>
      <vt:variant>
        <vt:lpwstr>https://pubmed.ncbi.nlm.nih.gov/11861611</vt:lpwstr>
      </vt:variant>
      <vt:variant>
        <vt:lpwstr/>
      </vt:variant>
      <vt:variant>
        <vt:i4>720979</vt:i4>
      </vt:variant>
      <vt:variant>
        <vt:i4>231</vt:i4>
      </vt:variant>
      <vt:variant>
        <vt:i4>0</vt:i4>
      </vt:variant>
      <vt:variant>
        <vt:i4>5</vt:i4>
      </vt:variant>
      <vt:variant>
        <vt:lpwstr>https://scholar.google.com/scholar_lookup?journal=J.+Interferon+Cytokine+Res.&amp;volume=39&amp;publication_year=2019&amp;pages=393&amp;pmid=31013453&amp;</vt:lpwstr>
      </vt:variant>
      <vt:variant>
        <vt:lpwstr/>
      </vt:variant>
      <vt:variant>
        <vt:i4>851970</vt:i4>
      </vt:variant>
      <vt:variant>
        <vt:i4>228</vt:i4>
      </vt:variant>
      <vt:variant>
        <vt:i4>0</vt:i4>
      </vt:variant>
      <vt:variant>
        <vt:i4>5</vt:i4>
      </vt:variant>
      <vt:variant>
        <vt:lpwstr>https://pubmed.ncbi.nlm.nih.gov/31013453</vt:lpwstr>
      </vt:variant>
      <vt:variant>
        <vt:lpwstr/>
      </vt:variant>
      <vt:variant>
        <vt:i4>5701663</vt:i4>
      </vt:variant>
      <vt:variant>
        <vt:i4>225</vt:i4>
      </vt:variant>
      <vt:variant>
        <vt:i4>0</vt:i4>
      </vt:variant>
      <vt:variant>
        <vt:i4>5</vt:i4>
      </vt:variant>
      <vt:variant>
        <vt:lpwstr>https://scholar.google.com/scholar_lookup?journal=J.+Clin.+Immunol.&amp;volume=15&amp;publication_year=1995&amp;pages=266&amp;pmid=8537471&amp;</vt:lpwstr>
      </vt:variant>
      <vt:variant>
        <vt:lpwstr/>
      </vt:variant>
      <vt:variant>
        <vt:i4>4128824</vt:i4>
      </vt:variant>
      <vt:variant>
        <vt:i4>222</vt:i4>
      </vt:variant>
      <vt:variant>
        <vt:i4>0</vt:i4>
      </vt:variant>
      <vt:variant>
        <vt:i4>5</vt:i4>
      </vt:variant>
      <vt:variant>
        <vt:lpwstr>https://pubmed.ncbi.nlm.nih.gov/8537471</vt:lpwstr>
      </vt:variant>
      <vt:variant>
        <vt:lpwstr/>
      </vt:variant>
      <vt:variant>
        <vt:i4>2818161</vt:i4>
      </vt:variant>
      <vt:variant>
        <vt:i4>219</vt:i4>
      </vt:variant>
      <vt:variant>
        <vt:i4>0</vt:i4>
      </vt:variant>
      <vt:variant>
        <vt:i4>5</vt:i4>
      </vt:variant>
      <vt:variant>
        <vt:lpwstr>https://scholar.google.com/scholar_lookup?journal=Clin.+Dev.+Immunol.&amp;volume=2014&amp;publication_year=2014&amp;pages=698192&amp;</vt:lpwstr>
      </vt:variant>
      <vt:variant>
        <vt:lpwstr/>
      </vt:variant>
      <vt:variant>
        <vt:i4>655362</vt:i4>
      </vt:variant>
      <vt:variant>
        <vt:i4>216</vt:i4>
      </vt:variant>
      <vt:variant>
        <vt:i4>0</vt:i4>
      </vt:variant>
      <vt:variant>
        <vt:i4>5</vt:i4>
      </vt:variant>
      <vt:variant>
        <vt:lpwstr>https://pubmed.ncbi.nlm.nih.gov/25215307</vt:lpwstr>
      </vt:variant>
      <vt:variant>
        <vt:lpwstr/>
      </vt:variant>
      <vt:variant>
        <vt:i4>1376331</vt:i4>
      </vt:variant>
      <vt:variant>
        <vt:i4>213</vt:i4>
      </vt:variant>
      <vt:variant>
        <vt:i4>0</vt:i4>
      </vt:variant>
      <vt:variant>
        <vt:i4>5</vt:i4>
      </vt:variant>
      <vt:variant>
        <vt:lpwstr>https://www.ncbi.nlm.nih.gov/pmc/articles/PMC4158303/</vt:lpwstr>
      </vt:variant>
      <vt:variant>
        <vt:lpwstr/>
      </vt:variant>
      <vt:variant>
        <vt:i4>2228342</vt:i4>
      </vt:variant>
      <vt:variant>
        <vt:i4>210</vt:i4>
      </vt:variant>
      <vt:variant>
        <vt:i4>0</vt:i4>
      </vt:variant>
      <vt:variant>
        <vt:i4>5</vt:i4>
      </vt:variant>
      <vt:variant>
        <vt:lpwstr>https://scholar.google.com/scholar_lookup?journal=Clin.+Vaccine+Immunol.&amp;volume=20&amp;publication_year=2013&amp;pages=1108&amp;pmid=23697573&amp;</vt:lpwstr>
      </vt:variant>
      <vt:variant>
        <vt:lpwstr/>
      </vt:variant>
      <vt:variant>
        <vt:i4>393219</vt:i4>
      </vt:variant>
      <vt:variant>
        <vt:i4>207</vt:i4>
      </vt:variant>
      <vt:variant>
        <vt:i4>0</vt:i4>
      </vt:variant>
      <vt:variant>
        <vt:i4>5</vt:i4>
      </vt:variant>
      <vt:variant>
        <vt:lpwstr>https://pubmed.ncbi.nlm.nih.gov/23697573</vt:lpwstr>
      </vt:variant>
      <vt:variant>
        <vt:lpwstr/>
      </vt:variant>
      <vt:variant>
        <vt:i4>1048641</vt:i4>
      </vt:variant>
      <vt:variant>
        <vt:i4>204</vt:i4>
      </vt:variant>
      <vt:variant>
        <vt:i4>0</vt:i4>
      </vt:variant>
      <vt:variant>
        <vt:i4>5</vt:i4>
      </vt:variant>
      <vt:variant>
        <vt:lpwstr>https://www.ncbi.nlm.nih.gov/pmc/articles/PMC3754507/</vt:lpwstr>
      </vt:variant>
      <vt:variant>
        <vt:lpwstr/>
      </vt:variant>
      <vt:variant>
        <vt:i4>3014696</vt:i4>
      </vt:variant>
      <vt:variant>
        <vt:i4>201</vt:i4>
      </vt:variant>
      <vt:variant>
        <vt:i4>0</vt:i4>
      </vt:variant>
      <vt:variant>
        <vt:i4>5</vt:i4>
      </vt:variant>
      <vt:variant>
        <vt:lpwstr>https://scholar.google.com/scholar_lookup?journal=Chest&amp;volume=117&amp;publication_year=2000&amp;pages=1162&amp;pmid=10767254&amp;</vt:lpwstr>
      </vt:variant>
      <vt:variant>
        <vt:lpwstr/>
      </vt:variant>
      <vt:variant>
        <vt:i4>655363</vt:i4>
      </vt:variant>
      <vt:variant>
        <vt:i4>198</vt:i4>
      </vt:variant>
      <vt:variant>
        <vt:i4>0</vt:i4>
      </vt:variant>
      <vt:variant>
        <vt:i4>5</vt:i4>
      </vt:variant>
      <vt:variant>
        <vt:lpwstr>https://pubmed.ncbi.nlm.nih.gov/10767254</vt:lpwstr>
      </vt:variant>
      <vt:variant>
        <vt:lpwstr/>
      </vt:variant>
      <vt:variant>
        <vt:i4>7077926</vt:i4>
      </vt:variant>
      <vt:variant>
        <vt:i4>195</vt:i4>
      </vt:variant>
      <vt:variant>
        <vt:i4>0</vt:i4>
      </vt:variant>
      <vt:variant>
        <vt:i4>5</vt:i4>
      </vt:variant>
      <vt:variant>
        <vt:lpwstr>https://scholar.google.com/scholar_lookup?journal=Hepatology&amp;volume=64&amp;publication_year=2016&amp;pages=1189&amp;pmid=27178326&amp;</vt:lpwstr>
      </vt:variant>
      <vt:variant>
        <vt:lpwstr/>
      </vt:variant>
      <vt:variant>
        <vt:i4>983054</vt:i4>
      </vt:variant>
      <vt:variant>
        <vt:i4>192</vt:i4>
      </vt:variant>
      <vt:variant>
        <vt:i4>0</vt:i4>
      </vt:variant>
      <vt:variant>
        <vt:i4>5</vt:i4>
      </vt:variant>
      <vt:variant>
        <vt:lpwstr>https://pubmed.ncbi.nlm.nih.gov/27178326</vt:lpwstr>
      </vt:variant>
      <vt:variant>
        <vt:lpwstr/>
      </vt:variant>
      <vt:variant>
        <vt:i4>1114182</vt:i4>
      </vt:variant>
      <vt:variant>
        <vt:i4>189</vt:i4>
      </vt:variant>
      <vt:variant>
        <vt:i4>0</vt:i4>
      </vt:variant>
      <vt:variant>
        <vt:i4>5</vt:i4>
      </vt:variant>
      <vt:variant>
        <vt:lpwstr>https://www.ncbi.nlm.nih.gov/pmc/articles/PMC5033675/</vt:lpwstr>
      </vt:variant>
      <vt:variant>
        <vt:lpwstr/>
      </vt:variant>
      <vt:variant>
        <vt:i4>65606</vt:i4>
      </vt:variant>
      <vt:variant>
        <vt:i4>186</vt:i4>
      </vt:variant>
      <vt:variant>
        <vt:i4>0</vt:i4>
      </vt:variant>
      <vt:variant>
        <vt:i4>5</vt:i4>
      </vt:variant>
      <vt:variant>
        <vt:lpwstr>https://scholar.google.com/scholar_lookup?journal=J.+Autoimmun.&amp;volume=53&amp;publication_year=2014&amp;pages=33&amp;pmid=24583068&amp;</vt:lpwstr>
      </vt:variant>
      <vt:variant>
        <vt:lpwstr/>
      </vt:variant>
      <vt:variant>
        <vt:i4>917509</vt:i4>
      </vt:variant>
      <vt:variant>
        <vt:i4>183</vt:i4>
      </vt:variant>
      <vt:variant>
        <vt:i4>0</vt:i4>
      </vt:variant>
      <vt:variant>
        <vt:i4>5</vt:i4>
      </vt:variant>
      <vt:variant>
        <vt:lpwstr>https://pubmed.ncbi.nlm.nih.gov/24583068</vt:lpwstr>
      </vt:variant>
      <vt:variant>
        <vt:lpwstr/>
      </vt:variant>
      <vt:variant>
        <vt:i4>1572940</vt:i4>
      </vt:variant>
      <vt:variant>
        <vt:i4>180</vt:i4>
      </vt:variant>
      <vt:variant>
        <vt:i4>0</vt:i4>
      </vt:variant>
      <vt:variant>
        <vt:i4>5</vt:i4>
      </vt:variant>
      <vt:variant>
        <vt:lpwstr>https://www.ncbi.nlm.nih.gov/pmc/articles/PMC4148478/</vt:lpwstr>
      </vt:variant>
      <vt:variant>
        <vt:lpwstr/>
      </vt:variant>
      <vt:variant>
        <vt:i4>4849755</vt:i4>
      </vt:variant>
      <vt:variant>
        <vt:i4>177</vt:i4>
      </vt:variant>
      <vt:variant>
        <vt:i4>0</vt:i4>
      </vt:variant>
      <vt:variant>
        <vt:i4>5</vt:i4>
      </vt:variant>
      <vt:variant>
        <vt:lpwstr>https://scholar.google.com/scholar_lookup?journal=Drug+Saf.&amp;volume=17&amp;publication_year=1997&amp;pages=93&amp;pmid=9285200&amp;</vt:lpwstr>
      </vt:variant>
      <vt:variant>
        <vt:lpwstr/>
      </vt:variant>
      <vt:variant>
        <vt:i4>3997748</vt:i4>
      </vt:variant>
      <vt:variant>
        <vt:i4>174</vt:i4>
      </vt:variant>
      <vt:variant>
        <vt:i4>0</vt:i4>
      </vt:variant>
      <vt:variant>
        <vt:i4>5</vt:i4>
      </vt:variant>
      <vt:variant>
        <vt:lpwstr>https://pubmed.ncbi.nlm.nih.gov/9285200</vt:lpwstr>
      </vt:variant>
      <vt:variant>
        <vt:lpwstr/>
      </vt:variant>
      <vt:variant>
        <vt:i4>1114204</vt:i4>
      </vt:variant>
      <vt:variant>
        <vt:i4>171</vt:i4>
      </vt:variant>
      <vt:variant>
        <vt:i4>0</vt:i4>
      </vt:variant>
      <vt:variant>
        <vt:i4>5</vt:i4>
      </vt:variant>
      <vt:variant>
        <vt:lpwstr>https://scholar.google.com/scholar_lookup?journal=Cytokine&amp;volume=74&amp;publication_year=2015&amp;pages=5&amp;pmid=25458968&amp;</vt:lpwstr>
      </vt:variant>
      <vt:variant>
        <vt:lpwstr/>
      </vt:variant>
      <vt:variant>
        <vt:i4>720911</vt:i4>
      </vt:variant>
      <vt:variant>
        <vt:i4>168</vt:i4>
      </vt:variant>
      <vt:variant>
        <vt:i4>0</vt:i4>
      </vt:variant>
      <vt:variant>
        <vt:i4>5</vt:i4>
      </vt:variant>
      <vt:variant>
        <vt:lpwstr>https://pubmed.ncbi.nlm.nih.gov/25458968</vt:lpwstr>
      </vt:variant>
      <vt:variant>
        <vt:lpwstr/>
      </vt:variant>
      <vt:variant>
        <vt:i4>1572934</vt:i4>
      </vt:variant>
      <vt:variant>
        <vt:i4>165</vt:i4>
      </vt:variant>
      <vt:variant>
        <vt:i4>0</vt:i4>
      </vt:variant>
      <vt:variant>
        <vt:i4>5</vt:i4>
      </vt:variant>
      <vt:variant>
        <vt:lpwstr>https://www.ncbi.nlm.nih.gov/pmc/articles/PMC4416069/</vt:lpwstr>
      </vt:variant>
      <vt:variant>
        <vt:lpwstr/>
      </vt:variant>
      <vt:variant>
        <vt:i4>1704017</vt:i4>
      </vt:variant>
      <vt:variant>
        <vt:i4>162</vt:i4>
      </vt:variant>
      <vt:variant>
        <vt:i4>0</vt:i4>
      </vt:variant>
      <vt:variant>
        <vt:i4>5</vt:i4>
      </vt:variant>
      <vt:variant>
        <vt:lpwstr>https://scholar.google.com/scholar_lookup?journal=Front.+Immunol.&amp;volume=9&amp;publication_year=2018&amp;pages=586&amp;pmid=29686666&amp;</vt:lpwstr>
      </vt:variant>
      <vt:variant>
        <vt:lpwstr/>
      </vt:variant>
      <vt:variant>
        <vt:i4>720899</vt:i4>
      </vt:variant>
      <vt:variant>
        <vt:i4>159</vt:i4>
      </vt:variant>
      <vt:variant>
        <vt:i4>0</vt:i4>
      </vt:variant>
      <vt:variant>
        <vt:i4>5</vt:i4>
      </vt:variant>
      <vt:variant>
        <vt:lpwstr>https://pubmed.ncbi.nlm.nih.gov/29686666</vt:lpwstr>
      </vt:variant>
      <vt:variant>
        <vt:lpwstr/>
      </vt:variant>
      <vt:variant>
        <vt:i4>1376334</vt:i4>
      </vt:variant>
      <vt:variant>
        <vt:i4>156</vt:i4>
      </vt:variant>
      <vt:variant>
        <vt:i4>0</vt:i4>
      </vt:variant>
      <vt:variant>
        <vt:i4>5</vt:i4>
      </vt:variant>
      <vt:variant>
        <vt:lpwstr>https://www.ncbi.nlm.nih.gov/pmc/articles/PMC5900450/</vt:lpwstr>
      </vt:variant>
      <vt:variant>
        <vt:lpwstr/>
      </vt:variant>
      <vt:variant>
        <vt:i4>7274551</vt:i4>
      </vt:variant>
      <vt:variant>
        <vt:i4>153</vt:i4>
      </vt:variant>
      <vt:variant>
        <vt:i4>0</vt:i4>
      </vt:variant>
      <vt:variant>
        <vt:i4>5</vt:i4>
      </vt:variant>
      <vt:variant>
        <vt:lpwstr>https://scholar.google.com/scholar_lookup?journal=J.+Neuroinflammation&amp;volume=16&amp;publication_year=2019&amp;pages=129&amp;pmid=31248424&amp;</vt:lpwstr>
      </vt:variant>
      <vt:variant>
        <vt:lpwstr/>
      </vt:variant>
      <vt:variant>
        <vt:i4>983052</vt:i4>
      </vt:variant>
      <vt:variant>
        <vt:i4>150</vt:i4>
      </vt:variant>
      <vt:variant>
        <vt:i4>0</vt:i4>
      </vt:variant>
      <vt:variant>
        <vt:i4>5</vt:i4>
      </vt:variant>
      <vt:variant>
        <vt:lpwstr>https://pubmed.ncbi.nlm.nih.gov/31248424</vt:lpwstr>
      </vt:variant>
      <vt:variant>
        <vt:lpwstr/>
      </vt:variant>
      <vt:variant>
        <vt:i4>1114184</vt:i4>
      </vt:variant>
      <vt:variant>
        <vt:i4>147</vt:i4>
      </vt:variant>
      <vt:variant>
        <vt:i4>0</vt:i4>
      </vt:variant>
      <vt:variant>
        <vt:i4>5</vt:i4>
      </vt:variant>
      <vt:variant>
        <vt:lpwstr>https://www.ncbi.nlm.nih.gov/pmc/articles/PMC6598278/</vt:lpwstr>
      </vt:variant>
      <vt:variant>
        <vt:lpwstr/>
      </vt:variant>
      <vt:variant>
        <vt:i4>720979</vt:i4>
      </vt:variant>
      <vt:variant>
        <vt:i4>144</vt:i4>
      </vt:variant>
      <vt:variant>
        <vt:i4>0</vt:i4>
      </vt:variant>
      <vt:variant>
        <vt:i4>5</vt:i4>
      </vt:variant>
      <vt:variant>
        <vt:lpwstr>https://scholar.google.com/scholar_lookup?journal=J.+Interferon+Cytokine+Res.&amp;volume=39&amp;publication_year=2019&amp;pages=393&amp;pmid=31013453&amp;</vt:lpwstr>
      </vt:variant>
      <vt:variant>
        <vt:lpwstr/>
      </vt:variant>
      <vt:variant>
        <vt:i4>851970</vt:i4>
      </vt:variant>
      <vt:variant>
        <vt:i4>141</vt:i4>
      </vt:variant>
      <vt:variant>
        <vt:i4>0</vt:i4>
      </vt:variant>
      <vt:variant>
        <vt:i4>5</vt:i4>
      </vt:variant>
      <vt:variant>
        <vt:lpwstr>https://pubmed.ncbi.nlm.nih.gov/31013453</vt:lpwstr>
      </vt:variant>
      <vt:variant>
        <vt:lpwstr/>
      </vt:variant>
      <vt:variant>
        <vt:i4>2490404</vt:i4>
      </vt:variant>
      <vt:variant>
        <vt:i4>138</vt:i4>
      </vt:variant>
      <vt:variant>
        <vt:i4>0</vt:i4>
      </vt:variant>
      <vt:variant>
        <vt:i4>5</vt:i4>
      </vt:variant>
      <vt:variant>
        <vt:lpwstr>https://scholar.google.com/scholar_lookup?journal=Clin.+Sci.&amp;volume=108&amp;publication_year=2005&amp;pages=205&amp;</vt:lpwstr>
      </vt:variant>
      <vt:variant>
        <vt:lpwstr/>
      </vt:variant>
      <vt:variant>
        <vt:i4>655371</vt:i4>
      </vt:variant>
      <vt:variant>
        <vt:i4>135</vt:i4>
      </vt:variant>
      <vt:variant>
        <vt:i4>0</vt:i4>
      </vt:variant>
      <vt:variant>
        <vt:i4>5</vt:i4>
      </vt:variant>
      <vt:variant>
        <vt:lpwstr>https://pubmed.ncbi.nlm.nih.gov/15540988</vt:lpwstr>
      </vt:variant>
      <vt:variant>
        <vt:lpwstr/>
      </vt:variant>
      <vt:variant>
        <vt:i4>7012477</vt:i4>
      </vt:variant>
      <vt:variant>
        <vt:i4>132</vt:i4>
      </vt:variant>
      <vt:variant>
        <vt:i4>0</vt:i4>
      </vt:variant>
      <vt:variant>
        <vt:i4>5</vt:i4>
      </vt:variant>
      <vt:variant>
        <vt:lpwstr>https://scholar.google.com/scholar_lookup?journal=Life+Sci.&amp;volume=67&amp;publication_year=2000&amp;pages=291&amp;pmid=10983873&amp;</vt:lpwstr>
      </vt:variant>
      <vt:variant>
        <vt:lpwstr/>
      </vt:variant>
      <vt:variant>
        <vt:i4>589835</vt:i4>
      </vt:variant>
      <vt:variant>
        <vt:i4>129</vt:i4>
      </vt:variant>
      <vt:variant>
        <vt:i4>0</vt:i4>
      </vt:variant>
      <vt:variant>
        <vt:i4>5</vt:i4>
      </vt:variant>
      <vt:variant>
        <vt:lpwstr>https://pubmed.ncbi.nlm.nih.gov/10983873</vt:lpwstr>
      </vt:variant>
      <vt:variant>
        <vt:lpwstr/>
      </vt:variant>
      <vt:variant>
        <vt:i4>3735593</vt:i4>
      </vt:variant>
      <vt:variant>
        <vt:i4>126</vt:i4>
      </vt:variant>
      <vt:variant>
        <vt:i4>0</vt:i4>
      </vt:variant>
      <vt:variant>
        <vt:i4>5</vt:i4>
      </vt:variant>
      <vt:variant>
        <vt:lpwstr>https://scholar.google.com/scholar_lookup?journal=J.+Clin.+Invest.&amp;volume=117&amp;publication_year=2007&amp;pages=1175&amp;pmid=17476347&amp;</vt:lpwstr>
      </vt:variant>
      <vt:variant>
        <vt:lpwstr/>
      </vt:variant>
      <vt:variant>
        <vt:i4>917504</vt:i4>
      </vt:variant>
      <vt:variant>
        <vt:i4>123</vt:i4>
      </vt:variant>
      <vt:variant>
        <vt:i4>0</vt:i4>
      </vt:variant>
      <vt:variant>
        <vt:i4>5</vt:i4>
      </vt:variant>
      <vt:variant>
        <vt:lpwstr>https://pubmed.ncbi.nlm.nih.gov/17476347</vt:lpwstr>
      </vt:variant>
      <vt:variant>
        <vt:lpwstr/>
      </vt:variant>
      <vt:variant>
        <vt:i4>1245256</vt:i4>
      </vt:variant>
      <vt:variant>
        <vt:i4>120</vt:i4>
      </vt:variant>
      <vt:variant>
        <vt:i4>0</vt:i4>
      </vt:variant>
      <vt:variant>
        <vt:i4>5</vt:i4>
      </vt:variant>
      <vt:variant>
        <vt:lpwstr>https://www.ncbi.nlm.nih.gov/pmc/articles/PMC1857251/</vt:lpwstr>
      </vt:variant>
      <vt:variant>
        <vt:lpwstr/>
      </vt:variant>
      <vt:variant>
        <vt:i4>5832734</vt:i4>
      </vt:variant>
      <vt:variant>
        <vt:i4>117</vt:i4>
      </vt:variant>
      <vt:variant>
        <vt:i4>0</vt:i4>
      </vt:variant>
      <vt:variant>
        <vt:i4>5</vt:i4>
      </vt:variant>
      <vt:variant>
        <vt:lpwstr>https://scholar.google.com/scholar_lookup?title=Immune+Response+Activation+and+Immunomodulation&amp;publication_year=2018&amp;</vt:lpwstr>
      </vt:variant>
      <vt:variant>
        <vt:lpwstr/>
      </vt:variant>
      <vt:variant>
        <vt:i4>4653061</vt:i4>
      </vt:variant>
      <vt:variant>
        <vt:i4>114</vt:i4>
      </vt:variant>
      <vt:variant>
        <vt:i4>0</vt:i4>
      </vt:variant>
      <vt:variant>
        <vt:i4>5</vt:i4>
      </vt:variant>
      <vt:variant>
        <vt:lpwstr>https://scholar.google.com/scholar_lookup?journal=Int.+J.+Biol.+Macromol.&amp;volume=69&amp;publication_year=2014&amp;pages=382&amp;pmid=24905959&amp;</vt:lpwstr>
      </vt:variant>
      <vt:variant>
        <vt:lpwstr/>
      </vt:variant>
      <vt:variant>
        <vt:i4>917516</vt:i4>
      </vt:variant>
      <vt:variant>
        <vt:i4>111</vt:i4>
      </vt:variant>
      <vt:variant>
        <vt:i4>0</vt:i4>
      </vt:variant>
      <vt:variant>
        <vt:i4>5</vt:i4>
      </vt:variant>
      <vt:variant>
        <vt:lpwstr>https://pubmed.ncbi.nlm.nih.gov/24905959</vt:lpwstr>
      </vt:variant>
      <vt:variant>
        <vt:lpwstr/>
      </vt:variant>
      <vt:variant>
        <vt:i4>327766</vt:i4>
      </vt:variant>
      <vt:variant>
        <vt:i4>108</vt:i4>
      </vt:variant>
      <vt:variant>
        <vt:i4>0</vt:i4>
      </vt:variant>
      <vt:variant>
        <vt:i4>5</vt:i4>
      </vt:variant>
      <vt:variant>
        <vt:lpwstr>https://scholar.google.com/scholar_lookup?journal=J.+Interferon+Cytokine+Res.&amp;volume=31&amp;publication_year=2011&amp;pages=695&amp;pmid=21942420&amp;</vt:lpwstr>
      </vt:variant>
      <vt:variant>
        <vt:lpwstr/>
      </vt:variant>
      <vt:variant>
        <vt:i4>720908</vt:i4>
      </vt:variant>
      <vt:variant>
        <vt:i4>105</vt:i4>
      </vt:variant>
      <vt:variant>
        <vt:i4>0</vt:i4>
      </vt:variant>
      <vt:variant>
        <vt:i4>5</vt:i4>
      </vt:variant>
      <vt:variant>
        <vt:lpwstr>https://pubmed.ncbi.nlm.nih.gov/21942420</vt:lpwstr>
      </vt:variant>
      <vt:variant>
        <vt:lpwstr/>
      </vt:variant>
      <vt:variant>
        <vt:i4>1900622</vt:i4>
      </vt:variant>
      <vt:variant>
        <vt:i4>102</vt:i4>
      </vt:variant>
      <vt:variant>
        <vt:i4>0</vt:i4>
      </vt:variant>
      <vt:variant>
        <vt:i4>5</vt:i4>
      </vt:variant>
      <vt:variant>
        <vt:lpwstr>https://www.ncbi.nlm.nih.gov/pmc/articles/PMC3189547/</vt:lpwstr>
      </vt:variant>
      <vt:variant>
        <vt:lpwstr/>
      </vt:variant>
      <vt:variant>
        <vt:i4>1245277</vt:i4>
      </vt:variant>
      <vt:variant>
        <vt:i4>99</vt:i4>
      </vt:variant>
      <vt:variant>
        <vt:i4>0</vt:i4>
      </vt:variant>
      <vt:variant>
        <vt:i4>5</vt:i4>
      </vt:variant>
      <vt:variant>
        <vt:lpwstr>https://scholar.google.com/scholar_lookup?journal=Int.+J.+Inflammation&amp;volume=2017&amp;publication_year=2017&amp;pages=1&amp;</vt:lpwstr>
      </vt:variant>
      <vt:variant>
        <vt:lpwstr/>
      </vt:variant>
      <vt:variant>
        <vt:i4>3276899</vt:i4>
      </vt:variant>
      <vt:variant>
        <vt:i4>96</vt:i4>
      </vt:variant>
      <vt:variant>
        <vt:i4>0</vt:i4>
      </vt:variant>
      <vt:variant>
        <vt:i4>5</vt:i4>
      </vt:variant>
      <vt:variant>
        <vt:lpwstr>https://scholar.google.com/scholar_lookup?journal=Inflammation&amp;volume=40&amp;publication_year=2017&amp;pages=340&amp;pmid=27878687&amp;</vt:lpwstr>
      </vt:variant>
      <vt:variant>
        <vt:lpwstr/>
      </vt:variant>
      <vt:variant>
        <vt:i4>720909</vt:i4>
      </vt:variant>
      <vt:variant>
        <vt:i4>93</vt:i4>
      </vt:variant>
      <vt:variant>
        <vt:i4>0</vt:i4>
      </vt:variant>
      <vt:variant>
        <vt:i4>5</vt:i4>
      </vt:variant>
      <vt:variant>
        <vt:lpwstr>https://pubmed.ncbi.nlm.nih.gov/27878687</vt:lpwstr>
      </vt:variant>
      <vt:variant>
        <vt:lpwstr/>
      </vt:variant>
      <vt:variant>
        <vt:i4>2097197</vt:i4>
      </vt:variant>
      <vt:variant>
        <vt:i4>90</vt:i4>
      </vt:variant>
      <vt:variant>
        <vt:i4>0</vt:i4>
      </vt:variant>
      <vt:variant>
        <vt:i4>5</vt:i4>
      </vt:variant>
      <vt:variant>
        <vt:lpwstr>https://doi.org/10.1378/chest.118.2.503</vt:lpwstr>
      </vt:variant>
      <vt:variant>
        <vt:lpwstr/>
      </vt:variant>
      <vt:variant>
        <vt:i4>2555973</vt:i4>
      </vt:variant>
      <vt:variant>
        <vt:i4>87</vt:i4>
      </vt:variant>
      <vt:variant>
        <vt:i4>0</vt:i4>
      </vt:variant>
      <vt:variant>
        <vt:i4>5</vt:i4>
      </vt:variant>
      <vt:variant>
        <vt:lpwstr>https://pubmed.ncbi.nlm.nih.gov/?term=Dinarello+CA&amp;cauthor_id=10936147</vt:lpwstr>
      </vt:variant>
      <vt:variant>
        <vt:lpwstr/>
      </vt:variant>
      <vt:variant>
        <vt:i4>4653066</vt:i4>
      </vt:variant>
      <vt:variant>
        <vt:i4>84</vt:i4>
      </vt:variant>
      <vt:variant>
        <vt:i4>0</vt:i4>
      </vt:variant>
      <vt:variant>
        <vt:i4>5</vt:i4>
      </vt:variant>
      <vt:variant>
        <vt:lpwstr>https://scholar.google.com/scholar_lookup?journal=Biochem.+Pharmacol.&amp;volume=78&amp;publication_year=2009&amp;pages=539&amp;pmid=19413999&amp;</vt:lpwstr>
      </vt:variant>
      <vt:variant>
        <vt:lpwstr/>
      </vt:variant>
      <vt:variant>
        <vt:i4>131080</vt:i4>
      </vt:variant>
      <vt:variant>
        <vt:i4>81</vt:i4>
      </vt:variant>
      <vt:variant>
        <vt:i4>0</vt:i4>
      </vt:variant>
      <vt:variant>
        <vt:i4>5</vt:i4>
      </vt:variant>
      <vt:variant>
        <vt:lpwstr>https://pubmed.ncbi.nlm.nih.gov/19413999</vt:lpwstr>
      </vt:variant>
      <vt:variant>
        <vt:lpwstr/>
      </vt:variant>
      <vt:variant>
        <vt:i4>1769542</vt:i4>
      </vt:variant>
      <vt:variant>
        <vt:i4>78</vt:i4>
      </vt:variant>
      <vt:variant>
        <vt:i4>0</vt:i4>
      </vt:variant>
      <vt:variant>
        <vt:i4>5</vt:i4>
      </vt:variant>
      <vt:variant>
        <vt:lpwstr>https://www.ncbi.nlm.nih.gov/pmc/articles/PMC2730638/</vt:lpwstr>
      </vt:variant>
      <vt:variant>
        <vt:lpwstr/>
      </vt:variant>
      <vt:variant>
        <vt:i4>196623</vt:i4>
      </vt:variant>
      <vt:variant>
        <vt:i4>75</vt:i4>
      </vt:variant>
      <vt:variant>
        <vt:i4>0</vt:i4>
      </vt:variant>
      <vt:variant>
        <vt:i4>5</vt:i4>
      </vt:variant>
      <vt:variant>
        <vt:lpwstr>https://scholar.google.com/scholar_lookup?journal=Nat.+Rev.+Immunol.&amp;volume=14&amp;publication_year=2014&amp;pages=329&amp;pmid=24751956&amp;</vt:lpwstr>
      </vt:variant>
      <vt:variant>
        <vt:lpwstr/>
      </vt:variant>
      <vt:variant>
        <vt:i4>262150</vt:i4>
      </vt:variant>
      <vt:variant>
        <vt:i4>72</vt:i4>
      </vt:variant>
      <vt:variant>
        <vt:i4>0</vt:i4>
      </vt:variant>
      <vt:variant>
        <vt:i4>5</vt:i4>
      </vt:variant>
      <vt:variant>
        <vt:lpwstr>https://pubmed.ncbi.nlm.nih.gov/24751956</vt:lpwstr>
      </vt:variant>
      <vt:variant>
        <vt:lpwstr/>
      </vt:variant>
      <vt:variant>
        <vt:i4>1900546</vt:i4>
      </vt:variant>
      <vt:variant>
        <vt:i4>69</vt:i4>
      </vt:variant>
      <vt:variant>
        <vt:i4>0</vt:i4>
      </vt:variant>
      <vt:variant>
        <vt:i4>5</vt:i4>
      </vt:variant>
      <vt:variant>
        <vt:lpwstr>https://scholar.google.com/scholar_lookup?journal=Mediators+Inflammation&amp;volume=2014&amp;publication_year=2014&amp;pages=545493&amp;</vt:lpwstr>
      </vt:variant>
      <vt:variant>
        <vt:lpwstr/>
      </vt:variant>
      <vt:variant>
        <vt:i4>393223</vt:i4>
      </vt:variant>
      <vt:variant>
        <vt:i4>66</vt:i4>
      </vt:variant>
      <vt:variant>
        <vt:i4>0</vt:i4>
      </vt:variant>
      <vt:variant>
        <vt:i4>5</vt:i4>
      </vt:variant>
      <vt:variant>
        <vt:lpwstr>https://pubmed.ncbi.nlm.nih.gov/24733962</vt:lpwstr>
      </vt:variant>
      <vt:variant>
        <vt:lpwstr/>
      </vt:variant>
      <vt:variant>
        <vt:i4>1572939</vt:i4>
      </vt:variant>
      <vt:variant>
        <vt:i4>63</vt:i4>
      </vt:variant>
      <vt:variant>
        <vt:i4>0</vt:i4>
      </vt:variant>
      <vt:variant>
        <vt:i4>5</vt:i4>
      </vt:variant>
      <vt:variant>
        <vt:lpwstr>https://www.ncbi.nlm.nih.gov/pmc/articles/PMC3964841/</vt:lpwstr>
      </vt:variant>
      <vt:variant>
        <vt:lpwstr/>
      </vt:variant>
      <vt:variant>
        <vt:i4>6160474</vt:i4>
      </vt:variant>
      <vt:variant>
        <vt:i4>60</vt:i4>
      </vt:variant>
      <vt:variant>
        <vt:i4>0</vt:i4>
      </vt:variant>
      <vt:variant>
        <vt:i4>5</vt:i4>
      </vt:variant>
      <vt:variant>
        <vt:lpwstr>https://scholar.google.com/scholar_lookup?journal=J.+Cancer+Res.+Treat.&amp;volume=2&amp;publication_year=2014&amp;pages=41&amp;</vt:lpwstr>
      </vt:variant>
      <vt:variant>
        <vt:lpwstr/>
      </vt:variant>
      <vt:variant>
        <vt:i4>5242962</vt:i4>
      </vt:variant>
      <vt:variant>
        <vt:i4>57</vt:i4>
      </vt:variant>
      <vt:variant>
        <vt:i4>0</vt:i4>
      </vt:variant>
      <vt:variant>
        <vt:i4>5</vt:i4>
      </vt:variant>
      <vt:variant>
        <vt:lpwstr>https://doi.org/10.1002/eji.200737772</vt:lpwstr>
      </vt:variant>
      <vt:variant>
        <vt:lpwstr/>
      </vt:variant>
      <vt:variant>
        <vt:i4>7274548</vt:i4>
      </vt:variant>
      <vt:variant>
        <vt:i4>54</vt:i4>
      </vt:variant>
      <vt:variant>
        <vt:i4>0</vt:i4>
      </vt:variant>
      <vt:variant>
        <vt:i4>5</vt:i4>
      </vt:variant>
      <vt:variant>
        <vt:lpwstr>https://onlinelibrary.wiley.com/action/doSearch?ContribAuthorStored=Dinarello%2C+Charles+A</vt:lpwstr>
      </vt:variant>
      <vt:variant>
        <vt:lpwstr/>
      </vt:variant>
      <vt:variant>
        <vt:i4>2293798</vt:i4>
      </vt:variant>
      <vt:variant>
        <vt:i4>51</vt:i4>
      </vt:variant>
      <vt:variant>
        <vt:i4>0</vt:i4>
      </vt:variant>
      <vt:variant>
        <vt:i4>5</vt:i4>
      </vt:variant>
      <vt:variant>
        <vt:lpwstr>https://scholar.google.com/scholar_lookup?journal=Cancer+Res.&amp;volume=72&amp;publication_year=2012&amp;pages=66&amp;pmid=22065722&amp;</vt:lpwstr>
      </vt:variant>
      <vt:variant>
        <vt:lpwstr/>
      </vt:variant>
      <vt:variant>
        <vt:i4>720898</vt:i4>
      </vt:variant>
      <vt:variant>
        <vt:i4>48</vt:i4>
      </vt:variant>
      <vt:variant>
        <vt:i4>0</vt:i4>
      </vt:variant>
      <vt:variant>
        <vt:i4>5</vt:i4>
      </vt:variant>
      <vt:variant>
        <vt:lpwstr>https://pubmed.ncbi.nlm.nih.gov/22065722</vt:lpwstr>
      </vt:variant>
      <vt:variant>
        <vt:lpwstr/>
      </vt:variant>
      <vt:variant>
        <vt:i4>1441858</vt:i4>
      </vt:variant>
      <vt:variant>
        <vt:i4>45</vt:i4>
      </vt:variant>
      <vt:variant>
        <vt:i4>0</vt:i4>
      </vt:variant>
      <vt:variant>
        <vt:i4>5</vt:i4>
      </vt:variant>
      <vt:variant>
        <vt:lpwstr>https://www.ncbi.nlm.nih.gov/pmc/articles/PMC3252703/</vt:lpwstr>
      </vt:variant>
      <vt:variant>
        <vt:lpwstr/>
      </vt:variant>
      <vt:variant>
        <vt:i4>3932263</vt:i4>
      </vt:variant>
      <vt:variant>
        <vt:i4>42</vt:i4>
      </vt:variant>
      <vt:variant>
        <vt:i4>0</vt:i4>
      </vt:variant>
      <vt:variant>
        <vt:i4>5</vt:i4>
      </vt:variant>
      <vt:variant>
        <vt:lpwstr>https://scholar.google.com/scholar_lookup?journal=Immunity&amp;volume=28&amp;publication_year=2008&amp;pages=477&amp;pmid=18400190&amp;</vt:lpwstr>
      </vt:variant>
      <vt:variant>
        <vt:lpwstr/>
      </vt:variant>
      <vt:variant>
        <vt:i4>196619</vt:i4>
      </vt:variant>
      <vt:variant>
        <vt:i4>39</vt:i4>
      </vt:variant>
      <vt:variant>
        <vt:i4>0</vt:i4>
      </vt:variant>
      <vt:variant>
        <vt:i4>5</vt:i4>
      </vt:variant>
      <vt:variant>
        <vt:lpwstr>https://pubmed.ncbi.nlm.nih.gov/18400190</vt:lpwstr>
      </vt:variant>
      <vt:variant>
        <vt:lpwstr/>
      </vt:variant>
      <vt:variant>
        <vt:i4>1179727</vt:i4>
      </vt:variant>
      <vt:variant>
        <vt:i4>36</vt:i4>
      </vt:variant>
      <vt:variant>
        <vt:i4>0</vt:i4>
      </vt:variant>
      <vt:variant>
        <vt:i4>5</vt:i4>
      </vt:variant>
      <vt:variant>
        <vt:lpwstr>https://www.ncbi.nlm.nih.gov/pmc/articles/PMC2782488/</vt:lpwstr>
      </vt:variant>
      <vt:variant>
        <vt:lpwstr/>
      </vt:variant>
      <vt:variant>
        <vt:i4>1441834</vt:i4>
      </vt:variant>
      <vt:variant>
        <vt:i4>33</vt:i4>
      </vt:variant>
      <vt:variant>
        <vt:i4>0</vt:i4>
      </vt:variant>
      <vt:variant>
        <vt:i4>5</vt:i4>
      </vt:variant>
      <vt:variant>
        <vt:lpwstr>http://scholar.google.com/scholar_lookup?&amp;title=54PDPreclinical%20Development%20of%20tumor-infiltrating%20lymphocytes%20%28TILs%29%20based%20adoptive%20cell%20transfer%20immunotherapy%20%28ACT%29%20for%20patients%20with%20advanced%20ovarian%20cancer&amp;publication_year=2016&amp;author=Westergaard%2CMCW&amp;author=Andersen%2CR&amp;author=Kjeldsen%2CJW</vt:lpwstr>
      </vt:variant>
      <vt:variant>
        <vt:lpwstr/>
      </vt:variant>
      <vt:variant>
        <vt:i4>4194395</vt:i4>
      </vt:variant>
      <vt:variant>
        <vt:i4>30</vt:i4>
      </vt:variant>
      <vt:variant>
        <vt:i4>0</vt:i4>
      </vt:variant>
      <vt:variant>
        <vt:i4>5</vt:i4>
      </vt:variant>
      <vt:variant>
        <vt:lpwstr>https://scholar.google.com/scholar_lookup?journal=Gastroenterology&amp;title=Increased+risk+of+noncardia+gastric+cancer+associated+with+proinflammatory+cytokine+gene+polymorphisms&amp;author=EM+Elomar&amp;author=CS+Rabkin&amp;author=MD+Gammon&amp;volume=124&amp;publication_year=2003&amp;pages=1193&amp;pmid=12730860&amp;doi=10.1016/S0016-5085(03)00157-4&amp;</vt:lpwstr>
      </vt:variant>
      <vt:variant>
        <vt:lpwstr/>
      </vt:variant>
      <vt:variant>
        <vt:i4>1310737</vt:i4>
      </vt:variant>
      <vt:variant>
        <vt:i4>27</vt:i4>
      </vt:variant>
      <vt:variant>
        <vt:i4>0</vt:i4>
      </vt:variant>
      <vt:variant>
        <vt:i4>5</vt:i4>
      </vt:variant>
      <vt:variant>
        <vt:lpwstr>https://dx.doi.org/10.1016/S0016-5085(03)00157-4</vt:lpwstr>
      </vt:variant>
      <vt:variant>
        <vt:lpwstr/>
      </vt:variant>
      <vt:variant>
        <vt:i4>458843</vt:i4>
      </vt:variant>
      <vt:variant>
        <vt:i4>24</vt:i4>
      </vt:variant>
      <vt:variant>
        <vt:i4>0</vt:i4>
      </vt:variant>
      <vt:variant>
        <vt:i4>5</vt:i4>
      </vt:variant>
      <vt:variant>
        <vt:lpwstr>https://www.ncbi.nlm.nih.gov/pubmed/12730860</vt:lpwstr>
      </vt:variant>
      <vt:variant>
        <vt:lpwstr/>
      </vt:variant>
      <vt:variant>
        <vt:i4>7274521</vt:i4>
      </vt:variant>
      <vt:variant>
        <vt:i4>21</vt:i4>
      </vt:variant>
      <vt:variant>
        <vt:i4>0</vt:i4>
      </vt:variant>
      <vt:variant>
        <vt:i4>5</vt:i4>
      </vt:variant>
      <vt:variant>
        <vt:lpwstr>https://scholar.google.com/scholar_lookup?journal=Breast+Cancer+Research&amp;title=Inflammation+and+breast+cancer.+Balancing+immune+response:+crosstalk+between+adaptive+and+innate+immune+cells+during+breast+cancer+progression&amp;author=DG+Denardo&amp;author=LM+Coussens&amp;volume=9&amp;publication_year=2007&amp;pages=212&amp;pmid=17705880&amp;doi=10.1186/bcr1746&amp;</vt:lpwstr>
      </vt:variant>
      <vt:variant>
        <vt:lpwstr/>
      </vt:variant>
      <vt:variant>
        <vt:i4>6619238</vt:i4>
      </vt:variant>
      <vt:variant>
        <vt:i4>18</vt:i4>
      </vt:variant>
      <vt:variant>
        <vt:i4>0</vt:i4>
      </vt:variant>
      <vt:variant>
        <vt:i4>5</vt:i4>
      </vt:variant>
      <vt:variant>
        <vt:lpwstr>https://dx.doi.org/10.1186/bcr1746</vt:lpwstr>
      </vt:variant>
      <vt:variant>
        <vt:lpwstr/>
      </vt:variant>
      <vt:variant>
        <vt:i4>65616</vt:i4>
      </vt:variant>
      <vt:variant>
        <vt:i4>15</vt:i4>
      </vt:variant>
      <vt:variant>
        <vt:i4>0</vt:i4>
      </vt:variant>
      <vt:variant>
        <vt:i4>5</vt:i4>
      </vt:variant>
      <vt:variant>
        <vt:lpwstr>https://www.ncbi.nlm.nih.gov/pubmed/17705880</vt:lpwstr>
      </vt:variant>
      <vt:variant>
        <vt:lpwstr/>
      </vt:variant>
      <vt:variant>
        <vt:i4>1572935</vt:i4>
      </vt:variant>
      <vt:variant>
        <vt:i4>12</vt:i4>
      </vt:variant>
      <vt:variant>
        <vt:i4>0</vt:i4>
      </vt:variant>
      <vt:variant>
        <vt:i4>5</vt:i4>
      </vt:variant>
      <vt:variant>
        <vt:lpwstr>https://www.ncbi.nlm.nih.gov/pmc/articles/PMC2206719/</vt:lpwstr>
      </vt:variant>
      <vt:variant>
        <vt:lpwstr/>
      </vt:variant>
      <vt:variant>
        <vt:i4>5963782</vt:i4>
      </vt:variant>
      <vt:variant>
        <vt:i4>9</vt:i4>
      </vt:variant>
      <vt:variant>
        <vt:i4>0</vt:i4>
      </vt:variant>
      <vt:variant>
        <vt:i4>5</vt:i4>
      </vt:variant>
      <vt:variant>
        <vt:lpwstr>https://scholar.google.com/scholar_lookup?journal=Lancet&amp;title=Inflammation+and+cancer:+back+to+Virchow?&amp;author=F+Balkwill&amp;author=A+Mantovani&amp;volume=357&amp;publication_year=2001&amp;pages=539-545&amp;pmid=11229684&amp;doi=10.1016/S0140-6736(00)04046-0&amp;</vt:lpwstr>
      </vt:variant>
      <vt:variant>
        <vt:lpwstr/>
      </vt:variant>
      <vt:variant>
        <vt:i4>1835029</vt:i4>
      </vt:variant>
      <vt:variant>
        <vt:i4>6</vt:i4>
      </vt:variant>
      <vt:variant>
        <vt:i4>0</vt:i4>
      </vt:variant>
      <vt:variant>
        <vt:i4>5</vt:i4>
      </vt:variant>
      <vt:variant>
        <vt:lpwstr>https://dx.doi.org/10.1016/S0140-6736(00)04046-0</vt:lpwstr>
      </vt:variant>
      <vt:variant>
        <vt:lpwstr/>
      </vt:variant>
      <vt:variant>
        <vt:i4>983129</vt:i4>
      </vt:variant>
      <vt:variant>
        <vt:i4>3</vt:i4>
      </vt:variant>
      <vt:variant>
        <vt:i4>0</vt:i4>
      </vt:variant>
      <vt:variant>
        <vt:i4>5</vt:i4>
      </vt:variant>
      <vt:variant>
        <vt:lpwstr>https://www.ncbi.nlm.nih.gov/pubmed/11229684</vt:lpwstr>
      </vt:variant>
      <vt:variant>
        <vt:lpwstr/>
      </vt:variant>
      <vt:variant>
        <vt:i4>1638484</vt:i4>
      </vt:variant>
      <vt:variant>
        <vt:i4>0</vt:i4>
      </vt:variant>
      <vt:variant>
        <vt:i4>0</vt:i4>
      </vt:variant>
      <vt:variant>
        <vt:i4>5</vt:i4>
      </vt:variant>
      <vt:variant>
        <vt:lpwstr>https://doi.org/10.1177/1066896916633856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OBSTRUCTIVE JAUNDICE CAUSED BY PANCREATIC HEAD MALIGNANCIES</dc:title>
  <dc:creator>kristina.deriban</dc:creator>
  <cp:lastModifiedBy>DELL</cp:lastModifiedBy>
  <cp:revision>2</cp:revision>
  <cp:lastPrinted>2022-11-22T17:58:00Z</cp:lastPrinted>
  <dcterms:created xsi:type="dcterms:W3CDTF">2023-03-14T06:54:00Z</dcterms:created>
  <dcterms:modified xsi:type="dcterms:W3CDTF">2023-03-14T06:54:00Z</dcterms:modified>
</cp:coreProperties>
</file>